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5BC" w:rsidRDefault="00A645BC" w:rsidP="004D3759">
      <w:pPr>
        <w:spacing w:after="0" w:line="360" w:lineRule="auto"/>
        <w:jc w:val="center"/>
        <w:rPr>
          <w:rFonts w:ascii="Arial Rounded MT Bold" w:hAnsi="Arial Rounded MT Bold"/>
          <w:sz w:val="24"/>
          <w:szCs w:val="24"/>
        </w:rPr>
      </w:pPr>
    </w:p>
    <w:p w:rsidR="00A01439" w:rsidRDefault="00A01439" w:rsidP="004D3759">
      <w:pPr>
        <w:spacing w:after="0" w:line="360" w:lineRule="auto"/>
        <w:jc w:val="center"/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Résum</w:t>
      </w:r>
      <w:r w:rsidR="004D3759">
        <w:rPr>
          <w:rFonts w:ascii="Arial Rounded MT Bold" w:hAnsi="Arial Rounded MT Bold"/>
          <w:sz w:val="24"/>
          <w:szCs w:val="24"/>
        </w:rPr>
        <w:t>é</w:t>
      </w:r>
      <w:r>
        <w:rPr>
          <w:rFonts w:ascii="Arial Rounded MT Bold" w:hAnsi="Arial Rounded MT Bold"/>
          <w:sz w:val="24"/>
          <w:szCs w:val="24"/>
        </w:rPr>
        <w:t xml:space="preserve"> des r</w:t>
      </w:r>
      <w:r w:rsidRPr="007779C4">
        <w:rPr>
          <w:rFonts w:ascii="Arial Rounded MT Bold" w:hAnsi="Arial Rounded MT Bold"/>
          <w:sz w:val="24"/>
          <w:szCs w:val="24"/>
        </w:rPr>
        <w:t>ésultats de l’enquête complémentaire</w:t>
      </w:r>
      <w:r>
        <w:rPr>
          <w:rFonts w:ascii="Arial Rounded MT Bold" w:hAnsi="Arial Rounded MT Bold"/>
          <w:sz w:val="24"/>
          <w:szCs w:val="24"/>
        </w:rPr>
        <w:t xml:space="preserve"> </w:t>
      </w:r>
      <w:r w:rsidRPr="007779C4">
        <w:rPr>
          <w:rFonts w:ascii="Arial Rounded MT Bold" w:hAnsi="Arial Rounded MT Bold"/>
          <w:sz w:val="24"/>
          <w:szCs w:val="24"/>
        </w:rPr>
        <w:t>réalisée</w:t>
      </w:r>
    </w:p>
    <w:p w:rsidR="00ED71C5" w:rsidRDefault="00A01439" w:rsidP="00ED71C5">
      <w:pPr>
        <w:spacing w:after="0" w:line="360" w:lineRule="auto"/>
        <w:jc w:val="center"/>
        <w:rPr>
          <w:rFonts w:ascii="Arial Rounded MT Bold" w:hAnsi="Arial Rounded MT Bold"/>
          <w:sz w:val="24"/>
          <w:szCs w:val="24"/>
        </w:rPr>
      </w:pPr>
      <w:proofErr w:type="gramStart"/>
      <w:r w:rsidRPr="007779C4">
        <w:rPr>
          <w:rFonts w:ascii="Arial Rounded MT Bold" w:hAnsi="Arial Rounded MT Bold"/>
          <w:sz w:val="24"/>
          <w:szCs w:val="24"/>
        </w:rPr>
        <w:t>dans</w:t>
      </w:r>
      <w:proofErr w:type="gramEnd"/>
      <w:r w:rsidRPr="007779C4">
        <w:rPr>
          <w:rFonts w:ascii="Arial Rounded MT Bold" w:hAnsi="Arial Rounded MT Bold"/>
          <w:sz w:val="24"/>
          <w:szCs w:val="24"/>
        </w:rPr>
        <w:t xml:space="preserve"> le cadre du </w:t>
      </w:r>
      <w:r>
        <w:rPr>
          <w:rFonts w:ascii="Arial Rounded MT Bold" w:hAnsi="Arial Rounded MT Bold"/>
          <w:sz w:val="24"/>
          <w:szCs w:val="24"/>
        </w:rPr>
        <w:t xml:space="preserve">RGPH </w:t>
      </w:r>
      <w:r w:rsidRPr="007779C4">
        <w:rPr>
          <w:rFonts w:ascii="Arial Rounded MT Bold" w:hAnsi="Arial Rounded MT Bold"/>
          <w:sz w:val="24"/>
          <w:szCs w:val="24"/>
        </w:rPr>
        <w:t>2014</w:t>
      </w:r>
      <w:r>
        <w:rPr>
          <w:rFonts w:ascii="Arial Rounded MT Bold" w:hAnsi="Arial Rounded MT Bold"/>
          <w:sz w:val="24"/>
          <w:szCs w:val="24"/>
        </w:rPr>
        <w:t xml:space="preserve"> </w:t>
      </w:r>
      <w:r w:rsidRPr="007779C4">
        <w:rPr>
          <w:rFonts w:ascii="Arial Rounded MT Bold" w:hAnsi="Arial Rounded MT Bold"/>
          <w:sz w:val="24"/>
          <w:szCs w:val="24"/>
        </w:rPr>
        <w:t>sur</w:t>
      </w:r>
      <w:r w:rsidR="00ED71C5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 xml:space="preserve">l’apport </w:t>
      </w:r>
    </w:p>
    <w:p w:rsidR="00A01439" w:rsidRPr="007779C4" w:rsidRDefault="00A01439" w:rsidP="00ED71C5">
      <w:pPr>
        <w:spacing w:after="0" w:line="360" w:lineRule="auto"/>
        <w:jc w:val="center"/>
        <w:rPr>
          <w:rFonts w:ascii="Arial Rounded MT Bold" w:hAnsi="Arial Rounded MT Bold"/>
          <w:sz w:val="24"/>
          <w:szCs w:val="24"/>
        </w:rPr>
      </w:pPr>
      <w:proofErr w:type="gramStart"/>
      <w:r>
        <w:rPr>
          <w:rFonts w:ascii="Arial Rounded MT Bold" w:hAnsi="Arial Rounded MT Bold"/>
          <w:sz w:val="24"/>
          <w:szCs w:val="24"/>
        </w:rPr>
        <w:t>de</w:t>
      </w:r>
      <w:proofErr w:type="gramEnd"/>
      <w:r>
        <w:rPr>
          <w:rFonts w:ascii="Arial Rounded MT Bold" w:hAnsi="Arial Rounded MT Bold"/>
          <w:sz w:val="24"/>
          <w:szCs w:val="24"/>
        </w:rPr>
        <w:t xml:space="preserve"> l’expérience</w:t>
      </w:r>
      <w:r w:rsidRPr="007779C4">
        <w:rPr>
          <w:rFonts w:ascii="Arial Rounded MT Bold" w:hAnsi="Arial Rounded MT Bold"/>
          <w:sz w:val="24"/>
          <w:szCs w:val="24"/>
        </w:rPr>
        <w:t xml:space="preserve"> </w:t>
      </w:r>
      <w:r>
        <w:rPr>
          <w:rFonts w:ascii="Arial Rounded MT Bold" w:hAnsi="Arial Rounded MT Bold"/>
          <w:sz w:val="24"/>
          <w:szCs w:val="24"/>
        </w:rPr>
        <w:t xml:space="preserve">professionnelle au capital humain </w:t>
      </w:r>
    </w:p>
    <w:p w:rsidR="00A01439" w:rsidRPr="007779C4" w:rsidRDefault="00A645BC" w:rsidP="00A01439">
      <w:pPr>
        <w:spacing w:line="360" w:lineRule="auto"/>
        <w:jc w:val="both"/>
        <w:rPr>
          <w:rFonts w:ascii="Arial Rounded MT Bold" w:eastAsia="Arial Unicode MS" w:hAnsi="Arial Rounded MT Bold" w:cs="Times New Roman"/>
          <w:spacing w:val="15"/>
          <w:sz w:val="24"/>
          <w:szCs w:val="24"/>
        </w:rPr>
      </w:pPr>
      <w:r>
        <w:rPr>
          <w:rFonts w:ascii="Arial Rounded MT Bold" w:eastAsia="Arial Unicode MS" w:hAnsi="Arial Rounded MT Bold" w:cs="Times New Roman"/>
          <w:spacing w:val="15"/>
          <w:sz w:val="24"/>
          <w:szCs w:val="24"/>
        </w:rPr>
        <w:t xml:space="preserve">  </w:t>
      </w:r>
    </w:p>
    <w:p w:rsidR="00A01439" w:rsidRPr="00B253BF" w:rsidRDefault="00A01439" w:rsidP="004A2119">
      <w:pPr>
        <w:spacing w:line="360" w:lineRule="auto"/>
        <w:ind w:firstLine="708"/>
        <w:jc w:val="both"/>
        <w:rPr>
          <w:rFonts w:ascii="Book Antiqua" w:eastAsia="Arial Unicode MS" w:hAnsi="Book Antiqua" w:cs="Times New Roman"/>
          <w:spacing w:val="15"/>
          <w:sz w:val="24"/>
          <w:szCs w:val="24"/>
        </w:rPr>
      </w:pPr>
      <w:r w:rsidRPr="00B253BF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Dans le cadre de l’opération du Recensement Général de la Population et de l’Habitat de septembre 2014,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un module du questionnaire a été consacré à la mobilité professionnelle. Il consistait à recueillir les données sur la carrière professionnelle des personnes actives âgées de 20 à 59 ans, en vue d’appréhender l’impact de l’expérience professionnelle sur le capital humain. </w:t>
      </w:r>
      <w:r w:rsidR="004A2119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Il </w:t>
      </w:r>
      <w:r w:rsidR="004A2119" w:rsidRPr="000203C0">
        <w:rPr>
          <w:rFonts w:ascii="Book Antiqua" w:eastAsia="Arial Unicode MS" w:hAnsi="Book Antiqua" w:cs="Times New Roman"/>
          <w:spacing w:val="15"/>
          <w:sz w:val="26"/>
          <w:szCs w:val="26"/>
        </w:rPr>
        <w:t>a concerné un échantillon de 72000 individus tirés des ménages recensés.</w:t>
      </w:r>
    </w:p>
    <w:p w:rsidR="00A01439" w:rsidRPr="00F52025" w:rsidRDefault="00A01439" w:rsidP="000C006A">
      <w:pPr>
        <w:spacing w:line="360" w:lineRule="auto"/>
        <w:rPr>
          <w:rFonts w:ascii="Arial Rounded MT Bold" w:eastAsia="Arial Unicode MS" w:hAnsi="Arial Rounded MT Bold" w:cs="Times New Roman"/>
          <w:spacing w:val="15"/>
          <w:sz w:val="26"/>
          <w:szCs w:val="26"/>
        </w:rPr>
      </w:pPr>
      <w:r w:rsidRPr="00F52025">
        <w:rPr>
          <w:rFonts w:ascii="Arial Rounded MT Bold" w:eastAsia="Arial Unicode MS" w:hAnsi="Arial Rounded MT Bold" w:cs="Times New Roman"/>
          <w:spacing w:val="15"/>
          <w:sz w:val="26"/>
          <w:szCs w:val="26"/>
        </w:rPr>
        <w:t xml:space="preserve">Expérience professionnelle </w:t>
      </w:r>
    </w:p>
    <w:p w:rsidR="00A01439" w:rsidRDefault="00A01439" w:rsidP="00A01439">
      <w:pPr>
        <w:spacing w:line="360" w:lineRule="auto"/>
        <w:ind w:firstLine="708"/>
        <w:jc w:val="both"/>
        <w:rPr>
          <w:rFonts w:ascii="Book Antiqua" w:eastAsia="Arial Unicode MS" w:hAnsi="Book Antiqua" w:cs="Times New Roman"/>
          <w:spacing w:val="15"/>
          <w:sz w:val="24"/>
          <w:szCs w:val="24"/>
        </w:rPr>
      </w:pPr>
      <w:r>
        <w:rPr>
          <w:rFonts w:ascii="Book Antiqua" w:eastAsia="Arial Unicode MS" w:hAnsi="Book Antiqua" w:cs="Times New Roman"/>
          <w:spacing w:val="15"/>
          <w:sz w:val="24"/>
          <w:szCs w:val="24"/>
        </w:rPr>
        <w:t>En somme, s</w:t>
      </w:r>
      <w:r w:rsidRPr="00E210D2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ur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la</w:t>
      </w:r>
      <w:r w:rsidRPr="00E210D2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population active de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9,4 millions</w:t>
      </w:r>
      <w:r w:rsidRPr="00E210D2">
        <w:rPr>
          <w:rFonts w:ascii="Book Antiqua" w:eastAsia="Arial Unicode MS" w:hAnsi="Book Antiqua" w:cs="Times New Roman"/>
          <w:spacing w:val="15"/>
          <w:sz w:val="24"/>
          <w:szCs w:val="24"/>
        </w:rPr>
        <w:t>,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</w:t>
      </w:r>
      <w:r w:rsidRPr="00E210D2">
        <w:rPr>
          <w:rFonts w:ascii="Book Antiqua" w:eastAsia="Arial Unicode MS" w:hAnsi="Book Antiqua" w:cs="Times New Roman"/>
          <w:spacing w:val="15"/>
          <w:sz w:val="24"/>
          <w:szCs w:val="24"/>
        </w:rPr>
        <w:t>âgée de 20 à 59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</w:t>
      </w:r>
      <w:r w:rsidRPr="00E210D2">
        <w:rPr>
          <w:rFonts w:ascii="Book Antiqua" w:eastAsia="Arial Unicode MS" w:hAnsi="Book Antiqua" w:cs="Times New Roman"/>
          <w:spacing w:val="15"/>
          <w:sz w:val="24"/>
          <w:szCs w:val="24"/>
        </w:rPr>
        <w:t>ans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que comptait le Maroc en 2014</w:t>
      </w:r>
      <w:r w:rsidRPr="00E210D2">
        <w:rPr>
          <w:rFonts w:ascii="Book Antiqua" w:eastAsia="Arial Unicode MS" w:hAnsi="Book Antiqua" w:cs="Times New Roman"/>
          <w:spacing w:val="15"/>
          <w:sz w:val="24"/>
          <w:szCs w:val="24"/>
        </w:rPr>
        <w:t>,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1,9 millions</w:t>
      </w:r>
      <w:r w:rsidRPr="00E210D2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ou 20%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auraient</w:t>
      </w:r>
      <w:r w:rsidRPr="00E210D2">
        <w:rPr>
          <w:rFonts w:ascii="Book Antiqua" w:eastAsia="Arial Unicode MS" w:hAnsi="Book Antiqua" w:cs="Times New Roman"/>
          <w:spacing w:val="15"/>
          <w:sz w:val="24"/>
          <w:szCs w:val="24"/>
        </w:rPr>
        <w:t> changé de profession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,</w:t>
      </w:r>
      <w:r w:rsidRPr="00E83810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au moins </w:t>
      </w:r>
      <w:r w:rsidRPr="00E210D2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une fois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dans</w:t>
      </w:r>
      <w:r w:rsidRPr="00E210D2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leur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vie professionnelle.</w:t>
      </w:r>
      <w:r w:rsidRPr="00E210D2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</w:t>
      </w:r>
    </w:p>
    <w:p w:rsidR="00A01439" w:rsidRDefault="00A01439" w:rsidP="00A01439">
      <w:pPr>
        <w:spacing w:line="360" w:lineRule="auto"/>
        <w:ind w:firstLine="708"/>
        <w:jc w:val="both"/>
        <w:rPr>
          <w:rFonts w:ascii="Book Antiqua" w:eastAsia="Arial Unicode MS" w:hAnsi="Book Antiqua" w:cs="Times New Roman"/>
          <w:spacing w:val="15"/>
          <w:sz w:val="24"/>
          <w:szCs w:val="24"/>
        </w:rPr>
      </w:pPr>
      <w:r>
        <w:rPr>
          <w:rFonts w:ascii="Book Antiqua" w:eastAsia="Arial Unicode MS" w:hAnsi="Book Antiqua" w:cs="Times New Roman"/>
          <w:spacing w:val="15"/>
          <w:sz w:val="24"/>
          <w:szCs w:val="24"/>
        </w:rPr>
        <w:t>En moyenne,</w:t>
      </w:r>
      <w:r w:rsidRPr="00233FDD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chaque centaine de personnes actives âgées de 20 à 59 ans, auraient exercé 130 professions. Ce rapport passe de 135 parmi les « ouvriers et manœuvres non agricoles », à 128 parmi les « cadres moyens et employés » et à 115 parmi les « employeurs et cadres supérieurs ».</w:t>
      </w:r>
    </w:p>
    <w:p w:rsidR="00A01439" w:rsidRPr="000C006A" w:rsidRDefault="00A01439" w:rsidP="000C006A">
      <w:pPr>
        <w:spacing w:line="360" w:lineRule="auto"/>
        <w:rPr>
          <w:rFonts w:ascii="Arial Rounded MT Bold" w:eastAsia="Arial Unicode MS" w:hAnsi="Arial Rounded MT Bold" w:cs="Times New Roman"/>
          <w:spacing w:val="15"/>
          <w:sz w:val="26"/>
          <w:szCs w:val="26"/>
        </w:rPr>
      </w:pPr>
      <w:r w:rsidRPr="000C006A">
        <w:rPr>
          <w:rFonts w:ascii="Arial Rounded MT Bold" w:eastAsia="Arial Unicode MS" w:hAnsi="Arial Rounded MT Bold" w:cs="Times New Roman"/>
          <w:spacing w:val="15"/>
          <w:sz w:val="26"/>
          <w:szCs w:val="26"/>
        </w:rPr>
        <w:t>Mobilité professionnelle intra et inter sectorielle</w:t>
      </w:r>
    </w:p>
    <w:p w:rsidR="00A01439" w:rsidRDefault="00A01439" w:rsidP="00A01439">
      <w:pPr>
        <w:spacing w:line="360" w:lineRule="auto"/>
        <w:ind w:firstLine="708"/>
        <w:jc w:val="both"/>
        <w:rPr>
          <w:rFonts w:ascii="Book Antiqua" w:eastAsia="Arial Unicode MS" w:hAnsi="Book Antiqua" w:cs="Times New Roman"/>
          <w:spacing w:val="15"/>
          <w:sz w:val="24"/>
          <w:szCs w:val="24"/>
        </w:rPr>
      </w:pP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715 mille personnes </w:t>
      </w:r>
      <w:r w:rsidRPr="00AE0CD5">
        <w:rPr>
          <w:rFonts w:ascii="Book Antiqua" w:eastAsia="Arial Unicode MS" w:hAnsi="Book Antiqua" w:cs="Times New Roman"/>
          <w:spacing w:val="15"/>
          <w:sz w:val="24"/>
          <w:szCs w:val="24"/>
        </w:rPr>
        <w:t>de 20 à 59 ans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, représentant </w:t>
      </w:r>
      <w:r w:rsidRPr="0068212A">
        <w:rPr>
          <w:rFonts w:ascii="Book Antiqua" w:eastAsia="Arial Unicode MS" w:hAnsi="Book Antiqua" w:cs="Times New Roman"/>
          <w:spacing w:val="15"/>
          <w:sz w:val="24"/>
          <w:szCs w:val="24"/>
        </w:rPr>
        <w:t>3</w:t>
      </w:r>
      <w:r w:rsidRPr="00AA7FB4">
        <w:rPr>
          <w:rFonts w:ascii="Book Antiqua" w:eastAsia="Arial Unicode MS" w:hAnsi="Book Antiqua" w:cs="Times New Roman"/>
          <w:spacing w:val="15"/>
          <w:sz w:val="24"/>
          <w:szCs w:val="24"/>
        </w:rPr>
        <w:t>8% de la population active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</w:t>
      </w:r>
      <w:r w:rsidRPr="00AA7FB4">
        <w:rPr>
          <w:rFonts w:ascii="Book Antiqua" w:eastAsia="Arial Unicode MS" w:hAnsi="Book Antiqua" w:cs="Times New Roman"/>
          <w:spacing w:val="15"/>
          <w:sz w:val="24"/>
          <w:szCs w:val="24"/>
        </w:rPr>
        <w:t>concernée a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uraient</w:t>
      </w:r>
      <w:r w:rsidRPr="00AA7FB4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connu une mobilité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dans le même secteur d’activité, </w:t>
      </w:r>
      <w:r w:rsidRPr="00AA7FB4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52%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dans les</w:t>
      </w:r>
      <w:r w:rsidRPr="00AA7FB4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services, 24%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dans l’</w:t>
      </w:r>
      <w:r w:rsidRPr="00AA7FB4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industrie, 29%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dans l’</w:t>
      </w:r>
      <w:r w:rsidRPr="00AA7FB4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agriculture et 20%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dans les</w:t>
      </w:r>
      <w:r w:rsidRPr="00AA7FB4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BTP.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Cette mobilité </w:t>
      </w:r>
      <w:proofErr w:type="spellStart"/>
      <w:r>
        <w:rPr>
          <w:rFonts w:ascii="Book Antiqua" w:eastAsia="Arial Unicode MS" w:hAnsi="Book Antiqua" w:cs="Times New Roman"/>
          <w:spacing w:val="15"/>
          <w:sz w:val="24"/>
          <w:szCs w:val="24"/>
        </w:rPr>
        <w:t>intrasectorielle</w:t>
      </w:r>
      <w:proofErr w:type="spellEnd"/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aurait favorisé la promotion professionnelle de 43% de ce segment de la population active et se serait soldée par un déclassement de 33%.</w:t>
      </w:r>
    </w:p>
    <w:p w:rsidR="00A01439" w:rsidRPr="00233FDD" w:rsidRDefault="00A01439" w:rsidP="00A01439">
      <w:pPr>
        <w:spacing w:line="360" w:lineRule="auto"/>
        <w:ind w:firstLine="708"/>
        <w:jc w:val="both"/>
        <w:rPr>
          <w:rFonts w:ascii="Book Antiqua" w:eastAsia="Arial Unicode MS" w:hAnsi="Book Antiqua" w:cs="Times New Roman"/>
          <w:spacing w:val="15"/>
          <w:sz w:val="24"/>
          <w:szCs w:val="24"/>
        </w:rPr>
      </w:pPr>
      <w:r>
        <w:rPr>
          <w:rFonts w:ascii="Book Antiqua" w:eastAsia="Arial Unicode MS" w:hAnsi="Book Antiqua" w:cs="Times New Roman"/>
          <w:spacing w:val="15"/>
          <w:sz w:val="24"/>
          <w:szCs w:val="24"/>
        </w:rPr>
        <w:lastRenderedPageBreak/>
        <w:t>De leur côté, p</w:t>
      </w:r>
      <w:r w:rsidRPr="00003BDC">
        <w:rPr>
          <w:rFonts w:ascii="Book Antiqua" w:eastAsia="Arial Unicode MS" w:hAnsi="Book Antiqua" w:cs="Times New Roman"/>
          <w:spacing w:val="15"/>
          <w:sz w:val="24"/>
          <w:szCs w:val="24"/>
        </w:rPr>
        <w:t>rès de 1,17 millions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(</w:t>
      </w:r>
      <w:r w:rsidRPr="00003BDC">
        <w:rPr>
          <w:rFonts w:ascii="Book Antiqua" w:eastAsia="Arial Unicode MS" w:hAnsi="Book Antiqua" w:cs="Times New Roman"/>
          <w:spacing w:val="15"/>
          <w:sz w:val="24"/>
          <w:szCs w:val="24"/>
        </w:rPr>
        <w:t>62%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)</w:t>
      </w:r>
      <w:r w:rsidRPr="00003BDC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aurai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ent</w:t>
      </w:r>
      <w:r w:rsidRPr="00CE36B5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</w:t>
      </w:r>
      <w:r w:rsidRPr="000B64F0">
        <w:rPr>
          <w:rFonts w:ascii="Book Antiqua" w:eastAsia="Arial Unicode MS" w:hAnsi="Book Antiqua" w:cs="Times New Roman"/>
          <w:spacing w:val="15"/>
          <w:sz w:val="24"/>
          <w:szCs w:val="24"/>
        </w:rPr>
        <w:t>connu une mobilité professionnelle intersectorielle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polarisée, à raison de 83% par 3 secteurs d’activité, </w:t>
      </w:r>
      <w:r w:rsidRPr="00003BDC">
        <w:rPr>
          <w:rFonts w:ascii="Book Antiqua" w:eastAsia="Arial Unicode MS" w:hAnsi="Book Antiqua" w:cs="Times New Roman"/>
          <w:spacing w:val="15"/>
          <w:sz w:val="24"/>
          <w:szCs w:val="24"/>
        </w:rPr>
        <w:t>le secteur primaire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,</w:t>
      </w:r>
      <w:r w:rsidRPr="00003BDC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les « services », et les « BTP »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.</w:t>
      </w:r>
      <w:r w:rsidRPr="00003BDC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Elle aurait amélioré le statut socioprofessionnel de </w:t>
      </w:r>
      <w:r w:rsidRPr="009E340D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42% des personnes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concernées et déclassé </w:t>
      </w:r>
      <w:r w:rsidRPr="009E340D">
        <w:rPr>
          <w:rFonts w:ascii="Book Antiqua" w:eastAsia="Arial Unicode MS" w:hAnsi="Book Antiqua" w:cs="Times New Roman"/>
          <w:spacing w:val="15"/>
          <w:sz w:val="24"/>
          <w:szCs w:val="24"/>
        </w:rPr>
        <w:t>36%. </w:t>
      </w:r>
    </w:p>
    <w:p w:rsidR="00A01439" w:rsidRPr="000C006A" w:rsidRDefault="00A01439" w:rsidP="000C006A">
      <w:pPr>
        <w:spacing w:line="360" w:lineRule="auto"/>
        <w:rPr>
          <w:rFonts w:ascii="Arial Rounded MT Bold" w:eastAsia="Arial Unicode MS" w:hAnsi="Arial Rounded MT Bold" w:cs="Times New Roman"/>
          <w:spacing w:val="15"/>
          <w:sz w:val="26"/>
          <w:szCs w:val="26"/>
        </w:rPr>
      </w:pPr>
      <w:r w:rsidRPr="000C006A">
        <w:rPr>
          <w:rFonts w:ascii="Arial Rounded MT Bold" w:eastAsia="Arial Unicode MS" w:hAnsi="Arial Rounded MT Bold" w:cs="Times New Roman"/>
          <w:spacing w:val="15"/>
          <w:sz w:val="26"/>
          <w:szCs w:val="26"/>
        </w:rPr>
        <w:t xml:space="preserve">Mobilité socioprofessionnelle </w:t>
      </w:r>
    </w:p>
    <w:p w:rsidR="00A01439" w:rsidRDefault="00A01439" w:rsidP="00A01439">
      <w:pPr>
        <w:spacing w:line="360" w:lineRule="auto"/>
        <w:ind w:firstLine="708"/>
        <w:jc w:val="both"/>
        <w:rPr>
          <w:rFonts w:ascii="Book Antiqua" w:eastAsia="Arial Unicode MS" w:hAnsi="Book Antiqua" w:cs="Times New Roman"/>
          <w:spacing w:val="15"/>
          <w:sz w:val="24"/>
          <w:szCs w:val="24"/>
        </w:rPr>
      </w:pPr>
      <w:r w:rsidRPr="000E1293">
        <w:rPr>
          <w:rFonts w:ascii="Book Antiqua" w:eastAsia="Arial Unicode MS" w:hAnsi="Book Antiqua" w:cs="Times New Roman"/>
          <w:spacing w:val="15"/>
          <w:sz w:val="24"/>
          <w:szCs w:val="24"/>
        </w:rPr>
        <w:t>Globale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ment,</w:t>
      </w:r>
      <w:r w:rsidRPr="000E1293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l</w:t>
      </w:r>
      <w:r w:rsidRPr="000E1293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a mobilité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dans le marché du travail </w:t>
      </w:r>
      <w:r w:rsidRPr="000E1293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aurait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amélioré le statut professionnel de </w:t>
      </w:r>
      <w:r w:rsidRPr="000E1293">
        <w:rPr>
          <w:rFonts w:ascii="Book Antiqua" w:eastAsia="Arial Unicode MS" w:hAnsi="Book Antiqua" w:cs="Times New Roman"/>
          <w:spacing w:val="15"/>
          <w:sz w:val="24"/>
          <w:szCs w:val="24"/>
        </w:rPr>
        <w:t>42%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de la population active ayant contribué à cette mobilité et déclassé 34%. </w:t>
      </w:r>
    </w:p>
    <w:p w:rsidR="00A01439" w:rsidRPr="000E1293" w:rsidRDefault="00A01439" w:rsidP="00A01439">
      <w:pPr>
        <w:spacing w:line="360" w:lineRule="auto"/>
        <w:ind w:firstLine="708"/>
        <w:jc w:val="both"/>
        <w:rPr>
          <w:rFonts w:ascii="Book Antiqua" w:eastAsia="Arial Unicode MS" w:hAnsi="Book Antiqua" w:cs="Times New Roman"/>
          <w:spacing w:val="15"/>
          <w:sz w:val="24"/>
          <w:szCs w:val="24"/>
        </w:rPr>
      </w:pP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Parmi cette population, </w:t>
      </w:r>
      <w:r w:rsidRPr="000E1293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46%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des</w:t>
      </w:r>
      <w:r w:rsidRPr="000E1293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« ouvriers et artisans qualifiés », 27%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des</w:t>
      </w:r>
      <w:r w:rsidRPr="000E1293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« cadres moyens et employés » et 14%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des</w:t>
      </w:r>
      <w:r w:rsidRPr="000E1293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« </w:t>
      </w:r>
      <w:r w:rsidRPr="000E1293">
        <w:rPr>
          <w:rFonts w:ascii="Book Antiqua" w:eastAsia="Arial Unicode MS" w:hAnsi="Book Antiqua" w:cs="Times New Roman"/>
          <w:spacing w:val="15"/>
          <w:sz w:val="24"/>
          <w:szCs w:val="24"/>
        </w:rPr>
        <w:t>exploitants agricoles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 » auraient participé de cette </w:t>
      </w:r>
      <w:r w:rsidRPr="000E1293">
        <w:rPr>
          <w:rFonts w:ascii="Book Antiqua" w:eastAsia="Arial Unicode MS" w:hAnsi="Book Antiqua" w:cs="Times New Roman"/>
          <w:spacing w:val="15"/>
          <w:sz w:val="24"/>
          <w:szCs w:val="24"/>
        </w:rPr>
        <w:t>mobilité ascendante.</w:t>
      </w:r>
    </w:p>
    <w:p w:rsidR="00A01439" w:rsidRDefault="00A01439" w:rsidP="00A01439">
      <w:pPr>
        <w:spacing w:line="360" w:lineRule="auto"/>
        <w:ind w:firstLine="708"/>
        <w:jc w:val="both"/>
        <w:rPr>
          <w:rFonts w:ascii="Book Antiqua" w:eastAsia="Arial Unicode MS" w:hAnsi="Book Antiqua" w:cs="Times New Roman"/>
          <w:spacing w:val="15"/>
          <w:sz w:val="24"/>
          <w:szCs w:val="24"/>
        </w:rPr>
      </w:pPr>
      <w:r w:rsidRPr="004D06B1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En revanche,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la</w:t>
      </w:r>
      <w:r w:rsidRPr="004D06B1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mobilité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descendante </w:t>
      </w:r>
      <w:r w:rsidRPr="004D06B1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globale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aurait affecté </w:t>
      </w:r>
      <w:r w:rsidRPr="004D06B1">
        <w:rPr>
          <w:rFonts w:ascii="Book Antiqua" w:eastAsia="Arial Unicode MS" w:hAnsi="Book Antiqua" w:cs="Times New Roman"/>
          <w:spacing w:val="15"/>
          <w:sz w:val="24"/>
          <w:szCs w:val="24"/>
        </w:rPr>
        <w:t>à concurrence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</w:t>
      </w:r>
      <w:r w:rsidRPr="004D06B1">
        <w:rPr>
          <w:rFonts w:ascii="Book Antiqua" w:eastAsia="Arial Unicode MS" w:hAnsi="Book Antiqua" w:cs="Times New Roman"/>
          <w:spacing w:val="15"/>
          <w:sz w:val="24"/>
          <w:szCs w:val="24"/>
        </w:rPr>
        <w:t>de 74%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la position</w:t>
      </w:r>
      <w:r w:rsidRPr="004D06B1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d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es </w:t>
      </w:r>
      <w:r w:rsidRPr="004D06B1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« ouvriers et manœuvres non qualifiés » et 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de 15% celle des </w:t>
      </w:r>
      <w:r w:rsidRPr="004D06B1">
        <w:rPr>
          <w:rFonts w:ascii="Book Antiqua" w:eastAsia="Arial Unicode MS" w:hAnsi="Book Antiqua" w:cs="Times New Roman"/>
          <w:spacing w:val="15"/>
          <w:sz w:val="24"/>
          <w:szCs w:val="24"/>
        </w:rPr>
        <w:t>«ouvriers et artisans qualifiés »</w:t>
      </w:r>
      <w:r>
        <w:rPr>
          <w:rFonts w:ascii="Book Antiqua" w:eastAsia="Arial Unicode MS" w:hAnsi="Book Antiqua" w:cs="Times New Roman"/>
          <w:spacing w:val="15"/>
          <w:sz w:val="24"/>
          <w:szCs w:val="24"/>
        </w:rPr>
        <w:t>.</w:t>
      </w:r>
      <w:r w:rsidRPr="004D06B1">
        <w:rPr>
          <w:rFonts w:ascii="Book Antiqua" w:eastAsia="Arial Unicode MS" w:hAnsi="Book Antiqua" w:cs="Times New Roman"/>
          <w:spacing w:val="15"/>
          <w:sz w:val="24"/>
          <w:szCs w:val="24"/>
        </w:rPr>
        <w:t xml:space="preserve"> </w:t>
      </w:r>
    </w:p>
    <w:p w:rsidR="00B53DCB" w:rsidRDefault="00B53DCB"/>
    <w:sectPr w:rsidR="00B53DCB" w:rsidSect="00B53D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A01439"/>
    <w:rsid w:val="000C006A"/>
    <w:rsid w:val="004A2119"/>
    <w:rsid w:val="004D3759"/>
    <w:rsid w:val="004E2F5D"/>
    <w:rsid w:val="00A01439"/>
    <w:rsid w:val="00A645BC"/>
    <w:rsid w:val="00B53DCB"/>
    <w:rsid w:val="00C54A53"/>
    <w:rsid w:val="00ED71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1439"/>
    <w:rPr>
      <w:rFonts w:ascii="Calibri" w:eastAsia="Calibri" w:hAnsi="Calibri" w:cs="Ari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381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</dc:creator>
  <cp:lastModifiedBy> </cp:lastModifiedBy>
  <cp:revision>2</cp:revision>
  <cp:lastPrinted>2015-11-26T10:31:00Z</cp:lastPrinted>
  <dcterms:created xsi:type="dcterms:W3CDTF">2015-12-02T18:26:00Z</dcterms:created>
  <dcterms:modified xsi:type="dcterms:W3CDTF">2015-12-02T18:26:00Z</dcterms:modified>
</cp:coreProperties>
</file>