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46" w:rsidRPr="00C03106" w:rsidRDefault="00616246" w:rsidP="00616246">
      <w:pPr>
        <w:bidi/>
        <w:spacing w:after="0" w:line="312" w:lineRule="auto"/>
        <w:contextualSpacing/>
        <w:rPr>
          <w:rFonts w:cs="Simplified Arabic"/>
          <w:b/>
          <w:bCs/>
          <w:sz w:val="32"/>
          <w:szCs w:val="32"/>
        </w:rPr>
      </w:pPr>
      <w:r w:rsidRPr="00C03106">
        <w:rPr>
          <w:rFonts w:cs="Simplified Arabic"/>
          <w:b/>
          <w:bCs/>
          <w:sz w:val="32"/>
          <w:szCs w:val="32"/>
          <w:rtl/>
        </w:rPr>
        <w:t>المملكة المغربية</w:t>
      </w:r>
    </w:p>
    <w:p w:rsidR="00616246" w:rsidRPr="00C03106" w:rsidRDefault="00616246" w:rsidP="00616246">
      <w:pPr>
        <w:bidi/>
        <w:spacing w:after="0" w:line="312" w:lineRule="auto"/>
        <w:contextualSpacing/>
        <w:rPr>
          <w:rFonts w:cs="Simplified Arabic"/>
          <w:b/>
          <w:bCs/>
          <w:sz w:val="32"/>
          <w:szCs w:val="32"/>
        </w:rPr>
      </w:pPr>
      <w:r w:rsidRPr="00C03106">
        <w:rPr>
          <w:rFonts w:cs="Simplified Arabic"/>
          <w:b/>
          <w:bCs/>
          <w:sz w:val="32"/>
          <w:szCs w:val="32"/>
          <w:rtl/>
          <w:lang w:bidi="ar-MA"/>
        </w:rPr>
        <w:t>المندوبية السامية</w:t>
      </w:r>
      <w:r w:rsidRPr="00C03106">
        <w:rPr>
          <w:rFonts w:cs="Simplified Arabic"/>
          <w:b/>
          <w:bCs/>
          <w:sz w:val="32"/>
          <w:szCs w:val="32"/>
          <w:rtl/>
        </w:rPr>
        <w:t xml:space="preserve"> للتخطيط</w:t>
      </w:r>
    </w:p>
    <w:p w:rsidR="00616246" w:rsidRDefault="00B076EE" w:rsidP="00616246">
      <w:pPr>
        <w:bidi/>
        <w:spacing w:line="312" w:lineRule="auto"/>
        <w:jc w:val="center"/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</w:rPr>
      </w:pPr>
      <w:r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</w:rPr>
        <w:t xml:space="preserve">      </w:t>
      </w:r>
    </w:p>
    <w:p w:rsidR="00C916F9" w:rsidRPr="0069494E" w:rsidRDefault="00616246" w:rsidP="00616246">
      <w:pPr>
        <w:bidi/>
        <w:spacing w:line="312" w:lineRule="auto"/>
        <w:jc w:val="center"/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>
        <w:rPr>
          <w:rStyle w:val="hps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ملخص </w:t>
      </w:r>
      <w:r w:rsidRPr="0069494E"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قياس</w:t>
      </w:r>
      <w:r w:rsidRPr="0069494E">
        <w:rPr>
          <w:rStyle w:val="shorttext"/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Pr="0069494E">
        <w:rPr>
          <w:rStyle w:val="shorttext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</w:t>
      </w:r>
      <w:r w:rsidRPr="0069494E"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رأس</w:t>
      </w:r>
      <w:r w:rsidRPr="0069494E">
        <w:rPr>
          <w:rStyle w:val="hps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مال </w:t>
      </w:r>
      <w:r w:rsidRPr="0069494E"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69494E">
        <w:rPr>
          <w:rStyle w:val="hps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البشري </w:t>
      </w:r>
      <w:r>
        <w:rPr>
          <w:rStyle w:val="hps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ل</w:t>
      </w:r>
      <w:r w:rsidRPr="0069494E"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لمغرب</w:t>
      </w:r>
    </w:p>
    <w:p w:rsidR="00DA1B82" w:rsidRDefault="00DA1B82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</w:p>
    <w:p w:rsidR="00AF5657" w:rsidRPr="0069494E" w:rsidRDefault="006534CB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لقد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تم 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اعتماد في 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هذه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الدراسة 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على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مقاربتي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ن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تحليل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مال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البشري.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ترتكز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المقاربة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أول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ى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 حساب مؤشر الرأسمال البشري الذي يمكن من قياس قيمته النقدية وفق منهجية البنك الدولي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</w:t>
      </w:r>
      <w:r w:rsidR="0069494E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كاسيلي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</w:rPr>
        <w:t>2005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)</w:t>
      </w:r>
      <w:r w:rsidR="002A49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عدد سنوات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تمدرس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والمردودية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الاقتصادي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 لل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رأسمال البشري و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بقاء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على قيد الحياة 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لأفراد في سن 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الشغل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'15 - 59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'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أما المقاربة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الثانية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 فهي ت</w:t>
      </w:r>
      <w:r w:rsidR="00DA1B82">
        <w:rPr>
          <w:rFonts w:ascii="Times New Roman" w:hAnsi="Times New Roman" w:cs="Times New Roman" w:hint="cs"/>
          <w:color w:val="222222"/>
          <w:sz w:val="32"/>
          <w:szCs w:val="32"/>
          <w:rtl/>
        </w:rPr>
        <w:t>تناول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مال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البشري من حيث المخزون، و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منحى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التطور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التوزيع الاجتماعي،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إد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ماج و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تجرب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ة المهنية، والحر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كية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الاجتماعي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وال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تعليمية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والفوارق</w:t>
      </w:r>
      <w:r w:rsidR="0013301C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الاجتماعية والاستثمار، وذ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لك اعتمادا 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مؤشرات ذات البعد الواحد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97E99">
        <w:rPr>
          <w:rFonts w:ascii="Times New Roman" w:hAnsi="Times New Roman" w:cs="Times New Roman" w:hint="cs"/>
          <w:color w:val="222222"/>
          <w:sz w:val="32"/>
          <w:szCs w:val="32"/>
          <w:rtl/>
        </w:rPr>
        <w:t>كما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تم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</w:t>
      </w:r>
      <w:r w:rsidR="00797E99">
        <w:rPr>
          <w:rFonts w:ascii="Times New Roman" w:hAnsi="Times New Roman" w:cs="Times New Roman" w:hint="cs"/>
          <w:color w:val="222222"/>
          <w:sz w:val="32"/>
          <w:szCs w:val="32"/>
          <w:rtl/>
        </w:rPr>
        <w:t>نتقاؤها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من طرف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منظمة التعاون والتنمية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الاقتصادية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DB428D" w:rsidRPr="0069494E" w:rsidRDefault="0016510C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حسب مقاربة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البنك الدولي،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يتم حساب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مؤشر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رأسمال البشري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بدلالة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عدد سنوات ت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مدرس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الأشخاص النشيطين المشتغلين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مردودية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لاقتصادي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لرأسمال البشري و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بقاء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على قيد الحياة لل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أفراد في سن العمل '15 - 59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وهو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المؤشر الذي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يتم اعتماده لقياس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القيمة النقدية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لرأسمال البشري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المغرب.</w:t>
      </w:r>
    </w:p>
    <w:p w:rsidR="00AF5657" w:rsidRPr="0069494E" w:rsidRDefault="0016510C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طبقا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هذه المنهجية، بلغ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مؤشر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رأسمال البشري 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983 في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2013. 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حيث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سجل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ارتف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ع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بنسبة 15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8٪ بين 1991 و2013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وبنسبة 4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1٪ بين 1991 و1999،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منتقلا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576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إلى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681 و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بنسبة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11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3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٪ بين 1999 و2013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منتقلا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681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إلى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983. وهكذا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</w:t>
      </w:r>
      <w:r w:rsidR="00A406C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ف</w:t>
      </w:r>
      <w:r w:rsidR="00A406C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ما يق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406C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رب من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ثلاث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أرباع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منه الزيادة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(74.0٪) 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قد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تمت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ين 1999 و2013.</w:t>
      </w:r>
    </w:p>
    <w:p w:rsidR="00772DF6" w:rsidRPr="0069494E" w:rsidRDefault="00772DF6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إلا أن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هذا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المؤشر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الذي اعتمده البنك الدولي لا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يأخذ بعين الاعتبار كل أوجه المردودية لل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استثمار في التعليم والت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كوين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تجربة المهنية </w:t>
      </w:r>
      <w:r w:rsidR="00797E99">
        <w:rPr>
          <w:rFonts w:ascii="Times New Roman" w:hAnsi="Times New Roman" w:cs="Times New Roman"/>
          <w:color w:val="222222"/>
          <w:sz w:val="32"/>
          <w:szCs w:val="32"/>
          <w:rtl/>
        </w:rPr>
        <w:t>والصحة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97E99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هناك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ثلاث مؤشرات أساسية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تمكن من التعبير عن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مخزون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مال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لبشري و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تطوره: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</w:p>
    <w:p w:rsidR="00AC2CE4" w:rsidRDefault="00AC2CE4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</w:p>
    <w:p w:rsidR="0016510C" w:rsidRPr="0069494E" w:rsidRDefault="00772DF6" w:rsidP="00AC2CE4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lastRenderedPageBreak/>
        <w:t xml:space="preserve">عل مستوى 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تربية والتكوين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،</w:t>
      </w:r>
    </w:p>
    <w:p w:rsidR="00AF5657" w:rsidRPr="0069494E" w:rsidRDefault="00AF5657" w:rsidP="00D148A8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تصل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نسبة السكان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>البالغة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أعمارهم 25 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 فما ف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ق </w:t>
      </w:r>
      <w:r w:rsidR="00D148A8">
        <w:rPr>
          <w:rFonts w:ascii="Times New Roman" w:hAnsi="Times New Roman" w:cs="Times New Roman" w:hint="cs"/>
          <w:color w:val="222222"/>
          <w:sz w:val="32"/>
          <w:szCs w:val="32"/>
          <w:rtl/>
        </w:rPr>
        <w:t>والذين يتوفرون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على مستوى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تعليم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إعدادي أو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ثانوي أو </w:t>
      </w:r>
      <w:r w:rsidR="00772DF6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جامعي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29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9٪ في 2013. وعلى الرغم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مما عرفته هذه </w:t>
      </w:r>
      <w:r w:rsidR="00F845B8">
        <w:rPr>
          <w:rFonts w:ascii="Times New Roman" w:hAnsi="Times New Roman" w:cs="Times New Roman" w:hint="cs"/>
          <w:color w:val="222222"/>
          <w:sz w:val="32"/>
          <w:szCs w:val="32"/>
          <w:rtl/>
        </w:rPr>
        <w:t>النسبة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من زيادة قدرها 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37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2٪ بين 1999 و2013، فإن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ها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لا 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زال أقل من متوسط 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لبلدان 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ذات مستوى متوسط في التنمية البشرية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(47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5٪) وأقل بكثير من المتوسط ​​العالمي (63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6٪).</w:t>
      </w:r>
    </w:p>
    <w:p w:rsidR="000B145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وعلاوة على ذلك،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فقد ارتفع العدد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متوسط ​​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سنوات الدراسة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لدى النشيط المشتغل ب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أكثر من النصف (59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3٪) خلال العقدين الماضيين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منتقلا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من 3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 في 1991 إلى 5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2013. و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لسكان الذين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تبلغ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أعمارهم 25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أكثر،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يصل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متوسط ​​عدد سنوات الدراسة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إلى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4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3 سنوات.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حين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يصل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هذا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المعدل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إلى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7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7 سنوات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على الصعيد </w:t>
      </w:r>
      <w:r w:rsidR="00F4485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العالمي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 إلى </w:t>
      </w:r>
      <w:r w:rsidR="00F4485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4</w:t>
      </w:r>
      <w:r w:rsidR="00F4485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F4485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 سنوات</w:t>
      </w:r>
      <w:r w:rsidR="00F4485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البلدان ذات تنمية بشرية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ضعيفة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وإلى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0B14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5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0B14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5 سنوات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ب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البلدان ذات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تنمية بشرية متوسطة.</w:t>
      </w:r>
    </w:p>
    <w:p w:rsidR="0016510C" w:rsidRPr="0069494E" w:rsidRDefault="00E12F98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بخصوص 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الصحة،</w:t>
      </w:r>
    </w:p>
    <w:p w:rsidR="007B3C8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فقد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بلغ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معدل البقاء على قيد الحياة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لسكان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المتراوحة أعمارهم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بين 15 و 59 سنة 920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ألف في 2013. و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ارتفع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بنسبة 9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6٪ بين 1988 و2010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 وهما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سن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المرجعي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تين للبحثين الديموغرافيين المتكرري الزيارات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هو</w:t>
      </w:r>
      <w:r w:rsidR="007B3C8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معدل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، على عكس مؤشرات الت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ربية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مماثل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متوسط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لبلدان ذات تنمية بشرية مرتفعة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حيث </w:t>
      </w:r>
      <w:r w:rsidR="007B3C8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بلغ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7B3C8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معدل البقاء على قيد الحياة  </w:t>
      </w:r>
      <w:r w:rsidR="007B3C8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ها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880 لكل ألف في 2011.</w:t>
      </w:r>
    </w:p>
    <w:p w:rsidR="0016510C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من حيث الاستثمار في </w:t>
      </w:r>
      <w:r w:rsidR="00780AF9"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رأسمال البشري،</w:t>
      </w:r>
    </w:p>
    <w:p w:rsidR="00097DB4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فقد تضاعفت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الميزانية المخصصة لقطاع التعليم الع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مومي </w:t>
      </w:r>
      <w:r w:rsidR="00AE285C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تقريبا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ثلاث مرات (2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9 مرة) بين 1999 و2013 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وهو نفس الارتفاع</w:t>
      </w:r>
      <w:r w:rsidR="00610B15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تقريبا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الذي عرفته الميزانية المخصصة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له من طرف </w:t>
      </w:r>
      <w:r w:rsidR="003B38D6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لأسر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(2.7 مرة). </w:t>
      </w:r>
      <w:r w:rsidR="00610B15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مما أدى إلى ارتفاع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وزن نفق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الأسر على الت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ربية والتكوين</w:t>
      </w:r>
      <w:r w:rsidR="00610B15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في</w:t>
      </w:r>
      <w:r w:rsidR="00610B15" w:rsidRPr="00610B15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610B15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التكلفة الإجمالية للت</w:t>
      </w:r>
      <w:r w:rsidR="00610B15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ربية</w:t>
      </w:r>
      <w:r w:rsidR="00610B15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من 16.0٪ إلى 25.1٪ .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إلا أن هذا الارتفاع في نفقات التربية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لم ي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واكبه تطور مماثل في عدد المتمدرسين الذي تضاعف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1.4 مر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ة بين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1999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و2013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وهذا يعني أن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تكلفة الت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ربوية للتلميذ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قد ازداد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بشكل ملحوظ خلال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هذه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الفترة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حيث تضاعفت أ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كثر من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مرتين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(2.4 مرة)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منتقلة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من 5088 إلى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12062درهم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90D2A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للتلميذ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الواحد سنويا.</w:t>
      </w:r>
    </w:p>
    <w:p w:rsidR="00097DB4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وهكذا،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فإن وتيرة تطور مؤشرات النتائج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في مجال الت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ربية والتكوين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بين 1999 و 2013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تظل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أقل بكثير من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وتيرة تطور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مؤشرات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المدخلات مثل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نفق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العم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ومية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و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نفقات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الأسر.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lastRenderedPageBreak/>
        <w:t xml:space="preserve">وهذا يدل على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أن مردودية الاستثمار في التربية، في ظل 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نظ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التعليمي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الحالي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لا تواكب الارتفاع الحاصل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في النفق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العم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ومية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في هذا المجال.</w:t>
      </w:r>
    </w:p>
    <w:p w:rsidR="0016510C" w:rsidRPr="0069494E" w:rsidRDefault="007B2496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في ما يتعلق ب</w:t>
      </w:r>
      <w:r w:rsidR="0016510C"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مردودية </w:t>
      </w: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رأسمال البشري،</w:t>
      </w:r>
    </w:p>
    <w:p w:rsidR="00AF565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الاستثمار في الت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ربية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والت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كوين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له آثار ليس فقط على دخل الأفراد وفرص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إ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دماج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هم المهني،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بل 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ساهم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أيضا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بشكل كبير في تطوير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أبعاد أخرى 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لتماسك الاجتماعي مثل الحرك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الاجتماعي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والتعليمي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وال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إنصاف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وتكافؤ الفرص.</w:t>
      </w:r>
    </w:p>
    <w:p w:rsidR="00AF565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هكذا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فإن الاستثمار في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رأسمال البشري ي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رفع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من دخل الس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كن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ة النشيطة المشتغلة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بما في ذلك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فئة المأجورين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مع 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حسين إمكاناتها الإنتاجية و</w:t>
      </w:r>
      <w:r w:rsidR="00A452F6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إنتاجي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تها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في 2013،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بلغ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متوسط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دخل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لدى أجير يتوفر على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دراسي ابتدائي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نصف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متوسط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الراتب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الذي يتقاضاه أجير له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دراسي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ثانوي. و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يفوق دخل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هذا الأخير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بنسبة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40٪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دخل أجير له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إعدادي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وأخيرا،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يمكن </w:t>
      </w:r>
      <w:r w:rsidR="003B38D6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لأجير ذي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تعليمي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ع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الي من الحصول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في المتوسط،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على أجر يضاعف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مرتين تقريبا (1.8 مرة)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ما يتقاضاه أجير له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تعليمي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ثانوي.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وفي المتوسط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تمكن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زيادة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سنة واحدة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في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عدد سنوات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مدرس من </w:t>
      </w:r>
      <w:r w:rsidR="005F2F70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تحسين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دخل الأجير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بنسبة 9.6٪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.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وتت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حسن هذ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 المردودية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مستوى ال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تعليمي، حيث تبلغ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0.8٪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لكل سنة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التعليم الابتدائي و2.4٪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 الإعدادي 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9.6٪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الثانوي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و11.0٪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 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لتعليم العالي.</w:t>
      </w:r>
    </w:p>
    <w:p w:rsidR="0016510C" w:rsidRPr="0069494E" w:rsidRDefault="00E13EAC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على مستوى الإدماج المهني،</w:t>
      </w:r>
    </w:p>
    <w:p w:rsidR="00FA3FA8" w:rsidRPr="0069494E" w:rsidRDefault="00E13EAC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16510C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تكون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لزيادة في عدد سنوات الدراسة مصحوبة بزيادة في 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شغل الناقص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والبطالة ومدته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وذلك إلى حدود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12 سن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ة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الدراسة. و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بعد ذلك، ابتداء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13 سن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ة في الدراسة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تتحسن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فرص 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شغل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ارتفاع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عدد سنوات الت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مدرس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في 2013،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انتقل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معدل البطالة من 2.3٪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بالنسبة للأفراد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الذين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لا يتوفرون على أي مستوى تعليمي إ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لى 18.2٪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بالنسبة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لمن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تتراوح مدة دراستهم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10 إلى 12 سنة.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في حين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 يتجه هذا المعدل نحو الا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نخف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ض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ليصل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​​إلى 16.9٪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بالنسبة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للفترة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دراسية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بين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17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و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19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وهو نفس منحى التطور الذي يعرفه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معدل 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شغل الناقص.</w:t>
      </w:r>
    </w:p>
    <w:p w:rsidR="00FA3FA8" w:rsidRPr="0069494E" w:rsidRDefault="00FA3FA8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على مستوى 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تكافؤ الفرص والحرك</w:t>
      </w: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ية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الاجتماعي</w:t>
      </w: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ة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،</w:t>
      </w:r>
      <w:r w:rsidR="00AF5657"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</w:p>
    <w:p w:rsidR="00AF5657" w:rsidRPr="0069494E" w:rsidRDefault="00FA3FA8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يساهم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لاستثمار في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رأسمال البشري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بشكل كبير في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تحس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 الحرك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التعليمي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بين الأجيال. في 2011،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تنتقل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فرص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لوصول إلى مستوى التعليم الثانوي أو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العالي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من 11.7٪ بالنسبة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lastRenderedPageBreak/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لأ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فراد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الذين لم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يتردد آباؤهم نهائيا 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المدرسة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89.6٪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لذين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يتوفر آباؤهم 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تعليمي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ع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AF5657" w:rsidRPr="0069494E" w:rsidRDefault="00165E1E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إن نتائج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هذ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 المعاينة تكتسي أهمية بالغة، لاسيما وأن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الت</w:t>
      </w:r>
      <w:r w:rsidR="00A454E7">
        <w:rPr>
          <w:rFonts w:ascii="Times New Roman" w:hAnsi="Times New Roman" w:cs="Times New Roman" w:hint="cs"/>
          <w:color w:val="222222"/>
          <w:sz w:val="32"/>
          <w:szCs w:val="32"/>
          <w:rtl/>
        </w:rPr>
        <w:t>عليم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تجربة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لم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هنية تشكلان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عامل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ين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حاسم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في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الارتقاء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الاجتماعي.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ذلك أن الحظوظ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التي يتوفر عليها شخص نشيط له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التعليم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الأساسي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لبلوغ مكانة اجتماعية أفضل من أبيه تفوق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بأزيد من مرة ونصف (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1.6 مرة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)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نظيره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"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بدون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دراسي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". </w:t>
      </w:r>
      <w:r w:rsidR="00A454E7">
        <w:rPr>
          <w:rFonts w:ascii="Times New Roman" w:hAnsi="Times New Roman" w:cs="Times New Roman" w:hint="cs"/>
          <w:color w:val="222222"/>
          <w:sz w:val="32"/>
          <w:szCs w:val="32"/>
          <w:rtl/>
        </w:rPr>
        <w:t>ويرتفع مستوى منه الحضوض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إلى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4.6 مر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ات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بالنسبة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لمستوى التعليم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الثانوي و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إلى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16.2 مرة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="00976711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لمستوى التعليم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976711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العالي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F10052" w:rsidRPr="0069494E" w:rsidRDefault="004B5FC3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باختصار،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يمكن الارتفاع ب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سنة واحدة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عدد سنوات الدراسة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من ت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حس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 فرص 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ارتقاء الاجتماعي بنسبة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13.7٪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 في الوقت الذي تساهم الزيادة ب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سنة واحدة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التجربة المهنية في تعزيز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فرص الحرك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الاجتماعي التصاعدي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بنسبة 12٪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  <w:r w:rsidR="00AF56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 </w:t>
      </w:r>
    </w:p>
    <w:p w:rsidR="00FC4098" w:rsidRPr="0069494E" w:rsidRDefault="00FC4098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الفوارق الاجتماعية في مخزون الرأسمال البشري وتوزيعه الاجتماعي،</w:t>
      </w:r>
    </w:p>
    <w:p w:rsidR="00AF5657" w:rsidRPr="0069494E" w:rsidRDefault="00FC4098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إن 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توزيع الاجتماعي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لرأسمال البشري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المعبر عنه ب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عدد سنوات الدراسة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لدى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اكنة البالغة أعماره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25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سنة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فما فوق، يتسم بفوارق اجتماعية أك</w:t>
      </w:r>
      <w:r w:rsidR="00A454E7">
        <w:rPr>
          <w:rFonts w:ascii="Times New Roman" w:hAnsi="Times New Roman" w:cs="Times New Roman" w:hint="cs"/>
          <w:color w:val="222222"/>
          <w:sz w:val="32"/>
          <w:szCs w:val="32"/>
          <w:rtl/>
        </w:rPr>
        <w:t>ب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 من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دخل الأسرة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قيمة مؤشر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جيني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هي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0.6327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و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0.4679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على التوالي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)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.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ويستحوذ السكان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الحضري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ون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(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حوالي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60٪ من السكان)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على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83.4٪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من 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رأسمال البشري  والرجال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60٪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منه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AF565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</w:t>
      </w:r>
      <w:r w:rsidR="00F31EE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خلال الفترة الممتدة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بين 1999 و2013، </w:t>
      </w:r>
      <w:r w:rsidR="00F31EE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عرف متوسط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​​عدد سنوات ال</w:t>
      </w:r>
      <w:r w:rsidR="00F31EE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دراسة ارتفاعا بنسبة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31.4٪ على الصعيد الوطني. وق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 سجل أعلى ارتفاع له في صفوف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الشبا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 المتراوحة أعمارهم بين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15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29 سنة (35.2٪)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النساء (48.2٪) و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ساكنة العالم القروي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(54.8٪)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فيما بلغت نسبة الارتفاع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23.8٪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لرجال و23.2٪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للساكنة بالوسط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حضر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وهذا يعني أن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النساء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ساكنة العالم القروي تشكل مصدر إمكانات مهمة لمراكمة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</w:t>
      </w:r>
      <w:r w:rsidR="00471971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مال البشري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وبالتالي تعزيز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رأسمال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غير المادي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لبلاد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نا،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مما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يمكن من الحد أكثر من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التفاوت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في مستويات الت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ربية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sectPr w:rsidR="00AF5657" w:rsidRPr="0069494E" w:rsidSect="00C916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32" w:rsidRDefault="00F80432" w:rsidP="00B7516D">
      <w:pPr>
        <w:spacing w:after="0" w:line="240" w:lineRule="auto"/>
      </w:pPr>
      <w:r>
        <w:separator/>
      </w:r>
    </w:p>
  </w:endnote>
  <w:endnote w:type="continuationSeparator" w:id="1">
    <w:p w:rsidR="00F80432" w:rsidRDefault="00F80432" w:rsidP="00B7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4E" w:rsidRDefault="008A7C4B">
    <w:pPr>
      <w:pStyle w:val="Pieddepage"/>
      <w:jc w:val="center"/>
    </w:pPr>
    <w:fldSimple w:instr=" PAGE   \* MERGEFORMAT ">
      <w:r w:rsidR="00B076EE">
        <w:rPr>
          <w:noProof/>
        </w:rPr>
        <w:t>2</w:t>
      </w:r>
    </w:fldSimple>
  </w:p>
  <w:p w:rsidR="0069494E" w:rsidRDefault="006949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32" w:rsidRDefault="00F80432" w:rsidP="00B7516D">
      <w:pPr>
        <w:spacing w:after="0" w:line="240" w:lineRule="auto"/>
      </w:pPr>
      <w:r>
        <w:separator/>
      </w:r>
    </w:p>
  </w:footnote>
  <w:footnote w:type="continuationSeparator" w:id="1">
    <w:p w:rsidR="00F80432" w:rsidRDefault="00F80432" w:rsidP="00B75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657"/>
    <w:rsid w:val="00042EBC"/>
    <w:rsid w:val="00086EFC"/>
    <w:rsid w:val="00097DB4"/>
    <w:rsid w:val="000B1457"/>
    <w:rsid w:val="000C1CD0"/>
    <w:rsid w:val="000D4BB1"/>
    <w:rsid w:val="001000D3"/>
    <w:rsid w:val="0013301C"/>
    <w:rsid w:val="001521A1"/>
    <w:rsid w:val="0016510C"/>
    <w:rsid w:val="00165E1E"/>
    <w:rsid w:val="001C2477"/>
    <w:rsid w:val="00224AD6"/>
    <w:rsid w:val="00257DD6"/>
    <w:rsid w:val="00265667"/>
    <w:rsid w:val="002A4957"/>
    <w:rsid w:val="0032782B"/>
    <w:rsid w:val="003B366D"/>
    <w:rsid w:val="003B38D6"/>
    <w:rsid w:val="00407BDB"/>
    <w:rsid w:val="00471971"/>
    <w:rsid w:val="004B5FC3"/>
    <w:rsid w:val="004F3E21"/>
    <w:rsid w:val="004F51A9"/>
    <w:rsid w:val="00504DC2"/>
    <w:rsid w:val="00514A09"/>
    <w:rsid w:val="00527BE3"/>
    <w:rsid w:val="005D6C3A"/>
    <w:rsid w:val="005E2CE1"/>
    <w:rsid w:val="005F2F70"/>
    <w:rsid w:val="00610B15"/>
    <w:rsid w:val="00616246"/>
    <w:rsid w:val="00624528"/>
    <w:rsid w:val="006534CB"/>
    <w:rsid w:val="0065625C"/>
    <w:rsid w:val="0069494E"/>
    <w:rsid w:val="006F2283"/>
    <w:rsid w:val="00707863"/>
    <w:rsid w:val="00772DF6"/>
    <w:rsid w:val="00780AF9"/>
    <w:rsid w:val="00783CCB"/>
    <w:rsid w:val="00790D2A"/>
    <w:rsid w:val="00797E99"/>
    <w:rsid w:val="007B2496"/>
    <w:rsid w:val="007B3C87"/>
    <w:rsid w:val="00807CF8"/>
    <w:rsid w:val="008438F8"/>
    <w:rsid w:val="008534C3"/>
    <w:rsid w:val="008754C7"/>
    <w:rsid w:val="008A7C4B"/>
    <w:rsid w:val="009351A3"/>
    <w:rsid w:val="009379C3"/>
    <w:rsid w:val="00976711"/>
    <w:rsid w:val="009A6777"/>
    <w:rsid w:val="009A71A8"/>
    <w:rsid w:val="009A71C3"/>
    <w:rsid w:val="00A406CD"/>
    <w:rsid w:val="00A452F6"/>
    <w:rsid w:val="00A454E7"/>
    <w:rsid w:val="00AC2CE4"/>
    <w:rsid w:val="00AC7CBE"/>
    <w:rsid w:val="00AE285C"/>
    <w:rsid w:val="00AF5657"/>
    <w:rsid w:val="00B076EE"/>
    <w:rsid w:val="00B47DE1"/>
    <w:rsid w:val="00B53A42"/>
    <w:rsid w:val="00B53CF3"/>
    <w:rsid w:val="00B7516D"/>
    <w:rsid w:val="00C72F51"/>
    <w:rsid w:val="00C916F9"/>
    <w:rsid w:val="00C95A44"/>
    <w:rsid w:val="00CD2A6C"/>
    <w:rsid w:val="00CF19B8"/>
    <w:rsid w:val="00D13A29"/>
    <w:rsid w:val="00D148A8"/>
    <w:rsid w:val="00D27D72"/>
    <w:rsid w:val="00D91154"/>
    <w:rsid w:val="00DA1B82"/>
    <w:rsid w:val="00DB428D"/>
    <w:rsid w:val="00DD0990"/>
    <w:rsid w:val="00DD4ACA"/>
    <w:rsid w:val="00DE2749"/>
    <w:rsid w:val="00E12F98"/>
    <w:rsid w:val="00E13EAC"/>
    <w:rsid w:val="00EF0BCD"/>
    <w:rsid w:val="00F10052"/>
    <w:rsid w:val="00F31EED"/>
    <w:rsid w:val="00F4485D"/>
    <w:rsid w:val="00F764E4"/>
    <w:rsid w:val="00F80432"/>
    <w:rsid w:val="00F845B8"/>
    <w:rsid w:val="00FA3FA8"/>
    <w:rsid w:val="00FC4098"/>
    <w:rsid w:val="00FD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AF5657"/>
  </w:style>
  <w:style w:type="character" w:customStyle="1" w:styleId="hps">
    <w:name w:val="hps"/>
    <w:basedOn w:val="Policepardfaut"/>
    <w:rsid w:val="00AF565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51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51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516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69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494E"/>
  </w:style>
  <w:style w:type="paragraph" w:styleId="Pieddepage">
    <w:name w:val="footer"/>
    <w:basedOn w:val="Normal"/>
    <w:link w:val="PieddepageCar"/>
    <w:uiPriority w:val="99"/>
    <w:unhideWhenUsed/>
    <w:rsid w:val="0069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3931-4698-4A1F-BCA5-DFD5E7FC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cp:lastModifiedBy> </cp:lastModifiedBy>
  <cp:revision>2</cp:revision>
  <cp:lastPrinted>2015-11-30T16:05:00Z</cp:lastPrinted>
  <dcterms:created xsi:type="dcterms:W3CDTF">2015-12-02T18:42:00Z</dcterms:created>
  <dcterms:modified xsi:type="dcterms:W3CDTF">2015-12-02T18:42:00Z</dcterms:modified>
</cp:coreProperties>
</file>