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D4" w:rsidRPr="008904D4" w:rsidRDefault="008904D4" w:rsidP="008904D4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8904D4">
        <w:rPr>
          <w:rFonts w:ascii="Book Antiqua" w:hAnsi="Book Antiqua"/>
          <w:b/>
          <w:bCs/>
          <w:sz w:val="32"/>
          <w:szCs w:val="32"/>
        </w:rPr>
        <w:t>Royaume du Maroc</w:t>
      </w:r>
    </w:p>
    <w:p w:rsidR="008904D4" w:rsidRPr="008904D4" w:rsidRDefault="008904D4" w:rsidP="008904D4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proofErr w:type="spellStart"/>
      <w:r w:rsidRPr="008904D4">
        <w:rPr>
          <w:rFonts w:ascii="Book Antiqua" w:hAnsi="Book Antiqua"/>
          <w:b/>
          <w:bCs/>
          <w:sz w:val="32"/>
          <w:szCs w:val="32"/>
        </w:rPr>
        <w:t>Haut-Commissar</w:t>
      </w:r>
      <w:r>
        <w:rPr>
          <w:rFonts w:ascii="Book Antiqua" w:hAnsi="Book Antiqua"/>
          <w:b/>
          <w:bCs/>
          <w:sz w:val="32"/>
          <w:szCs w:val="32"/>
        </w:rPr>
        <w:t>ia</w:t>
      </w:r>
      <w:r w:rsidRPr="008904D4">
        <w:rPr>
          <w:rFonts w:ascii="Book Antiqua" w:hAnsi="Book Antiqua"/>
          <w:b/>
          <w:bCs/>
          <w:sz w:val="32"/>
          <w:szCs w:val="32"/>
        </w:rPr>
        <w:t>t</w:t>
      </w:r>
      <w:proofErr w:type="spellEnd"/>
      <w:r w:rsidRPr="008904D4">
        <w:rPr>
          <w:rFonts w:ascii="Book Antiqua" w:hAnsi="Book Antiqua"/>
          <w:b/>
          <w:bCs/>
          <w:sz w:val="32"/>
          <w:szCs w:val="32"/>
        </w:rPr>
        <w:t xml:space="preserve"> au Plan</w:t>
      </w: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Default="008904D4" w:rsidP="008904D4">
      <w:pPr>
        <w:jc w:val="center"/>
      </w:pPr>
    </w:p>
    <w:p w:rsidR="008904D4" w:rsidRPr="008904D4" w:rsidRDefault="008904D4" w:rsidP="00E57C1B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r w:rsidRPr="008904D4">
        <w:rPr>
          <w:rFonts w:ascii="Book Antiqua" w:hAnsi="Book Antiqua"/>
          <w:b/>
          <w:bCs/>
          <w:sz w:val="32"/>
          <w:szCs w:val="32"/>
        </w:rPr>
        <w:t xml:space="preserve">Principaux </w:t>
      </w:r>
      <w:r w:rsidR="00BB11F7">
        <w:rPr>
          <w:rFonts w:ascii="Book Antiqua" w:hAnsi="Book Antiqua"/>
          <w:b/>
          <w:bCs/>
          <w:sz w:val="32"/>
          <w:szCs w:val="32"/>
        </w:rPr>
        <w:t xml:space="preserve">indicateurs </w:t>
      </w:r>
      <w:r w:rsidRPr="008904D4">
        <w:rPr>
          <w:rFonts w:ascii="Book Antiqua" w:hAnsi="Book Antiqua"/>
          <w:b/>
          <w:bCs/>
          <w:sz w:val="32"/>
          <w:szCs w:val="32"/>
        </w:rPr>
        <w:t xml:space="preserve">du marché de travail </w:t>
      </w:r>
    </w:p>
    <w:p w:rsidR="008904D4" w:rsidRPr="008904D4" w:rsidRDefault="008904D4" w:rsidP="008904D4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proofErr w:type="gramStart"/>
      <w:r w:rsidRPr="008904D4">
        <w:rPr>
          <w:rFonts w:ascii="Book Antiqua" w:hAnsi="Book Antiqua"/>
          <w:b/>
          <w:bCs/>
          <w:sz w:val="32"/>
          <w:szCs w:val="32"/>
        </w:rPr>
        <w:t>relatifs</w:t>
      </w:r>
      <w:proofErr w:type="gramEnd"/>
      <w:r w:rsidRPr="008904D4">
        <w:rPr>
          <w:rFonts w:ascii="Book Antiqua" w:hAnsi="Book Antiqua"/>
          <w:b/>
          <w:bCs/>
          <w:sz w:val="32"/>
          <w:szCs w:val="32"/>
        </w:rPr>
        <w:t xml:space="preserve"> à l'activité, à l'emploi et au chômage</w:t>
      </w:r>
    </w:p>
    <w:p w:rsidR="008904D4" w:rsidRPr="008904D4" w:rsidRDefault="008904D4" w:rsidP="00FB032F">
      <w:pPr>
        <w:spacing w:after="0"/>
        <w:jc w:val="center"/>
        <w:rPr>
          <w:rFonts w:ascii="Book Antiqua" w:hAnsi="Book Antiqua"/>
          <w:b/>
          <w:bCs/>
          <w:sz w:val="32"/>
          <w:szCs w:val="32"/>
        </w:rPr>
      </w:pPr>
      <w:proofErr w:type="gramStart"/>
      <w:r w:rsidRPr="008904D4">
        <w:rPr>
          <w:rFonts w:ascii="Book Antiqua" w:hAnsi="Book Antiqua"/>
          <w:b/>
          <w:bCs/>
          <w:sz w:val="32"/>
          <w:szCs w:val="32"/>
        </w:rPr>
        <w:t>au</w:t>
      </w:r>
      <w:proofErr w:type="gramEnd"/>
      <w:r w:rsidRPr="008904D4">
        <w:rPr>
          <w:rFonts w:ascii="Book Antiqua" w:hAnsi="Book Antiqua"/>
          <w:b/>
          <w:bCs/>
          <w:sz w:val="32"/>
          <w:szCs w:val="32"/>
        </w:rPr>
        <w:t xml:space="preserve"> titre </w:t>
      </w:r>
      <w:r w:rsidR="00FB032F">
        <w:rPr>
          <w:rFonts w:ascii="Book Antiqua" w:hAnsi="Book Antiqua"/>
          <w:b/>
          <w:bCs/>
          <w:sz w:val="32"/>
          <w:szCs w:val="32"/>
        </w:rPr>
        <w:t>du troisième trimestre</w:t>
      </w:r>
      <w:r w:rsidRPr="008904D4">
        <w:rPr>
          <w:rFonts w:ascii="Book Antiqua" w:hAnsi="Book Antiqua"/>
          <w:b/>
          <w:bCs/>
          <w:sz w:val="32"/>
          <w:szCs w:val="32"/>
        </w:rPr>
        <w:t xml:space="preserve"> 201</w:t>
      </w:r>
      <w:r w:rsidR="00FB032F">
        <w:rPr>
          <w:rFonts w:ascii="Book Antiqua" w:hAnsi="Book Antiqua"/>
          <w:b/>
          <w:bCs/>
          <w:sz w:val="32"/>
          <w:szCs w:val="32"/>
        </w:rPr>
        <w:t>9</w:t>
      </w:r>
    </w:p>
    <w:p w:rsidR="008904D4" w:rsidRDefault="008904D4">
      <w:r>
        <w:br w:type="page"/>
      </w:r>
    </w:p>
    <w:tbl>
      <w:tblPr>
        <w:tblpPr w:leftFromText="141" w:rightFromText="141" w:horzAnchor="margin" w:tblpY="-475"/>
        <w:tblW w:w="90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74"/>
        <w:gridCol w:w="216"/>
        <w:gridCol w:w="1275"/>
        <w:gridCol w:w="113"/>
        <w:gridCol w:w="1251"/>
        <w:gridCol w:w="138"/>
        <w:gridCol w:w="1249"/>
        <w:gridCol w:w="207"/>
      </w:tblGrid>
      <w:tr w:rsidR="00F44CF4" w:rsidRPr="004C6F3C" w:rsidTr="000A3D69">
        <w:trPr>
          <w:trHeight w:hRule="exact" w:val="266"/>
        </w:trPr>
        <w:tc>
          <w:tcPr>
            <w:tcW w:w="90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CF4" w:rsidRPr="004C6F3C" w:rsidRDefault="00F44CF4" w:rsidP="00FB032F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1F497D"/>
                <w:lang w:eastAsia="fr-FR"/>
              </w:rPr>
            </w:pPr>
            <w:r w:rsidRPr="004C6F3C">
              <w:rPr>
                <w:rFonts w:ascii="Book Antiqua" w:eastAsia="Times New Roman" w:hAnsi="Book Antiqua" w:cs="Times New Roman"/>
                <w:b/>
                <w:bCs/>
                <w:color w:val="1F497D"/>
                <w:lang w:eastAsia="fr-FR"/>
              </w:rPr>
              <w:lastRenderedPageBreak/>
              <w:t xml:space="preserve">Indicateurs </w:t>
            </w:r>
            <w:r w:rsidR="00FB032F" w:rsidRPr="004C6F3C">
              <w:rPr>
                <w:rFonts w:ascii="Book Antiqua" w:eastAsia="Times New Roman" w:hAnsi="Book Antiqua" w:cs="Times New Roman"/>
                <w:b/>
                <w:bCs/>
                <w:color w:val="1F497D"/>
                <w:lang w:eastAsia="fr-FR"/>
              </w:rPr>
              <w:t>trimestriels</w:t>
            </w:r>
            <w:r w:rsidRPr="004C6F3C">
              <w:rPr>
                <w:rFonts w:ascii="Book Antiqua" w:eastAsia="Times New Roman" w:hAnsi="Book Antiqua" w:cs="Times New Roman"/>
                <w:b/>
                <w:bCs/>
                <w:color w:val="1F497D"/>
                <w:lang w:eastAsia="fr-FR"/>
              </w:rPr>
              <w:t xml:space="preserve"> d'activité, d’emploi et de chômage par milieu de résidence</w:t>
            </w:r>
          </w:p>
        </w:tc>
      </w:tr>
      <w:tr w:rsidR="00FB032F" w:rsidRPr="004C6F3C" w:rsidTr="000A3D69">
        <w:trPr>
          <w:gridAfter w:val="3"/>
          <w:wAfter w:w="1594" w:type="dxa"/>
          <w:trHeight w:hRule="exact" w:val="266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32F" w:rsidRPr="004C6F3C" w:rsidRDefault="00FB032F" w:rsidP="00FB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F3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    (Effectifs en milliers et taux en %)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32F" w:rsidRPr="004C6F3C" w:rsidRDefault="00FB032F" w:rsidP="00FB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32F" w:rsidRPr="004C6F3C" w:rsidRDefault="00FB032F" w:rsidP="00FB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00"/>
        </w:trPr>
        <w:tc>
          <w:tcPr>
            <w:tcW w:w="4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Indicateurs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32F" w:rsidRPr="004C6F3C" w:rsidRDefault="00FB032F" w:rsidP="00FB032F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b/>
                <w:spacing w:val="-2"/>
              </w:rPr>
            </w:pPr>
            <w:r w:rsidRPr="004C6F3C">
              <w:rPr>
                <w:rFonts w:ascii="Garamond" w:hAnsi="Garamond"/>
                <w:b/>
                <w:spacing w:val="-2"/>
              </w:rPr>
              <w:t>3</w:t>
            </w:r>
            <w:r w:rsidRPr="004C6F3C">
              <w:rPr>
                <w:rFonts w:ascii="Garamond" w:hAnsi="Garamond"/>
                <w:b/>
                <w:spacing w:val="-2"/>
                <w:vertAlign w:val="superscript"/>
              </w:rPr>
              <w:t>ème</w:t>
            </w:r>
            <w:r w:rsidRPr="004C6F3C">
              <w:rPr>
                <w:rFonts w:ascii="Garamond" w:hAnsi="Garamond"/>
                <w:b/>
                <w:spacing w:val="-2"/>
              </w:rPr>
              <w:t xml:space="preserve">  trimestre 2019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55"/>
        </w:trPr>
        <w:tc>
          <w:tcPr>
            <w:tcW w:w="47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Urbain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Rural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National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i/>
                <w:iCs/>
                <w:color w:val="00B050"/>
              </w:rPr>
            </w:pPr>
            <w:r w:rsidRPr="004C6F3C">
              <w:rPr>
                <w:rFonts w:ascii="Book Antiqua" w:hAnsi="Book Antiqua" w:cs="Times New Roman"/>
                <w:color w:val="0070C0"/>
              </w:rPr>
              <w:t>Activité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Population active (en milliers)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7115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4746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11861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de féminisation de la population active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22,2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24,9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23,2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d'activité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41,7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50,8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44,9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le sexe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Hommes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66,9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75,8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70,1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Femmes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18,0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25,4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20,5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l’âge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15 - 24 ans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21,0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30,2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24,7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25 - 34 ans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58,3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60,5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59,0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35 - 44 ans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57,6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65,9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60,4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45 ans et plus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35,3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52,4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41,2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le diplôme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Sans diplôme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35,7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53,4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44,0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Ayant un diplôme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46,3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44,6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45,9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Book Antiqua" w:hAnsi="Book Antiqua" w:cs="Times New Roman"/>
                <w:color w:val="0070C0"/>
              </w:rPr>
              <w:t>Emploi</w:t>
            </w: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Population active occupée (en milliers)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6213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4534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10747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d’emploi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36,4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48,5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40,7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le sexe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Hommes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60,2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72,0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64,5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Femmes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14,0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24,7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17,7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99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Structure de l'emploi selon les secteurs d'activité économique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Agriculture forêt et pêche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4,6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66,7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30,8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Industrie  y compris  l'artisanat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17,1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11,7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179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BTP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11,7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9,7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10,9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Services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66,4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46,5</w:t>
            </w:r>
          </w:p>
        </w:tc>
      </w:tr>
      <w:tr w:rsidR="000A3D69" w:rsidRPr="004C6F3C" w:rsidTr="000A3D69">
        <w:trPr>
          <w:gridAfter w:val="1"/>
          <w:wAfter w:w="207" w:type="dxa"/>
          <w:trHeight w:hRule="exact" w:val="341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D69" w:rsidRPr="004C6F3C" w:rsidRDefault="000A3D69" w:rsidP="00FB032F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Activités mal désignées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D69" w:rsidRPr="004C6F3C" w:rsidRDefault="000A3D69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0,2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D69" w:rsidRPr="004C6F3C" w:rsidRDefault="000A3D69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D69" w:rsidRPr="004C6F3C" w:rsidRDefault="000A3D69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0,1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341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 xml:space="preserve">Part de l’emploi  rémunéré dans l’emploi total. </w:t>
            </w:r>
          </w:p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Dont :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96,9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70,1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85,6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Salariés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66,8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44,4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59,1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Auto-employés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33,2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55,6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40,9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i/>
                <w:iCs/>
                <w:color w:val="00B05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Population active occupée sous-employée (en milliers)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481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488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969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i/>
                <w:iCs/>
                <w:color w:val="00B05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de sous-emploi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7,8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10,8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9,1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56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i/>
                <w:iCs/>
                <w:color w:val="1F497D"/>
              </w:rPr>
            </w:pPr>
            <w:r w:rsidRPr="004C6F3C">
              <w:rPr>
                <w:rFonts w:ascii="Book Antiqua" w:hAnsi="Book Antiqua" w:cs="Times New Roman"/>
                <w:color w:val="0070C0"/>
              </w:rPr>
              <w:t>Chômage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Population active en chômage (en milliers)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902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212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b/>
                <w:bCs/>
                <w:color w:val="000000"/>
              </w:rPr>
            </w:pPr>
            <w:r w:rsidRPr="004C6F3C">
              <w:rPr>
                <w:rFonts w:ascii="Garamond" w:hAnsi="Garamond" w:cs="Times New Roman"/>
                <w:b/>
                <w:bCs/>
                <w:color w:val="000000"/>
              </w:rPr>
              <w:t>1114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de féminisation de la Population active en chômage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38,8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15,5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34,4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Taux de chômage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12,7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9,4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51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le sexe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Hommes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10,0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5,0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8,0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Femmes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22,2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13,9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l'âge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15-24 ans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39,9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13,0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26,7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25-34 ans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19,4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6,6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15,0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35-44 ans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5,9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4,6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45 ans et plus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3,0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2,1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. Selon le diplôme</w:t>
            </w:r>
          </w:p>
        </w:tc>
        <w:tc>
          <w:tcPr>
            <w:tcW w:w="1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</w:p>
        </w:tc>
      </w:tr>
      <w:tr w:rsidR="00FB032F" w:rsidRPr="004C6F3C" w:rsidTr="000A3D69">
        <w:trPr>
          <w:gridAfter w:val="1"/>
          <w:wAfter w:w="207" w:type="dxa"/>
          <w:trHeight w:hRule="exact" w:val="260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Pr="004C6F3C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Sans diplôme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5,9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3,7</w:t>
            </w:r>
          </w:p>
        </w:tc>
      </w:tr>
      <w:tr w:rsidR="00FB032F" w:rsidRPr="004C6F3C" w:rsidTr="000A3D69">
        <w:trPr>
          <w:gridAfter w:val="1"/>
          <w:wAfter w:w="207" w:type="dxa"/>
          <w:trHeight w:hRule="exact" w:val="430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2F" w:rsidRDefault="00FB032F" w:rsidP="00FB032F">
            <w:pPr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Ayant un diplôme</w:t>
            </w:r>
          </w:p>
          <w:p w:rsidR="000A3D69" w:rsidRPr="004C6F3C" w:rsidRDefault="000A3D69" w:rsidP="00FB032F">
            <w:pPr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16,7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32F" w:rsidRPr="004C6F3C" w:rsidRDefault="00FB032F" w:rsidP="00FB032F">
            <w:pPr>
              <w:jc w:val="center"/>
              <w:rPr>
                <w:rFonts w:ascii="Garamond" w:hAnsi="Garamond" w:cs="Times New Roman"/>
                <w:color w:val="000000"/>
              </w:rPr>
            </w:pPr>
            <w:r w:rsidRPr="004C6F3C">
              <w:rPr>
                <w:rFonts w:ascii="Garamond" w:hAnsi="Garamond" w:cs="Times New Roman"/>
                <w:color w:val="000000"/>
              </w:rPr>
              <w:t>15,5</w:t>
            </w:r>
          </w:p>
        </w:tc>
      </w:tr>
    </w:tbl>
    <w:p w:rsidR="008904D4" w:rsidRPr="000A3D69" w:rsidRDefault="004C6F3C" w:rsidP="000A3D69">
      <w:pPr>
        <w:rPr>
          <w:rFonts w:ascii="Garamond" w:hAnsi="Garamond" w:cs="Times New Roman"/>
          <w:color w:val="000000"/>
        </w:rPr>
      </w:pPr>
      <w:r w:rsidRPr="000A3D69">
        <w:rPr>
          <w:rFonts w:ascii="Garamond" w:hAnsi="Garamond" w:cs="Times New Roman"/>
          <w:color w:val="000000"/>
        </w:rPr>
        <w:t>Source : Enquête nationale sur l’emploi (HCP)</w:t>
      </w:r>
    </w:p>
    <w:sectPr w:rsidR="008904D4" w:rsidRPr="000A3D69" w:rsidSect="0018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F0" w:rsidRDefault="00F376F0" w:rsidP="008904D4">
      <w:pPr>
        <w:spacing w:after="0" w:line="240" w:lineRule="auto"/>
      </w:pPr>
      <w:r>
        <w:separator/>
      </w:r>
    </w:p>
  </w:endnote>
  <w:endnote w:type="continuationSeparator" w:id="0">
    <w:p w:rsidR="00F376F0" w:rsidRDefault="00F376F0" w:rsidP="0089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F0" w:rsidRDefault="00F376F0" w:rsidP="008904D4">
      <w:pPr>
        <w:spacing w:after="0" w:line="240" w:lineRule="auto"/>
      </w:pPr>
      <w:r>
        <w:separator/>
      </w:r>
    </w:p>
  </w:footnote>
  <w:footnote w:type="continuationSeparator" w:id="0">
    <w:p w:rsidR="00F376F0" w:rsidRDefault="00F376F0" w:rsidP="00890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4D4"/>
    <w:rsid w:val="000A3D69"/>
    <w:rsid w:val="000D194D"/>
    <w:rsid w:val="000D228E"/>
    <w:rsid w:val="00183383"/>
    <w:rsid w:val="001B528F"/>
    <w:rsid w:val="002649D5"/>
    <w:rsid w:val="003111D4"/>
    <w:rsid w:val="00317284"/>
    <w:rsid w:val="0038417B"/>
    <w:rsid w:val="004B5BAC"/>
    <w:rsid w:val="004C6F3C"/>
    <w:rsid w:val="006E42F7"/>
    <w:rsid w:val="007160F0"/>
    <w:rsid w:val="00731784"/>
    <w:rsid w:val="0078253A"/>
    <w:rsid w:val="008565BC"/>
    <w:rsid w:val="008904D4"/>
    <w:rsid w:val="00972FAE"/>
    <w:rsid w:val="00A23D9F"/>
    <w:rsid w:val="00BB11F7"/>
    <w:rsid w:val="00C1718C"/>
    <w:rsid w:val="00C85D6D"/>
    <w:rsid w:val="00CB127C"/>
    <w:rsid w:val="00D0597A"/>
    <w:rsid w:val="00E57C1B"/>
    <w:rsid w:val="00EF58DD"/>
    <w:rsid w:val="00F376F0"/>
    <w:rsid w:val="00F44CF4"/>
    <w:rsid w:val="00FA7BBD"/>
    <w:rsid w:val="00FB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04D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04D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904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B9AA8-BF82-4C4A-998A-8E6AEBEA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asougrati</dc:creator>
  <cp:lastModifiedBy>HP</cp:lastModifiedBy>
  <cp:revision>3</cp:revision>
  <cp:lastPrinted>2020-02-06T12:11:00Z</cp:lastPrinted>
  <dcterms:created xsi:type="dcterms:W3CDTF">2020-02-06T12:09:00Z</dcterms:created>
  <dcterms:modified xsi:type="dcterms:W3CDTF">2020-02-06T12:12:00Z</dcterms:modified>
</cp:coreProperties>
</file>