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7469FE" w:rsidRDefault="00BE42D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151765</wp:posOffset>
            </wp:positionV>
            <wp:extent cx="12858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9FE" w:rsidRDefault="00BE42D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62865</wp:posOffset>
            </wp:positionV>
            <wp:extent cx="1524000" cy="381000"/>
            <wp:effectExtent l="19050" t="0" r="0" b="0"/>
            <wp:wrapSquare wrapText="bothSides"/>
            <wp:docPr id="1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327DAD" w:rsidRDefault="00327DAD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16"/>
          <w:szCs w:val="16"/>
        </w:rPr>
      </w:pPr>
    </w:p>
    <w:p w:rsidR="00624442" w:rsidRDefault="00624442" w:rsidP="009102BF">
      <w:pPr>
        <w:ind w:left="1134" w:right="1134"/>
        <w:jc w:val="center"/>
        <w:rPr>
          <w:rFonts w:cs="Calibri"/>
          <w:b/>
          <w:bCs/>
          <w:color w:val="FF6600"/>
          <w:sz w:val="32"/>
          <w:szCs w:val="32"/>
        </w:rPr>
      </w:pPr>
    </w:p>
    <w:p w:rsidR="00624442" w:rsidRDefault="00373BE4" w:rsidP="009102BF">
      <w:pPr>
        <w:ind w:left="1134" w:right="1134"/>
        <w:jc w:val="center"/>
        <w:rPr>
          <w:rFonts w:cs="Calibri"/>
          <w:b/>
          <w:bCs/>
          <w:color w:val="FF6600"/>
          <w:sz w:val="32"/>
          <w:szCs w:val="32"/>
        </w:rPr>
      </w:pPr>
      <w:r>
        <w:rPr>
          <w:rFonts w:cs="Calibri"/>
          <w:b/>
          <w:bCs/>
          <w:color w:val="FF6600"/>
          <w:sz w:val="32"/>
          <w:szCs w:val="32"/>
        </w:rPr>
        <w:t xml:space="preserve">    </w:t>
      </w:r>
    </w:p>
    <w:p w:rsidR="00624442" w:rsidRDefault="00624442" w:rsidP="009102BF">
      <w:pPr>
        <w:ind w:left="1134" w:right="1134"/>
        <w:jc w:val="center"/>
        <w:rPr>
          <w:rFonts w:cs="Calibri"/>
          <w:b/>
          <w:bCs/>
          <w:color w:val="FF6600"/>
          <w:sz w:val="32"/>
          <w:szCs w:val="32"/>
        </w:rPr>
      </w:pPr>
    </w:p>
    <w:p w:rsidR="009102BF" w:rsidRPr="0087237B" w:rsidRDefault="009102BF" w:rsidP="0051163D">
      <w:pPr>
        <w:ind w:left="1134" w:right="1134"/>
        <w:jc w:val="center"/>
        <w:rPr>
          <w:rFonts w:cs="Calibri"/>
          <w:b/>
          <w:bCs/>
          <w:i/>
          <w:iCs/>
          <w:shadow/>
          <w:sz w:val="32"/>
          <w:szCs w:val="32"/>
        </w:rPr>
      </w:pPr>
      <w:r w:rsidRPr="0087237B">
        <w:rPr>
          <w:rFonts w:cs="Calibri"/>
          <w:b/>
          <w:bCs/>
          <w:i/>
          <w:iCs/>
          <w:shadow/>
          <w:sz w:val="32"/>
          <w:szCs w:val="32"/>
        </w:rPr>
        <w:t>Evolution de</w:t>
      </w:r>
      <w:r w:rsidR="005916A4" w:rsidRPr="0087237B">
        <w:rPr>
          <w:rFonts w:cs="Calibri"/>
          <w:b/>
          <w:bCs/>
          <w:i/>
          <w:iCs/>
          <w:shadow/>
          <w:sz w:val="32"/>
          <w:szCs w:val="32"/>
        </w:rPr>
        <w:t xml:space="preserve"> l’inflation</w:t>
      </w:r>
      <w:r w:rsidR="0051163D">
        <w:rPr>
          <w:rFonts w:cs="Calibri"/>
          <w:b/>
          <w:bCs/>
          <w:i/>
          <w:iCs/>
          <w:shadow/>
          <w:sz w:val="32"/>
          <w:szCs w:val="32"/>
        </w:rPr>
        <w:t xml:space="preserve"> </w:t>
      </w:r>
      <w:r w:rsidR="005916A4" w:rsidRPr="0087237B">
        <w:rPr>
          <w:rFonts w:cs="Calibri"/>
          <w:b/>
          <w:bCs/>
          <w:i/>
          <w:iCs/>
          <w:shadow/>
          <w:sz w:val="32"/>
          <w:szCs w:val="32"/>
        </w:rPr>
        <w:t>a</w:t>
      </w:r>
      <w:r w:rsidR="00444374" w:rsidRPr="0087237B">
        <w:rPr>
          <w:rFonts w:cs="Calibri"/>
          <w:b/>
          <w:bCs/>
          <w:i/>
          <w:iCs/>
          <w:shadow/>
          <w:sz w:val="32"/>
          <w:szCs w:val="32"/>
        </w:rPr>
        <w:t>u Maroc</w:t>
      </w:r>
    </w:p>
    <w:p w:rsidR="007A25CD" w:rsidRPr="005916A4" w:rsidRDefault="007A25CD" w:rsidP="005916A4">
      <w:pPr>
        <w:ind w:left="1134" w:right="1134"/>
        <w:jc w:val="center"/>
        <w:rPr>
          <w:rFonts w:cs="Calibri"/>
          <w:b/>
          <w:bCs/>
          <w:i/>
          <w:iCs/>
          <w:sz w:val="32"/>
          <w:szCs w:val="32"/>
        </w:rPr>
      </w:pPr>
    </w:p>
    <w:p w:rsidR="00D2639B" w:rsidRDefault="00D2639B" w:rsidP="000D2020">
      <w:pPr>
        <w:jc w:val="both"/>
        <w:rPr>
          <w:rFonts w:asciiTheme="majorBidi" w:hAnsiTheme="majorBidi" w:cstheme="majorBidi"/>
          <w:b/>
          <w:bCs/>
          <w:color w:val="FF6600"/>
        </w:rPr>
      </w:pPr>
    </w:p>
    <w:p w:rsidR="00A870C4" w:rsidRDefault="00A870C4" w:rsidP="00A870C4">
      <w:pPr>
        <w:jc w:val="both"/>
      </w:pPr>
      <w:r>
        <w:t>L’inflation est la hausse continue et générale du niveau des prix. Elle est mesurée</w:t>
      </w:r>
      <w:r w:rsidR="00273F43">
        <w:t>, entre autres,</w:t>
      </w:r>
      <w:r>
        <w:t xml:space="preserve"> par l’indice des prix à la consommation. Cet indice est calculé mensuellement sur la base d’un panier représentatif de la consommation des ménages.</w:t>
      </w:r>
    </w:p>
    <w:p w:rsidR="00A870C4" w:rsidRDefault="00A870C4" w:rsidP="00A870C4">
      <w:pPr>
        <w:jc w:val="both"/>
      </w:pPr>
    </w:p>
    <w:p w:rsidR="00CA77AE" w:rsidRDefault="00CA77AE" w:rsidP="00A445A1">
      <w:pPr>
        <w:jc w:val="both"/>
      </w:pPr>
      <w:r>
        <w:t>A l’international, pour l’année 2021, l’inflation a connu un rebond marqué. Les perspectives, de l’année 2022, de l’évolution des prix sont entourées de risques haussiers lié</w:t>
      </w:r>
      <w:r w:rsidR="00601B17">
        <w:t>s notamment à la persistance de</w:t>
      </w:r>
      <w:r>
        <w:t xml:space="preserve"> goulots d’étranglement dans les chaines d’approvis</w:t>
      </w:r>
      <w:r w:rsidR="00273F43">
        <w:t>ionnement, la hausse des prix du</w:t>
      </w:r>
      <w:r>
        <w:t xml:space="preserve"> baril de pétrole avec un niveau </w:t>
      </w:r>
      <w:r w:rsidR="00AB60AC">
        <w:t>de 1</w:t>
      </w:r>
      <w:r w:rsidR="00A445A1">
        <w:t>4</w:t>
      </w:r>
      <w:r w:rsidR="00AB60AC">
        <w:t>0</w:t>
      </w:r>
      <w:r>
        <w:t xml:space="preserve">$/le baril, </w:t>
      </w:r>
      <w:r w:rsidR="00A445A1">
        <w:t xml:space="preserve">proche de son record absolu </w:t>
      </w:r>
      <w:r w:rsidR="00AB60AC">
        <w:t xml:space="preserve">de 2008 et </w:t>
      </w:r>
      <w:r>
        <w:t>aux tensions géopolitique</w:t>
      </w:r>
      <w:r w:rsidR="00273F43">
        <w:t>s</w:t>
      </w:r>
      <w:r>
        <w:t xml:space="preserve"> notamment la crise de l’Ukraine. Sur le plan national, la sécheresse p</w:t>
      </w:r>
      <w:r w:rsidR="00273F43">
        <w:t xml:space="preserve">ourrait </w:t>
      </w:r>
      <w:r>
        <w:t>encore accentuer la hausse des prix notamment celle des produits alimentaires.</w:t>
      </w:r>
    </w:p>
    <w:p w:rsidR="00CA77AE" w:rsidRDefault="00CA77AE" w:rsidP="00444374">
      <w:pPr>
        <w:jc w:val="both"/>
      </w:pPr>
    </w:p>
    <w:p w:rsidR="00444374" w:rsidRPr="004E3E68" w:rsidRDefault="00444374" w:rsidP="00793B27">
      <w:pPr>
        <w:jc w:val="both"/>
      </w:pPr>
      <w:r>
        <w:t xml:space="preserve">Cette note s’articule comme suit, tout d’abord, </w:t>
      </w:r>
      <w:r w:rsidR="00273F43">
        <w:t>elle</w:t>
      </w:r>
      <w:r>
        <w:t xml:space="preserve"> donne un bref aperçu sur l’évolution de l’inflation au niveau </w:t>
      </w:r>
      <w:r w:rsidR="00CA77AE">
        <w:t>mondial</w:t>
      </w:r>
      <w:r>
        <w:t xml:space="preserve">. Puis </w:t>
      </w:r>
      <w:r w:rsidR="00273F43">
        <w:t>elle</w:t>
      </w:r>
      <w:r>
        <w:t xml:space="preserve"> présente l’inflation dans le contexte national. </w:t>
      </w:r>
      <w:r w:rsidR="00273F43">
        <w:t>Elle</w:t>
      </w:r>
      <w:r>
        <w:t xml:space="preserve"> évoque ensuite les principaux facteurs explicatifs de l’évolution des prix au niveau national compte tenu de la </w:t>
      </w:r>
      <w:r w:rsidR="00C516EA">
        <w:t xml:space="preserve">l’amélioration de la </w:t>
      </w:r>
      <w:r>
        <w:t>situation sanitaire</w:t>
      </w:r>
      <w:r w:rsidR="00C516EA">
        <w:t>, de</w:t>
      </w:r>
      <w:r>
        <w:t xml:space="preserve"> la reprise progressive de l’activité</w:t>
      </w:r>
      <w:r w:rsidR="00C516EA">
        <w:t xml:space="preserve">, </w:t>
      </w:r>
      <w:r>
        <w:t xml:space="preserve">la réouverture des frontières et de la hausse des cours du pétrole et des matières premières </w:t>
      </w:r>
      <w:r w:rsidR="00CA77AE">
        <w:t xml:space="preserve">sur le marché international </w:t>
      </w:r>
      <w:r w:rsidR="00C516EA">
        <w:t xml:space="preserve">suite aux </w:t>
      </w:r>
      <w:r w:rsidR="00CA77AE">
        <w:t>tensions géopolitiques.</w:t>
      </w:r>
      <w:r>
        <w:t xml:space="preserve"> </w:t>
      </w:r>
    </w:p>
    <w:p w:rsidR="00444374" w:rsidRDefault="00444374" w:rsidP="00444374">
      <w:pPr>
        <w:jc w:val="both"/>
      </w:pPr>
    </w:p>
    <w:p w:rsidR="00444374" w:rsidRDefault="00444374" w:rsidP="00444374">
      <w:pPr>
        <w:jc w:val="both"/>
        <w:rPr>
          <w:b/>
          <w:bCs/>
        </w:rPr>
      </w:pPr>
      <w:r>
        <w:rPr>
          <w:b/>
          <w:bCs/>
        </w:rPr>
        <w:t xml:space="preserve">Bref aperçu des tensions inflationnistes au niveau </w:t>
      </w:r>
      <w:r w:rsidR="008D48B3">
        <w:rPr>
          <w:b/>
          <w:bCs/>
        </w:rPr>
        <w:t>mondial</w:t>
      </w:r>
    </w:p>
    <w:p w:rsidR="00444374" w:rsidRDefault="00444374" w:rsidP="00444374">
      <w:pPr>
        <w:jc w:val="both"/>
      </w:pPr>
    </w:p>
    <w:p w:rsidR="00444374" w:rsidRDefault="00444374" w:rsidP="00793B27">
      <w:pPr>
        <w:jc w:val="both"/>
      </w:pPr>
      <w:r>
        <w:t>Depuis le début des années 2000, la hausse des prix à la consommation a été sensib</w:t>
      </w:r>
      <w:r w:rsidR="00AB60AC">
        <w:t>lement modérée dans la plupart d</w:t>
      </w:r>
      <w:r>
        <w:t>es économies du monde entier. Au sein des pays de l’OCDE, l’inflation est passée de plus de 10% au début des années 80 à environ 2</w:t>
      </w:r>
      <w:r w:rsidR="0090390F">
        <w:t>,0</w:t>
      </w:r>
      <w:r>
        <w:t xml:space="preserve">% aux années 2000. </w:t>
      </w:r>
      <w:r w:rsidR="0090390F">
        <w:t>Elle</w:t>
      </w:r>
      <w:r>
        <w:t xml:space="preserve"> a atteint 4,0% en 2021, après 1,4% en 2000, soit le taux d’inflation le plus élevé depuis</w:t>
      </w:r>
      <w:r w:rsidR="004F0587">
        <w:t xml:space="preserve"> plus de  20 ans</w:t>
      </w:r>
      <w:r>
        <w:t xml:space="preserve">. Pour la zone Euro, le taux d’inflation a été de 2,6% en 2021 contre 0,3% en 2020. </w:t>
      </w:r>
      <w:r w:rsidR="004F0587">
        <w:t>Pour les</w:t>
      </w:r>
      <w:r w:rsidR="00AB60AC">
        <w:t xml:space="preserve"> pays du</w:t>
      </w:r>
      <w:r>
        <w:t xml:space="preserve"> G7, ce taux a été de 3,5% en 2021 contre 0,</w:t>
      </w:r>
      <w:r w:rsidR="00294318">
        <w:t>9</w:t>
      </w:r>
      <w:r>
        <w:t>% en 2020.</w:t>
      </w:r>
      <w:r w:rsidR="004F0587">
        <w:t xml:space="preserve"> Soit un niveau supérieur au seuil </w:t>
      </w:r>
      <w:r w:rsidR="0090390F">
        <w:t>cible</w:t>
      </w:r>
      <w:r w:rsidR="004F0587">
        <w:t xml:space="preserve"> de 2</w:t>
      </w:r>
      <w:r w:rsidR="0090390F">
        <w:t>,0</w:t>
      </w:r>
      <w:r w:rsidR="004F0587">
        <w:t>%.</w:t>
      </w:r>
      <w:r w:rsidR="00294318">
        <w:t xml:space="preserve"> Pour les économies non-OCDE, les taux d’inflation ont été respectivement pour les années 2021 et 20</w:t>
      </w:r>
      <w:r w:rsidR="0097662D">
        <w:t>20 de 8,3% contre 3,2% pour le B</w:t>
      </w:r>
      <w:r w:rsidR="00294318">
        <w:t>résil, 0,9% contre 2,5%</w:t>
      </w:r>
      <w:r w:rsidR="00793B27">
        <w:t xml:space="preserve"> pour la Chine</w:t>
      </w:r>
      <w:r w:rsidR="00294318">
        <w:t xml:space="preserve">, 4,9% contre 5,6% </w:t>
      </w:r>
      <w:r w:rsidR="00793B27">
        <w:t xml:space="preserve">pour l’Inde </w:t>
      </w:r>
      <w:r w:rsidR="00294318">
        <w:t xml:space="preserve">et </w:t>
      </w:r>
      <w:r w:rsidR="0097662D">
        <w:t>d</w:t>
      </w:r>
      <w:r w:rsidR="00294318">
        <w:t>e 6,7% contre 3,4%</w:t>
      </w:r>
      <w:r w:rsidR="0097662D">
        <w:t xml:space="preserve"> pour la Russie</w:t>
      </w:r>
      <w:r w:rsidR="00294318">
        <w:t>.</w:t>
      </w:r>
    </w:p>
    <w:p w:rsidR="00444374" w:rsidRDefault="00444374" w:rsidP="00444374">
      <w:pPr>
        <w:jc w:val="both"/>
      </w:pPr>
    </w:p>
    <w:p w:rsidR="00444374" w:rsidRPr="00797625" w:rsidRDefault="00444374" w:rsidP="00D823D8">
      <w:pPr>
        <w:jc w:val="both"/>
      </w:pPr>
      <w:r>
        <w:t>Au début de l’année 2022, les pressions inflationnistes persistent aussi bien dans les économies avancées que celles émergentes. Ainsi, depuis a</w:t>
      </w:r>
      <w:r w:rsidR="00601B17">
        <w:t>vril 2021, les taux d’inflation</w:t>
      </w:r>
      <w:r>
        <w:t xml:space="preserve"> en </w:t>
      </w:r>
      <w:r w:rsidR="004F0587">
        <w:t>termes</w:t>
      </w:r>
      <w:r>
        <w:t xml:space="preserve"> de glissement annuel ont dépassé le seuil de 2</w:t>
      </w:r>
      <w:r w:rsidR="00AB60AC">
        <w:t>,0</w:t>
      </w:r>
      <w:r>
        <w:t xml:space="preserve">%. Ces taux ont atteint des niveaux </w:t>
      </w:r>
      <w:r w:rsidR="004F0587">
        <w:t>record</w:t>
      </w:r>
      <w:r>
        <w:t xml:space="preserve"> en </w:t>
      </w:r>
      <w:r w:rsidR="0097662D">
        <w:t>février</w:t>
      </w:r>
      <w:r>
        <w:t xml:space="preserve"> 2022. L’inflation </w:t>
      </w:r>
      <w:r w:rsidR="00D823D8">
        <w:t>a poursuivi sa montée aux Etats-</w:t>
      </w:r>
      <w:r>
        <w:t>Unis passant de 7,</w:t>
      </w:r>
      <w:r w:rsidR="00943480">
        <w:t>5</w:t>
      </w:r>
      <w:r>
        <w:t xml:space="preserve">% en </w:t>
      </w:r>
      <w:r w:rsidR="00943480">
        <w:t xml:space="preserve">janvier </w:t>
      </w:r>
      <w:r w:rsidR="008D48B3">
        <w:t>202</w:t>
      </w:r>
      <w:r w:rsidR="00943480">
        <w:t>2</w:t>
      </w:r>
      <w:r w:rsidR="008D48B3">
        <w:t xml:space="preserve"> à 7,</w:t>
      </w:r>
      <w:r w:rsidR="00943480">
        <w:t>9</w:t>
      </w:r>
      <w:r w:rsidR="008D48B3">
        <w:t xml:space="preserve">% </w:t>
      </w:r>
      <w:r w:rsidR="00D823D8">
        <w:t>en</w:t>
      </w:r>
      <w:r w:rsidR="00943480">
        <w:t xml:space="preserve"> février </w:t>
      </w:r>
      <w:r w:rsidR="008D48B3">
        <w:t>2022 et a att</w:t>
      </w:r>
      <w:r>
        <w:t>e</w:t>
      </w:r>
      <w:r w:rsidR="008D48B3">
        <w:t>i</w:t>
      </w:r>
      <w:r>
        <w:t xml:space="preserve">nt </w:t>
      </w:r>
      <w:r w:rsidR="00E96EF5">
        <w:t>3</w:t>
      </w:r>
      <w:r>
        <w:t>,</w:t>
      </w:r>
      <w:r w:rsidR="00E96EF5">
        <w:t>6</w:t>
      </w:r>
      <w:r>
        <w:t>% contre 2,</w:t>
      </w:r>
      <w:r w:rsidR="00E96EF5">
        <w:t>9</w:t>
      </w:r>
      <w:r>
        <w:t xml:space="preserve">% en France. Une accélération a été plus marquée en Turquie de </w:t>
      </w:r>
      <w:r w:rsidR="006D160B">
        <w:t>54</w:t>
      </w:r>
      <w:r>
        <w:t>,</w:t>
      </w:r>
      <w:r w:rsidR="006D160B">
        <w:t>4</w:t>
      </w:r>
      <w:r>
        <w:t xml:space="preserve">% contre </w:t>
      </w:r>
      <w:r w:rsidR="006D160B">
        <w:t>48</w:t>
      </w:r>
      <w:r>
        <w:t>,</w:t>
      </w:r>
      <w:r w:rsidR="006D160B">
        <w:t>7</w:t>
      </w:r>
      <w:r>
        <w:t xml:space="preserve">%. Dans la zone Euro, l’inflation persiste </w:t>
      </w:r>
      <w:r w:rsidR="006D160B">
        <w:t xml:space="preserve">au mois de février </w:t>
      </w:r>
      <w:r w:rsidR="00AB60AC">
        <w:t xml:space="preserve">2022 </w:t>
      </w:r>
      <w:r>
        <w:t>au sommet de 5</w:t>
      </w:r>
      <w:r w:rsidR="00AB60AC">
        <w:t>,0</w:t>
      </w:r>
      <w:r>
        <w:t>%.</w:t>
      </w:r>
    </w:p>
    <w:p w:rsidR="00444374" w:rsidRDefault="00444374" w:rsidP="00381DE3">
      <w:pPr>
        <w:jc w:val="both"/>
        <w:rPr>
          <w:rFonts w:asciiTheme="majorBidi" w:hAnsiTheme="majorBidi" w:cstheme="majorBidi"/>
          <w:b/>
          <w:bCs/>
          <w:color w:val="FF6600"/>
        </w:rPr>
      </w:pPr>
    </w:p>
    <w:p w:rsidR="00624442" w:rsidRDefault="009A211B" w:rsidP="002B1DA5">
      <w:pPr>
        <w:jc w:val="both"/>
        <w:rPr>
          <w:rFonts w:asciiTheme="majorBidi" w:hAnsiTheme="majorBidi" w:cstheme="majorBidi"/>
          <w:b/>
          <w:bCs/>
        </w:rPr>
      </w:pPr>
      <w:r w:rsidRPr="009A211B">
        <w:rPr>
          <w:rFonts w:asciiTheme="majorBidi" w:hAnsiTheme="majorBidi" w:cstheme="majorBidi"/>
          <w:b/>
          <w:bCs/>
          <w:noProof/>
        </w:rPr>
        <w:lastRenderedPageBreak/>
        <w:drawing>
          <wp:inline distT="0" distB="0" distL="0" distR="0">
            <wp:extent cx="5941060" cy="3561099"/>
            <wp:effectExtent l="38100" t="0" r="59690" b="77451"/>
            <wp:docPr id="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4442" w:rsidRDefault="00624442" w:rsidP="002B1DA5">
      <w:pPr>
        <w:jc w:val="both"/>
        <w:rPr>
          <w:rFonts w:asciiTheme="majorBidi" w:hAnsiTheme="majorBidi" w:cstheme="majorBidi"/>
          <w:b/>
          <w:bCs/>
        </w:rPr>
      </w:pPr>
    </w:p>
    <w:p w:rsidR="00624442" w:rsidRDefault="00624442" w:rsidP="002B1DA5">
      <w:pPr>
        <w:jc w:val="both"/>
        <w:rPr>
          <w:rFonts w:asciiTheme="majorBidi" w:hAnsiTheme="majorBidi" w:cstheme="majorBidi"/>
          <w:b/>
          <w:bCs/>
        </w:rPr>
      </w:pPr>
    </w:p>
    <w:p w:rsidR="00624442" w:rsidRDefault="00624442" w:rsidP="002B1DA5">
      <w:pPr>
        <w:jc w:val="both"/>
        <w:rPr>
          <w:rFonts w:asciiTheme="majorBidi" w:hAnsiTheme="majorBidi" w:cstheme="majorBidi"/>
          <w:b/>
          <w:bCs/>
        </w:rPr>
      </w:pPr>
    </w:p>
    <w:p w:rsidR="002B1DA5" w:rsidRPr="002B1DA5" w:rsidRDefault="002B1DA5" w:rsidP="002B1DA5">
      <w:pPr>
        <w:jc w:val="both"/>
        <w:rPr>
          <w:rFonts w:asciiTheme="majorBidi" w:hAnsiTheme="majorBidi" w:cstheme="majorBidi"/>
          <w:b/>
          <w:bCs/>
        </w:rPr>
      </w:pPr>
      <w:r w:rsidRPr="002B1DA5">
        <w:rPr>
          <w:rFonts w:asciiTheme="majorBidi" w:hAnsiTheme="majorBidi" w:cstheme="majorBidi"/>
          <w:b/>
          <w:bCs/>
        </w:rPr>
        <w:t xml:space="preserve">Evolution modérée des prix à la consommation </w:t>
      </w:r>
      <w:r w:rsidR="004F0587">
        <w:rPr>
          <w:rFonts w:asciiTheme="majorBidi" w:hAnsiTheme="majorBidi" w:cstheme="majorBidi"/>
          <w:b/>
          <w:bCs/>
        </w:rPr>
        <w:t xml:space="preserve">au Maroc </w:t>
      </w:r>
      <w:r w:rsidRPr="002B1DA5">
        <w:rPr>
          <w:rFonts w:asciiTheme="majorBidi" w:hAnsiTheme="majorBidi" w:cstheme="majorBidi"/>
          <w:b/>
          <w:bCs/>
        </w:rPr>
        <w:t>au cours de la période 2000-2021</w:t>
      </w:r>
    </w:p>
    <w:p w:rsidR="002B1DA5" w:rsidRDefault="002B1DA5" w:rsidP="002B1DA5">
      <w:pPr>
        <w:jc w:val="both"/>
        <w:rPr>
          <w:rFonts w:asciiTheme="majorBidi" w:hAnsiTheme="majorBidi" w:cstheme="majorBidi"/>
        </w:rPr>
      </w:pPr>
    </w:p>
    <w:p w:rsidR="004F0587" w:rsidRDefault="002B1DA5" w:rsidP="00A71B7B">
      <w:pPr>
        <w:jc w:val="both"/>
        <w:rPr>
          <w:rFonts w:asciiTheme="majorBidi" w:hAnsiTheme="majorBidi" w:cstheme="majorBidi"/>
        </w:rPr>
      </w:pPr>
      <w:r w:rsidRPr="00FB679D">
        <w:rPr>
          <w:rFonts w:asciiTheme="majorBidi" w:hAnsiTheme="majorBidi" w:cstheme="majorBidi"/>
        </w:rPr>
        <w:t xml:space="preserve">L’évolution de l’indice des prix à la consommation </w:t>
      </w:r>
      <w:r>
        <w:rPr>
          <w:rFonts w:asciiTheme="majorBidi" w:hAnsiTheme="majorBidi" w:cstheme="majorBidi"/>
        </w:rPr>
        <w:t xml:space="preserve">durant les </w:t>
      </w:r>
      <w:r w:rsidR="004F0587">
        <w:rPr>
          <w:rFonts w:asciiTheme="majorBidi" w:hAnsiTheme="majorBidi" w:cstheme="majorBidi"/>
        </w:rPr>
        <w:t xml:space="preserve">20 dernières années </w:t>
      </w:r>
      <w:r w:rsidRPr="00FB679D">
        <w:rPr>
          <w:rFonts w:asciiTheme="majorBidi" w:hAnsiTheme="majorBidi" w:cstheme="majorBidi"/>
        </w:rPr>
        <w:t>montre</w:t>
      </w:r>
      <w:r>
        <w:rPr>
          <w:rFonts w:asciiTheme="majorBidi" w:hAnsiTheme="majorBidi" w:cstheme="majorBidi"/>
        </w:rPr>
        <w:t xml:space="preserve"> une</w:t>
      </w:r>
      <w:r w:rsidRPr="00FB679D">
        <w:rPr>
          <w:rFonts w:asciiTheme="majorBidi" w:hAnsiTheme="majorBidi" w:cstheme="majorBidi"/>
        </w:rPr>
        <w:t xml:space="preserve"> tendance </w:t>
      </w:r>
      <w:r>
        <w:rPr>
          <w:rFonts w:asciiTheme="majorBidi" w:hAnsiTheme="majorBidi" w:cstheme="majorBidi"/>
        </w:rPr>
        <w:t xml:space="preserve">relativement </w:t>
      </w:r>
      <w:r w:rsidR="004F0587">
        <w:rPr>
          <w:rFonts w:asciiTheme="majorBidi" w:hAnsiTheme="majorBidi" w:cstheme="majorBidi"/>
        </w:rPr>
        <w:t>modérée de la hausse des prix. L</w:t>
      </w:r>
      <w:r w:rsidRPr="00FB679D">
        <w:rPr>
          <w:rFonts w:asciiTheme="majorBidi" w:hAnsiTheme="majorBidi" w:cstheme="majorBidi"/>
        </w:rPr>
        <w:t xml:space="preserve">’indice </w:t>
      </w:r>
      <w:r>
        <w:rPr>
          <w:rFonts w:asciiTheme="majorBidi" w:hAnsiTheme="majorBidi" w:cstheme="majorBidi"/>
        </w:rPr>
        <w:t>des prix à la consommation a</w:t>
      </w:r>
      <w:r w:rsidR="004F0587">
        <w:rPr>
          <w:rFonts w:asciiTheme="majorBidi" w:hAnsiTheme="majorBidi" w:cstheme="majorBidi"/>
        </w:rPr>
        <w:t xml:space="preserve"> évolué en dessous de la barre de </w:t>
      </w:r>
      <w:r>
        <w:rPr>
          <w:rFonts w:asciiTheme="majorBidi" w:hAnsiTheme="majorBidi" w:cstheme="majorBidi"/>
        </w:rPr>
        <w:t xml:space="preserve"> </w:t>
      </w:r>
      <w:r w:rsidR="004F0587">
        <w:rPr>
          <w:rFonts w:asciiTheme="majorBidi" w:hAnsiTheme="majorBidi" w:cstheme="majorBidi"/>
        </w:rPr>
        <w:t>2</w:t>
      </w:r>
      <w:r w:rsidR="002F37DF">
        <w:rPr>
          <w:rFonts w:asciiTheme="majorBidi" w:hAnsiTheme="majorBidi" w:cstheme="majorBidi"/>
        </w:rPr>
        <w:t>,0</w:t>
      </w:r>
      <w:r w:rsidR="004F0587">
        <w:rPr>
          <w:rFonts w:asciiTheme="majorBidi" w:hAnsiTheme="majorBidi" w:cstheme="majorBidi"/>
        </w:rPr>
        <w:t>% sauf pour l</w:t>
      </w:r>
      <w:r w:rsidR="008D1DD5">
        <w:rPr>
          <w:rFonts w:asciiTheme="majorBidi" w:hAnsiTheme="majorBidi" w:cstheme="majorBidi"/>
        </w:rPr>
        <w:t xml:space="preserve">es </w:t>
      </w:r>
      <w:r w:rsidR="004F0587">
        <w:rPr>
          <w:rFonts w:asciiTheme="majorBidi" w:hAnsiTheme="majorBidi" w:cstheme="majorBidi"/>
        </w:rPr>
        <w:t>année</w:t>
      </w:r>
      <w:r w:rsidR="008D1DD5">
        <w:rPr>
          <w:rFonts w:asciiTheme="majorBidi" w:hAnsiTheme="majorBidi" w:cstheme="majorBidi"/>
        </w:rPr>
        <w:t>s 2002, 2006 et</w:t>
      </w:r>
      <w:r w:rsidR="004F0587">
        <w:rPr>
          <w:rFonts w:asciiTheme="majorBidi" w:hAnsiTheme="majorBidi" w:cstheme="majorBidi"/>
        </w:rPr>
        <w:t xml:space="preserve"> 2008 </w:t>
      </w:r>
      <w:r w:rsidR="008D1DD5">
        <w:rPr>
          <w:rFonts w:asciiTheme="majorBidi" w:hAnsiTheme="majorBidi" w:cstheme="majorBidi"/>
        </w:rPr>
        <w:t xml:space="preserve">respectivement de 2,8%, 3,3% et </w:t>
      </w:r>
      <w:r w:rsidR="004F0587">
        <w:rPr>
          <w:rFonts w:asciiTheme="majorBidi" w:hAnsiTheme="majorBidi" w:cstheme="majorBidi"/>
        </w:rPr>
        <w:t xml:space="preserve">3,9%. </w:t>
      </w:r>
    </w:p>
    <w:p w:rsidR="00A71B7B" w:rsidRDefault="00A71B7B" w:rsidP="00A71B7B">
      <w:pPr>
        <w:jc w:val="both"/>
        <w:rPr>
          <w:rFonts w:asciiTheme="majorBidi" w:hAnsiTheme="majorBidi" w:cstheme="majorBidi"/>
        </w:rPr>
      </w:pPr>
    </w:p>
    <w:p w:rsidR="004F0587" w:rsidRDefault="004F0587" w:rsidP="004F0587">
      <w:pPr>
        <w:jc w:val="both"/>
        <w:rPr>
          <w:rFonts w:asciiTheme="majorBidi" w:hAnsiTheme="majorBidi" w:cstheme="majorBidi"/>
        </w:rPr>
      </w:pPr>
    </w:p>
    <w:p w:rsidR="00EB744E" w:rsidRPr="00797AAB" w:rsidRDefault="00797AAB" w:rsidP="00797AAB">
      <w:pPr>
        <w:ind w:right="-510"/>
        <w:rPr>
          <w:rFonts w:ascii="Book Antiqua" w:hAnsi="Book Antiqua"/>
          <w:b/>
          <w:bCs/>
          <w:u w:val="single"/>
        </w:rPr>
      </w:pPr>
      <w:r w:rsidRPr="00797AAB">
        <w:rPr>
          <w:rFonts w:ascii="Book Antiqua" w:hAnsi="Book Antiqua"/>
          <w:b/>
          <w:bCs/>
          <w:noProof/>
          <w:u w:val="single"/>
        </w:rPr>
        <w:drawing>
          <wp:inline distT="0" distB="0" distL="0" distR="0">
            <wp:extent cx="5941060" cy="3422142"/>
            <wp:effectExtent l="19050" t="0" r="21590" b="6858"/>
            <wp:docPr id="1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2020" w:rsidRPr="00444374" w:rsidRDefault="000D2020" w:rsidP="00F347C3">
      <w:pPr>
        <w:ind w:right="-5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44374">
        <w:rPr>
          <w:rFonts w:asciiTheme="majorBidi" w:hAnsiTheme="majorBidi" w:cstheme="majorBidi"/>
          <w:b/>
          <w:bCs/>
        </w:rPr>
        <w:lastRenderedPageBreak/>
        <w:t>Evolution dispersée par groupe de produit des prix à la consommation au cours de la période de 201</w:t>
      </w:r>
      <w:r w:rsidR="00CE15E8">
        <w:rPr>
          <w:rFonts w:asciiTheme="majorBidi" w:hAnsiTheme="majorBidi" w:cstheme="majorBidi"/>
          <w:b/>
          <w:bCs/>
        </w:rPr>
        <w:t>0</w:t>
      </w:r>
      <w:r w:rsidRPr="00444374">
        <w:rPr>
          <w:rFonts w:asciiTheme="majorBidi" w:hAnsiTheme="majorBidi" w:cstheme="majorBidi"/>
          <w:b/>
          <w:bCs/>
        </w:rPr>
        <w:t xml:space="preserve"> à 202</w:t>
      </w:r>
      <w:r w:rsidR="00D2639B" w:rsidRPr="00444374">
        <w:rPr>
          <w:rFonts w:asciiTheme="majorBidi" w:hAnsiTheme="majorBidi" w:cstheme="majorBidi"/>
          <w:b/>
          <w:bCs/>
        </w:rPr>
        <w:t>1</w:t>
      </w:r>
      <w:r w:rsidRPr="00444374">
        <w:rPr>
          <w:rFonts w:asciiTheme="majorBidi" w:hAnsiTheme="majorBidi" w:cstheme="majorBidi"/>
          <w:b/>
          <w:bCs/>
        </w:rPr>
        <w:t xml:space="preserve"> </w:t>
      </w:r>
    </w:p>
    <w:p w:rsidR="000D2020" w:rsidRDefault="000D2020" w:rsidP="000D2020">
      <w:pPr>
        <w:ind w:right="-510"/>
        <w:jc w:val="both"/>
        <w:rPr>
          <w:rFonts w:ascii="Book Antiqua" w:hAnsi="Book Antiqua"/>
        </w:rPr>
      </w:pPr>
    </w:p>
    <w:p w:rsidR="000D2020" w:rsidRDefault="000D2020" w:rsidP="00CE15E8">
      <w:pPr>
        <w:ind w:right="-510"/>
        <w:jc w:val="both"/>
        <w:rPr>
          <w:rFonts w:asciiTheme="majorBidi" w:hAnsiTheme="majorBidi" w:cstheme="majorBidi"/>
        </w:rPr>
      </w:pPr>
      <w:r w:rsidRPr="00F901FC">
        <w:rPr>
          <w:rFonts w:asciiTheme="majorBidi" w:hAnsiTheme="majorBidi" w:cstheme="majorBidi"/>
        </w:rPr>
        <w:t>L’évolution des prix à la consommation durant la période 201</w:t>
      </w:r>
      <w:r w:rsidR="00CE15E8">
        <w:rPr>
          <w:rFonts w:asciiTheme="majorBidi" w:hAnsiTheme="majorBidi" w:cstheme="majorBidi"/>
        </w:rPr>
        <w:t>0</w:t>
      </w:r>
      <w:r w:rsidRPr="00F901FC">
        <w:rPr>
          <w:rFonts w:asciiTheme="majorBidi" w:hAnsiTheme="majorBidi" w:cstheme="majorBidi"/>
        </w:rPr>
        <w:t>-202</w:t>
      </w:r>
      <w:r w:rsidR="00C857A3">
        <w:rPr>
          <w:rFonts w:asciiTheme="majorBidi" w:hAnsiTheme="majorBidi" w:cstheme="majorBidi"/>
        </w:rPr>
        <w:t>1</w:t>
      </w:r>
      <w:r w:rsidRPr="00F901FC">
        <w:rPr>
          <w:rFonts w:asciiTheme="majorBidi" w:hAnsiTheme="majorBidi" w:cstheme="majorBidi"/>
        </w:rPr>
        <w:t xml:space="preserve"> montre que les indices de la plupart des Divisions de produits ont enregistré des variations relativement</w:t>
      </w:r>
      <w:r>
        <w:rPr>
          <w:rFonts w:asciiTheme="majorBidi" w:hAnsiTheme="majorBidi" w:cstheme="majorBidi"/>
        </w:rPr>
        <w:t xml:space="preserve"> dispersées les uns des autres.</w:t>
      </w:r>
      <w:r w:rsidRPr="00F901FC">
        <w:rPr>
          <w:rFonts w:asciiTheme="majorBidi" w:hAnsiTheme="majorBidi" w:cstheme="majorBidi"/>
        </w:rPr>
        <w:t xml:space="preserve"> Des hausses </w:t>
      </w:r>
      <w:r w:rsidR="00DC73A1">
        <w:rPr>
          <w:rFonts w:asciiTheme="majorBidi" w:hAnsiTheme="majorBidi" w:cstheme="majorBidi"/>
        </w:rPr>
        <w:t xml:space="preserve">moyennes </w:t>
      </w:r>
      <w:r w:rsidRPr="00F901FC">
        <w:rPr>
          <w:rFonts w:asciiTheme="majorBidi" w:hAnsiTheme="majorBidi" w:cstheme="majorBidi"/>
        </w:rPr>
        <w:t xml:space="preserve">annuelles </w:t>
      </w:r>
      <w:r w:rsidR="00D2639B">
        <w:rPr>
          <w:rFonts w:asciiTheme="majorBidi" w:hAnsiTheme="majorBidi" w:cstheme="majorBidi"/>
        </w:rPr>
        <w:t xml:space="preserve">les </w:t>
      </w:r>
      <w:r w:rsidRPr="00F901FC">
        <w:rPr>
          <w:rFonts w:asciiTheme="majorBidi" w:hAnsiTheme="majorBidi" w:cstheme="majorBidi"/>
        </w:rPr>
        <w:t>plus marquées ont été constatées au niveau des prix de la Di</w:t>
      </w:r>
      <w:r w:rsidR="0018342A">
        <w:rPr>
          <w:rFonts w:asciiTheme="majorBidi" w:hAnsiTheme="majorBidi" w:cstheme="majorBidi"/>
        </w:rPr>
        <w:t>vision des boissons alcoolisées et</w:t>
      </w:r>
      <w:r w:rsidR="00C857A3">
        <w:rPr>
          <w:rFonts w:asciiTheme="majorBidi" w:hAnsiTheme="majorBidi" w:cstheme="majorBidi"/>
        </w:rPr>
        <w:t xml:space="preserve"> tabac de </w:t>
      </w:r>
      <w:r w:rsidR="00CE15E8">
        <w:rPr>
          <w:rFonts w:asciiTheme="majorBidi" w:hAnsiTheme="majorBidi" w:cstheme="majorBidi"/>
        </w:rPr>
        <w:t>4</w:t>
      </w:r>
      <w:r w:rsidR="00C857A3">
        <w:rPr>
          <w:rFonts w:asciiTheme="majorBidi" w:hAnsiTheme="majorBidi" w:cstheme="majorBidi"/>
        </w:rPr>
        <w:t>,</w:t>
      </w:r>
      <w:r w:rsidR="00CE15E8">
        <w:rPr>
          <w:rFonts w:asciiTheme="majorBidi" w:hAnsiTheme="majorBidi" w:cstheme="majorBidi"/>
        </w:rPr>
        <w:t>0</w:t>
      </w:r>
      <w:r w:rsidR="00C857A3">
        <w:rPr>
          <w:rFonts w:asciiTheme="majorBidi" w:hAnsiTheme="majorBidi" w:cstheme="majorBidi"/>
        </w:rPr>
        <w:t xml:space="preserve">% </w:t>
      </w:r>
      <w:r w:rsidR="00CE15E8">
        <w:rPr>
          <w:rFonts w:asciiTheme="majorBidi" w:hAnsiTheme="majorBidi" w:cstheme="majorBidi"/>
        </w:rPr>
        <w:t xml:space="preserve">(avec </w:t>
      </w:r>
      <w:r w:rsidR="00C857A3">
        <w:rPr>
          <w:rFonts w:asciiTheme="majorBidi" w:hAnsiTheme="majorBidi" w:cstheme="majorBidi"/>
        </w:rPr>
        <w:t>3</w:t>
      </w:r>
      <w:r w:rsidR="00C857A3" w:rsidRPr="00F901FC">
        <w:rPr>
          <w:rFonts w:asciiTheme="majorBidi" w:hAnsiTheme="majorBidi" w:cstheme="majorBidi"/>
        </w:rPr>
        <w:t>,</w:t>
      </w:r>
      <w:r w:rsidR="00C857A3">
        <w:rPr>
          <w:rFonts w:asciiTheme="majorBidi" w:hAnsiTheme="majorBidi" w:cstheme="majorBidi"/>
        </w:rPr>
        <w:t>5</w:t>
      </w:r>
      <w:r w:rsidR="00C857A3" w:rsidRPr="00F901FC">
        <w:rPr>
          <w:rFonts w:asciiTheme="majorBidi" w:hAnsiTheme="majorBidi" w:cstheme="majorBidi"/>
        </w:rPr>
        <w:t xml:space="preserve">% </w:t>
      </w:r>
      <w:r w:rsidR="00C857A3">
        <w:rPr>
          <w:rFonts w:asciiTheme="majorBidi" w:hAnsiTheme="majorBidi" w:cstheme="majorBidi"/>
        </w:rPr>
        <w:t xml:space="preserve">en </w:t>
      </w:r>
      <w:r w:rsidR="00C857A3" w:rsidRPr="00F901FC">
        <w:rPr>
          <w:rFonts w:asciiTheme="majorBidi" w:hAnsiTheme="majorBidi" w:cstheme="majorBidi"/>
        </w:rPr>
        <w:t>20</w:t>
      </w:r>
      <w:r w:rsidR="00C857A3">
        <w:rPr>
          <w:rFonts w:asciiTheme="majorBidi" w:hAnsiTheme="majorBidi" w:cstheme="majorBidi"/>
        </w:rPr>
        <w:t>21</w:t>
      </w:r>
      <w:r w:rsidR="00CE15E8">
        <w:rPr>
          <w:rFonts w:asciiTheme="majorBidi" w:hAnsiTheme="majorBidi" w:cstheme="majorBidi"/>
        </w:rPr>
        <w:t>)</w:t>
      </w:r>
      <w:r w:rsidRPr="00F901FC">
        <w:rPr>
          <w:rFonts w:asciiTheme="majorBidi" w:hAnsiTheme="majorBidi" w:cstheme="majorBidi"/>
        </w:rPr>
        <w:t xml:space="preserve">. Les indices des prix de l’enseignement  ont </w:t>
      </w:r>
      <w:r w:rsidR="00322943">
        <w:rPr>
          <w:rFonts w:asciiTheme="majorBidi" w:hAnsiTheme="majorBidi" w:cstheme="majorBidi"/>
        </w:rPr>
        <w:t>connu</w:t>
      </w:r>
      <w:r w:rsidRPr="00F901FC">
        <w:rPr>
          <w:rFonts w:asciiTheme="majorBidi" w:hAnsiTheme="majorBidi" w:cstheme="majorBidi"/>
        </w:rPr>
        <w:t xml:space="preserve"> des hausses </w:t>
      </w:r>
      <w:r w:rsidR="00322943">
        <w:rPr>
          <w:rFonts w:asciiTheme="majorBidi" w:hAnsiTheme="majorBidi" w:cstheme="majorBidi"/>
        </w:rPr>
        <w:t xml:space="preserve">moyennes </w:t>
      </w:r>
      <w:r w:rsidR="00CE15E8">
        <w:rPr>
          <w:rFonts w:asciiTheme="majorBidi" w:hAnsiTheme="majorBidi" w:cstheme="majorBidi"/>
        </w:rPr>
        <w:t xml:space="preserve">de 3,1% (avec </w:t>
      </w:r>
      <w:r w:rsidR="00EB744E">
        <w:rPr>
          <w:rFonts w:asciiTheme="majorBidi" w:hAnsiTheme="majorBidi" w:cstheme="majorBidi"/>
        </w:rPr>
        <w:t>1,6% en 2021</w:t>
      </w:r>
      <w:r w:rsidR="00CE15E8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. Tandis que le transport </w:t>
      </w:r>
      <w:r w:rsidR="00322943" w:rsidRPr="00322943">
        <w:rPr>
          <w:rFonts w:asciiTheme="majorBidi" w:hAnsiTheme="majorBidi" w:cstheme="majorBidi"/>
        </w:rPr>
        <w:t xml:space="preserve">a enregistré </w:t>
      </w:r>
      <w:r w:rsidR="00322943">
        <w:rPr>
          <w:rFonts w:asciiTheme="majorBidi" w:hAnsiTheme="majorBidi" w:cstheme="majorBidi"/>
        </w:rPr>
        <w:t xml:space="preserve">au cours de cette période </w:t>
      </w:r>
      <w:r w:rsidR="00322943" w:rsidRPr="00322943">
        <w:rPr>
          <w:rFonts w:asciiTheme="majorBidi" w:hAnsiTheme="majorBidi" w:cstheme="majorBidi"/>
        </w:rPr>
        <w:t xml:space="preserve">des évolutions </w:t>
      </w:r>
      <w:r w:rsidR="00CE15E8">
        <w:rPr>
          <w:rFonts w:asciiTheme="majorBidi" w:hAnsiTheme="majorBidi" w:cstheme="majorBidi"/>
        </w:rPr>
        <w:t>moyennes de 1,1% (avec un niveau record de 5,9% en 2021).</w:t>
      </w:r>
      <w:r w:rsidR="00D2639B">
        <w:rPr>
          <w:rFonts w:asciiTheme="majorBidi" w:hAnsiTheme="majorBidi" w:cstheme="majorBidi"/>
        </w:rPr>
        <w:t xml:space="preserve"> </w:t>
      </w:r>
      <w:r w:rsidR="007A25CD">
        <w:rPr>
          <w:rFonts w:asciiTheme="majorBidi" w:hAnsiTheme="majorBidi" w:cstheme="majorBidi"/>
        </w:rPr>
        <w:t>Les</w:t>
      </w:r>
      <w:r w:rsidR="00D2639B">
        <w:rPr>
          <w:rFonts w:asciiTheme="majorBidi" w:hAnsiTheme="majorBidi" w:cstheme="majorBidi"/>
        </w:rPr>
        <w:t xml:space="preserve"> prix des produits alimentaires et </w:t>
      </w:r>
      <w:r w:rsidR="00D2639B" w:rsidRPr="00A2575A">
        <w:rPr>
          <w:rFonts w:asciiTheme="majorBidi" w:hAnsiTheme="majorBidi" w:cstheme="majorBidi"/>
          <w:color w:val="000000"/>
        </w:rPr>
        <w:t>boissons non alcoolisées</w:t>
      </w:r>
      <w:r w:rsidR="00D2639B">
        <w:rPr>
          <w:rFonts w:asciiTheme="majorBidi" w:hAnsiTheme="majorBidi" w:cstheme="majorBidi"/>
          <w:color w:val="000000"/>
        </w:rPr>
        <w:t xml:space="preserve"> ont connu </w:t>
      </w:r>
      <w:r w:rsidR="00CE15E8">
        <w:rPr>
          <w:rFonts w:asciiTheme="majorBidi" w:hAnsiTheme="majorBidi" w:cstheme="majorBidi"/>
          <w:color w:val="000000"/>
        </w:rPr>
        <w:t>une variation moyenne de 1,0% (avec un niveau de 0,5% en 2021)</w:t>
      </w:r>
      <w:r w:rsidR="00D2639B">
        <w:rPr>
          <w:rFonts w:asciiTheme="majorBidi" w:hAnsiTheme="majorBidi" w:cstheme="majorBidi"/>
        </w:rPr>
        <w:t>.</w:t>
      </w:r>
      <w:r w:rsidR="00824F6F">
        <w:rPr>
          <w:rFonts w:asciiTheme="majorBidi" w:hAnsiTheme="majorBidi" w:cstheme="majorBidi"/>
        </w:rPr>
        <w:t xml:space="preserve"> </w:t>
      </w:r>
      <w:r w:rsidR="00CE15E8">
        <w:rPr>
          <w:rFonts w:asciiTheme="majorBidi" w:hAnsiTheme="majorBidi" w:cstheme="majorBidi"/>
        </w:rPr>
        <w:t>En</w:t>
      </w:r>
      <w:r w:rsidR="00CE15E8" w:rsidRPr="00CE15E8">
        <w:rPr>
          <w:rFonts w:asciiTheme="majorBidi" w:hAnsiTheme="majorBidi" w:cstheme="majorBidi"/>
        </w:rPr>
        <w:t xml:space="preserve"> </w:t>
      </w:r>
      <w:r w:rsidR="00CE15E8">
        <w:rPr>
          <w:rFonts w:asciiTheme="majorBidi" w:hAnsiTheme="majorBidi" w:cstheme="majorBidi"/>
        </w:rPr>
        <w:t xml:space="preserve">revanche, les prix de la communication ont continué leur tendance baissière avec une variation moyenne de </w:t>
      </w:r>
      <w:r w:rsidR="007B2362">
        <w:rPr>
          <w:rFonts w:asciiTheme="majorBidi" w:hAnsiTheme="majorBidi" w:cstheme="majorBidi"/>
        </w:rPr>
        <w:t>-</w:t>
      </w:r>
      <w:r w:rsidR="00CE15E8">
        <w:rPr>
          <w:rFonts w:asciiTheme="majorBidi" w:hAnsiTheme="majorBidi" w:cstheme="majorBidi"/>
        </w:rPr>
        <w:t>3,8% depuis 2010.</w:t>
      </w:r>
    </w:p>
    <w:p w:rsidR="000D2020" w:rsidRDefault="000D2020" w:rsidP="000D2020">
      <w:pPr>
        <w:jc w:val="both"/>
        <w:rPr>
          <w:rFonts w:asciiTheme="majorBidi" w:hAnsiTheme="majorBidi" w:cstheme="majorBidi"/>
        </w:rPr>
      </w:pPr>
    </w:p>
    <w:p w:rsidR="00CE15E8" w:rsidRDefault="00CE15E8" w:rsidP="000D2020">
      <w:pPr>
        <w:jc w:val="both"/>
        <w:rPr>
          <w:rFonts w:asciiTheme="majorBidi" w:hAnsiTheme="majorBidi" w:cstheme="majorBidi"/>
        </w:rPr>
      </w:pPr>
    </w:p>
    <w:p w:rsidR="00CE15E8" w:rsidRDefault="00A12FB3" w:rsidP="000D2020">
      <w:pPr>
        <w:jc w:val="both"/>
        <w:rPr>
          <w:rFonts w:asciiTheme="majorBidi" w:hAnsiTheme="majorBidi" w:cstheme="majorBidi"/>
        </w:rPr>
      </w:pPr>
      <w:r w:rsidRPr="00A12FB3">
        <w:rPr>
          <w:rFonts w:asciiTheme="majorBidi" w:hAnsiTheme="majorBidi" w:cstheme="majorBidi"/>
          <w:noProof/>
        </w:rPr>
        <w:drawing>
          <wp:inline distT="0" distB="0" distL="0" distR="0">
            <wp:extent cx="5933026" cy="5836257"/>
            <wp:effectExtent l="38100" t="0" r="48674" b="69243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15E8" w:rsidRDefault="00CE15E8" w:rsidP="000D2020">
      <w:pPr>
        <w:jc w:val="both"/>
        <w:rPr>
          <w:rFonts w:asciiTheme="majorBidi" w:hAnsiTheme="majorBidi" w:cstheme="majorBidi"/>
        </w:rPr>
      </w:pPr>
    </w:p>
    <w:p w:rsidR="00CE15E8" w:rsidRDefault="00CE15E8" w:rsidP="000D2020">
      <w:pPr>
        <w:jc w:val="both"/>
        <w:rPr>
          <w:rFonts w:asciiTheme="majorBidi" w:hAnsiTheme="majorBidi" w:cstheme="majorBidi"/>
        </w:rPr>
      </w:pPr>
    </w:p>
    <w:p w:rsidR="00CE15E8" w:rsidRDefault="00CE15E8" w:rsidP="000D2020">
      <w:pPr>
        <w:jc w:val="both"/>
        <w:rPr>
          <w:rFonts w:asciiTheme="majorBidi" w:hAnsiTheme="majorBidi" w:cstheme="majorBidi"/>
        </w:rPr>
      </w:pPr>
    </w:p>
    <w:p w:rsidR="000701EC" w:rsidRPr="00444374" w:rsidRDefault="000701EC" w:rsidP="000D2020">
      <w:pPr>
        <w:jc w:val="both"/>
        <w:rPr>
          <w:rFonts w:asciiTheme="majorBidi" w:hAnsiTheme="majorBidi" w:cstheme="majorBidi"/>
          <w:b/>
          <w:bCs/>
        </w:rPr>
      </w:pPr>
      <w:r w:rsidRPr="00444374">
        <w:rPr>
          <w:rFonts w:asciiTheme="majorBidi" w:hAnsiTheme="majorBidi" w:cstheme="majorBidi"/>
          <w:b/>
          <w:bCs/>
        </w:rPr>
        <w:lastRenderedPageBreak/>
        <w:t>2021 : une année particulière marquée par des hausses record</w:t>
      </w:r>
    </w:p>
    <w:p w:rsidR="000701EC" w:rsidRDefault="000701EC" w:rsidP="000D2020">
      <w:pPr>
        <w:jc w:val="both"/>
        <w:rPr>
          <w:rFonts w:asciiTheme="majorBidi" w:hAnsiTheme="majorBidi" w:cstheme="majorBidi"/>
          <w:b/>
          <w:bCs/>
          <w:color w:val="FF6600"/>
        </w:rPr>
      </w:pPr>
    </w:p>
    <w:p w:rsidR="009916E7" w:rsidRPr="00B06F3C" w:rsidRDefault="009916E7" w:rsidP="009916E7">
      <w:pPr>
        <w:pStyle w:val="Paragraphedeliste"/>
        <w:numPr>
          <w:ilvl w:val="0"/>
          <w:numId w:val="6"/>
        </w:numPr>
        <w:rPr>
          <w:b/>
          <w:bCs/>
        </w:rPr>
      </w:pPr>
      <w:r w:rsidRPr="00B06F3C">
        <w:rPr>
          <w:b/>
          <w:bCs/>
        </w:rPr>
        <w:t>Inflation plus marqué</w:t>
      </w:r>
      <w:r w:rsidR="00F5679D">
        <w:rPr>
          <w:b/>
          <w:bCs/>
        </w:rPr>
        <w:t>e</w:t>
      </w:r>
      <w:r w:rsidRPr="00B06F3C">
        <w:rPr>
          <w:b/>
          <w:bCs/>
        </w:rPr>
        <w:t xml:space="preserve"> </w:t>
      </w:r>
      <w:r w:rsidR="00B06F3C" w:rsidRPr="00B06F3C">
        <w:rPr>
          <w:b/>
          <w:bCs/>
        </w:rPr>
        <w:t>à partir du mois d’avril 2021</w:t>
      </w:r>
    </w:p>
    <w:p w:rsidR="000701EC" w:rsidRDefault="007D735B" w:rsidP="00966371">
      <w:r>
        <w:t>L</w:t>
      </w:r>
      <w:r w:rsidR="000701EC">
        <w:t xml:space="preserve">’inflation au sens de l’indice des prix à la consommation a atteint son plus haut niveau pendant le mois </w:t>
      </w:r>
      <w:r>
        <w:t xml:space="preserve">de </w:t>
      </w:r>
      <w:r w:rsidR="00966371">
        <w:t>février</w:t>
      </w:r>
      <w:r>
        <w:t xml:space="preserve"> </w:t>
      </w:r>
      <w:r w:rsidR="000701EC">
        <w:t>202</w:t>
      </w:r>
      <w:r>
        <w:t>2</w:t>
      </w:r>
      <w:r w:rsidR="000701EC">
        <w:t xml:space="preserve"> avec 3,</w:t>
      </w:r>
      <w:r w:rsidR="00966371">
        <w:t>6</w:t>
      </w:r>
      <w:r w:rsidR="000701EC">
        <w:t xml:space="preserve">% </w:t>
      </w:r>
      <w:r>
        <w:t>en termes de glissement annuel</w:t>
      </w:r>
      <w:r w:rsidR="000701EC">
        <w:t xml:space="preserve">. </w:t>
      </w:r>
      <w:r>
        <w:t xml:space="preserve">Cette hausse est due essentiellement </w:t>
      </w:r>
      <w:r w:rsidR="000701EC">
        <w:t xml:space="preserve">à la hausse de l’indice des produits alimentaires de </w:t>
      </w:r>
      <w:r w:rsidR="00966371">
        <w:t>5</w:t>
      </w:r>
      <w:r w:rsidR="000701EC">
        <w:t>,</w:t>
      </w:r>
      <w:r w:rsidR="00966371">
        <w:t>5</w:t>
      </w:r>
      <w:r w:rsidR="000701EC">
        <w:t>% et de celui des produits non alimentaires de 2,</w:t>
      </w:r>
      <w:r w:rsidR="00966371">
        <w:t>5</w:t>
      </w:r>
      <w:r w:rsidR="000701EC">
        <w:t xml:space="preserve">%. </w:t>
      </w:r>
    </w:p>
    <w:p w:rsidR="000701EC" w:rsidRDefault="000701EC" w:rsidP="000D2020">
      <w:pPr>
        <w:jc w:val="both"/>
        <w:rPr>
          <w:rFonts w:asciiTheme="majorBidi" w:hAnsiTheme="majorBidi" w:cstheme="majorBidi"/>
          <w:b/>
          <w:bCs/>
          <w:color w:val="FF6600"/>
        </w:rPr>
      </w:pPr>
    </w:p>
    <w:p w:rsidR="007D735B" w:rsidRDefault="00731C44" w:rsidP="000D2020">
      <w:pPr>
        <w:jc w:val="both"/>
        <w:rPr>
          <w:rFonts w:asciiTheme="majorBidi" w:hAnsiTheme="majorBidi" w:cstheme="majorBidi"/>
          <w:b/>
          <w:bCs/>
          <w:color w:val="FF6600"/>
        </w:rPr>
      </w:pPr>
      <w:r w:rsidRPr="00731C44">
        <w:rPr>
          <w:rFonts w:asciiTheme="majorBidi" w:hAnsiTheme="majorBidi" w:cstheme="majorBidi"/>
          <w:b/>
          <w:bCs/>
          <w:noProof/>
          <w:color w:val="FF6600"/>
        </w:rPr>
        <w:drawing>
          <wp:inline distT="0" distB="0" distL="0" distR="0">
            <wp:extent cx="5932777" cy="4778734"/>
            <wp:effectExtent l="38100" t="0" r="48923" b="79016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735B" w:rsidRDefault="007D735B" w:rsidP="000D2020">
      <w:pPr>
        <w:jc w:val="both"/>
        <w:rPr>
          <w:rFonts w:asciiTheme="majorBidi" w:hAnsiTheme="majorBidi" w:cstheme="majorBidi"/>
          <w:b/>
          <w:bCs/>
          <w:color w:val="FF6600"/>
        </w:rPr>
      </w:pPr>
    </w:p>
    <w:p w:rsidR="007D735B" w:rsidRDefault="007D735B" w:rsidP="000D2020">
      <w:pPr>
        <w:jc w:val="both"/>
        <w:rPr>
          <w:rFonts w:asciiTheme="majorBidi" w:hAnsiTheme="majorBidi" w:cstheme="majorBidi"/>
          <w:b/>
          <w:bCs/>
          <w:color w:val="FF6600"/>
        </w:rPr>
      </w:pPr>
    </w:p>
    <w:p w:rsidR="000701EC" w:rsidRDefault="000701EC" w:rsidP="000D2020">
      <w:pPr>
        <w:jc w:val="both"/>
        <w:rPr>
          <w:rFonts w:asciiTheme="majorBidi" w:hAnsiTheme="majorBidi" w:cstheme="majorBidi"/>
          <w:b/>
          <w:bCs/>
          <w:color w:val="FF6600"/>
        </w:rPr>
      </w:pPr>
    </w:p>
    <w:p w:rsidR="000701EC" w:rsidRDefault="007D735B" w:rsidP="001928BF">
      <w:pPr>
        <w:jc w:val="both"/>
      </w:pPr>
      <w:r>
        <w:t xml:space="preserve">En ce qui concerne les produits alimentaires, la hausse a débuté depuis </w:t>
      </w:r>
      <w:r w:rsidR="00EA506A">
        <w:t xml:space="preserve">le mois de janvier 2021 </w:t>
      </w:r>
      <w:r>
        <w:t xml:space="preserve">avec des taux de </w:t>
      </w:r>
      <w:r w:rsidR="00EA506A">
        <w:t>1</w:t>
      </w:r>
      <w:r>
        <w:t>,</w:t>
      </w:r>
      <w:r w:rsidR="00EA506A">
        <w:t>8</w:t>
      </w:r>
      <w:r>
        <w:t xml:space="preserve">% pour les huiles et graisses </w:t>
      </w:r>
      <w:r w:rsidR="00EA506A">
        <w:t>pour atteindre des variations à deux chiffres</w:t>
      </w:r>
      <w:r w:rsidR="00F03480">
        <w:t xml:space="preserve"> avec</w:t>
      </w:r>
      <w:r w:rsidR="00EA506A">
        <w:t xml:space="preserve"> </w:t>
      </w:r>
      <w:r>
        <w:t>1</w:t>
      </w:r>
      <w:r w:rsidR="001928BF">
        <w:t>3</w:t>
      </w:r>
      <w:r>
        <w:t>,</w:t>
      </w:r>
      <w:r w:rsidR="001928BF">
        <w:t>7</w:t>
      </w:r>
      <w:r w:rsidR="00EA506A">
        <w:t>%</w:t>
      </w:r>
      <w:r>
        <w:t xml:space="preserve"> en </w:t>
      </w:r>
      <w:r w:rsidR="001928BF">
        <w:t>février</w:t>
      </w:r>
      <w:r>
        <w:t xml:space="preserve"> 2022, </w:t>
      </w:r>
      <w:r w:rsidR="00EA506A">
        <w:t xml:space="preserve">La hausse des prix des </w:t>
      </w:r>
      <w:r>
        <w:t>pain et céréales</w:t>
      </w:r>
      <w:r w:rsidR="00EA506A">
        <w:t xml:space="preserve"> a connu une accélération notable depuis septembre 2021 avec 5</w:t>
      </w:r>
      <w:r w:rsidR="00F03480">
        <w:t>,0</w:t>
      </w:r>
      <w:r w:rsidR="00EA506A">
        <w:t xml:space="preserve">% pour atteindre </w:t>
      </w:r>
      <w:r w:rsidR="001928BF">
        <w:t>13</w:t>
      </w:r>
      <w:r w:rsidR="00EA506A">
        <w:t>,</w:t>
      </w:r>
      <w:r w:rsidR="001928BF">
        <w:t>2</w:t>
      </w:r>
      <w:r w:rsidR="00EA506A">
        <w:t xml:space="preserve">% en </w:t>
      </w:r>
      <w:r w:rsidR="001928BF">
        <w:t xml:space="preserve">février </w:t>
      </w:r>
      <w:r w:rsidR="00EA506A">
        <w:t>2022.</w:t>
      </w:r>
      <w:r w:rsidR="00F03480">
        <w:t xml:space="preserve"> Pour les produits non alimentaire</w:t>
      </w:r>
      <w:r w:rsidR="007A25CD">
        <w:t>s, la hausse la plus importante</w:t>
      </w:r>
      <w:r w:rsidR="00F03480">
        <w:t xml:space="preserve"> a été enregistrée au niveau des carburants et lubrifiants avec des hausses successives depuis avril 2021. Le prix du gasoil à la pompe a dépassé le niveau </w:t>
      </w:r>
      <w:r w:rsidR="008D65B7">
        <w:t xml:space="preserve">de </w:t>
      </w:r>
      <w:r w:rsidR="00F03480">
        <w:t xml:space="preserve">11dh/litre. L’augmentation du mois de </w:t>
      </w:r>
      <w:r w:rsidR="001928BF">
        <w:t xml:space="preserve">février </w:t>
      </w:r>
      <w:r w:rsidR="00F03480">
        <w:t xml:space="preserve">a été de </w:t>
      </w:r>
      <w:r w:rsidR="001928BF">
        <w:t>22</w:t>
      </w:r>
      <w:r w:rsidR="00F03480">
        <w:t>,</w:t>
      </w:r>
      <w:r w:rsidR="001928BF">
        <w:t>0</w:t>
      </w:r>
      <w:r w:rsidR="00F03480">
        <w:t xml:space="preserve">% en </w:t>
      </w:r>
      <w:r w:rsidR="007A25CD">
        <w:t>termes</w:t>
      </w:r>
      <w:r w:rsidR="00F03480">
        <w:t xml:space="preserve"> de glissement annuel.</w:t>
      </w:r>
    </w:p>
    <w:p w:rsidR="00EA506A" w:rsidRDefault="00EA506A" w:rsidP="007A25CD">
      <w:pPr>
        <w:jc w:val="both"/>
      </w:pPr>
    </w:p>
    <w:p w:rsidR="007D735B" w:rsidRDefault="00940FC3" w:rsidP="007D735B">
      <w:r w:rsidRPr="00940FC3">
        <w:rPr>
          <w:noProof/>
        </w:rPr>
        <w:lastRenderedPageBreak/>
        <w:drawing>
          <wp:inline distT="0" distB="0" distL="0" distR="0">
            <wp:extent cx="5937250" cy="3514477"/>
            <wp:effectExtent l="38100" t="0" r="63500" b="66923"/>
            <wp:docPr id="13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735B" w:rsidRDefault="007D735B" w:rsidP="007D735B"/>
    <w:p w:rsidR="007D735B" w:rsidRDefault="007D735B" w:rsidP="007D735B"/>
    <w:p w:rsidR="00C07726" w:rsidRPr="00B06F3C" w:rsidRDefault="00B06F3C" w:rsidP="003F31DD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</w:rPr>
      </w:pPr>
      <w:r w:rsidRPr="00B06F3C">
        <w:rPr>
          <w:rFonts w:asciiTheme="majorBidi" w:hAnsiTheme="majorBidi" w:cstheme="majorBidi"/>
          <w:b/>
          <w:bCs/>
        </w:rPr>
        <w:t xml:space="preserve">L’inflation sous-jacente </w:t>
      </w:r>
      <w:r w:rsidR="003F31DD">
        <w:rPr>
          <w:rFonts w:asciiTheme="majorBidi" w:hAnsiTheme="majorBidi" w:cstheme="majorBidi"/>
          <w:b/>
          <w:bCs/>
        </w:rPr>
        <w:t xml:space="preserve">plus </w:t>
      </w:r>
      <w:r w:rsidRPr="00B06F3C">
        <w:rPr>
          <w:rFonts w:asciiTheme="majorBidi" w:hAnsiTheme="majorBidi" w:cstheme="majorBidi"/>
          <w:b/>
          <w:bCs/>
        </w:rPr>
        <w:t>marquée au cours de l’année 2021</w:t>
      </w:r>
    </w:p>
    <w:p w:rsidR="00B06F3C" w:rsidRDefault="00B06F3C" w:rsidP="00C07726">
      <w:pPr>
        <w:jc w:val="both"/>
        <w:rPr>
          <w:rFonts w:asciiTheme="majorBidi" w:hAnsiTheme="majorBidi" w:cstheme="majorBidi"/>
        </w:rPr>
      </w:pPr>
    </w:p>
    <w:p w:rsidR="00B617E6" w:rsidRDefault="00B06F3C" w:rsidP="001127C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L’inflation sous</w:t>
      </w:r>
      <w:r w:rsidR="00534AE5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jacente qui exclue les produits à prix volatiles et les produits réglementés a connu à partir du mois d’avril 2021 une évolution accélérée. </w:t>
      </w:r>
      <w:r w:rsidR="007A25CD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 xml:space="preserve">’indice </w:t>
      </w:r>
      <w:r w:rsidR="005F2F01">
        <w:rPr>
          <w:rFonts w:asciiTheme="majorBidi" w:hAnsiTheme="majorBidi" w:cstheme="majorBidi"/>
        </w:rPr>
        <w:t xml:space="preserve">moyen </w:t>
      </w:r>
      <w:r>
        <w:rPr>
          <w:rFonts w:asciiTheme="majorBidi" w:hAnsiTheme="majorBidi" w:cstheme="majorBidi"/>
        </w:rPr>
        <w:t xml:space="preserve">sous jacent </w:t>
      </w:r>
      <w:r w:rsidR="005F2F01">
        <w:rPr>
          <w:rFonts w:asciiTheme="majorBidi" w:hAnsiTheme="majorBidi" w:cstheme="majorBidi"/>
        </w:rPr>
        <w:t xml:space="preserve">des prix à la consommation </w:t>
      </w:r>
      <w:r w:rsidR="009100B0">
        <w:rPr>
          <w:rFonts w:asciiTheme="majorBidi" w:hAnsiTheme="majorBidi" w:cstheme="majorBidi"/>
        </w:rPr>
        <w:t xml:space="preserve">(ISJ) </w:t>
      </w:r>
      <w:r w:rsidR="00B617E6">
        <w:rPr>
          <w:rFonts w:asciiTheme="majorBidi" w:hAnsiTheme="majorBidi" w:cstheme="majorBidi"/>
        </w:rPr>
        <w:t>a connu une hausse de 3,</w:t>
      </w:r>
      <w:r w:rsidR="00331C2C">
        <w:rPr>
          <w:rFonts w:asciiTheme="majorBidi" w:hAnsiTheme="majorBidi" w:cstheme="majorBidi"/>
        </w:rPr>
        <w:t>5</w:t>
      </w:r>
      <w:r w:rsidR="00B617E6">
        <w:rPr>
          <w:rFonts w:asciiTheme="majorBidi" w:hAnsiTheme="majorBidi" w:cstheme="majorBidi"/>
        </w:rPr>
        <w:t xml:space="preserve">% en </w:t>
      </w:r>
      <w:r w:rsidR="00331C2C">
        <w:rPr>
          <w:rFonts w:asciiTheme="majorBidi" w:hAnsiTheme="majorBidi" w:cstheme="majorBidi"/>
        </w:rPr>
        <w:t xml:space="preserve">février </w:t>
      </w:r>
      <w:r w:rsidR="00B617E6">
        <w:rPr>
          <w:rFonts w:asciiTheme="majorBidi" w:hAnsiTheme="majorBidi" w:cstheme="majorBidi"/>
        </w:rPr>
        <w:t>2022 contre 0,9% au mois d’avril 2021.</w:t>
      </w:r>
      <w:r w:rsidR="00331C2C">
        <w:rPr>
          <w:rFonts w:asciiTheme="majorBidi" w:hAnsiTheme="majorBidi" w:cstheme="majorBidi"/>
        </w:rPr>
        <w:t xml:space="preserve"> </w:t>
      </w:r>
      <w:r w:rsidR="00B617E6">
        <w:rPr>
          <w:rFonts w:asciiTheme="majorBidi" w:hAnsiTheme="majorBidi" w:cstheme="majorBidi"/>
        </w:rPr>
        <w:t>I</w:t>
      </w:r>
      <w:r w:rsidR="00331C2C">
        <w:rPr>
          <w:rFonts w:asciiTheme="majorBidi" w:hAnsiTheme="majorBidi" w:cstheme="majorBidi"/>
        </w:rPr>
        <w:t>l</w:t>
      </w:r>
      <w:r w:rsidR="00B617E6">
        <w:rPr>
          <w:rFonts w:asciiTheme="majorBidi" w:hAnsiTheme="majorBidi" w:cstheme="majorBidi"/>
        </w:rPr>
        <w:t xml:space="preserve"> a évolué </w:t>
      </w:r>
      <w:r w:rsidR="008F4DE2">
        <w:rPr>
          <w:rFonts w:asciiTheme="majorBidi" w:hAnsiTheme="majorBidi" w:cstheme="majorBidi"/>
        </w:rPr>
        <w:t>en moyenne de</w:t>
      </w:r>
      <w:r w:rsidR="00B617E6">
        <w:rPr>
          <w:rFonts w:asciiTheme="majorBidi" w:hAnsiTheme="majorBidi" w:cstheme="majorBidi"/>
        </w:rPr>
        <w:t xml:space="preserve"> </w:t>
      </w:r>
      <w:r w:rsidR="001127C3">
        <w:rPr>
          <w:rFonts w:asciiTheme="majorBidi" w:hAnsiTheme="majorBidi" w:cstheme="majorBidi"/>
        </w:rPr>
        <w:t>2</w:t>
      </w:r>
      <w:r w:rsidR="008F4DE2">
        <w:rPr>
          <w:rFonts w:asciiTheme="majorBidi" w:hAnsiTheme="majorBidi" w:cstheme="majorBidi"/>
        </w:rPr>
        <w:t>,</w:t>
      </w:r>
      <w:r w:rsidR="001127C3">
        <w:rPr>
          <w:rFonts w:asciiTheme="majorBidi" w:hAnsiTheme="majorBidi" w:cstheme="majorBidi"/>
        </w:rPr>
        <w:t>0</w:t>
      </w:r>
      <w:r w:rsidR="008F4DE2">
        <w:rPr>
          <w:rFonts w:asciiTheme="majorBidi" w:hAnsiTheme="majorBidi" w:cstheme="majorBidi"/>
        </w:rPr>
        <w:t>% au cours de</w:t>
      </w:r>
      <w:r>
        <w:rPr>
          <w:rFonts w:asciiTheme="majorBidi" w:hAnsiTheme="majorBidi" w:cstheme="majorBidi"/>
        </w:rPr>
        <w:t xml:space="preserve"> la période </w:t>
      </w:r>
      <w:r w:rsidR="00571E20">
        <w:rPr>
          <w:rFonts w:asciiTheme="majorBidi" w:hAnsiTheme="majorBidi" w:cstheme="majorBidi"/>
        </w:rPr>
        <w:t>d’</w:t>
      </w:r>
      <w:r w:rsidR="008F4DE2">
        <w:rPr>
          <w:rFonts w:asciiTheme="majorBidi" w:hAnsiTheme="majorBidi" w:cstheme="majorBidi"/>
        </w:rPr>
        <w:t>avril 2021 au décembre 2021 contre 0,</w:t>
      </w:r>
      <w:r w:rsidR="001127C3">
        <w:rPr>
          <w:rFonts w:asciiTheme="majorBidi" w:hAnsiTheme="majorBidi" w:cstheme="majorBidi"/>
        </w:rPr>
        <w:t>2</w:t>
      </w:r>
      <w:r w:rsidR="008F4DE2">
        <w:rPr>
          <w:rFonts w:asciiTheme="majorBidi" w:hAnsiTheme="majorBidi" w:cstheme="majorBidi"/>
        </w:rPr>
        <w:t>% au cours de la même période de 2020.</w:t>
      </w:r>
    </w:p>
    <w:p w:rsidR="00B617E6" w:rsidRDefault="00B617E6" w:rsidP="005F2F01">
      <w:pPr>
        <w:jc w:val="both"/>
        <w:rPr>
          <w:rFonts w:asciiTheme="majorBidi" w:hAnsiTheme="majorBidi" w:cstheme="majorBidi"/>
        </w:rPr>
      </w:pPr>
    </w:p>
    <w:p w:rsidR="00B06F3C" w:rsidRDefault="005A26EB" w:rsidP="00B06F3C">
      <w:pPr>
        <w:jc w:val="both"/>
        <w:rPr>
          <w:rFonts w:asciiTheme="majorBidi" w:hAnsiTheme="majorBidi" w:cstheme="majorBidi"/>
        </w:rPr>
      </w:pPr>
      <w:r w:rsidRPr="005A26EB">
        <w:rPr>
          <w:rFonts w:asciiTheme="majorBidi" w:hAnsiTheme="majorBidi" w:cstheme="majorBidi"/>
          <w:noProof/>
        </w:rPr>
        <w:drawing>
          <wp:inline distT="0" distB="0" distL="0" distR="0">
            <wp:extent cx="5937250" cy="3554233"/>
            <wp:effectExtent l="38100" t="0" r="63500" b="84317"/>
            <wp:docPr id="1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6F3C" w:rsidRDefault="00B06F3C" w:rsidP="00C07726">
      <w:pPr>
        <w:jc w:val="both"/>
        <w:rPr>
          <w:rFonts w:asciiTheme="majorBidi" w:hAnsiTheme="majorBidi" w:cstheme="majorBidi"/>
        </w:rPr>
      </w:pPr>
    </w:p>
    <w:p w:rsidR="00C07726" w:rsidRPr="00444374" w:rsidRDefault="00C07726" w:rsidP="00370FD3">
      <w:pPr>
        <w:jc w:val="both"/>
        <w:rPr>
          <w:rFonts w:asciiTheme="majorBidi" w:hAnsiTheme="majorBidi" w:cstheme="majorBidi"/>
          <w:b/>
          <w:bCs/>
        </w:rPr>
      </w:pPr>
      <w:r w:rsidRPr="00444374">
        <w:rPr>
          <w:rFonts w:asciiTheme="majorBidi" w:hAnsiTheme="majorBidi" w:cstheme="majorBidi"/>
          <w:b/>
          <w:bCs/>
        </w:rPr>
        <w:t xml:space="preserve">2022 : début sous le </w:t>
      </w:r>
      <w:r w:rsidR="00370FD3">
        <w:rPr>
          <w:rFonts w:asciiTheme="majorBidi" w:hAnsiTheme="majorBidi" w:cstheme="majorBidi"/>
          <w:b/>
          <w:bCs/>
        </w:rPr>
        <w:t xml:space="preserve">choc </w:t>
      </w:r>
      <w:r w:rsidRPr="00444374">
        <w:rPr>
          <w:rFonts w:asciiTheme="majorBidi" w:hAnsiTheme="majorBidi" w:cstheme="majorBidi"/>
          <w:b/>
          <w:bCs/>
        </w:rPr>
        <w:t xml:space="preserve">d’une hausse accélérée de l’inflation  </w:t>
      </w:r>
    </w:p>
    <w:p w:rsidR="00C07726" w:rsidRPr="00444374" w:rsidRDefault="00C07726" w:rsidP="00C07726">
      <w:pPr>
        <w:jc w:val="both"/>
        <w:rPr>
          <w:rFonts w:asciiTheme="majorBidi" w:hAnsiTheme="majorBidi" w:cstheme="majorBidi"/>
          <w:b/>
          <w:bCs/>
        </w:rPr>
      </w:pPr>
    </w:p>
    <w:p w:rsidR="00C07726" w:rsidRDefault="00B35D24" w:rsidP="00255317">
      <w:pPr>
        <w:jc w:val="both"/>
        <w:rPr>
          <w:rFonts w:asciiTheme="majorBidi" w:hAnsiTheme="majorBidi" w:cstheme="majorBidi"/>
        </w:rPr>
      </w:pPr>
      <w:r w:rsidRPr="00B35D24">
        <w:rPr>
          <w:rFonts w:asciiTheme="majorBidi" w:hAnsiTheme="majorBidi" w:cstheme="majorBidi"/>
        </w:rPr>
        <w:t xml:space="preserve">L’accélération qu’a subie l’indice des prix à la consommation </w:t>
      </w:r>
      <w:r w:rsidR="00661A4A">
        <w:rPr>
          <w:rFonts w:asciiTheme="majorBidi" w:hAnsiTheme="majorBidi" w:cstheme="majorBidi"/>
        </w:rPr>
        <w:t xml:space="preserve">depuis </w:t>
      </w:r>
      <w:r w:rsidRPr="00B35D24">
        <w:rPr>
          <w:rFonts w:asciiTheme="majorBidi" w:hAnsiTheme="majorBidi" w:cstheme="majorBidi"/>
        </w:rPr>
        <w:t xml:space="preserve">le </w:t>
      </w:r>
      <w:r w:rsidR="00661A4A">
        <w:rPr>
          <w:rFonts w:asciiTheme="majorBidi" w:hAnsiTheme="majorBidi" w:cstheme="majorBidi"/>
        </w:rPr>
        <w:t xml:space="preserve">début de l’année </w:t>
      </w:r>
      <w:r>
        <w:rPr>
          <w:rFonts w:asciiTheme="majorBidi" w:hAnsiTheme="majorBidi" w:cstheme="majorBidi"/>
        </w:rPr>
        <w:t>2022</w:t>
      </w:r>
      <w:r w:rsidR="00255317">
        <w:rPr>
          <w:rFonts w:asciiTheme="majorBidi" w:hAnsiTheme="majorBidi" w:cstheme="majorBidi"/>
        </w:rPr>
        <w:t xml:space="preserve">, a atteint le niveau de </w:t>
      </w:r>
      <w:r w:rsidR="00661A4A">
        <w:rPr>
          <w:rFonts w:asciiTheme="majorBidi" w:hAnsiTheme="majorBidi" w:cstheme="majorBidi"/>
        </w:rPr>
        <w:t xml:space="preserve">3,3% </w:t>
      </w:r>
      <w:r w:rsidR="00255317">
        <w:rPr>
          <w:rFonts w:asciiTheme="majorBidi" w:hAnsiTheme="majorBidi" w:cstheme="majorBidi"/>
        </w:rPr>
        <w:t xml:space="preserve">au cours des deux premiers mois de l’année 2022 </w:t>
      </w:r>
      <w:r w:rsidR="00661A4A">
        <w:rPr>
          <w:rFonts w:asciiTheme="majorBidi" w:hAnsiTheme="majorBidi" w:cstheme="majorBidi"/>
        </w:rPr>
        <w:t>comparativement au</w:t>
      </w:r>
      <w:r w:rsidR="00255317">
        <w:rPr>
          <w:rFonts w:asciiTheme="majorBidi" w:hAnsiTheme="majorBidi" w:cstheme="majorBidi"/>
        </w:rPr>
        <w:t>x</w:t>
      </w:r>
      <w:r w:rsidR="00661A4A">
        <w:rPr>
          <w:rFonts w:asciiTheme="majorBidi" w:hAnsiTheme="majorBidi" w:cstheme="majorBidi"/>
        </w:rPr>
        <w:t xml:space="preserve"> deux premiers mois de l’année 2021</w:t>
      </w:r>
      <w:r w:rsidRPr="00B35D24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résulte principalement </w:t>
      </w:r>
      <w:r w:rsidRPr="00B35D24">
        <w:rPr>
          <w:rFonts w:asciiTheme="majorBidi" w:hAnsiTheme="majorBidi" w:cstheme="majorBidi"/>
        </w:rPr>
        <w:t>de la hausse de l’indice des produits alimentaires de 4,</w:t>
      </w:r>
      <w:r w:rsidR="00661A4A">
        <w:rPr>
          <w:rFonts w:asciiTheme="majorBidi" w:hAnsiTheme="majorBidi" w:cstheme="majorBidi"/>
        </w:rPr>
        <w:t>9</w:t>
      </w:r>
      <w:r w:rsidRPr="00B35D24">
        <w:rPr>
          <w:rFonts w:asciiTheme="majorBidi" w:hAnsiTheme="majorBidi" w:cstheme="majorBidi"/>
        </w:rPr>
        <w:t>% et de celui des produits non alimentaires de 2,</w:t>
      </w:r>
      <w:r w:rsidR="00661A4A">
        <w:rPr>
          <w:rFonts w:asciiTheme="majorBidi" w:hAnsiTheme="majorBidi" w:cstheme="majorBidi"/>
        </w:rPr>
        <w:t>4</w:t>
      </w:r>
      <w:r w:rsidRPr="00B35D24">
        <w:rPr>
          <w:rFonts w:asciiTheme="majorBidi" w:hAnsiTheme="majorBidi" w:cstheme="majorBidi"/>
        </w:rPr>
        <w:t xml:space="preserve">%. </w:t>
      </w:r>
      <w:r w:rsidR="005E411E">
        <w:rPr>
          <w:rFonts w:asciiTheme="majorBidi" w:hAnsiTheme="majorBidi" w:cstheme="majorBidi"/>
        </w:rPr>
        <w:t>Pour les produits alimentaires, les hausses les plus importantes concernent les « huiles et graisses » avec 14,</w:t>
      </w:r>
      <w:r w:rsidR="005C6947">
        <w:rPr>
          <w:rFonts w:asciiTheme="majorBidi" w:hAnsiTheme="majorBidi" w:cstheme="majorBidi"/>
        </w:rPr>
        <w:t>2</w:t>
      </w:r>
      <w:r w:rsidR="005E411E">
        <w:rPr>
          <w:rFonts w:asciiTheme="majorBidi" w:hAnsiTheme="majorBidi" w:cstheme="majorBidi"/>
        </w:rPr>
        <w:t xml:space="preserve">%, « pains et céréales » avec </w:t>
      </w:r>
      <w:r w:rsidR="005C6947">
        <w:rPr>
          <w:rFonts w:asciiTheme="majorBidi" w:hAnsiTheme="majorBidi" w:cstheme="majorBidi"/>
        </w:rPr>
        <w:t>11</w:t>
      </w:r>
      <w:r w:rsidR="005E411E">
        <w:rPr>
          <w:rFonts w:asciiTheme="majorBidi" w:hAnsiTheme="majorBidi" w:cstheme="majorBidi"/>
        </w:rPr>
        <w:t>,</w:t>
      </w:r>
      <w:r w:rsidR="005C6947">
        <w:rPr>
          <w:rFonts w:asciiTheme="majorBidi" w:hAnsiTheme="majorBidi" w:cstheme="majorBidi"/>
        </w:rPr>
        <w:t>5</w:t>
      </w:r>
      <w:r w:rsidR="005E411E">
        <w:rPr>
          <w:rFonts w:asciiTheme="majorBidi" w:hAnsiTheme="majorBidi" w:cstheme="majorBidi"/>
        </w:rPr>
        <w:t xml:space="preserve">%, </w:t>
      </w:r>
      <w:r w:rsidR="00255317">
        <w:rPr>
          <w:rFonts w:asciiTheme="majorBidi" w:hAnsiTheme="majorBidi" w:cstheme="majorBidi"/>
        </w:rPr>
        <w:t xml:space="preserve">les « légumes » avec  4,5% et les </w:t>
      </w:r>
      <w:r w:rsidR="005E411E">
        <w:rPr>
          <w:rFonts w:asciiTheme="majorBidi" w:hAnsiTheme="majorBidi" w:cstheme="majorBidi"/>
        </w:rPr>
        <w:t>« viande</w:t>
      </w:r>
      <w:r w:rsidR="00255317">
        <w:rPr>
          <w:rFonts w:asciiTheme="majorBidi" w:hAnsiTheme="majorBidi" w:cstheme="majorBidi"/>
        </w:rPr>
        <w:t>s</w:t>
      </w:r>
      <w:r w:rsidR="005E411E">
        <w:rPr>
          <w:rFonts w:asciiTheme="majorBidi" w:hAnsiTheme="majorBidi" w:cstheme="majorBidi"/>
        </w:rPr>
        <w:t xml:space="preserve"> » avec </w:t>
      </w:r>
      <w:r w:rsidR="005C6947">
        <w:rPr>
          <w:rFonts w:asciiTheme="majorBidi" w:hAnsiTheme="majorBidi" w:cstheme="majorBidi"/>
        </w:rPr>
        <w:t>4</w:t>
      </w:r>
      <w:r w:rsidR="005E411E">
        <w:rPr>
          <w:rFonts w:asciiTheme="majorBidi" w:hAnsiTheme="majorBidi" w:cstheme="majorBidi"/>
        </w:rPr>
        <w:t>,</w:t>
      </w:r>
      <w:r w:rsidR="005C6947">
        <w:rPr>
          <w:rFonts w:asciiTheme="majorBidi" w:hAnsiTheme="majorBidi" w:cstheme="majorBidi"/>
        </w:rPr>
        <w:t>1</w:t>
      </w:r>
      <w:r w:rsidR="005E411E">
        <w:rPr>
          <w:rFonts w:asciiTheme="majorBidi" w:hAnsiTheme="majorBidi" w:cstheme="majorBidi"/>
        </w:rPr>
        <w:t xml:space="preserve">%. </w:t>
      </w:r>
      <w:r w:rsidRPr="00B35D24">
        <w:rPr>
          <w:rFonts w:asciiTheme="majorBidi" w:hAnsiTheme="majorBidi" w:cstheme="majorBidi"/>
        </w:rPr>
        <w:t xml:space="preserve"> </w:t>
      </w:r>
      <w:r w:rsidR="005E411E">
        <w:rPr>
          <w:rFonts w:asciiTheme="majorBidi" w:hAnsiTheme="majorBidi" w:cstheme="majorBidi"/>
        </w:rPr>
        <w:t xml:space="preserve">En revanche, les prix des « fruits » et </w:t>
      </w:r>
      <w:r w:rsidR="00255317">
        <w:rPr>
          <w:rFonts w:asciiTheme="majorBidi" w:hAnsiTheme="majorBidi" w:cstheme="majorBidi"/>
        </w:rPr>
        <w:t>d</w:t>
      </w:r>
      <w:r w:rsidR="005E411E">
        <w:rPr>
          <w:rFonts w:asciiTheme="majorBidi" w:hAnsiTheme="majorBidi" w:cstheme="majorBidi"/>
        </w:rPr>
        <w:t>es « poissons » ont enregistré des</w:t>
      </w:r>
      <w:r w:rsidR="005C6947">
        <w:rPr>
          <w:rFonts w:asciiTheme="majorBidi" w:hAnsiTheme="majorBidi" w:cstheme="majorBidi"/>
        </w:rPr>
        <w:t xml:space="preserve"> baisses, respectivement de, 5,4</w:t>
      </w:r>
      <w:r w:rsidR="005E411E">
        <w:rPr>
          <w:rFonts w:asciiTheme="majorBidi" w:hAnsiTheme="majorBidi" w:cstheme="majorBidi"/>
        </w:rPr>
        <w:t>% et 1,</w:t>
      </w:r>
      <w:r w:rsidR="005C6947">
        <w:rPr>
          <w:rFonts w:asciiTheme="majorBidi" w:hAnsiTheme="majorBidi" w:cstheme="majorBidi"/>
        </w:rPr>
        <w:t>0</w:t>
      </w:r>
      <w:r w:rsidR="005E411E">
        <w:rPr>
          <w:rFonts w:asciiTheme="majorBidi" w:hAnsiTheme="majorBidi" w:cstheme="majorBidi"/>
        </w:rPr>
        <w:t>%.</w:t>
      </w:r>
      <w:r w:rsidR="00454008">
        <w:rPr>
          <w:rFonts w:asciiTheme="majorBidi" w:hAnsiTheme="majorBidi" w:cstheme="majorBidi"/>
        </w:rPr>
        <w:t xml:space="preserve"> </w:t>
      </w:r>
      <w:r w:rsidR="00454008" w:rsidRPr="00454008">
        <w:rPr>
          <w:rFonts w:asciiTheme="majorBidi" w:hAnsiTheme="majorBidi" w:cstheme="majorBidi"/>
        </w:rPr>
        <w:t xml:space="preserve">Pour les produits non alimentaires, la hausse a concerné principalement les prix </w:t>
      </w:r>
      <w:r w:rsidR="00454008">
        <w:rPr>
          <w:rFonts w:asciiTheme="majorBidi" w:hAnsiTheme="majorBidi" w:cstheme="majorBidi"/>
        </w:rPr>
        <w:t xml:space="preserve">des </w:t>
      </w:r>
      <w:r w:rsidR="00454008" w:rsidRPr="00454008">
        <w:rPr>
          <w:rFonts w:asciiTheme="majorBidi" w:hAnsiTheme="majorBidi" w:cstheme="majorBidi"/>
        </w:rPr>
        <w:t xml:space="preserve">«Carburants» avec </w:t>
      </w:r>
      <w:r w:rsidR="005C6947">
        <w:rPr>
          <w:rFonts w:asciiTheme="majorBidi" w:hAnsiTheme="majorBidi" w:cstheme="majorBidi"/>
        </w:rPr>
        <w:t>20</w:t>
      </w:r>
      <w:r w:rsidR="00454008">
        <w:rPr>
          <w:rFonts w:asciiTheme="majorBidi" w:hAnsiTheme="majorBidi" w:cstheme="majorBidi"/>
        </w:rPr>
        <w:t>,</w:t>
      </w:r>
      <w:r w:rsidR="005C6947">
        <w:rPr>
          <w:rFonts w:asciiTheme="majorBidi" w:hAnsiTheme="majorBidi" w:cstheme="majorBidi"/>
        </w:rPr>
        <w:t>1</w:t>
      </w:r>
      <w:r w:rsidR="00454008" w:rsidRPr="00454008">
        <w:rPr>
          <w:rFonts w:asciiTheme="majorBidi" w:hAnsiTheme="majorBidi" w:cstheme="majorBidi"/>
        </w:rPr>
        <w:t>%</w:t>
      </w:r>
      <w:r w:rsidR="00454008">
        <w:rPr>
          <w:rFonts w:asciiTheme="majorBidi" w:hAnsiTheme="majorBidi" w:cstheme="majorBidi"/>
        </w:rPr>
        <w:t xml:space="preserve"> et </w:t>
      </w:r>
      <w:r w:rsidR="00454008" w:rsidRPr="00454008">
        <w:rPr>
          <w:rFonts w:asciiTheme="majorBidi" w:hAnsiTheme="majorBidi" w:cstheme="majorBidi"/>
        </w:rPr>
        <w:t>des «Tabacs» avec 3,5%.</w:t>
      </w:r>
    </w:p>
    <w:p w:rsidR="00013AFC" w:rsidRDefault="00013AFC" w:rsidP="00D91C0C">
      <w:pPr>
        <w:jc w:val="both"/>
        <w:rPr>
          <w:rFonts w:asciiTheme="majorBidi" w:hAnsiTheme="majorBidi" w:cstheme="majorBidi"/>
        </w:rPr>
      </w:pPr>
    </w:p>
    <w:p w:rsidR="00013AFC" w:rsidRDefault="00013AFC" w:rsidP="00D91C0C">
      <w:pPr>
        <w:jc w:val="both"/>
        <w:rPr>
          <w:rFonts w:asciiTheme="majorBidi" w:hAnsiTheme="majorBidi" w:cstheme="majorBidi"/>
        </w:rPr>
      </w:pPr>
    </w:p>
    <w:p w:rsidR="00013AFC" w:rsidRDefault="00F57CEA" w:rsidP="00D91C0C">
      <w:pPr>
        <w:jc w:val="both"/>
        <w:rPr>
          <w:rFonts w:asciiTheme="majorBidi" w:hAnsiTheme="majorBidi" w:cstheme="majorBidi"/>
        </w:rPr>
      </w:pPr>
      <w:r w:rsidRPr="00F57CEA">
        <w:rPr>
          <w:rFonts w:asciiTheme="majorBidi" w:hAnsiTheme="majorBidi" w:cstheme="majorBidi"/>
          <w:noProof/>
        </w:rPr>
        <w:drawing>
          <wp:inline distT="0" distB="0" distL="0" distR="0">
            <wp:extent cx="5934931" cy="3108960"/>
            <wp:effectExtent l="19050" t="0" r="27719" b="0"/>
            <wp:docPr id="16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13AFC" w:rsidRDefault="00013AFC" w:rsidP="00D91C0C">
      <w:pPr>
        <w:jc w:val="both"/>
        <w:rPr>
          <w:rFonts w:asciiTheme="majorBidi" w:hAnsiTheme="majorBidi" w:cstheme="majorBidi"/>
        </w:rPr>
      </w:pPr>
    </w:p>
    <w:p w:rsidR="00013AFC" w:rsidRDefault="00013AFC" w:rsidP="00D91C0C">
      <w:pPr>
        <w:jc w:val="both"/>
        <w:rPr>
          <w:rFonts w:asciiTheme="majorBidi" w:hAnsiTheme="majorBidi" w:cstheme="majorBidi"/>
        </w:rPr>
      </w:pPr>
    </w:p>
    <w:p w:rsidR="00013AFC" w:rsidRDefault="00013AFC" w:rsidP="00D91C0C">
      <w:pPr>
        <w:jc w:val="both"/>
        <w:rPr>
          <w:rFonts w:asciiTheme="majorBidi" w:hAnsiTheme="majorBidi" w:cstheme="majorBidi"/>
        </w:rPr>
      </w:pPr>
    </w:p>
    <w:p w:rsidR="00C51DD9" w:rsidRDefault="002F3596" w:rsidP="002F3596">
      <w:pPr>
        <w:jc w:val="both"/>
        <w:rPr>
          <w:rFonts w:asciiTheme="majorBidi" w:hAnsiTheme="majorBidi" w:cstheme="majorBidi"/>
        </w:rPr>
      </w:pPr>
      <w:r w:rsidRPr="00571E20">
        <w:rPr>
          <w:rFonts w:asciiTheme="majorBidi" w:hAnsiTheme="majorBidi" w:cstheme="majorBidi"/>
          <w:b/>
          <w:bCs/>
        </w:rPr>
        <w:t>Au niveau mondial</w:t>
      </w:r>
      <w:r>
        <w:rPr>
          <w:rFonts w:asciiTheme="majorBidi" w:hAnsiTheme="majorBidi" w:cstheme="majorBidi"/>
        </w:rPr>
        <w:t>, l</w:t>
      </w:r>
      <w:r w:rsidR="00013AFC">
        <w:rPr>
          <w:rFonts w:asciiTheme="majorBidi" w:hAnsiTheme="majorBidi" w:cstheme="majorBidi"/>
        </w:rPr>
        <w:t xml:space="preserve">es perspectives de l’évolution des prix au cours de l’année </w:t>
      </w:r>
      <w:r w:rsidR="00075223">
        <w:rPr>
          <w:rFonts w:asciiTheme="majorBidi" w:hAnsiTheme="majorBidi" w:cstheme="majorBidi"/>
        </w:rPr>
        <w:t xml:space="preserve">2022 </w:t>
      </w:r>
      <w:r w:rsidR="003F31DD">
        <w:rPr>
          <w:rFonts w:asciiTheme="majorBidi" w:hAnsiTheme="majorBidi" w:cstheme="majorBidi"/>
        </w:rPr>
        <w:t>risquent</w:t>
      </w:r>
      <w:r w:rsidR="00075223">
        <w:rPr>
          <w:rFonts w:asciiTheme="majorBidi" w:hAnsiTheme="majorBidi" w:cstheme="majorBidi"/>
        </w:rPr>
        <w:t xml:space="preserve"> d’être exceptionnelle aussi bien dans les pays développés que les pays émergents. Du fait de l’augmentation des prix de pétrole, l’inflation sera plus élevée et généralisée que prévu. </w:t>
      </w:r>
      <w:r w:rsidR="00E161E7">
        <w:rPr>
          <w:rFonts w:asciiTheme="majorBidi" w:hAnsiTheme="majorBidi" w:cstheme="majorBidi"/>
        </w:rPr>
        <w:t>Les prix des produits alimentaires ont atteint un nouveau record en février 2022. Ils ont augmenté de 3,9% par rapport au mois de janvier 2021 et plus de 20% par rapport au mois de février de l’année dernière. Les prix de céréales ont augmenté de 14,8% au cours du mois de février 2022 par rapport au mois de février 2021. De son coté</w:t>
      </w:r>
      <w:r w:rsidR="003F31DD">
        <w:rPr>
          <w:rFonts w:asciiTheme="majorBidi" w:hAnsiTheme="majorBidi" w:cstheme="majorBidi"/>
        </w:rPr>
        <w:t>,</w:t>
      </w:r>
      <w:r w:rsidR="00E161E7">
        <w:rPr>
          <w:rFonts w:asciiTheme="majorBidi" w:hAnsiTheme="majorBidi" w:cstheme="majorBidi"/>
        </w:rPr>
        <w:t xml:space="preserve"> les prix des huiles ont </w:t>
      </w:r>
      <w:r w:rsidR="00C51DD9">
        <w:rPr>
          <w:rFonts w:asciiTheme="majorBidi" w:hAnsiTheme="majorBidi" w:cstheme="majorBidi"/>
        </w:rPr>
        <w:t xml:space="preserve">atteint </w:t>
      </w:r>
      <w:r w:rsidR="003F31DD">
        <w:rPr>
          <w:rFonts w:asciiTheme="majorBidi" w:hAnsiTheme="majorBidi" w:cstheme="majorBidi"/>
        </w:rPr>
        <w:t xml:space="preserve">un </w:t>
      </w:r>
      <w:r w:rsidR="00C51DD9">
        <w:rPr>
          <w:rFonts w:asciiTheme="majorBidi" w:hAnsiTheme="majorBidi" w:cstheme="majorBidi"/>
        </w:rPr>
        <w:t>nouveau sommet en février 2022</w:t>
      </w:r>
      <w:r w:rsidR="003C5A27">
        <w:rPr>
          <w:rFonts w:asciiTheme="majorBidi" w:hAnsiTheme="majorBidi" w:cstheme="majorBidi"/>
        </w:rPr>
        <w:t xml:space="preserve"> avec une hausse de 36,7% en terme de glissement annuel</w:t>
      </w:r>
      <w:r w:rsidR="0015693E">
        <w:rPr>
          <w:rFonts w:asciiTheme="majorBidi" w:hAnsiTheme="majorBidi" w:cstheme="majorBidi"/>
        </w:rPr>
        <w:t>, ceux du lait de 24,8</w:t>
      </w:r>
      <w:r w:rsidR="00C51DD9">
        <w:rPr>
          <w:rFonts w:asciiTheme="majorBidi" w:hAnsiTheme="majorBidi" w:cstheme="majorBidi"/>
        </w:rPr>
        <w:t xml:space="preserve">%. </w:t>
      </w:r>
    </w:p>
    <w:p w:rsidR="00013AFC" w:rsidRDefault="00013AFC" w:rsidP="00013AFC">
      <w:pPr>
        <w:jc w:val="both"/>
        <w:rPr>
          <w:rFonts w:asciiTheme="majorBidi" w:hAnsiTheme="majorBidi" w:cstheme="majorBidi"/>
        </w:rPr>
      </w:pPr>
    </w:p>
    <w:p w:rsidR="00C07726" w:rsidRDefault="002F3596" w:rsidP="00603EBD">
      <w:pPr>
        <w:jc w:val="both"/>
        <w:rPr>
          <w:rFonts w:asciiTheme="majorBidi" w:hAnsiTheme="majorBidi" w:cstheme="majorBidi"/>
        </w:rPr>
      </w:pPr>
      <w:r w:rsidRPr="00571E20">
        <w:rPr>
          <w:rFonts w:asciiTheme="majorBidi" w:hAnsiTheme="majorBidi" w:cstheme="majorBidi"/>
          <w:b/>
          <w:bCs/>
        </w:rPr>
        <w:t>Au niveau national</w:t>
      </w:r>
      <w:r>
        <w:rPr>
          <w:rFonts w:asciiTheme="majorBidi" w:hAnsiTheme="majorBidi" w:cstheme="majorBidi"/>
        </w:rPr>
        <w:t>, la hausse des prix devrait se maintenir en 2022 à des niveaux supérieurs à la moyenne de la dernière décennie. Les  effets externes et la sécheresse devrai</w:t>
      </w:r>
      <w:r w:rsidR="00A87E06">
        <w:rPr>
          <w:rFonts w:asciiTheme="majorBidi" w:hAnsiTheme="majorBidi" w:cstheme="majorBidi"/>
        </w:rPr>
        <w:t>en</w:t>
      </w:r>
      <w:r>
        <w:rPr>
          <w:rFonts w:asciiTheme="majorBidi" w:hAnsiTheme="majorBidi" w:cstheme="majorBidi"/>
        </w:rPr>
        <w:t>t accroitre davantage les incertitudes quant à l’inflation au niveau national. L</w:t>
      </w:r>
      <w:r w:rsidR="00013AFC">
        <w:rPr>
          <w:rFonts w:asciiTheme="majorBidi" w:hAnsiTheme="majorBidi" w:cstheme="majorBidi"/>
        </w:rPr>
        <w:t xml:space="preserve">es risques inflationnistes resteraient </w:t>
      </w:r>
      <w:r w:rsidR="00C51DD9">
        <w:rPr>
          <w:rFonts w:asciiTheme="majorBidi" w:hAnsiTheme="majorBidi" w:cstheme="majorBidi"/>
        </w:rPr>
        <w:t xml:space="preserve">incertains </w:t>
      </w:r>
      <w:r w:rsidR="00013AFC">
        <w:rPr>
          <w:rFonts w:asciiTheme="majorBidi" w:hAnsiTheme="majorBidi" w:cstheme="majorBidi"/>
        </w:rPr>
        <w:t xml:space="preserve">à court terme. La hausse des cours des matières premières importées </w:t>
      </w:r>
      <w:r w:rsidR="00C51DD9">
        <w:rPr>
          <w:rFonts w:asciiTheme="majorBidi" w:hAnsiTheme="majorBidi" w:cstheme="majorBidi"/>
        </w:rPr>
        <w:t xml:space="preserve">et la crise dans la région de la Mer Noire conjugué avec une montée vertigineuse des prix du baril </w:t>
      </w:r>
      <w:r w:rsidR="003F31DD">
        <w:rPr>
          <w:rFonts w:asciiTheme="majorBidi" w:hAnsiTheme="majorBidi" w:cstheme="majorBidi"/>
        </w:rPr>
        <w:t>à environ 1</w:t>
      </w:r>
      <w:r w:rsidR="00603EBD">
        <w:rPr>
          <w:rFonts w:asciiTheme="majorBidi" w:hAnsiTheme="majorBidi" w:cstheme="majorBidi"/>
        </w:rPr>
        <w:t>4</w:t>
      </w:r>
      <w:r w:rsidR="003F31DD">
        <w:rPr>
          <w:rFonts w:asciiTheme="majorBidi" w:hAnsiTheme="majorBidi" w:cstheme="majorBidi"/>
        </w:rPr>
        <w:t xml:space="preserve">0$/baril </w:t>
      </w:r>
      <w:r w:rsidR="00013AFC">
        <w:rPr>
          <w:rFonts w:asciiTheme="majorBidi" w:hAnsiTheme="majorBidi" w:cstheme="majorBidi"/>
        </w:rPr>
        <w:t>serraient de nature à maintenir le taux d’inflation au cours de l’année 202</w:t>
      </w:r>
      <w:r w:rsidR="003F31DD">
        <w:rPr>
          <w:rFonts w:asciiTheme="majorBidi" w:hAnsiTheme="majorBidi" w:cstheme="majorBidi"/>
        </w:rPr>
        <w:t>2</w:t>
      </w:r>
      <w:r w:rsidR="00013AFC">
        <w:rPr>
          <w:rFonts w:asciiTheme="majorBidi" w:hAnsiTheme="majorBidi" w:cstheme="majorBidi"/>
        </w:rPr>
        <w:t xml:space="preserve"> à des </w:t>
      </w:r>
      <w:r w:rsidR="00C51DD9">
        <w:rPr>
          <w:rFonts w:asciiTheme="majorBidi" w:hAnsiTheme="majorBidi" w:cstheme="majorBidi"/>
        </w:rPr>
        <w:t>niveaux</w:t>
      </w:r>
      <w:r w:rsidR="00013AFC">
        <w:rPr>
          <w:rFonts w:asciiTheme="majorBidi" w:hAnsiTheme="majorBidi" w:cstheme="majorBidi"/>
        </w:rPr>
        <w:t xml:space="preserve"> </w:t>
      </w:r>
      <w:r w:rsidR="00C51DD9">
        <w:rPr>
          <w:rFonts w:asciiTheme="majorBidi" w:hAnsiTheme="majorBidi" w:cstheme="majorBidi"/>
        </w:rPr>
        <w:t>relativement élevé</w:t>
      </w:r>
      <w:r>
        <w:rPr>
          <w:rFonts w:asciiTheme="majorBidi" w:hAnsiTheme="majorBidi" w:cstheme="majorBidi"/>
        </w:rPr>
        <w:t>s</w:t>
      </w:r>
      <w:r w:rsidR="003F31DD">
        <w:rPr>
          <w:rFonts w:asciiTheme="majorBidi" w:hAnsiTheme="majorBidi" w:cstheme="majorBidi"/>
        </w:rPr>
        <w:t>.</w:t>
      </w:r>
    </w:p>
    <w:sectPr w:rsidR="00C07726" w:rsidSect="00D11D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99" w:right="1274" w:bottom="1418" w:left="1276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2F" w:rsidRDefault="00DC472F">
      <w:r>
        <w:separator/>
      </w:r>
    </w:p>
  </w:endnote>
  <w:endnote w:type="continuationSeparator" w:id="0">
    <w:p w:rsidR="00DC472F" w:rsidRDefault="00DC4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C3" w:rsidRDefault="00F347C3" w:rsidP="00CB05C8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347C3" w:rsidRDefault="00F347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6102"/>
      <w:docPartObj>
        <w:docPartGallery w:val="Page Numbers (Bottom of Page)"/>
        <w:docPartUnique/>
      </w:docPartObj>
    </w:sdtPr>
    <w:sdtContent>
      <w:p w:rsidR="00F347C3" w:rsidRDefault="00F347C3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7" type="#_x0000_t65" style="position:absolute;margin-left:0;margin-top:664.5pt;width:29pt;height:21.6pt;z-index:25166284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7">
                <w:txbxContent>
                  <w:p w:rsidR="00F347C3" w:rsidRDefault="00F347C3">
                    <w:pPr>
                      <w:jc w:val="center"/>
                    </w:pPr>
                    <w:fldSimple w:instr=" PAGE    \* MERGEFORMAT ">
                      <w:r w:rsidR="0051163D" w:rsidRPr="0051163D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C3" w:rsidRDefault="00F347C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pt;margin-top:20.55pt;width:1in;height:18pt;z-index:251659776" filled="f" stroked="f">
          <v:textbox style="mso-next-textbox:#_x0000_s2050">
            <w:txbxContent>
              <w:p w:rsidR="00F347C3" w:rsidRPr="00350C40" w:rsidRDefault="00F347C3" w:rsidP="00CC289A">
                <w:pPr>
                  <w:rPr>
                    <w:rFonts w:ascii="Arial" w:hAnsi="Arial" w:cs="Arial"/>
                    <w:color w:val="993366"/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171pt;margin-top:2.55pt;width:126pt;height:37.35pt;z-index:251656704" stroked="f">
          <v:textbox style="mso-next-textbox:#_x0000_s2051">
            <w:txbxContent>
              <w:p w:rsidR="00F347C3" w:rsidRPr="00350C40" w:rsidRDefault="00F347C3" w:rsidP="00F72024">
                <w:pPr>
                  <w:spacing w:before="60"/>
                  <w:jc w:val="center"/>
                  <w:rPr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(+212) 05 37 57 69 02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15.45pt;width:234pt;height:18pt;z-index:251654656" stroked="f">
          <v:textbox style="mso-next-textbox:#_x0000_s2052">
            <w:txbxContent>
              <w:p w:rsidR="00F347C3" w:rsidRPr="00773F09" w:rsidRDefault="00F347C3" w:rsidP="00350C40">
                <w:pPr>
                  <w:bidi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ايلو 31-3، قطاع 16، حي الرياض 10001 الرباط</w:t>
                </w:r>
                <w:r w:rsidRPr="00350C40">
                  <w:rPr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–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المغرب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ص.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ب 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9pt;margin-top:-15.45pt;width:270pt;height:17.25pt;z-index:251657728" stroked="f">
          <v:textbox style="mso-next-textbox:#_x0000_s2053">
            <w:txbxContent>
              <w:p w:rsidR="00F347C3" w:rsidRPr="00350C40" w:rsidRDefault="00F347C3" w:rsidP="00350C40">
                <w:pPr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  <w:t xml:space="preserve">Ilot 31-3, secteur 16, Hay Riad, 10001, Rabat - Maroc BP : 178 </w:t>
                </w:r>
              </w:p>
              <w:p w:rsidR="00F347C3" w:rsidRPr="00773F09" w:rsidRDefault="00F347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0;margin-top:2.05pt;width:171pt;height:27pt;z-index:251655680" stroked="f">
          <v:textbox style="mso-next-textbox:#_x0000_s2054">
            <w:txbxContent>
              <w:p w:rsidR="00F347C3" w:rsidRPr="00F94487" w:rsidRDefault="00F347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Tél. : (+212) 0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37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7 69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04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– Fax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4in;margin-top:2.05pt;width:210.55pt;height:37.35pt;z-index:251658752" stroked="f">
          <v:textbox style="mso-next-textbox:#_x0000_s2055">
            <w:txbxContent>
              <w:p w:rsidR="00F347C3" w:rsidRPr="00350C40" w:rsidRDefault="00F347C3" w:rsidP="00350C40">
                <w:pPr>
                  <w:bidi/>
                  <w:spacing w:before="60"/>
                  <w:jc w:val="center"/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 xml:space="preserve">الهاتف : 04 69 57 37 05   (212+) – 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الفاكس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: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2F" w:rsidRDefault="00DC472F">
      <w:r>
        <w:separator/>
      </w:r>
    </w:p>
  </w:footnote>
  <w:footnote w:type="continuationSeparator" w:id="0">
    <w:p w:rsidR="00DC472F" w:rsidRDefault="00DC4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C3" w:rsidRDefault="00F347C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C3" w:rsidRDefault="00F347C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C3" w:rsidRDefault="00F347C3" w:rsidP="00AB15C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-222885</wp:posOffset>
          </wp:positionV>
          <wp:extent cx="8702675" cy="5038725"/>
          <wp:effectExtent l="19050" t="0" r="3175" b="0"/>
          <wp:wrapNone/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mso3DA9"/>
      </v:shape>
    </w:pict>
  </w:numPicBullet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A1A01"/>
    <w:multiLevelType w:val="hybridMultilevel"/>
    <w:tmpl w:val="7D5A82AE"/>
    <w:lvl w:ilvl="0" w:tplc="BE14A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B5358"/>
    <w:multiLevelType w:val="hybridMultilevel"/>
    <w:tmpl w:val="0DFCDC9C"/>
    <w:lvl w:ilvl="0" w:tplc="16CCD4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A4BFF"/>
    <w:multiLevelType w:val="hybridMultilevel"/>
    <w:tmpl w:val="0FE63574"/>
    <w:lvl w:ilvl="0" w:tplc="040C0007">
      <w:start w:val="1"/>
      <w:numFmt w:val="bullet"/>
      <w:lvlText w:val=""/>
      <w:lvlPicBulletId w:val="0"/>
      <w:lvlJc w:val="left"/>
      <w:pPr>
        <w:ind w:left="16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98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BA6"/>
    <w:rsid w:val="000017C7"/>
    <w:rsid w:val="00001A30"/>
    <w:rsid w:val="00001D8E"/>
    <w:rsid w:val="000025B3"/>
    <w:rsid w:val="00003123"/>
    <w:rsid w:val="000037BD"/>
    <w:rsid w:val="00004BF5"/>
    <w:rsid w:val="00005213"/>
    <w:rsid w:val="000064D1"/>
    <w:rsid w:val="00006EDF"/>
    <w:rsid w:val="00007079"/>
    <w:rsid w:val="00007544"/>
    <w:rsid w:val="00007945"/>
    <w:rsid w:val="00007F2B"/>
    <w:rsid w:val="0001096D"/>
    <w:rsid w:val="00010C4A"/>
    <w:rsid w:val="00010D9B"/>
    <w:rsid w:val="000115A6"/>
    <w:rsid w:val="000119BC"/>
    <w:rsid w:val="00011B9F"/>
    <w:rsid w:val="00011C2F"/>
    <w:rsid w:val="00011EB7"/>
    <w:rsid w:val="0001207A"/>
    <w:rsid w:val="0001261B"/>
    <w:rsid w:val="000135FC"/>
    <w:rsid w:val="0001390E"/>
    <w:rsid w:val="000139AC"/>
    <w:rsid w:val="00013A7F"/>
    <w:rsid w:val="00013AFC"/>
    <w:rsid w:val="00013C22"/>
    <w:rsid w:val="00013D86"/>
    <w:rsid w:val="00013F33"/>
    <w:rsid w:val="000147FB"/>
    <w:rsid w:val="00014C35"/>
    <w:rsid w:val="00014FD6"/>
    <w:rsid w:val="000150B8"/>
    <w:rsid w:val="00015111"/>
    <w:rsid w:val="00015113"/>
    <w:rsid w:val="000151F6"/>
    <w:rsid w:val="000152BC"/>
    <w:rsid w:val="000152DE"/>
    <w:rsid w:val="000162C9"/>
    <w:rsid w:val="000166FE"/>
    <w:rsid w:val="0001761A"/>
    <w:rsid w:val="00017669"/>
    <w:rsid w:val="00017B37"/>
    <w:rsid w:val="00017FF8"/>
    <w:rsid w:val="000205FA"/>
    <w:rsid w:val="00020B70"/>
    <w:rsid w:val="000211C4"/>
    <w:rsid w:val="00021F86"/>
    <w:rsid w:val="000223AA"/>
    <w:rsid w:val="000223DD"/>
    <w:rsid w:val="000229BA"/>
    <w:rsid w:val="0002327D"/>
    <w:rsid w:val="00024095"/>
    <w:rsid w:val="00024268"/>
    <w:rsid w:val="00024574"/>
    <w:rsid w:val="0002477A"/>
    <w:rsid w:val="00024945"/>
    <w:rsid w:val="00024FBE"/>
    <w:rsid w:val="00025026"/>
    <w:rsid w:val="0002516D"/>
    <w:rsid w:val="00025B47"/>
    <w:rsid w:val="00025DC7"/>
    <w:rsid w:val="000266D8"/>
    <w:rsid w:val="00026D88"/>
    <w:rsid w:val="000270E0"/>
    <w:rsid w:val="000275DD"/>
    <w:rsid w:val="0002766D"/>
    <w:rsid w:val="00027850"/>
    <w:rsid w:val="00031D25"/>
    <w:rsid w:val="00032582"/>
    <w:rsid w:val="00032899"/>
    <w:rsid w:val="0003300A"/>
    <w:rsid w:val="00033123"/>
    <w:rsid w:val="000337BB"/>
    <w:rsid w:val="0003420B"/>
    <w:rsid w:val="0003456C"/>
    <w:rsid w:val="000348FD"/>
    <w:rsid w:val="00034EE3"/>
    <w:rsid w:val="00034EE5"/>
    <w:rsid w:val="0003559E"/>
    <w:rsid w:val="00036A9C"/>
    <w:rsid w:val="00037668"/>
    <w:rsid w:val="00037B80"/>
    <w:rsid w:val="000408C3"/>
    <w:rsid w:val="00040953"/>
    <w:rsid w:val="00040D62"/>
    <w:rsid w:val="00041285"/>
    <w:rsid w:val="00041524"/>
    <w:rsid w:val="000415AD"/>
    <w:rsid w:val="0004185B"/>
    <w:rsid w:val="00041978"/>
    <w:rsid w:val="000425ED"/>
    <w:rsid w:val="00042974"/>
    <w:rsid w:val="0004311A"/>
    <w:rsid w:val="00043186"/>
    <w:rsid w:val="000431D8"/>
    <w:rsid w:val="000435EE"/>
    <w:rsid w:val="0004391D"/>
    <w:rsid w:val="00043DE6"/>
    <w:rsid w:val="0004447B"/>
    <w:rsid w:val="0004487A"/>
    <w:rsid w:val="00044A9F"/>
    <w:rsid w:val="00044D29"/>
    <w:rsid w:val="0004533B"/>
    <w:rsid w:val="00045461"/>
    <w:rsid w:val="0004624E"/>
    <w:rsid w:val="00046322"/>
    <w:rsid w:val="00046404"/>
    <w:rsid w:val="000466FD"/>
    <w:rsid w:val="00046DEC"/>
    <w:rsid w:val="00046F56"/>
    <w:rsid w:val="0004718B"/>
    <w:rsid w:val="000500AF"/>
    <w:rsid w:val="000500E6"/>
    <w:rsid w:val="00050A6E"/>
    <w:rsid w:val="00050B69"/>
    <w:rsid w:val="00051098"/>
    <w:rsid w:val="000510D6"/>
    <w:rsid w:val="00051106"/>
    <w:rsid w:val="0005135E"/>
    <w:rsid w:val="00051689"/>
    <w:rsid w:val="00051923"/>
    <w:rsid w:val="0005275C"/>
    <w:rsid w:val="0005286C"/>
    <w:rsid w:val="000528D8"/>
    <w:rsid w:val="00052A57"/>
    <w:rsid w:val="000534D0"/>
    <w:rsid w:val="000543FD"/>
    <w:rsid w:val="00054B65"/>
    <w:rsid w:val="00054F53"/>
    <w:rsid w:val="000550D8"/>
    <w:rsid w:val="000554EE"/>
    <w:rsid w:val="000558C2"/>
    <w:rsid w:val="00055C1A"/>
    <w:rsid w:val="000568AD"/>
    <w:rsid w:val="00056FFA"/>
    <w:rsid w:val="000570B8"/>
    <w:rsid w:val="0005775E"/>
    <w:rsid w:val="000579D0"/>
    <w:rsid w:val="00057B97"/>
    <w:rsid w:val="000601D4"/>
    <w:rsid w:val="000602E9"/>
    <w:rsid w:val="00060321"/>
    <w:rsid w:val="00060896"/>
    <w:rsid w:val="00060F0D"/>
    <w:rsid w:val="00061060"/>
    <w:rsid w:val="000610C6"/>
    <w:rsid w:val="00061164"/>
    <w:rsid w:val="00061CE4"/>
    <w:rsid w:val="0006264E"/>
    <w:rsid w:val="00062880"/>
    <w:rsid w:val="00062925"/>
    <w:rsid w:val="00062AFD"/>
    <w:rsid w:val="000632C2"/>
    <w:rsid w:val="0006348D"/>
    <w:rsid w:val="0006383C"/>
    <w:rsid w:val="00064386"/>
    <w:rsid w:val="0006442F"/>
    <w:rsid w:val="00064BCC"/>
    <w:rsid w:val="0006553F"/>
    <w:rsid w:val="00065712"/>
    <w:rsid w:val="00065935"/>
    <w:rsid w:val="00065F87"/>
    <w:rsid w:val="00065FE2"/>
    <w:rsid w:val="0006612C"/>
    <w:rsid w:val="00066AD2"/>
    <w:rsid w:val="000674D7"/>
    <w:rsid w:val="00070037"/>
    <w:rsid w:val="000701EC"/>
    <w:rsid w:val="00070595"/>
    <w:rsid w:val="00070861"/>
    <w:rsid w:val="00071EFF"/>
    <w:rsid w:val="00072320"/>
    <w:rsid w:val="000723B5"/>
    <w:rsid w:val="000728D2"/>
    <w:rsid w:val="000728FA"/>
    <w:rsid w:val="00072B60"/>
    <w:rsid w:val="00072EBF"/>
    <w:rsid w:val="0007340C"/>
    <w:rsid w:val="00073805"/>
    <w:rsid w:val="00074130"/>
    <w:rsid w:val="00075223"/>
    <w:rsid w:val="0007548E"/>
    <w:rsid w:val="000754E3"/>
    <w:rsid w:val="00075B34"/>
    <w:rsid w:val="00075D83"/>
    <w:rsid w:val="00075F5C"/>
    <w:rsid w:val="000761D8"/>
    <w:rsid w:val="0007711B"/>
    <w:rsid w:val="0007798B"/>
    <w:rsid w:val="00077D70"/>
    <w:rsid w:val="000801F4"/>
    <w:rsid w:val="0008035D"/>
    <w:rsid w:val="00081456"/>
    <w:rsid w:val="00081BE5"/>
    <w:rsid w:val="000821F2"/>
    <w:rsid w:val="000827BA"/>
    <w:rsid w:val="00082F34"/>
    <w:rsid w:val="0008339B"/>
    <w:rsid w:val="0008388A"/>
    <w:rsid w:val="000847F4"/>
    <w:rsid w:val="0008484E"/>
    <w:rsid w:val="0008495C"/>
    <w:rsid w:val="00084B30"/>
    <w:rsid w:val="00085895"/>
    <w:rsid w:val="000859F9"/>
    <w:rsid w:val="00085E86"/>
    <w:rsid w:val="0008606C"/>
    <w:rsid w:val="000862E0"/>
    <w:rsid w:val="0008742E"/>
    <w:rsid w:val="00087F93"/>
    <w:rsid w:val="00090012"/>
    <w:rsid w:val="0009062C"/>
    <w:rsid w:val="000906B8"/>
    <w:rsid w:val="00090769"/>
    <w:rsid w:val="00090C3A"/>
    <w:rsid w:val="00090DED"/>
    <w:rsid w:val="00091A3B"/>
    <w:rsid w:val="00091D36"/>
    <w:rsid w:val="000921CD"/>
    <w:rsid w:val="00093B91"/>
    <w:rsid w:val="00093F9E"/>
    <w:rsid w:val="0009419A"/>
    <w:rsid w:val="00094694"/>
    <w:rsid w:val="00094710"/>
    <w:rsid w:val="0009560D"/>
    <w:rsid w:val="00096A77"/>
    <w:rsid w:val="00096CE5"/>
    <w:rsid w:val="00097007"/>
    <w:rsid w:val="0009781A"/>
    <w:rsid w:val="00097D9C"/>
    <w:rsid w:val="000A0205"/>
    <w:rsid w:val="000A0209"/>
    <w:rsid w:val="000A0521"/>
    <w:rsid w:val="000A052B"/>
    <w:rsid w:val="000A0948"/>
    <w:rsid w:val="000A0D23"/>
    <w:rsid w:val="000A11E5"/>
    <w:rsid w:val="000A141E"/>
    <w:rsid w:val="000A1E2C"/>
    <w:rsid w:val="000A342C"/>
    <w:rsid w:val="000A3468"/>
    <w:rsid w:val="000A34BE"/>
    <w:rsid w:val="000A3B54"/>
    <w:rsid w:val="000A3BE9"/>
    <w:rsid w:val="000A4141"/>
    <w:rsid w:val="000A4C3D"/>
    <w:rsid w:val="000A4CF5"/>
    <w:rsid w:val="000A4F68"/>
    <w:rsid w:val="000A5547"/>
    <w:rsid w:val="000A62B6"/>
    <w:rsid w:val="000A6449"/>
    <w:rsid w:val="000A66F7"/>
    <w:rsid w:val="000A6F23"/>
    <w:rsid w:val="000A6F7B"/>
    <w:rsid w:val="000A7249"/>
    <w:rsid w:val="000A7281"/>
    <w:rsid w:val="000A79CD"/>
    <w:rsid w:val="000B0102"/>
    <w:rsid w:val="000B08E9"/>
    <w:rsid w:val="000B0F43"/>
    <w:rsid w:val="000B0F81"/>
    <w:rsid w:val="000B106E"/>
    <w:rsid w:val="000B12C2"/>
    <w:rsid w:val="000B17E6"/>
    <w:rsid w:val="000B1DE6"/>
    <w:rsid w:val="000B28B6"/>
    <w:rsid w:val="000B2A3E"/>
    <w:rsid w:val="000B3183"/>
    <w:rsid w:val="000B31FB"/>
    <w:rsid w:val="000B4618"/>
    <w:rsid w:val="000B46AD"/>
    <w:rsid w:val="000B4C66"/>
    <w:rsid w:val="000B711F"/>
    <w:rsid w:val="000B717A"/>
    <w:rsid w:val="000B71A7"/>
    <w:rsid w:val="000B71DE"/>
    <w:rsid w:val="000B797F"/>
    <w:rsid w:val="000C0879"/>
    <w:rsid w:val="000C0BF6"/>
    <w:rsid w:val="000C111B"/>
    <w:rsid w:val="000C1271"/>
    <w:rsid w:val="000C15E5"/>
    <w:rsid w:val="000C1880"/>
    <w:rsid w:val="000C291A"/>
    <w:rsid w:val="000C29D8"/>
    <w:rsid w:val="000C2F16"/>
    <w:rsid w:val="000C30D9"/>
    <w:rsid w:val="000C36F2"/>
    <w:rsid w:val="000C379A"/>
    <w:rsid w:val="000C3807"/>
    <w:rsid w:val="000C3D76"/>
    <w:rsid w:val="000C3ED5"/>
    <w:rsid w:val="000C3F6E"/>
    <w:rsid w:val="000C4271"/>
    <w:rsid w:val="000C467D"/>
    <w:rsid w:val="000C48BD"/>
    <w:rsid w:val="000C52F2"/>
    <w:rsid w:val="000C52FB"/>
    <w:rsid w:val="000C5E10"/>
    <w:rsid w:val="000C5E54"/>
    <w:rsid w:val="000C6BAB"/>
    <w:rsid w:val="000C7682"/>
    <w:rsid w:val="000C76B5"/>
    <w:rsid w:val="000C7E13"/>
    <w:rsid w:val="000D0202"/>
    <w:rsid w:val="000D13F1"/>
    <w:rsid w:val="000D1585"/>
    <w:rsid w:val="000D1D9A"/>
    <w:rsid w:val="000D1F90"/>
    <w:rsid w:val="000D2020"/>
    <w:rsid w:val="000D25AF"/>
    <w:rsid w:val="000D2930"/>
    <w:rsid w:val="000D354F"/>
    <w:rsid w:val="000D3623"/>
    <w:rsid w:val="000D3736"/>
    <w:rsid w:val="000D3FC6"/>
    <w:rsid w:val="000D4277"/>
    <w:rsid w:val="000D5297"/>
    <w:rsid w:val="000D57C6"/>
    <w:rsid w:val="000D5971"/>
    <w:rsid w:val="000D6113"/>
    <w:rsid w:val="000D6400"/>
    <w:rsid w:val="000D6907"/>
    <w:rsid w:val="000D6980"/>
    <w:rsid w:val="000D6F0F"/>
    <w:rsid w:val="000D7ACC"/>
    <w:rsid w:val="000D7B58"/>
    <w:rsid w:val="000D7B8B"/>
    <w:rsid w:val="000D7D65"/>
    <w:rsid w:val="000D7F7C"/>
    <w:rsid w:val="000E05BC"/>
    <w:rsid w:val="000E1618"/>
    <w:rsid w:val="000E1C51"/>
    <w:rsid w:val="000E21D3"/>
    <w:rsid w:val="000E2711"/>
    <w:rsid w:val="000E29D8"/>
    <w:rsid w:val="000E2B65"/>
    <w:rsid w:val="000E3E08"/>
    <w:rsid w:val="000E41EC"/>
    <w:rsid w:val="000E485F"/>
    <w:rsid w:val="000E4CB6"/>
    <w:rsid w:val="000E4E59"/>
    <w:rsid w:val="000E4FE5"/>
    <w:rsid w:val="000E59B8"/>
    <w:rsid w:val="000E5A13"/>
    <w:rsid w:val="000E631F"/>
    <w:rsid w:val="000E6811"/>
    <w:rsid w:val="000E698E"/>
    <w:rsid w:val="000E7503"/>
    <w:rsid w:val="000E7580"/>
    <w:rsid w:val="000E7614"/>
    <w:rsid w:val="000E7917"/>
    <w:rsid w:val="000E7C55"/>
    <w:rsid w:val="000E7D34"/>
    <w:rsid w:val="000E7EFA"/>
    <w:rsid w:val="000F0035"/>
    <w:rsid w:val="000F0F00"/>
    <w:rsid w:val="000F0F24"/>
    <w:rsid w:val="000F101D"/>
    <w:rsid w:val="000F129A"/>
    <w:rsid w:val="000F1BCA"/>
    <w:rsid w:val="000F22EB"/>
    <w:rsid w:val="000F2BD2"/>
    <w:rsid w:val="000F2C69"/>
    <w:rsid w:val="000F3768"/>
    <w:rsid w:val="000F3899"/>
    <w:rsid w:val="000F4582"/>
    <w:rsid w:val="000F476D"/>
    <w:rsid w:val="000F4E8B"/>
    <w:rsid w:val="000F605C"/>
    <w:rsid w:val="000F6A4A"/>
    <w:rsid w:val="000F6E2A"/>
    <w:rsid w:val="000F6E40"/>
    <w:rsid w:val="000F765F"/>
    <w:rsid w:val="000F76C6"/>
    <w:rsid w:val="000F7A90"/>
    <w:rsid w:val="000F7C56"/>
    <w:rsid w:val="00100069"/>
    <w:rsid w:val="00100944"/>
    <w:rsid w:val="00100AF5"/>
    <w:rsid w:val="0010121C"/>
    <w:rsid w:val="00101EAA"/>
    <w:rsid w:val="00102385"/>
    <w:rsid w:val="00103353"/>
    <w:rsid w:val="001035EB"/>
    <w:rsid w:val="001036A2"/>
    <w:rsid w:val="0010414A"/>
    <w:rsid w:val="001043ED"/>
    <w:rsid w:val="0010454D"/>
    <w:rsid w:val="00104865"/>
    <w:rsid w:val="00104A16"/>
    <w:rsid w:val="00105259"/>
    <w:rsid w:val="0010548F"/>
    <w:rsid w:val="00105497"/>
    <w:rsid w:val="001056ED"/>
    <w:rsid w:val="001063C7"/>
    <w:rsid w:val="00106B8D"/>
    <w:rsid w:val="00106FC0"/>
    <w:rsid w:val="00107113"/>
    <w:rsid w:val="00107751"/>
    <w:rsid w:val="00107A4F"/>
    <w:rsid w:val="00110B8D"/>
    <w:rsid w:val="00111FE3"/>
    <w:rsid w:val="0011249B"/>
    <w:rsid w:val="0011266E"/>
    <w:rsid w:val="001127C3"/>
    <w:rsid w:val="00113142"/>
    <w:rsid w:val="001134AF"/>
    <w:rsid w:val="00113928"/>
    <w:rsid w:val="00114033"/>
    <w:rsid w:val="00114209"/>
    <w:rsid w:val="0011455F"/>
    <w:rsid w:val="00114C6B"/>
    <w:rsid w:val="00114C7E"/>
    <w:rsid w:val="00115490"/>
    <w:rsid w:val="001155EE"/>
    <w:rsid w:val="00115709"/>
    <w:rsid w:val="00115798"/>
    <w:rsid w:val="00116A90"/>
    <w:rsid w:val="00116AF4"/>
    <w:rsid w:val="00116B4A"/>
    <w:rsid w:val="0011730B"/>
    <w:rsid w:val="001174BE"/>
    <w:rsid w:val="001178E8"/>
    <w:rsid w:val="001201BB"/>
    <w:rsid w:val="0012067C"/>
    <w:rsid w:val="00120AF1"/>
    <w:rsid w:val="00120AF9"/>
    <w:rsid w:val="00120BC3"/>
    <w:rsid w:val="00120BD7"/>
    <w:rsid w:val="00121C07"/>
    <w:rsid w:val="00122001"/>
    <w:rsid w:val="00122298"/>
    <w:rsid w:val="001222E9"/>
    <w:rsid w:val="0012249D"/>
    <w:rsid w:val="0012265F"/>
    <w:rsid w:val="00122813"/>
    <w:rsid w:val="001247F6"/>
    <w:rsid w:val="00124CD0"/>
    <w:rsid w:val="00124D01"/>
    <w:rsid w:val="00124D81"/>
    <w:rsid w:val="00124DEE"/>
    <w:rsid w:val="0012515E"/>
    <w:rsid w:val="00126059"/>
    <w:rsid w:val="0012616E"/>
    <w:rsid w:val="001264CB"/>
    <w:rsid w:val="0012690A"/>
    <w:rsid w:val="00127635"/>
    <w:rsid w:val="00127B2D"/>
    <w:rsid w:val="00127BB0"/>
    <w:rsid w:val="00127C34"/>
    <w:rsid w:val="00127C36"/>
    <w:rsid w:val="00130421"/>
    <w:rsid w:val="001305AD"/>
    <w:rsid w:val="00130A54"/>
    <w:rsid w:val="00131257"/>
    <w:rsid w:val="00131839"/>
    <w:rsid w:val="001322B6"/>
    <w:rsid w:val="00132700"/>
    <w:rsid w:val="00132AE5"/>
    <w:rsid w:val="00132DD9"/>
    <w:rsid w:val="00132F46"/>
    <w:rsid w:val="00133181"/>
    <w:rsid w:val="0013390F"/>
    <w:rsid w:val="00133C95"/>
    <w:rsid w:val="00134611"/>
    <w:rsid w:val="001348AD"/>
    <w:rsid w:val="00134ACB"/>
    <w:rsid w:val="0013515A"/>
    <w:rsid w:val="0013554E"/>
    <w:rsid w:val="00135CDC"/>
    <w:rsid w:val="00135E08"/>
    <w:rsid w:val="00135E71"/>
    <w:rsid w:val="00136243"/>
    <w:rsid w:val="001362C9"/>
    <w:rsid w:val="00137652"/>
    <w:rsid w:val="001379C2"/>
    <w:rsid w:val="00137CAD"/>
    <w:rsid w:val="00137D8F"/>
    <w:rsid w:val="001404C2"/>
    <w:rsid w:val="00140CD2"/>
    <w:rsid w:val="00141592"/>
    <w:rsid w:val="001423DB"/>
    <w:rsid w:val="0014289F"/>
    <w:rsid w:val="0014338E"/>
    <w:rsid w:val="001437B0"/>
    <w:rsid w:val="00144480"/>
    <w:rsid w:val="00144B79"/>
    <w:rsid w:val="00145A0E"/>
    <w:rsid w:val="00145C07"/>
    <w:rsid w:val="00145EE4"/>
    <w:rsid w:val="00145F4D"/>
    <w:rsid w:val="00146C7E"/>
    <w:rsid w:val="0014749F"/>
    <w:rsid w:val="00147EEB"/>
    <w:rsid w:val="0015075E"/>
    <w:rsid w:val="001509B1"/>
    <w:rsid w:val="00150C13"/>
    <w:rsid w:val="00151281"/>
    <w:rsid w:val="00151B07"/>
    <w:rsid w:val="00151FA7"/>
    <w:rsid w:val="001522F1"/>
    <w:rsid w:val="001525A5"/>
    <w:rsid w:val="001525CA"/>
    <w:rsid w:val="001529A7"/>
    <w:rsid w:val="00153A6D"/>
    <w:rsid w:val="00153DC3"/>
    <w:rsid w:val="00153DC7"/>
    <w:rsid w:val="001545FC"/>
    <w:rsid w:val="0015461F"/>
    <w:rsid w:val="001547A3"/>
    <w:rsid w:val="00154952"/>
    <w:rsid w:val="00154A61"/>
    <w:rsid w:val="00154B92"/>
    <w:rsid w:val="00155095"/>
    <w:rsid w:val="00155EBB"/>
    <w:rsid w:val="001563BE"/>
    <w:rsid w:val="001563CC"/>
    <w:rsid w:val="001565C3"/>
    <w:rsid w:val="0015693E"/>
    <w:rsid w:val="00156B63"/>
    <w:rsid w:val="00156B7B"/>
    <w:rsid w:val="00156C44"/>
    <w:rsid w:val="00156CEC"/>
    <w:rsid w:val="00157569"/>
    <w:rsid w:val="00157DEC"/>
    <w:rsid w:val="00157E9B"/>
    <w:rsid w:val="001600E5"/>
    <w:rsid w:val="00160B88"/>
    <w:rsid w:val="00160D0F"/>
    <w:rsid w:val="00161678"/>
    <w:rsid w:val="00161887"/>
    <w:rsid w:val="00162421"/>
    <w:rsid w:val="0016266B"/>
    <w:rsid w:val="0016271E"/>
    <w:rsid w:val="00162BD9"/>
    <w:rsid w:val="00162E2E"/>
    <w:rsid w:val="001630F0"/>
    <w:rsid w:val="0016342D"/>
    <w:rsid w:val="001634DC"/>
    <w:rsid w:val="0016363C"/>
    <w:rsid w:val="00163F02"/>
    <w:rsid w:val="001640A8"/>
    <w:rsid w:val="001640AC"/>
    <w:rsid w:val="0016504E"/>
    <w:rsid w:val="00165D57"/>
    <w:rsid w:val="0016605D"/>
    <w:rsid w:val="00166519"/>
    <w:rsid w:val="001666F0"/>
    <w:rsid w:val="00167CD8"/>
    <w:rsid w:val="00167D69"/>
    <w:rsid w:val="00171065"/>
    <w:rsid w:val="001712FF"/>
    <w:rsid w:val="00171484"/>
    <w:rsid w:val="00171694"/>
    <w:rsid w:val="00171B90"/>
    <w:rsid w:val="00171D37"/>
    <w:rsid w:val="00172514"/>
    <w:rsid w:val="001726B1"/>
    <w:rsid w:val="00172D78"/>
    <w:rsid w:val="001732B6"/>
    <w:rsid w:val="00173482"/>
    <w:rsid w:val="001735DE"/>
    <w:rsid w:val="001736E1"/>
    <w:rsid w:val="00173BFF"/>
    <w:rsid w:val="00173DF2"/>
    <w:rsid w:val="00173E34"/>
    <w:rsid w:val="001741F2"/>
    <w:rsid w:val="00174719"/>
    <w:rsid w:val="00175540"/>
    <w:rsid w:val="00175B80"/>
    <w:rsid w:val="0017603A"/>
    <w:rsid w:val="00176051"/>
    <w:rsid w:val="00176B63"/>
    <w:rsid w:val="00176C25"/>
    <w:rsid w:val="00176CC0"/>
    <w:rsid w:val="00176F41"/>
    <w:rsid w:val="00177956"/>
    <w:rsid w:val="00177C97"/>
    <w:rsid w:val="00177EC0"/>
    <w:rsid w:val="00180277"/>
    <w:rsid w:val="001818AB"/>
    <w:rsid w:val="00181EFF"/>
    <w:rsid w:val="0018221C"/>
    <w:rsid w:val="0018259A"/>
    <w:rsid w:val="001828C4"/>
    <w:rsid w:val="00182DF5"/>
    <w:rsid w:val="00183325"/>
    <w:rsid w:val="0018342A"/>
    <w:rsid w:val="001835A9"/>
    <w:rsid w:val="001836DA"/>
    <w:rsid w:val="0018376A"/>
    <w:rsid w:val="001839FB"/>
    <w:rsid w:val="00184443"/>
    <w:rsid w:val="00184DCA"/>
    <w:rsid w:val="00185BC2"/>
    <w:rsid w:val="00185D73"/>
    <w:rsid w:val="0018601D"/>
    <w:rsid w:val="001861FA"/>
    <w:rsid w:val="00186502"/>
    <w:rsid w:val="00186D74"/>
    <w:rsid w:val="001873B4"/>
    <w:rsid w:val="001876E9"/>
    <w:rsid w:val="00187BC3"/>
    <w:rsid w:val="00190068"/>
    <w:rsid w:val="00191FD1"/>
    <w:rsid w:val="001928BF"/>
    <w:rsid w:val="00193188"/>
    <w:rsid w:val="00193D92"/>
    <w:rsid w:val="00194390"/>
    <w:rsid w:val="00194927"/>
    <w:rsid w:val="00195392"/>
    <w:rsid w:val="0019592D"/>
    <w:rsid w:val="00195BFC"/>
    <w:rsid w:val="00196310"/>
    <w:rsid w:val="001969FA"/>
    <w:rsid w:val="00196B98"/>
    <w:rsid w:val="00196CF2"/>
    <w:rsid w:val="00196FED"/>
    <w:rsid w:val="001A0449"/>
    <w:rsid w:val="001A1A9C"/>
    <w:rsid w:val="001A1B4C"/>
    <w:rsid w:val="001A1BE0"/>
    <w:rsid w:val="001A309F"/>
    <w:rsid w:val="001A3C55"/>
    <w:rsid w:val="001A3E80"/>
    <w:rsid w:val="001A4339"/>
    <w:rsid w:val="001A447C"/>
    <w:rsid w:val="001A4A63"/>
    <w:rsid w:val="001A4DC4"/>
    <w:rsid w:val="001A4FEF"/>
    <w:rsid w:val="001A614A"/>
    <w:rsid w:val="001A68AB"/>
    <w:rsid w:val="001A7093"/>
    <w:rsid w:val="001A711D"/>
    <w:rsid w:val="001A7669"/>
    <w:rsid w:val="001A7936"/>
    <w:rsid w:val="001B081E"/>
    <w:rsid w:val="001B0903"/>
    <w:rsid w:val="001B110A"/>
    <w:rsid w:val="001B12AF"/>
    <w:rsid w:val="001B1827"/>
    <w:rsid w:val="001B1A97"/>
    <w:rsid w:val="001B1D9A"/>
    <w:rsid w:val="001B2FF8"/>
    <w:rsid w:val="001B32E2"/>
    <w:rsid w:val="001B355E"/>
    <w:rsid w:val="001B3E09"/>
    <w:rsid w:val="001B401E"/>
    <w:rsid w:val="001B40CB"/>
    <w:rsid w:val="001B42E2"/>
    <w:rsid w:val="001B430A"/>
    <w:rsid w:val="001B4329"/>
    <w:rsid w:val="001B4542"/>
    <w:rsid w:val="001B4E03"/>
    <w:rsid w:val="001B506B"/>
    <w:rsid w:val="001B50DF"/>
    <w:rsid w:val="001B6D9B"/>
    <w:rsid w:val="001B6F64"/>
    <w:rsid w:val="001B7669"/>
    <w:rsid w:val="001B76FA"/>
    <w:rsid w:val="001C006D"/>
    <w:rsid w:val="001C0375"/>
    <w:rsid w:val="001C07A5"/>
    <w:rsid w:val="001C0E3D"/>
    <w:rsid w:val="001C0FAC"/>
    <w:rsid w:val="001C1CF4"/>
    <w:rsid w:val="001C1EDB"/>
    <w:rsid w:val="001C2196"/>
    <w:rsid w:val="001C2B14"/>
    <w:rsid w:val="001C2D08"/>
    <w:rsid w:val="001C2DE1"/>
    <w:rsid w:val="001C2DFD"/>
    <w:rsid w:val="001C2F4A"/>
    <w:rsid w:val="001C2FA8"/>
    <w:rsid w:val="001C3920"/>
    <w:rsid w:val="001C393F"/>
    <w:rsid w:val="001C42B6"/>
    <w:rsid w:val="001C4BE1"/>
    <w:rsid w:val="001C4D2A"/>
    <w:rsid w:val="001C51D8"/>
    <w:rsid w:val="001C58AD"/>
    <w:rsid w:val="001C5963"/>
    <w:rsid w:val="001C5E9E"/>
    <w:rsid w:val="001C6199"/>
    <w:rsid w:val="001C6705"/>
    <w:rsid w:val="001C6D03"/>
    <w:rsid w:val="001C7097"/>
    <w:rsid w:val="001C7200"/>
    <w:rsid w:val="001C74AC"/>
    <w:rsid w:val="001D0374"/>
    <w:rsid w:val="001D0712"/>
    <w:rsid w:val="001D07F7"/>
    <w:rsid w:val="001D08BB"/>
    <w:rsid w:val="001D0B13"/>
    <w:rsid w:val="001D0C90"/>
    <w:rsid w:val="001D0F1F"/>
    <w:rsid w:val="001D18E1"/>
    <w:rsid w:val="001D2986"/>
    <w:rsid w:val="001D31CC"/>
    <w:rsid w:val="001D342E"/>
    <w:rsid w:val="001D34E6"/>
    <w:rsid w:val="001D3CEC"/>
    <w:rsid w:val="001D3F51"/>
    <w:rsid w:val="001D479B"/>
    <w:rsid w:val="001D4D7B"/>
    <w:rsid w:val="001D50FE"/>
    <w:rsid w:val="001D55C1"/>
    <w:rsid w:val="001D57E1"/>
    <w:rsid w:val="001D67FA"/>
    <w:rsid w:val="001D6B6A"/>
    <w:rsid w:val="001D6DD2"/>
    <w:rsid w:val="001D7A90"/>
    <w:rsid w:val="001D7E83"/>
    <w:rsid w:val="001E0012"/>
    <w:rsid w:val="001E04AA"/>
    <w:rsid w:val="001E05D5"/>
    <w:rsid w:val="001E1405"/>
    <w:rsid w:val="001E1FE8"/>
    <w:rsid w:val="001E2204"/>
    <w:rsid w:val="001E2469"/>
    <w:rsid w:val="001E2D26"/>
    <w:rsid w:val="001E2E19"/>
    <w:rsid w:val="001E3168"/>
    <w:rsid w:val="001E37B2"/>
    <w:rsid w:val="001E3B10"/>
    <w:rsid w:val="001E3E88"/>
    <w:rsid w:val="001E457D"/>
    <w:rsid w:val="001E45A4"/>
    <w:rsid w:val="001E46D8"/>
    <w:rsid w:val="001E4819"/>
    <w:rsid w:val="001E4A5F"/>
    <w:rsid w:val="001E5C77"/>
    <w:rsid w:val="001E5D17"/>
    <w:rsid w:val="001E5FC4"/>
    <w:rsid w:val="001E6122"/>
    <w:rsid w:val="001E64D3"/>
    <w:rsid w:val="001E7076"/>
    <w:rsid w:val="001E728E"/>
    <w:rsid w:val="001E75BA"/>
    <w:rsid w:val="001E7BE4"/>
    <w:rsid w:val="001F0B5C"/>
    <w:rsid w:val="001F0ECC"/>
    <w:rsid w:val="001F1343"/>
    <w:rsid w:val="001F14FD"/>
    <w:rsid w:val="001F1B91"/>
    <w:rsid w:val="001F1F6F"/>
    <w:rsid w:val="001F2B62"/>
    <w:rsid w:val="001F2E6F"/>
    <w:rsid w:val="001F3315"/>
    <w:rsid w:val="001F3482"/>
    <w:rsid w:val="001F38DF"/>
    <w:rsid w:val="001F3A25"/>
    <w:rsid w:val="001F4477"/>
    <w:rsid w:val="001F4836"/>
    <w:rsid w:val="001F4E0B"/>
    <w:rsid w:val="001F5D94"/>
    <w:rsid w:val="001F626A"/>
    <w:rsid w:val="001F632E"/>
    <w:rsid w:val="001F67D5"/>
    <w:rsid w:val="001F6DCA"/>
    <w:rsid w:val="001F6EFC"/>
    <w:rsid w:val="001F6F8A"/>
    <w:rsid w:val="001F760B"/>
    <w:rsid w:val="00200AB3"/>
    <w:rsid w:val="00200C0E"/>
    <w:rsid w:val="00200D02"/>
    <w:rsid w:val="00201E3E"/>
    <w:rsid w:val="002021D7"/>
    <w:rsid w:val="00202523"/>
    <w:rsid w:val="00202CF1"/>
    <w:rsid w:val="00202CFF"/>
    <w:rsid w:val="00203BF4"/>
    <w:rsid w:val="00203E48"/>
    <w:rsid w:val="002042CD"/>
    <w:rsid w:val="00204307"/>
    <w:rsid w:val="00204366"/>
    <w:rsid w:val="002048C2"/>
    <w:rsid w:val="00204EAF"/>
    <w:rsid w:val="00204EC8"/>
    <w:rsid w:val="00204F0A"/>
    <w:rsid w:val="0020543C"/>
    <w:rsid w:val="00205A6A"/>
    <w:rsid w:val="002063A8"/>
    <w:rsid w:val="00206591"/>
    <w:rsid w:val="00206659"/>
    <w:rsid w:val="00206BAE"/>
    <w:rsid w:val="00207097"/>
    <w:rsid w:val="002076B5"/>
    <w:rsid w:val="002078F3"/>
    <w:rsid w:val="0021027B"/>
    <w:rsid w:val="002103EF"/>
    <w:rsid w:val="00213134"/>
    <w:rsid w:val="00213925"/>
    <w:rsid w:val="002139B6"/>
    <w:rsid w:val="00213B90"/>
    <w:rsid w:val="0021541E"/>
    <w:rsid w:val="00216D2A"/>
    <w:rsid w:val="00217187"/>
    <w:rsid w:val="0022010C"/>
    <w:rsid w:val="00220131"/>
    <w:rsid w:val="00220739"/>
    <w:rsid w:val="002207AB"/>
    <w:rsid w:val="00220DF6"/>
    <w:rsid w:val="00221087"/>
    <w:rsid w:val="0022116C"/>
    <w:rsid w:val="0022170D"/>
    <w:rsid w:val="00221BF4"/>
    <w:rsid w:val="00222462"/>
    <w:rsid w:val="0022299E"/>
    <w:rsid w:val="00223B71"/>
    <w:rsid w:val="00223D57"/>
    <w:rsid w:val="00223DAD"/>
    <w:rsid w:val="0022444A"/>
    <w:rsid w:val="0022525E"/>
    <w:rsid w:val="00225611"/>
    <w:rsid w:val="0022597E"/>
    <w:rsid w:val="00226111"/>
    <w:rsid w:val="00226BDC"/>
    <w:rsid w:val="00227F0A"/>
    <w:rsid w:val="0023043F"/>
    <w:rsid w:val="0023061A"/>
    <w:rsid w:val="00230C1C"/>
    <w:rsid w:val="00230C49"/>
    <w:rsid w:val="00231293"/>
    <w:rsid w:val="002313AF"/>
    <w:rsid w:val="002315AE"/>
    <w:rsid w:val="00231716"/>
    <w:rsid w:val="002319AE"/>
    <w:rsid w:val="00232927"/>
    <w:rsid w:val="00232AD6"/>
    <w:rsid w:val="0023322D"/>
    <w:rsid w:val="00233328"/>
    <w:rsid w:val="002333F3"/>
    <w:rsid w:val="0023373D"/>
    <w:rsid w:val="0023442A"/>
    <w:rsid w:val="0023494C"/>
    <w:rsid w:val="00234B63"/>
    <w:rsid w:val="00234CDC"/>
    <w:rsid w:val="00235903"/>
    <w:rsid w:val="00235E22"/>
    <w:rsid w:val="00236272"/>
    <w:rsid w:val="0023650B"/>
    <w:rsid w:val="00236DF3"/>
    <w:rsid w:val="00237269"/>
    <w:rsid w:val="002378E6"/>
    <w:rsid w:val="00240FBB"/>
    <w:rsid w:val="00241064"/>
    <w:rsid w:val="00241484"/>
    <w:rsid w:val="002416DA"/>
    <w:rsid w:val="002419BA"/>
    <w:rsid w:val="0024272F"/>
    <w:rsid w:val="00242C76"/>
    <w:rsid w:val="00242CBE"/>
    <w:rsid w:val="0024389A"/>
    <w:rsid w:val="00243C7A"/>
    <w:rsid w:val="00243DBD"/>
    <w:rsid w:val="00243E0E"/>
    <w:rsid w:val="00244218"/>
    <w:rsid w:val="00244367"/>
    <w:rsid w:val="002443AA"/>
    <w:rsid w:val="002444AA"/>
    <w:rsid w:val="00244652"/>
    <w:rsid w:val="00244809"/>
    <w:rsid w:val="00244825"/>
    <w:rsid w:val="00244890"/>
    <w:rsid w:val="00244AAF"/>
    <w:rsid w:val="00244F63"/>
    <w:rsid w:val="00245648"/>
    <w:rsid w:val="0024586A"/>
    <w:rsid w:val="00245D6E"/>
    <w:rsid w:val="002462D7"/>
    <w:rsid w:val="002465D0"/>
    <w:rsid w:val="00247069"/>
    <w:rsid w:val="00247F25"/>
    <w:rsid w:val="00250801"/>
    <w:rsid w:val="00250D0A"/>
    <w:rsid w:val="0025220D"/>
    <w:rsid w:val="0025244C"/>
    <w:rsid w:val="00252581"/>
    <w:rsid w:val="00252C3C"/>
    <w:rsid w:val="00252D80"/>
    <w:rsid w:val="00253159"/>
    <w:rsid w:val="002538D1"/>
    <w:rsid w:val="0025503A"/>
    <w:rsid w:val="00255317"/>
    <w:rsid w:val="00255615"/>
    <w:rsid w:val="002558CC"/>
    <w:rsid w:val="00256291"/>
    <w:rsid w:val="00256534"/>
    <w:rsid w:val="00256601"/>
    <w:rsid w:val="002569F2"/>
    <w:rsid w:val="00256B7B"/>
    <w:rsid w:val="00257243"/>
    <w:rsid w:val="002572FD"/>
    <w:rsid w:val="00257470"/>
    <w:rsid w:val="002577A6"/>
    <w:rsid w:val="00260132"/>
    <w:rsid w:val="002601A1"/>
    <w:rsid w:val="002603C8"/>
    <w:rsid w:val="00260557"/>
    <w:rsid w:val="002605EB"/>
    <w:rsid w:val="00260D9F"/>
    <w:rsid w:val="0026130B"/>
    <w:rsid w:val="00261B05"/>
    <w:rsid w:val="002629E3"/>
    <w:rsid w:val="00262AA7"/>
    <w:rsid w:val="00262B92"/>
    <w:rsid w:val="00262DFD"/>
    <w:rsid w:val="00262F1D"/>
    <w:rsid w:val="00263A34"/>
    <w:rsid w:val="00263AD6"/>
    <w:rsid w:val="00263C9E"/>
    <w:rsid w:val="00263D87"/>
    <w:rsid w:val="00263F12"/>
    <w:rsid w:val="002640A8"/>
    <w:rsid w:val="00264343"/>
    <w:rsid w:val="0026439C"/>
    <w:rsid w:val="00264412"/>
    <w:rsid w:val="00264D30"/>
    <w:rsid w:val="00264E4B"/>
    <w:rsid w:val="00265CC9"/>
    <w:rsid w:val="002667BA"/>
    <w:rsid w:val="00266E07"/>
    <w:rsid w:val="002671F9"/>
    <w:rsid w:val="00267435"/>
    <w:rsid w:val="0026763A"/>
    <w:rsid w:val="00267D1B"/>
    <w:rsid w:val="00270BDF"/>
    <w:rsid w:val="00271092"/>
    <w:rsid w:val="0027114B"/>
    <w:rsid w:val="00271633"/>
    <w:rsid w:val="00271922"/>
    <w:rsid w:val="00271ED8"/>
    <w:rsid w:val="00272739"/>
    <w:rsid w:val="002729D6"/>
    <w:rsid w:val="00272BD9"/>
    <w:rsid w:val="00272D15"/>
    <w:rsid w:val="00272E07"/>
    <w:rsid w:val="00273F43"/>
    <w:rsid w:val="00273FAF"/>
    <w:rsid w:val="0027408D"/>
    <w:rsid w:val="002743C5"/>
    <w:rsid w:val="00275817"/>
    <w:rsid w:val="0027662C"/>
    <w:rsid w:val="002769D6"/>
    <w:rsid w:val="00276B45"/>
    <w:rsid w:val="00277402"/>
    <w:rsid w:val="00277821"/>
    <w:rsid w:val="002779FE"/>
    <w:rsid w:val="00280244"/>
    <w:rsid w:val="002803E2"/>
    <w:rsid w:val="0028091A"/>
    <w:rsid w:val="00280992"/>
    <w:rsid w:val="00280E34"/>
    <w:rsid w:val="00281A57"/>
    <w:rsid w:val="00281CA6"/>
    <w:rsid w:val="0028280E"/>
    <w:rsid w:val="00282B8C"/>
    <w:rsid w:val="002832B8"/>
    <w:rsid w:val="00283507"/>
    <w:rsid w:val="00283933"/>
    <w:rsid w:val="00283C27"/>
    <w:rsid w:val="002845B4"/>
    <w:rsid w:val="00284880"/>
    <w:rsid w:val="0028501B"/>
    <w:rsid w:val="0028585A"/>
    <w:rsid w:val="00285C4C"/>
    <w:rsid w:val="00285C8D"/>
    <w:rsid w:val="00286104"/>
    <w:rsid w:val="002864D6"/>
    <w:rsid w:val="0028696C"/>
    <w:rsid w:val="00286D6A"/>
    <w:rsid w:val="00286F23"/>
    <w:rsid w:val="0028778B"/>
    <w:rsid w:val="002907E8"/>
    <w:rsid w:val="002908CB"/>
    <w:rsid w:val="00290B88"/>
    <w:rsid w:val="00290D9E"/>
    <w:rsid w:val="0029139F"/>
    <w:rsid w:val="00291911"/>
    <w:rsid w:val="00292008"/>
    <w:rsid w:val="0029229A"/>
    <w:rsid w:val="0029288F"/>
    <w:rsid w:val="00293C15"/>
    <w:rsid w:val="00293D4A"/>
    <w:rsid w:val="00293ED6"/>
    <w:rsid w:val="00294318"/>
    <w:rsid w:val="00294367"/>
    <w:rsid w:val="002948CA"/>
    <w:rsid w:val="00294965"/>
    <w:rsid w:val="00294A8B"/>
    <w:rsid w:val="00294B02"/>
    <w:rsid w:val="002950AB"/>
    <w:rsid w:val="002958ED"/>
    <w:rsid w:val="00295A86"/>
    <w:rsid w:val="00295A9E"/>
    <w:rsid w:val="00295B5B"/>
    <w:rsid w:val="00295C9F"/>
    <w:rsid w:val="00295CD7"/>
    <w:rsid w:val="00296898"/>
    <w:rsid w:val="00296C29"/>
    <w:rsid w:val="00297C87"/>
    <w:rsid w:val="002A1027"/>
    <w:rsid w:val="002A1315"/>
    <w:rsid w:val="002A2203"/>
    <w:rsid w:val="002A281B"/>
    <w:rsid w:val="002A297C"/>
    <w:rsid w:val="002A2ECE"/>
    <w:rsid w:val="002A30E4"/>
    <w:rsid w:val="002A414D"/>
    <w:rsid w:val="002A4202"/>
    <w:rsid w:val="002A570C"/>
    <w:rsid w:val="002A5A7C"/>
    <w:rsid w:val="002A5E39"/>
    <w:rsid w:val="002A5F14"/>
    <w:rsid w:val="002A636A"/>
    <w:rsid w:val="002A66CF"/>
    <w:rsid w:val="002A688F"/>
    <w:rsid w:val="002A69C9"/>
    <w:rsid w:val="002A6C31"/>
    <w:rsid w:val="002A6CDA"/>
    <w:rsid w:val="002A6D16"/>
    <w:rsid w:val="002A6E43"/>
    <w:rsid w:val="002A7103"/>
    <w:rsid w:val="002A76B4"/>
    <w:rsid w:val="002A7770"/>
    <w:rsid w:val="002A7B89"/>
    <w:rsid w:val="002B00AB"/>
    <w:rsid w:val="002B013E"/>
    <w:rsid w:val="002B02B1"/>
    <w:rsid w:val="002B0505"/>
    <w:rsid w:val="002B0A0B"/>
    <w:rsid w:val="002B0C22"/>
    <w:rsid w:val="002B10D9"/>
    <w:rsid w:val="002B1565"/>
    <w:rsid w:val="002B196E"/>
    <w:rsid w:val="002B1DA5"/>
    <w:rsid w:val="002B216C"/>
    <w:rsid w:val="002B2748"/>
    <w:rsid w:val="002B2A9A"/>
    <w:rsid w:val="002B2C1F"/>
    <w:rsid w:val="002B336E"/>
    <w:rsid w:val="002B396D"/>
    <w:rsid w:val="002B4CFA"/>
    <w:rsid w:val="002B5142"/>
    <w:rsid w:val="002B59B8"/>
    <w:rsid w:val="002B6019"/>
    <w:rsid w:val="002B6922"/>
    <w:rsid w:val="002B6CD7"/>
    <w:rsid w:val="002B7263"/>
    <w:rsid w:val="002B7742"/>
    <w:rsid w:val="002B7A91"/>
    <w:rsid w:val="002B7E07"/>
    <w:rsid w:val="002C02CC"/>
    <w:rsid w:val="002C09B2"/>
    <w:rsid w:val="002C1D8F"/>
    <w:rsid w:val="002C2121"/>
    <w:rsid w:val="002C25CA"/>
    <w:rsid w:val="002C268F"/>
    <w:rsid w:val="002C2950"/>
    <w:rsid w:val="002C318B"/>
    <w:rsid w:val="002C336D"/>
    <w:rsid w:val="002C3B5F"/>
    <w:rsid w:val="002C3E10"/>
    <w:rsid w:val="002C3F0E"/>
    <w:rsid w:val="002C3FB3"/>
    <w:rsid w:val="002C44D1"/>
    <w:rsid w:val="002C46B4"/>
    <w:rsid w:val="002C4B20"/>
    <w:rsid w:val="002C55C1"/>
    <w:rsid w:val="002C5766"/>
    <w:rsid w:val="002C5795"/>
    <w:rsid w:val="002C57A1"/>
    <w:rsid w:val="002C5A26"/>
    <w:rsid w:val="002C5DCC"/>
    <w:rsid w:val="002C62E9"/>
    <w:rsid w:val="002C6663"/>
    <w:rsid w:val="002C6CA0"/>
    <w:rsid w:val="002C71B8"/>
    <w:rsid w:val="002C7571"/>
    <w:rsid w:val="002C784A"/>
    <w:rsid w:val="002D022C"/>
    <w:rsid w:val="002D0A0D"/>
    <w:rsid w:val="002D1138"/>
    <w:rsid w:val="002D115E"/>
    <w:rsid w:val="002D19B6"/>
    <w:rsid w:val="002D1ABE"/>
    <w:rsid w:val="002D1FE3"/>
    <w:rsid w:val="002D21E5"/>
    <w:rsid w:val="002D23D5"/>
    <w:rsid w:val="002D271E"/>
    <w:rsid w:val="002D2CDD"/>
    <w:rsid w:val="002D2D8B"/>
    <w:rsid w:val="002D31D1"/>
    <w:rsid w:val="002D33BF"/>
    <w:rsid w:val="002D3BD2"/>
    <w:rsid w:val="002D417C"/>
    <w:rsid w:val="002D454B"/>
    <w:rsid w:val="002D4933"/>
    <w:rsid w:val="002D49EF"/>
    <w:rsid w:val="002D54B6"/>
    <w:rsid w:val="002D5F62"/>
    <w:rsid w:val="002D60A6"/>
    <w:rsid w:val="002E07D6"/>
    <w:rsid w:val="002E0B77"/>
    <w:rsid w:val="002E0EAB"/>
    <w:rsid w:val="002E164D"/>
    <w:rsid w:val="002E16E5"/>
    <w:rsid w:val="002E16FB"/>
    <w:rsid w:val="002E1766"/>
    <w:rsid w:val="002E2A2C"/>
    <w:rsid w:val="002E379A"/>
    <w:rsid w:val="002E38E3"/>
    <w:rsid w:val="002E4400"/>
    <w:rsid w:val="002E4A33"/>
    <w:rsid w:val="002E52B0"/>
    <w:rsid w:val="002E5B97"/>
    <w:rsid w:val="002E5BCA"/>
    <w:rsid w:val="002E62F1"/>
    <w:rsid w:val="002E6C54"/>
    <w:rsid w:val="002E7184"/>
    <w:rsid w:val="002E7900"/>
    <w:rsid w:val="002E7F2B"/>
    <w:rsid w:val="002E7F72"/>
    <w:rsid w:val="002F05C4"/>
    <w:rsid w:val="002F0BE2"/>
    <w:rsid w:val="002F0E31"/>
    <w:rsid w:val="002F1025"/>
    <w:rsid w:val="002F15E0"/>
    <w:rsid w:val="002F25EC"/>
    <w:rsid w:val="002F2E3D"/>
    <w:rsid w:val="002F32E7"/>
    <w:rsid w:val="002F356F"/>
    <w:rsid w:val="002F3596"/>
    <w:rsid w:val="002F37DF"/>
    <w:rsid w:val="002F395A"/>
    <w:rsid w:val="002F3B72"/>
    <w:rsid w:val="002F3DD8"/>
    <w:rsid w:val="002F44E9"/>
    <w:rsid w:val="002F4644"/>
    <w:rsid w:val="002F4A6F"/>
    <w:rsid w:val="002F4EFD"/>
    <w:rsid w:val="002F50B8"/>
    <w:rsid w:val="002F5AAD"/>
    <w:rsid w:val="002F5BAF"/>
    <w:rsid w:val="002F5CEF"/>
    <w:rsid w:val="002F628D"/>
    <w:rsid w:val="002F63FB"/>
    <w:rsid w:val="002F64F6"/>
    <w:rsid w:val="002F6773"/>
    <w:rsid w:val="002F6A92"/>
    <w:rsid w:val="00300A3F"/>
    <w:rsid w:val="003010FB"/>
    <w:rsid w:val="00301364"/>
    <w:rsid w:val="003014AC"/>
    <w:rsid w:val="003017FB"/>
    <w:rsid w:val="00301BE0"/>
    <w:rsid w:val="003032D8"/>
    <w:rsid w:val="00303B25"/>
    <w:rsid w:val="00303B61"/>
    <w:rsid w:val="00303F4A"/>
    <w:rsid w:val="00304429"/>
    <w:rsid w:val="00304CBB"/>
    <w:rsid w:val="0030605C"/>
    <w:rsid w:val="00306B9D"/>
    <w:rsid w:val="00306D78"/>
    <w:rsid w:val="00310CC9"/>
    <w:rsid w:val="003111EE"/>
    <w:rsid w:val="00311556"/>
    <w:rsid w:val="00311AA0"/>
    <w:rsid w:val="003121A0"/>
    <w:rsid w:val="00312A4F"/>
    <w:rsid w:val="00312A58"/>
    <w:rsid w:val="0031310C"/>
    <w:rsid w:val="003132AC"/>
    <w:rsid w:val="00314191"/>
    <w:rsid w:val="00314300"/>
    <w:rsid w:val="00314AE4"/>
    <w:rsid w:val="0031507F"/>
    <w:rsid w:val="0031557D"/>
    <w:rsid w:val="00316030"/>
    <w:rsid w:val="003163EA"/>
    <w:rsid w:val="00316A57"/>
    <w:rsid w:val="00316F85"/>
    <w:rsid w:val="0031735D"/>
    <w:rsid w:val="003173FC"/>
    <w:rsid w:val="003174FB"/>
    <w:rsid w:val="00317710"/>
    <w:rsid w:val="003204A1"/>
    <w:rsid w:val="003210B5"/>
    <w:rsid w:val="00321E42"/>
    <w:rsid w:val="00322943"/>
    <w:rsid w:val="00322AF4"/>
    <w:rsid w:val="0032376B"/>
    <w:rsid w:val="00323A39"/>
    <w:rsid w:val="00323CF1"/>
    <w:rsid w:val="00323F5F"/>
    <w:rsid w:val="0032406A"/>
    <w:rsid w:val="0032434D"/>
    <w:rsid w:val="003243B5"/>
    <w:rsid w:val="003244DB"/>
    <w:rsid w:val="00324F70"/>
    <w:rsid w:val="00325859"/>
    <w:rsid w:val="003258E3"/>
    <w:rsid w:val="00326623"/>
    <w:rsid w:val="00326824"/>
    <w:rsid w:val="0032687F"/>
    <w:rsid w:val="00326B38"/>
    <w:rsid w:val="00326FCA"/>
    <w:rsid w:val="00327972"/>
    <w:rsid w:val="00327DAD"/>
    <w:rsid w:val="00331569"/>
    <w:rsid w:val="00331693"/>
    <w:rsid w:val="003316B0"/>
    <w:rsid w:val="0033179B"/>
    <w:rsid w:val="00331C2C"/>
    <w:rsid w:val="00332EAE"/>
    <w:rsid w:val="003339D9"/>
    <w:rsid w:val="00334273"/>
    <w:rsid w:val="00334574"/>
    <w:rsid w:val="003345E8"/>
    <w:rsid w:val="003347C0"/>
    <w:rsid w:val="003348D8"/>
    <w:rsid w:val="00334B79"/>
    <w:rsid w:val="00334DEF"/>
    <w:rsid w:val="003359DF"/>
    <w:rsid w:val="00335D8A"/>
    <w:rsid w:val="003361ED"/>
    <w:rsid w:val="00336336"/>
    <w:rsid w:val="003365E3"/>
    <w:rsid w:val="00336F11"/>
    <w:rsid w:val="0033724B"/>
    <w:rsid w:val="00337546"/>
    <w:rsid w:val="00337638"/>
    <w:rsid w:val="00337B49"/>
    <w:rsid w:val="0034042D"/>
    <w:rsid w:val="00340FB5"/>
    <w:rsid w:val="00341745"/>
    <w:rsid w:val="0034184F"/>
    <w:rsid w:val="00341BE6"/>
    <w:rsid w:val="00341E22"/>
    <w:rsid w:val="00342146"/>
    <w:rsid w:val="0034236C"/>
    <w:rsid w:val="00342938"/>
    <w:rsid w:val="00342DB5"/>
    <w:rsid w:val="00343151"/>
    <w:rsid w:val="0034430A"/>
    <w:rsid w:val="003449BA"/>
    <w:rsid w:val="00344A6C"/>
    <w:rsid w:val="0034539A"/>
    <w:rsid w:val="00345A64"/>
    <w:rsid w:val="00346358"/>
    <w:rsid w:val="003463CC"/>
    <w:rsid w:val="00346B56"/>
    <w:rsid w:val="00346F33"/>
    <w:rsid w:val="00347B61"/>
    <w:rsid w:val="00347E46"/>
    <w:rsid w:val="00350073"/>
    <w:rsid w:val="003501AB"/>
    <w:rsid w:val="00350C40"/>
    <w:rsid w:val="00351A98"/>
    <w:rsid w:val="00351CD7"/>
    <w:rsid w:val="00351D4C"/>
    <w:rsid w:val="00352378"/>
    <w:rsid w:val="00352408"/>
    <w:rsid w:val="003525A9"/>
    <w:rsid w:val="0035268C"/>
    <w:rsid w:val="00353128"/>
    <w:rsid w:val="0035465B"/>
    <w:rsid w:val="0035465E"/>
    <w:rsid w:val="00354790"/>
    <w:rsid w:val="00354CDC"/>
    <w:rsid w:val="00354E8B"/>
    <w:rsid w:val="003550E7"/>
    <w:rsid w:val="00355262"/>
    <w:rsid w:val="003553D7"/>
    <w:rsid w:val="003557D2"/>
    <w:rsid w:val="00355D0A"/>
    <w:rsid w:val="00355DAB"/>
    <w:rsid w:val="0035630C"/>
    <w:rsid w:val="00356BE4"/>
    <w:rsid w:val="0035706C"/>
    <w:rsid w:val="00360207"/>
    <w:rsid w:val="003605CF"/>
    <w:rsid w:val="00360732"/>
    <w:rsid w:val="00360B71"/>
    <w:rsid w:val="00361796"/>
    <w:rsid w:val="00361814"/>
    <w:rsid w:val="003618A9"/>
    <w:rsid w:val="00361E9D"/>
    <w:rsid w:val="003627F1"/>
    <w:rsid w:val="0036288F"/>
    <w:rsid w:val="00363079"/>
    <w:rsid w:val="0036329C"/>
    <w:rsid w:val="00363BCF"/>
    <w:rsid w:val="00363F52"/>
    <w:rsid w:val="0036416B"/>
    <w:rsid w:val="0036439E"/>
    <w:rsid w:val="00364B01"/>
    <w:rsid w:val="00364CD1"/>
    <w:rsid w:val="003656A8"/>
    <w:rsid w:val="00365EB4"/>
    <w:rsid w:val="00366246"/>
    <w:rsid w:val="00366569"/>
    <w:rsid w:val="00366C79"/>
    <w:rsid w:val="003671BE"/>
    <w:rsid w:val="0037024F"/>
    <w:rsid w:val="00370A87"/>
    <w:rsid w:val="00370FD3"/>
    <w:rsid w:val="003711BC"/>
    <w:rsid w:val="00371476"/>
    <w:rsid w:val="00371955"/>
    <w:rsid w:val="003719E6"/>
    <w:rsid w:val="00371C99"/>
    <w:rsid w:val="00371FFD"/>
    <w:rsid w:val="00373371"/>
    <w:rsid w:val="00373477"/>
    <w:rsid w:val="003736E1"/>
    <w:rsid w:val="00373BE4"/>
    <w:rsid w:val="00374013"/>
    <w:rsid w:val="00374196"/>
    <w:rsid w:val="00374461"/>
    <w:rsid w:val="00374467"/>
    <w:rsid w:val="00374CE1"/>
    <w:rsid w:val="00374EDB"/>
    <w:rsid w:val="00375144"/>
    <w:rsid w:val="003754B5"/>
    <w:rsid w:val="00375CCC"/>
    <w:rsid w:val="00376957"/>
    <w:rsid w:val="00376C2C"/>
    <w:rsid w:val="00376C4A"/>
    <w:rsid w:val="00376C4F"/>
    <w:rsid w:val="00376EDC"/>
    <w:rsid w:val="00377235"/>
    <w:rsid w:val="00377D63"/>
    <w:rsid w:val="00380347"/>
    <w:rsid w:val="00380572"/>
    <w:rsid w:val="00380611"/>
    <w:rsid w:val="003808E5"/>
    <w:rsid w:val="003810A0"/>
    <w:rsid w:val="003814FD"/>
    <w:rsid w:val="00381DE3"/>
    <w:rsid w:val="00381EEE"/>
    <w:rsid w:val="00382752"/>
    <w:rsid w:val="00382BB0"/>
    <w:rsid w:val="00382F66"/>
    <w:rsid w:val="00382F7F"/>
    <w:rsid w:val="00383005"/>
    <w:rsid w:val="003830C6"/>
    <w:rsid w:val="00383EDF"/>
    <w:rsid w:val="00384882"/>
    <w:rsid w:val="00385013"/>
    <w:rsid w:val="00385F30"/>
    <w:rsid w:val="00386634"/>
    <w:rsid w:val="0038715C"/>
    <w:rsid w:val="003875A2"/>
    <w:rsid w:val="00387D8B"/>
    <w:rsid w:val="00390215"/>
    <w:rsid w:val="003902A7"/>
    <w:rsid w:val="00390393"/>
    <w:rsid w:val="0039063A"/>
    <w:rsid w:val="0039082D"/>
    <w:rsid w:val="00391724"/>
    <w:rsid w:val="0039194D"/>
    <w:rsid w:val="003919E2"/>
    <w:rsid w:val="003931C9"/>
    <w:rsid w:val="00393293"/>
    <w:rsid w:val="00393B90"/>
    <w:rsid w:val="00393D84"/>
    <w:rsid w:val="00393EF8"/>
    <w:rsid w:val="003945AC"/>
    <w:rsid w:val="00396D01"/>
    <w:rsid w:val="00397186"/>
    <w:rsid w:val="00397897"/>
    <w:rsid w:val="00397C32"/>
    <w:rsid w:val="00397F3B"/>
    <w:rsid w:val="003A0651"/>
    <w:rsid w:val="003A1006"/>
    <w:rsid w:val="003A14B5"/>
    <w:rsid w:val="003A18EE"/>
    <w:rsid w:val="003A1E9A"/>
    <w:rsid w:val="003A2191"/>
    <w:rsid w:val="003A2441"/>
    <w:rsid w:val="003A2864"/>
    <w:rsid w:val="003A38B6"/>
    <w:rsid w:val="003A3B82"/>
    <w:rsid w:val="003A419F"/>
    <w:rsid w:val="003A472F"/>
    <w:rsid w:val="003A50C7"/>
    <w:rsid w:val="003A562F"/>
    <w:rsid w:val="003A58BB"/>
    <w:rsid w:val="003A58E2"/>
    <w:rsid w:val="003A5CB2"/>
    <w:rsid w:val="003A5D55"/>
    <w:rsid w:val="003A6281"/>
    <w:rsid w:val="003A62CF"/>
    <w:rsid w:val="003A7B67"/>
    <w:rsid w:val="003B022D"/>
    <w:rsid w:val="003B029A"/>
    <w:rsid w:val="003B09EF"/>
    <w:rsid w:val="003B12E7"/>
    <w:rsid w:val="003B1A1F"/>
    <w:rsid w:val="003B220F"/>
    <w:rsid w:val="003B2F78"/>
    <w:rsid w:val="003B3913"/>
    <w:rsid w:val="003B3BF0"/>
    <w:rsid w:val="003B3C18"/>
    <w:rsid w:val="003B43D2"/>
    <w:rsid w:val="003B455D"/>
    <w:rsid w:val="003B48C1"/>
    <w:rsid w:val="003B48D9"/>
    <w:rsid w:val="003B4E31"/>
    <w:rsid w:val="003B5195"/>
    <w:rsid w:val="003B52CD"/>
    <w:rsid w:val="003B54FD"/>
    <w:rsid w:val="003B55AB"/>
    <w:rsid w:val="003B5812"/>
    <w:rsid w:val="003B5CE3"/>
    <w:rsid w:val="003B66FF"/>
    <w:rsid w:val="003B6792"/>
    <w:rsid w:val="003B6D25"/>
    <w:rsid w:val="003B7047"/>
    <w:rsid w:val="003B7514"/>
    <w:rsid w:val="003B7C9A"/>
    <w:rsid w:val="003B7DFF"/>
    <w:rsid w:val="003C010C"/>
    <w:rsid w:val="003C0557"/>
    <w:rsid w:val="003C0F08"/>
    <w:rsid w:val="003C0F0B"/>
    <w:rsid w:val="003C1975"/>
    <w:rsid w:val="003C2E24"/>
    <w:rsid w:val="003C30C8"/>
    <w:rsid w:val="003C357A"/>
    <w:rsid w:val="003C3D34"/>
    <w:rsid w:val="003C42AE"/>
    <w:rsid w:val="003C441B"/>
    <w:rsid w:val="003C524C"/>
    <w:rsid w:val="003C58C2"/>
    <w:rsid w:val="003C593F"/>
    <w:rsid w:val="003C595B"/>
    <w:rsid w:val="003C5A27"/>
    <w:rsid w:val="003C5DD2"/>
    <w:rsid w:val="003C6AEF"/>
    <w:rsid w:val="003C6B6B"/>
    <w:rsid w:val="003C6BA6"/>
    <w:rsid w:val="003C6CBD"/>
    <w:rsid w:val="003C6D97"/>
    <w:rsid w:val="003C7428"/>
    <w:rsid w:val="003C7F93"/>
    <w:rsid w:val="003D031E"/>
    <w:rsid w:val="003D0450"/>
    <w:rsid w:val="003D064C"/>
    <w:rsid w:val="003D078E"/>
    <w:rsid w:val="003D1281"/>
    <w:rsid w:val="003D1740"/>
    <w:rsid w:val="003D17FE"/>
    <w:rsid w:val="003D18AE"/>
    <w:rsid w:val="003D1B91"/>
    <w:rsid w:val="003D2193"/>
    <w:rsid w:val="003D21C3"/>
    <w:rsid w:val="003D21C5"/>
    <w:rsid w:val="003D236F"/>
    <w:rsid w:val="003D2432"/>
    <w:rsid w:val="003D2507"/>
    <w:rsid w:val="003D2643"/>
    <w:rsid w:val="003D28BE"/>
    <w:rsid w:val="003D31DC"/>
    <w:rsid w:val="003D3B62"/>
    <w:rsid w:val="003D3F77"/>
    <w:rsid w:val="003D4283"/>
    <w:rsid w:val="003D4A00"/>
    <w:rsid w:val="003D4D47"/>
    <w:rsid w:val="003D501D"/>
    <w:rsid w:val="003D534E"/>
    <w:rsid w:val="003D602D"/>
    <w:rsid w:val="003D64B7"/>
    <w:rsid w:val="003D6735"/>
    <w:rsid w:val="003D6EF6"/>
    <w:rsid w:val="003D706E"/>
    <w:rsid w:val="003E0073"/>
    <w:rsid w:val="003E1216"/>
    <w:rsid w:val="003E137C"/>
    <w:rsid w:val="003E1380"/>
    <w:rsid w:val="003E1A40"/>
    <w:rsid w:val="003E1CF4"/>
    <w:rsid w:val="003E208F"/>
    <w:rsid w:val="003E2641"/>
    <w:rsid w:val="003E3169"/>
    <w:rsid w:val="003E3D8C"/>
    <w:rsid w:val="003E424F"/>
    <w:rsid w:val="003E44E7"/>
    <w:rsid w:val="003E53D9"/>
    <w:rsid w:val="003E5DDB"/>
    <w:rsid w:val="003E6DA1"/>
    <w:rsid w:val="003E79A3"/>
    <w:rsid w:val="003E7AAD"/>
    <w:rsid w:val="003F019A"/>
    <w:rsid w:val="003F0294"/>
    <w:rsid w:val="003F101D"/>
    <w:rsid w:val="003F1CD7"/>
    <w:rsid w:val="003F2314"/>
    <w:rsid w:val="003F28EA"/>
    <w:rsid w:val="003F2932"/>
    <w:rsid w:val="003F29F2"/>
    <w:rsid w:val="003F2E24"/>
    <w:rsid w:val="003F31DD"/>
    <w:rsid w:val="003F33B2"/>
    <w:rsid w:val="003F3A5C"/>
    <w:rsid w:val="003F3BD3"/>
    <w:rsid w:val="003F3D2B"/>
    <w:rsid w:val="003F43AE"/>
    <w:rsid w:val="003F4480"/>
    <w:rsid w:val="003F46F3"/>
    <w:rsid w:val="003F47BC"/>
    <w:rsid w:val="003F4B55"/>
    <w:rsid w:val="003F4C2E"/>
    <w:rsid w:val="003F5197"/>
    <w:rsid w:val="003F5C35"/>
    <w:rsid w:val="003F660A"/>
    <w:rsid w:val="003F673C"/>
    <w:rsid w:val="003F6B32"/>
    <w:rsid w:val="003F70F5"/>
    <w:rsid w:val="003F71A9"/>
    <w:rsid w:val="003F7BEC"/>
    <w:rsid w:val="003F7E49"/>
    <w:rsid w:val="0040014D"/>
    <w:rsid w:val="004001A2"/>
    <w:rsid w:val="00400B36"/>
    <w:rsid w:val="00400B86"/>
    <w:rsid w:val="00400C34"/>
    <w:rsid w:val="004019E3"/>
    <w:rsid w:val="00401BA6"/>
    <w:rsid w:val="00401D3E"/>
    <w:rsid w:val="004021D5"/>
    <w:rsid w:val="00402579"/>
    <w:rsid w:val="00403870"/>
    <w:rsid w:val="00403A20"/>
    <w:rsid w:val="00403D8A"/>
    <w:rsid w:val="00404420"/>
    <w:rsid w:val="00404B26"/>
    <w:rsid w:val="00405111"/>
    <w:rsid w:val="00405428"/>
    <w:rsid w:val="004062D3"/>
    <w:rsid w:val="004068D4"/>
    <w:rsid w:val="00407226"/>
    <w:rsid w:val="0040728C"/>
    <w:rsid w:val="00407302"/>
    <w:rsid w:val="00407E77"/>
    <w:rsid w:val="00411314"/>
    <w:rsid w:val="004114D3"/>
    <w:rsid w:val="004117BE"/>
    <w:rsid w:val="00411FE7"/>
    <w:rsid w:val="004126E9"/>
    <w:rsid w:val="00412C11"/>
    <w:rsid w:val="004133BF"/>
    <w:rsid w:val="00413B52"/>
    <w:rsid w:val="004140A0"/>
    <w:rsid w:val="00414557"/>
    <w:rsid w:val="00414B39"/>
    <w:rsid w:val="00415499"/>
    <w:rsid w:val="00415B2B"/>
    <w:rsid w:val="00416455"/>
    <w:rsid w:val="004165BB"/>
    <w:rsid w:val="0041746F"/>
    <w:rsid w:val="0041790E"/>
    <w:rsid w:val="00417A5B"/>
    <w:rsid w:val="00417F64"/>
    <w:rsid w:val="0042082C"/>
    <w:rsid w:val="00420961"/>
    <w:rsid w:val="00420BD2"/>
    <w:rsid w:val="0042115D"/>
    <w:rsid w:val="00421A38"/>
    <w:rsid w:val="00422019"/>
    <w:rsid w:val="0042253A"/>
    <w:rsid w:val="00422687"/>
    <w:rsid w:val="00422B18"/>
    <w:rsid w:val="00422C32"/>
    <w:rsid w:val="00422F0E"/>
    <w:rsid w:val="0042347B"/>
    <w:rsid w:val="00423B4C"/>
    <w:rsid w:val="004242BA"/>
    <w:rsid w:val="00424B69"/>
    <w:rsid w:val="00425686"/>
    <w:rsid w:val="00425860"/>
    <w:rsid w:val="004258BD"/>
    <w:rsid w:val="004258BF"/>
    <w:rsid w:val="00425D3E"/>
    <w:rsid w:val="00426712"/>
    <w:rsid w:val="00426BD5"/>
    <w:rsid w:val="00426E3A"/>
    <w:rsid w:val="004275D6"/>
    <w:rsid w:val="00427B8D"/>
    <w:rsid w:val="00427F1E"/>
    <w:rsid w:val="00430414"/>
    <w:rsid w:val="00430C54"/>
    <w:rsid w:val="00431A77"/>
    <w:rsid w:val="00431EBB"/>
    <w:rsid w:val="00432557"/>
    <w:rsid w:val="00432916"/>
    <w:rsid w:val="00433CB8"/>
    <w:rsid w:val="00433CBE"/>
    <w:rsid w:val="00433D4E"/>
    <w:rsid w:val="00433EE1"/>
    <w:rsid w:val="004342E2"/>
    <w:rsid w:val="00435537"/>
    <w:rsid w:val="004364B6"/>
    <w:rsid w:val="004366D6"/>
    <w:rsid w:val="004367EB"/>
    <w:rsid w:val="004375C7"/>
    <w:rsid w:val="00437730"/>
    <w:rsid w:val="00440248"/>
    <w:rsid w:val="00440669"/>
    <w:rsid w:val="0044076F"/>
    <w:rsid w:val="00440876"/>
    <w:rsid w:val="004412B1"/>
    <w:rsid w:val="00441338"/>
    <w:rsid w:val="0044235E"/>
    <w:rsid w:val="004423C9"/>
    <w:rsid w:val="004435FA"/>
    <w:rsid w:val="004438E6"/>
    <w:rsid w:val="0044395C"/>
    <w:rsid w:val="004439D7"/>
    <w:rsid w:val="00443CE5"/>
    <w:rsid w:val="00443ECC"/>
    <w:rsid w:val="0044404B"/>
    <w:rsid w:val="0044429D"/>
    <w:rsid w:val="00444374"/>
    <w:rsid w:val="0044446A"/>
    <w:rsid w:val="00444AA5"/>
    <w:rsid w:val="00444CCA"/>
    <w:rsid w:val="00445393"/>
    <w:rsid w:val="004459C5"/>
    <w:rsid w:val="00445A8D"/>
    <w:rsid w:val="00445C6A"/>
    <w:rsid w:val="00446509"/>
    <w:rsid w:val="004466E3"/>
    <w:rsid w:val="00446DB7"/>
    <w:rsid w:val="00447FBC"/>
    <w:rsid w:val="00450C21"/>
    <w:rsid w:val="004512B6"/>
    <w:rsid w:val="004528E3"/>
    <w:rsid w:val="00454008"/>
    <w:rsid w:val="0045402C"/>
    <w:rsid w:val="00455C09"/>
    <w:rsid w:val="0045794E"/>
    <w:rsid w:val="00457E66"/>
    <w:rsid w:val="00457E78"/>
    <w:rsid w:val="00460984"/>
    <w:rsid w:val="00461421"/>
    <w:rsid w:val="004617BF"/>
    <w:rsid w:val="00461898"/>
    <w:rsid w:val="004618BB"/>
    <w:rsid w:val="00461AC3"/>
    <w:rsid w:val="00461D0B"/>
    <w:rsid w:val="00461D82"/>
    <w:rsid w:val="004622FB"/>
    <w:rsid w:val="004623A7"/>
    <w:rsid w:val="004625AB"/>
    <w:rsid w:val="004625D3"/>
    <w:rsid w:val="004626C5"/>
    <w:rsid w:val="004629AF"/>
    <w:rsid w:val="00462B75"/>
    <w:rsid w:val="004631BF"/>
    <w:rsid w:val="004634A4"/>
    <w:rsid w:val="00463534"/>
    <w:rsid w:val="00463E58"/>
    <w:rsid w:val="00464D1E"/>
    <w:rsid w:val="00464E9F"/>
    <w:rsid w:val="0046561C"/>
    <w:rsid w:val="00466376"/>
    <w:rsid w:val="004664F3"/>
    <w:rsid w:val="004665B2"/>
    <w:rsid w:val="004672E1"/>
    <w:rsid w:val="00467618"/>
    <w:rsid w:val="00467EA7"/>
    <w:rsid w:val="0047019F"/>
    <w:rsid w:val="004702E6"/>
    <w:rsid w:val="0047089E"/>
    <w:rsid w:val="00470FAF"/>
    <w:rsid w:val="0047181D"/>
    <w:rsid w:val="00471CD4"/>
    <w:rsid w:val="00471F25"/>
    <w:rsid w:val="0047207F"/>
    <w:rsid w:val="00472290"/>
    <w:rsid w:val="00472940"/>
    <w:rsid w:val="004729E0"/>
    <w:rsid w:val="00472C88"/>
    <w:rsid w:val="00473CB7"/>
    <w:rsid w:val="004744FF"/>
    <w:rsid w:val="004751DD"/>
    <w:rsid w:val="004751E0"/>
    <w:rsid w:val="00475375"/>
    <w:rsid w:val="004762F5"/>
    <w:rsid w:val="00476BD6"/>
    <w:rsid w:val="004771B9"/>
    <w:rsid w:val="004800BF"/>
    <w:rsid w:val="00480191"/>
    <w:rsid w:val="004802DA"/>
    <w:rsid w:val="0048146B"/>
    <w:rsid w:val="004814EB"/>
    <w:rsid w:val="004816CB"/>
    <w:rsid w:val="00481E24"/>
    <w:rsid w:val="00482D95"/>
    <w:rsid w:val="00483348"/>
    <w:rsid w:val="004834D9"/>
    <w:rsid w:val="004838EF"/>
    <w:rsid w:val="004843D0"/>
    <w:rsid w:val="004845A8"/>
    <w:rsid w:val="00484C20"/>
    <w:rsid w:val="00484E8D"/>
    <w:rsid w:val="00485022"/>
    <w:rsid w:val="0048521D"/>
    <w:rsid w:val="004853D3"/>
    <w:rsid w:val="00485691"/>
    <w:rsid w:val="00485A1F"/>
    <w:rsid w:val="004861BD"/>
    <w:rsid w:val="00486796"/>
    <w:rsid w:val="00486916"/>
    <w:rsid w:val="00486BE7"/>
    <w:rsid w:val="00486C74"/>
    <w:rsid w:val="004901CB"/>
    <w:rsid w:val="00490BCC"/>
    <w:rsid w:val="004910AC"/>
    <w:rsid w:val="00491B5A"/>
    <w:rsid w:val="00492195"/>
    <w:rsid w:val="00492364"/>
    <w:rsid w:val="004923C7"/>
    <w:rsid w:val="004924C0"/>
    <w:rsid w:val="004925E7"/>
    <w:rsid w:val="00492682"/>
    <w:rsid w:val="00492B01"/>
    <w:rsid w:val="00492CEC"/>
    <w:rsid w:val="00492E2B"/>
    <w:rsid w:val="00493093"/>
    <w:rsid w:val="004932E8"/>
    <w:rsid w:val="004943F7"/>
    <w:rsid w:val="00494A8A"/>
    <w:rsid w:val="00494DA3"/>
    <w:rsid w:val="00495542"/>
    <w:rsid w:val="00496642"/>
    <w:rsid w:val="004966A6"/>
    <w:rsid w:val="00496B37"/>
    <w:rsid w:val="00496F86"/>
    <w:rsid w:val="004973C4"/>
    <w:rsid w:val="004A0525"/>
    <w:rsid w:val="004A10F1"/>
    <w:rsid w:val="004A1173"/>
    <w:rsid w:val="004A225B"/>
    <w:rsid w:val="004A2535"/>
    <w:rsid w:val="004A2542"/>
    <w:rsid w:val="004A2710"/>
    <w:rsid w:val="004A2955"/>
    <w:rsid w:val="004A3487"/>
    <w:rsid w:val="004A352F"/>
    <w:rsid w:val="004A3D3C"/>
    <w:rsid w:val="004A4111"/>
    <w:rsid w:val="004A4332"/>
    <w:rsid w:val="004A4361"/>
    <w:rsid w:val="004A4451"/>
    <w:rsid w:val="004A50BB"/>
    <w:rsid w:val="004A5FD5"/>
    <w:rsid w:val="004A6C23"/>
    <w:rsid w:val="004A73C5"/>
    <w:rsid w:val="004A7AAD"/>
    <w:rsid w:val="004A7B48"/>
    <w:rsid w:val="004A7E5A"/>
    <w:rsid w:val="004A7F99"/>
    <w:rsid w:val="004B0228"/>
    <w:rsid w:val="004B0521"/>
    <w:rsid w:val="004B0EDD"/>
    <w:rsid w:val="004B10AB"/>
    <w:rsid w:val="004B171C"/>
    <w:rsid w:val="004B1B53"/>
    <w:rsid w:val="004B2746"/>
    <w:rsid w:val="004B2EBB"/>
    <w:rsid w:val="004B322C"/>
    <w:rsid w:val="004B3775"/>
    <w:rsid w:val="004B3780"/>
    <w:rsid w:val="004B3B09"/>
    <w:rsid w:val="004B3E33"/>
    <w:rsid w:val="004B42B1"/>
    <w:rsid w:val="004B49E6"/>
    <w:rsid w:val="004B4D2F"/>
    <w:rsid w:val="004B4D92"/>
    <w:rsid w:val="004B4E09"/>
    <w:rsid w:val="004B4FAA"/>
    <w:rsid w:val="004B5569"/>
    <w:rsid w:val="004B5839"/>
    <w:rsid w:val="004B5EDE"/>
    <w:rsid w:val="004B5FB0"/>
    <w:rsid w:val="004B6126"/>
    <w:rsid w:val="004B66EA"/>
    <w:rsid w:val="004B691E"/>
    <w:rsid w:val="004B69E7"/>
    <w:rsid w:val="004B794F"/>
    <w:rsid w:val="004B7AF8"/>
    <w:rsid w:val="004C02A5"/>
    <w:rsid w:val="004C086C"/>
    <w:rsid w:val="004C0DC3"/>
    <w:rsid w:val="004C0E56"/>
    <w:rsid w:val="004C159A"/>
    <w:rsid w:val="004C1793"/>
    <w:rsid w:val="004C2259"/>
    <w:rsid w:val="004C2C6D"/>
    <w:rsid w:val="004C3426"/>
    <w:rsid w:val="004C3F70"/>
    <w:rsid w:val="004C43FD"/>
    <w:rsid w:val="004C4566"/>
    <w:rsid w:val="004C4E85"/>
    <w:rsid w:val="004C51CB"/>
    <w:rsid w:val="004C537A"/>
    <w:rsid w:val="004C54F5"/>
    <w:rsid w:val="004C5776"/>
    <w:rsid w:val="004C6A42"/>
    <w:rsid w:val="004C7BD9"/>
    <w:rsid w:val="004D053D"/>
    <w:rsid w:val="004D0A4A"/>
    <w:rsid w:val="004D116B"/>
    <w:rsid w:val="004D12FA"/>
    <w:rsid w:val="004D1698"/>
    <w:rsid w:val="004D3330"/>
    <w:rsid w:val="004D35BD"/>
    <w:rsid w:val="004D4335"/>
    <w:rsid w:val="004D44EE"/>
    <w:rsid w:val="004D45A9"/>
    <w:rsid w:val="004D46A3"/>
    <w:rsid w:val="004D5437"/>
    <w:rsid w:val="004D5988"/>
    <w:rsid w:val="004D5CCF"/>
    <w:rsid w:val="004D781F"/>
    <w:rsid w:val="004E0161"/>
    <w:rsid w:val="004E084F"/>
    <w:rsid w:val="004E0FB0"/>
    <w:rsid w:val="004E118B"/>
    <w:rsid w:val="004E1426"/>
    <w:rsid w:val="004E1DD2"/>
    <w:rsid w:val="004E21D7"/>
    <w:rsid w:val="004E2F2C"/>
    <w:rsid w:val="004E3057"/>
    <w:rsid w:val="004E316F"/>
    <w:rsid w:val="004E36E2"/>
    <w:rsid w:val="004E3BA0"/>
    <w:rsid w:val="004E40EF"/>
    <w:rsid w:val="004E436A"/>
    <w:rsid w:val="004E458B"/>
    <w:rsid w:val="004E46CD"/>
    <w:rsid w:val="004E4A70"/>
    <w:rsid w:val="004E5031"/>
    <w:rsid w:val="004E5333"/>
    <w:rsid w:val="004E579C"/>
    <w:rsid w:val="004E628D"/>
    <w:rsid w:val="004E67F8"/>
    <w:rsid w:val="004E6BF1"/>
    <w:rsid w:val="004E7953"/>
    <w:rsid w:val="004E7B4B"/>
    <w:rsid w:val="004F0587"/>
    <w:rsid w:val="004F0C84"/>
    <w:rsid w:val="004F0E48"/>
    <w:rsid w:val="004F1302"/>
    <w:rsid w:val="004F165E"/>
    <w:rsid w:val="004F17BB"/>
    <w:rsid w:val="004F2177"/>
    <w:rsid w:val="004F2896"/>
    <w:rsid w:val="004F2DD1"/>
    <w:rsid w:val="004F3534"/>
    <w:rsid w:val="004F3CB1"/>
    <w:rsid w:val="004F3CDC"/>
    <w:rsid w:val="004F4F21"/>
    <w:rsid w:val="004F572F"/>
    <w:rsid w:val="004F57F8"/>
    <w:rsid w:val="004F5A08"/>
    <w:rsid w:val="004F5C0C"/>
    <w:rsid w:val="004F5C70"/>
    <w:rsid w:val="004F5DB6"/>
    <w:rsid w:val="004F636D"/>
    <w:rsid w:val="004F749A"/>
    <w:rsid w:val="004F750D"/>
    <w:rsid w:val="004F751F"/>
    <w:rsid w:val="004F7774"/>
    <w:rsid w:val="004F7897"/>
    <w:rsid w:val="004F7C39"/>
    <w:rsid w:val="00500B43"/>
    <w:rsid w:val="00500F36"/>
    <w:rsid w:val="005015F7"/>
    <w:rsid w:val="00501998"/>
    <w:rsid w:val="00501BEF"/>
    <w:rsid w:val="00502240"/>
    <w:rsid w:val="00502F61"/>
    <w:rsid w:val="00504017"/>
    <w:rsid w:val="0050442F"/>
    <w:rsid w:val="00504604"/>
    <w:rsid w:val="00504969"/>
    <w:rsid w:val="0050508C"/>
    <w:rsid w:val="005052E3"/>
    <w:rsid w:val="00505313"/>
    <w:rsid w:val="00505806"/>
    <w:rsid w:val="00505897"/>
    <w:rsid w:val="00505A0C"/>
    <w:rsid w:val="00505F47"/>
    <w:rsid w:val="00506280"/>
    <w:rsid w:val="0050660F"/>
    <w:rsid w:val="00506918"/>
    <w:rsid w:val="005070B1"/>
    <w:rsid w:val="005070DE"/>
    <w:rsid w:val="005078CD"/>
    <w:rsid w:val="00507ABF"/>
    <w:rsid w:val="00507C14"/>
    <w:rsid w:val="00507EEA"/>
    <w:rsid w:val="00507F00"/>
    <w:rsid w:val="0051011C"/>
    <w:rsid w:val="0051018E"/>
    <w:rsid w:val="005108AE"/>
    <w:rsid w:val="00511577"/>
    <w:rsid w:val="0051163D"/>
    <w:rsid w:val="00511C9B"/>
    <w:rsid w:val="005120A2"/>
    <w:rsid w:val="00512668"/>
    <w:rsid w:val="005126CC"/>
    <w:rsid w:val="005129BA"/>
    <w:rsid w:val="00512F0F"/>
    <w:rsid w:val="005130B9"/>
    <w:rsid w:val="0051319A"/>
    <w:rsid w:val="005131FB"/>
    <w:rsid w:val="00513303"/>
    <w:rsid w:val="0051376C"/>
    <w:rsid w:val="00514856"/>
    <w:rsid w:val="005149E8"/>
    <w:rsid w:val="00514BED"/>
    <w:rsid w:val="005157F8"/>
    <w:rsid w:val="0051581A"/>
    <w:rsid w:val="00515AD6"/>
    <w:rsid w:val="00515FA3"/>
    <w:rsid w:val="0051620F"/>
    <w:rsid w:val="00516482"/>
    <w:rsid w:val="00516A95"/>
    <w:rsid w:val="00516B16"/>
    <w:rsid w:val="00516EAB"/>
    <w:rsid w:val="00517225"/>
    <w:rsid w:val="005174A3"/>
    <w:rsid w:val="005178FE"/>
    <w:rsid w:val="00517CC3"/>
    <w:rsid w:val="00517F8F"/>
    <w:rsid w:val="00517FA3"/>
    <w:rsid w:val="00520978"/>
    <w:rsid w:val="00520D97"/>
    <w:rsid w:val="00521796"/>
    <w:rsid w:val="005226AE"/>
    <w:rsid w:val="00523617"/>
    <w:rsid w:val="005239D6"/>
    <w:rsid w:val="00523BEF"/>
    <w:rsid w:val="00524BFD"/>
    <w:rsid w:val="005254B4"/>
    <w:rsid w:val="0052635A"/>
    <w:rsid w:val="005266E2"/>
    <w:rsid w:val="00530011"/>
    <w:rsid w:val="005303DB"/>
    <w:rsid w:val="00530BE8"/>
    <w:rsid w:val="00530F4A"/>
    <w:rsid w:val="005311B1"/>
    <w:rsid w:val="00531793"/>
    <w:rsid w:val="0053190B"/>
    <w:rsid w:val="00531DB5"/>
    <w:rsid w:val="005322FC"/>
    <w:rsid w:val="0053288F"/>
    <w:rsid w:val="00532B6C"/>
    <w:rsid w:val="00532F80"/>
    <w:rsid w:val="00533262"/>
    <w:rsid w:val="0053330B"/>
    <w:rsid w:val="005336EB"/>
    <w:rsid w:val="00533A1E"/>
    <w:rsid w:val="00534AE5"/>
    <w:rsid w:val="00534E17"/>
    <w:rsid w:val="005354A1"/>
    <w:rsid w:val="00535864"/>
    <w:rsid w:val="00535DCA"/>
    <w:rsid w:val="00536B5C"/>
    <w:rsid w:val="00536FD6"/>
    <w:rsid w:val="005374F4"/>
    <w:rsid w:val="00537883"/>
    <w:rsid w:val="00537897"/>
    <w:rsid w:val="00537DE9"/>
    <w:rsid w:val="00537EA3"/>
    <w:rsid w:val="00540A15"/>
    <w:rsid w:val="00540BB9"/>
    <w:rsid w:val="00540DE9"/>
    <w:rsid w:val="005413B1"/>
    <w:rsid w:val="00541A89"/>
    <w:rsid w:val="00541C46"/>
    <w:rsid w:val="00542043"/>
    <w:rsid w:val="0054221F"/>
    <w:rsid w:val="00542DFE"/>
    <w:rsid w:val="00542E3A"/>
    <w:rsid w:val="00543511"/>
    <w:rsid w:val="00543B65"/>
    <w:rsid w:val="00544472"/>
    <w:rsid w:val="005446B5"/>
    <w:rsid w:val="00544952"/>
    <w:rsid w:val="0054520C"/>
    <w:rsid w:val="005458EF"/>
    <w:rsid w:val="00545C73"/>
    <w:rsid w:val="0054685C"/>
    <w:rsid w:val="00547582"/>
    <w:rsid w:val="00547858"/>
    <w:rsid w:val="00547ECD"/>
    <w:rsid w:val="00550169"/>
    <w:rsid w:val="00550528"/>
    <w:rsid w:val="0055079E"/>
    <w:rsid w:val="005507DA"/>
    <w:rsid w:val="00551750"/>
    <w:rsid w:val="00551AE3"/>
    <w:rsid w:val="0055203D"/>
    <w:rsid w:val="00552881"/>
    <w:rsid w:val="00553984"/>
    <w:rsid w:val="00553B89"/>
    <w:rsid w:val="005542EB"/>
    <w:rsid w:val="00554827"/>
    <w:rsid w:val="00554A45"/>
    <w:rsid w:val="00554CB7"/>
    <w:rsid w:val="00554D38"/>
    <w:rsid w:val="0055502E"/>
    <w:rsid w:val="00555557"/>
    <w:rsid w:val="005557D6"/>
    <w:rsid w:val="00555F15"/>
    <w:rsid w:val="005561FF"/>
    <w:rsid w:val="0055643F"/>
    <w:rsid w:val="005565E3"/>
    <w:rsid w:val="005567E5"/>
    <w:rsid w:val="0055689B"/>
    <w:rsid w:val="00556D3E"/>
    <w:rsid w:val="005573A5"/>
    <w:rsid w:val="005578A2"/>
    <w:rsid w:val="0056017D"/>
    <w:rsid w:val="00560504"/>
    <w:rsid w:val="00560695"/>
    <w:rsid w:val="0056182D"/>
    <w:rsid w:val="00561A65"/>
    <w:rsid w:val="00561B04"/>
    <w:rsid w:val="00561C23"/>
    <w:rsid w:val="00561E0C"/>
    <w:rsid w:val="0056244F"/>
    <w:rsid w:val="005626F3"/>
    <w:rsid w:val="0056366B"/>
    <w:rsid w:val="0056385D"/>
    <w:rsid w:val="0056419F"/>
    <w:rsid w:val="0056469A"/>
    <w:rsid w:val="00564AE3"/>
    <w:rsid w:val="00564B1C"/>
    <w:rsid w:val="00564D2F"/>
    <w:rsid w:val="00565794"/>
    <w:rsid w:val="00565D32"/>
    <w:rsid w:val="005673B5"/>
    <w:rsid w:val="00567FBB"/>
    <w:rsid w:val="005703C0"/>
    <w:rsid w:val="00570561"/>
    <w:rsid w:val="00570A9A"/>
    <w:rsid w:val="00570EAB"/>
    <w:rsid w:val="00571032"/>
    <w:rsid w:val="0057148E"/>
    <w:rsid w:val="0057172D"/>
    <w:rsid w:val="00571918"/>
    <w:rsid w:val="00571AF9"/>
    <w:rsid w:val="00571D9E"/>
    <w:rsid w:val="00571E20"/>
    <w:rsid w:val="0057211F"/>
    <w:rsid w:val="00572B0E"/>
    <w:rsid w:val="00572E80"/>
    <w:rsid w:val="005746EB"/>
    <w:rsid w:val="005754A6"/>
    <w:rsid w:val="005757BB"/>
    <w:rsid w:val="00575EE0"/>
    <w:rsid w:val="00575F46"/>
    <w:rsid w:val="00576239"/>
    <w:rsid w:val="005762BC"/>
    <w:rsid w:val="00576D98"/>
    <w:rsid w:val="00577110"/>
    <w:rsid w:val="0057727E"/>
    <w:rsid w:val="0057736E"/>
    <w:rsid w:val="00577560"/>
    <w:rsid w:val="0058001A"/>
    <w:rsid w:val="0058097B"/>
    <w:rsid w:val="00581210"/>
    <w:rsid w:val="005814DE"/>
    <w:rsid w:val="00581954"/>
    <w:rsid w:val="00581E80"/>
    <w:rsid w:val="00582403"/>
    <w:rsid w:val="00582577"/>
    <w:rsid w:val="0058284C"/>
    <w:rsid w:val="005830D1"/>
    <w:rsid w:val="00583507"/>
    <w:rsid w:val="00583574"/>
    <w:rsid w:val="00583A1E"/>
    <w:rsid w:val="00583E43"/>
    <w:rsid w:val="005845CD"/>
    <w:rsid w:val="0058475F"/>
    <w:rsid w:val="00584B44"/>
    <w:rsid w:val="00584B6A"/>
    <w:rsid w:val="00584D39"/>
    <w:rsid w:val="00584F77"/>
    <w:rsid w:val="0058510D"/>
    <w:rsid w:val="00585153"/>
    <w:rsid w:val="00585EC9"/>
    <w:rsid w:val="00585F2C"/>
    <w:rsid w:val="00586595"/>
    <w:rsid w:val="00586691"/>
    <w:rsid w:val="00586BDE"/>
    <w:rsid w:val="00586C79"/>
    <w:rsid w:val="00586E67"/>
    <w:rsid w:val="00586F5E"/>
    <w:rsid w:val="005878DF"/>
    <w:rsid w:val="0059000D"/>
    <w:rsid w:val="00590083"/>
    <w:rsid w:val="0059021E"/>
    <w:rsid w:val="005908F5"/>
    <w:rsid w:val="00590E1B"/>
    <w:rsid w:val="00591220"/>
    <w:rsid w:val="00591659"/>
    <w:rsid w:val="005916A4"/>
    <w:rsid w:val="00591935"/>
    <w:rsid w:val="00591C85"/>
    <w:rsid w:val="00591CAD"/>
    <w:rsid w:val="0059398E"/>
    <w:rsid w:val="00593A2C"/>
    <w:rsid w:val="00594250"/>
    <w:rsid w:val="00594951"/>
    <w:rsid w:val="00594D60"/>
    <w:rsid w:val="00595235"/>
    <w:rsid w:val="005954D0"/>
    <w:rsid w:val="00595770"/>
    <w:rsid w:val="00595855"/>
    <w:rsid w:val="00595FD2"/>
    <w:rsid w:val="005967D8"/>
    <w:rsid w:val="005968B1"/>
    <w:rsid w:val="00596FDB"/>
    <w:rsid w:val="005974C2"/>
    <w:rsid w:val="00597776"/>
    <w:rsid w:val="00597B7D"/>
    <w:rsid w:val="005A0DE0"/>
    <w:rsid w:val="005A10FB"/>
    <w:rsid w:val="005A1331"/>
    <w:rsid w:val="005A1792"/>
    <w:rsid w:val="005A1C09"/>
    <w:rsid w:val="005A26C1"/>
    <w:rsid w:val="005A26EB"/>
    <w:rsid w:val="005A2D5B"/>
    <w:rsid w:val="005A2DF4"/>
    <w:rsid w:val="005A35C7"/>
    <w:rsid w:val="005A3943"/>
    <w:rsid w:val="005A3CA5"/>
    <w:rsid w:val="005A41A6"/>
    <w:rsid w:val="005A44B8"/>
    <w:rsid w:val="005A497F"/>
    <w:rsid w:val="005A53A0"/>
    <w:rsid w:val="005A557B"/>
    <w:rsid w:val="005A69D5"/>
    <w:rsid w:val="005A6F07"/>
    <w:rsid w:val="005A7906"/>
    <w:rsid w:val="005A7D60"/>
    <w:rsid w:val="005A7FC1"/>
    <w:rsid w:val="005B01E3"/>
    <w:rsid w:val="005B03EF"/>
    <w:rsid w:val="005B0675"/>
    <w:rsid w:val="005B1E18"/>
    <w:rsid w:val="005B1EA3"/>
    <w:rsid w:val="005B2626"/>
    <w:rsid w:val="005B29E3"/>
    <w:rsid w:val="005B2B0F"/>
    <w:rsid w:val="005B2C05"/>
    <w:rsid w:val="005B2C7A"/>
    <w:rsid w:val="005B32CD"/>
    <w:rsid w:val="005B33B5"/>
    <w:rsid w:val="005B3AFB"/>
    <w:rsid w:val="005B3B08"/>
    <w:rsid w:val="005B401B"/>
    <w:rsid w:val="005B48EA"/>
    <w:rsid w:val="005B48F5"/>
    <w:rsid w:val="005B5344"/>
    <w:rsid w:val="005B577E"/>
    <w:rsid w:val="005B60C2"/>
    <w:rsid w:val="005B6E38"/>
    <w:rsid w:val="005B76BB"/>
    <w:rsid w:val="005B778A"/>
    <w:rsid w:val="005B77E0"/>
    <w:rsid w:val="005B7885"/>
    <w:rsid w:val="005B7D0D"/>
    <w:rsid w:val="005C0A48"/>
    <w:rsid w:val="005C11B9"/>
    <w:rsid w:val="005C179A"/>
    <w:rsid w:val="005C1973"/>
    <w:rsid w:val="005C1B36"/>
    <w:rsid w:val="005C1C71"/>
    <w:rsid w:val="005C1C85"/>
    <w:rsid w:val="005C1D6D"/>
    <w:rsid w:val="005C28E5"/>
    <w:rsid w:val="005C293A"/>
    <w:rsid w:val="005C3179"/>
    <w:rsid w:val="005C4751"/>
    <w:rsid w:val="005C4965"/>
    <w:rsid w:val="005C4E0C"/>
    <w:rsid w:val="005C50F9"/>
    <w:rsid w:val="005C5FA7"/>
    <w:rsid w:val="005C6137"/>
    <w:rsid w:val="005C6181"/>
    <w:rsid w:val="005C63A9"/>
    <w:rsid w:val="005C68C1"/>
    <w:rsid w:val="005C691B"/>
    <w:rsid w:val="005C6947"/>
    <w:rsid w:val="005C6A07"/>
    <w:rsid w:val="005C6E1D"/>
    <w:rsid w:val="005C707A"/>
    <w:rsid w:val="005C7D21"/>
    <w:rsid w:val="005D036D"/>
    <w:rsid w:val="005D0550"/>
    <w:rsid w:val="005D113E"/>
    <w:rsid w:val="005D11A4"/>
    <w:rsid w:val="005D11BE"/>
    <w:rsid w:val="005D14CD"/>
    <w:rsid w:val="005D16E3"/>
    <w:rsid w:val="005D17E6"/>
    <w:rsid w:val="005D1AE7"/>
    <w:rsid w:val="005D1E19"/>
    <w:rsid w:val="005D1F76"/>
    <w:rsid w:val="005D1FC2"/>
    <w:rsid w:val="005D23CD"/>
    <w:rsid w:val="005D25DA"/>
    <w:rsid w:val="005D2708"/>
    <w:rsid w:val="005D31F4"/>
    <w:rsid w:val="005D3C7D"/>
    <w:rsid w:val="005D3C80"/>
    <w:rsid w:val="005D47FD"/>
    <w:rsid w:val="005D49EC"/>
    <w:rsid w:val="005D5CE6"/>
    <w:rsid w:val="005D69BB"/>
    <w:rsid w:val="005D6AA2"/>
    <w:rsid w:val="005D6D05"/>
    <w:rsid w:val="005D6DA6"/>
    <w:rsid w:val="005D6DF1"/>
    <w:rsid w:val="005D71A1"/>
    <w:rsid w:val="005D72D0"/>
    <w:rsid w:val="005D741C"/>
    <w:rsid w:val="005E03E0"/>
    <w:rsid w:val="005E06A7"/>
    <w:rsid w:val="005E0760"/>
    <w:rsid w:val="005E07BC"/>
    <w:rsid w:val="005E09A6"/>
    <w:rsid w:val="005E0A01"/>
    <w:rsid w:val="005E16F8"/>
    <w:rsid w:val="005E17F8"/>
    <w:rsid w:val="005E1DE6"/>
    <w:rsid w:val="005E35B0"/>
    <w:rsid w:val="005E3BDC"/>
    <w:rsid w:val="005E4078"/>
    <w:rsid w:val="005E411E"/>
    <w:rsid w:val="005E4938"/>
    <w:rsid w:val="005E510F"/>
    <w:rsid w:val="005E5645"/>
    <w:rsid w:val="005E5976"/>
    <w:rsid w:val="005E6220"/>
    <w:rsid w:val="005E6455"/>
    <w:rsid w:val="005E65F9"/>
    <w:rsid w:val="005E695F"/>
    <w:rsid w:val="005E75D7"/>
    <w:rsid w:val="005F0BF2"/>
    <w:rsid w:val="005F1297"/>
    <w:rsid w:val="005F1682"/>
    <w:rsid w:val="005F1A43"/>
    <w:rsid w:val="005F20FD"/>
    <w:rsid w:val="005F2238"/>
    <w:rsid w:val="005F22F2"/>
    <w:rsid w:val="005F2947"/>
    <w:rsid w:val="005F2F01"/>
    <w:rsid w:val="005F31F6"/>
    <w:rsid w:val="005F3F2E"/>
    <w:rsid w:val="005F4575"/>
    <w:rsid w:val="005F459F"/>
    <w:rsid w:val="005F4BB3"/>
    <w:rsid w:val="005F52E8"/>
    <w:rsid w:val="005F5AB2"/>
    <w:rsid w:val="005F62E3"/>
    <w:rsid w:val="005F659B"/>
    <w:rsid w:val="005F7442"/>
    <w:rsid w:val="005F74A4"/>
    <w:rsid w:val="005F7D05"/>
    <w:rsid w:val="0060033C"/>
    <w:rsid w:val="00600415"/>
    <w:rsid w:val="00600575"/>
    <w:rsid w:val="006015C2"/>
    <w:rsid w:val="00601B17"/>
    <w:rsid w:val="00601C3D"/>
    <w:rsid w:val="00602875"/>
    <w:rsid w:val="0060300E"/>
    <w:rsid w:val="006030E6"/>
    <w:rsid w:val="00603BFC"/>
    <w:rsid w:val="00603EBD"/>
    <w:rsid w:val="006040EB"/>
    <w:rsid w:val="006041ED"/>
    <w:rsid w:val="006041F2"/>
    <w:rsid w:val="006043C0"/>
    <w:rsid w:val="00604836"/>
    <w:rsid w:val="006054F2"/>
    <w:rsid w:val="006061CA"/>
    <w:rsid w:val="0060635C"/>
    <w:rsid w:val="00606B2F"/>
    <w:rsid w:val="00606E05"/>
    <w:rsid w:val="006074E2"/>
    <w:rsid w:val="00610072"/>
    <w:rsid w:val="00610ADF"/>
    <w:rsid w:val="00610F88"/>
    <w:rsid w:val="006113B3"/>
    <w:rsid w:val="0061186B"/>
    <w:rsid w:val="006118F0"/>
    <w:rsid w:val="00611B59"/>
    <w:rsid w:val="00611B94"/>
    <w:rsid w:val="00611CEE"/>
    <w:rsid w:val="00612159"/>
    <w:rsid w:val="00613644"/>
    <w:rsid w:val="00613A63"/>
    <w:rsid w:val="00613C23"/>
    <w:rsid w:val="00613D9D"/>
    <w:rsid w:val="00614208"/>
    <w:rsid w:val="0061442D"/>
    <w:rsid w:val="006145F0"/>
    <w:rsid w:val="00614943"/>
    <w:rsid w:val="00614AEC"/>
    <w:rsid w:val="00614EFD"/>
    <w:rsid w:val="00614F78"/>
    <w:rsid w:val="006153CA"/>
    <w:rsid w:val="006156BD"/>
    <w:rsid w:val="00615C4A"/>
    <w:rsid w:val="006163B4"/>
    <w:rsid w:val="0061640B"/>
    <w:rsid w:val="00616872"/>
    <w:rsid w:val="00616F0F"/>
    <w:rsid w:val="006175B7"/>
    <w:rsid w:val="0062011C"/>
    <w:rsid w:val="006201D1"/>
    <w:rsid w:val="006203F8"/>
    <w:rsid w:val="00620769"/>
    <w:rsid w:val="0062093D"/>
    <w:rsid w:val="006215DE"/>
    <w:rsid w:val="00621F5D"/>
    <w:rsid w:val="0062236C"/>
    <w:rsid w:val="0062262A"/>
    <w:rsid w:val="00622B02"/>
    <w:rsid w:val="00622DF5"/>
    <w:rsid w:val="00623932"/>
    <w:rsid w:val="00623CA4"/>
    <w:rsid w:val="0062406F"/>
    <w:rsid w:val="00624442"/>
    <w:rsid w:val="0062482E"/>
    <w:rsid w:val="00625471"/>
    <w:rsid w:val="00625844"/>
    <w:rsid w:val="00625882"/>
    <w:rsid w:val="00625B69"/>
    <w:rsid w:val="00626368"/>
    <w:rsid w:val="006266CD"/>
    <w:rsid w:val="00627AB1"/>
    <w:rsid w:val="00630051"/>
    <w:rsid w:val="00630075"/>
    <w:rsid w:val="006300FE"/>
    <w:rsid w:val="006305EB"/>
    <w:rsid w:val="00630D22"/>
    <w:rsid w:val="00630E13"/>
    <w:rsid w:val="00630F3A"/>
    <w:rsid w:val="0063123E"/>
    <w:rsid w:val="00631280"/>
    <w:rsid w:val="0063197B"/>
    <w:rsid w:val="00631984"/>
    <w:rsid w:val="006319A7"/>
    <w:rsid w:val="00632480"/>
    <w:rsid w:val="006326AF"/>
    <w:rsid w:val="00633614"/>
    <w:rsid w:val="00633726"/>
    <w:rsid w:val="00633846"/>
    <w:rsid w:val="00633897"/>
    <w:rsid w:val="006338AB"/>
    <w:rsid w:val="00633B8F"/>
    <w:rsid w:val="00633BBA"/>
    <w:rsid w:val="00633D84"/>
    <w:rsid w:val="00635566"/>
    <w:rsid w:val="00635AEC"/>
    <w:rsid w:val="00636F25"/>
    <w:rsid w:val="00640680"/>
    <w:rsid w:val="006406CE"/>
    <w:rsid w:val="00640B07"/>
    <w:rsid w:val="00640EEC"/>
    <w:rsid w:val="00641781"/>
    <w:rsid w:val="006418B5"/>
    <w:rsid w:val="00641E3D"/>
    <w:rsid w:val="00641EAB"/>
    <w:rsid w:val="0064214F"/>
    <w:rsid w:val="00642552"/>
    <w:rsid w:val="00642A16"/>
    <w:rsid w:val="00642D86"/>
    <w:rsid w:val="00643BDC"/>
    <w:rsid w:val="00643C25"/>
    <w:rsid w:val="0064406F"/>
    <w:rsid w:val="0064491C"/>
    <w:rsid w:val="00645857"/>
    <w:rsid w:val="00645ED5"/>
    <w:rsid w:val="00646C5B"/>
    <w:rsid w:val="0064707E"/>
    <w:rsid w:val="00647227"/>
    <w:rsid w:val="006476A1"/>
    <w:rsid w:val="00647DBC"/>
    <w:rsid w:val="00647E2C"/>
    <w:rsid w:val="00650073"/>
    <w:rsid w:val="006508D0"/>
    <w:rsid w:val="00650A4D"/>
    <w:rsid w:val="00650B09"/>
    <w:rsid w:val="00650DB0"/>
    <w:rsid w:val="00650FBE"/>
    <w:rsid w:val="0065188B"/>
    <w:rsid w:val="00652513"/>
    <w:rsid w:val="0065257F"/>
    <w:rsid w:val="006528C9"/>
    <w:rsid w:val="0065295A"/>
    <w:rsid w:val="0065342C"/>
    <w:rsid w:val="00653952"/>
    <w:rsid w:val="00654B72"/>
    <w:rsid w:val="00654FD5"/>
    <w:rsid w:val="006558A7"/>
    <w:rsid w:val="006558BE"/>
    <w:rsid w:val="006560C3"/>
    <w:rsid w:val="00656750"/>
    <w:rsid w:val="00656983"/>
    <w:rsid w:val="00656B67"/>
    <w:rsid w:val="00656EDF"/>
    <w:rsid w:val="00657EFF"/>
    <w:rsid w:val="0066022E"/>
    <w:rsid w:val="00660337"/>
    <w:rsid w:val="00660463"/>
    <w:rsid w:val="0066053B"/>
    <w:rsid w:val="006616BF"/>
    <w:rsid w:val="00661780"/>
    <w:rsid w:val="00661A4A"/>
    <w:rsid w:val="00661B0F"/>
    <w:rsid w:val="00661B48"/>
    <w:rsid w:val="00662238"/>
    <w:rsid w:val="00662CB1"/>
    <w:rsid w:val="006633CF"/>
    <w:rsid w:val="00663528"/>
    <w:rsid w:val="006638DC"/>
    <w:rsid w:val="00663991"/>
    <w:rsid w:val="00663C5C"/>
    <w:rsid w:val="00663F23"/>
    <w:rsid w:val="006645C3"/>
    <w:rsid w:val="0066489E"/>
    <w:rsid w:val="00665088"/>
    <w:rsid w:val="00665592"/>
    <w:rsid w:val="0066600D"/>
    <w:rsid w:val="0066627E"/>
    <w:rsid w:val="00666923"/>
    <w:rsid w:val="00666AC9"/>
    <w:rsid w:val="00667150"/>
    <w:rsid w:val="006675F6"/>
    <w:rsid w:val="00667E75"/>
    <w:rsid w:val="00667ECC"/>
    <w:rsid w:val="00667FF9"/>
    <w:rsid w:val="006707C0"/>
    <w:rsid w:val="00670A1C"/>
    <w:rsid w:val="00671C60"/>
    <w:rsid w:val="00672B17"/>
    <w:rsid w:val="00672B1E"/>
    <w:rsid w:val="006732B3"/>
    <w:rsid w:val="0067335E"/>
    <w:rsid w:val="0067341D"/>
    <w:rsid w:val="006738CC"/>
    <w:rsid w:val="006741C8"/>
    <w:rsid w:val="00674DF2"/>
    <w:rsid w:val="00675E6D"/>
    <w:rsid w:val="00676FF0"/>
    <w:rsid w:val="00677809"/>
    <w:rsid w:val="00677DC7"/>
    <w:rsid w:val="006800AE"/>
    <w:rsid w:val="006802A9"/>
    <w:rsid w:val="00680894"/>
    <w:rsid w:val="006809B9"/>
    <w:rsid w:val="00680E9C"/>
    <w:rsid w:val="00680F3E"/>
    <w:rsid w:val="00681327"/>
    <w:rsid w:val="00681765"/>
    <w:rsid w:val="00681DD0"/>
    <w:rsid w:val="00682878"/>
    <w:rsid w:val="00682D4E"/>
    <w:rsid w:val="00682DA0"/>
    <w:rsid w:val="00682F1B"/>
    <w:rsid w:val="0068349F"/>
    <w:rsid w:val="006838A7"/>
    <w:rsid w:val="00683CCD"/>
    <w:rsid w:val="00684832"/>
    <w:rsid w:val="00684D15"/>
    <w:rsid w:val="0068506D"/>
    <w:rsid w:val="006851E2"/>
    <w:rsid w:val="00685418"/>
    <w:rsid w:val="00685B35"/>
    <w:rsid w:val="00686344"/>
    <w:rsid w:val="0068647B"/>
    <w:rsid w:val="00686695"/>
    <w:rsid w:val="0068724F"/>
    <w:rsid w:val="006873C9"/>
    <w:rsid w:val="006874A5"/>
    <w:rsid w:val="006875E9"/>
    <w:rsid w:val="006878B1"/>
    <w:rsid w:val="00687A8F"/>
    <w:rsid w:val="00687FFE"/>
    <w:rsid w:val="00690224"/>
    <w:rsid w:val="00690248"/>
    <w:rsid w:val="00690427"/>
    <w:rsid w:val="00690640"/>
    <w:rsid w:val="00690733"/>
    <w:rsid w:val="00690CED"/>
    <w:rsid w:val="00690F52"/>
    <w:rsid w:val="006914C9"/>
    <w:rsid w:val="006917D1"/>
    <w:rsid w:val="00691865"/>
    <w:rsid w:val="00691DF8"/>
    <w:rsid w:val="00692552"/>
    <w:rsid w:val="006927E3"/>
    <w:rsid w:val="00692CF0"/>
    <w:rsid w:val="00692D55"/>
    <w:rsid w:val="00692DED"/>
    <w:rsid w:val="00692E3D"/>
    <w:rsid w:val="006940D2"/>
    <w:rsid w:val="00694E33"/>
    <w:rsid w:val="00694FF6"/>
    <w:rsid w:val="00695102"/>
    <w:rsid w:val="00695BAE"/>
    <w:rsid w:val="00695EFD"/>
    <w:rsid w:val="00695F98"/>
    <w:rsid w:val="0069682C"/>
    <w:rsid w:val="00696A68"/>
    <w:rsid w:val="00696A8C"/>
    <w:rsid w:val="00696B74"/>
    <w:rsid w:val="00696FE6"/>
    <w:rsid w:val="0069702A"/>
    <w:rsid w:val="00697F0E"/>
    <w:rsid w:val="006A0106"/>
    <w:rsid w:val="006A0727"/>
    <w:rsid w:val="006A0946"/>
    <w:rsid w:val="006A0A53"/>
    <w:rsid w:val="006A0B31"/>
    <w:rsid w:val="006A0BDA"/>
    <w:rsid w:val="006A1663"/>
    <w:rsid w:val="006A1D8A"/>
    <w:rsid w:val="006A22D5"/>
    <w:rsid w:val="006A2388"/>
    <w:rsid w:val="006A2763"/>
    <w:rsid w:val="006A2B9C"/>
    <w:rsid w:val="006A3190"/>
    <w:rsid w:val="006A3265"/>
    <w:rsid w:val="006A3883"/>
    <w:rsid w:val="006A3DA3"/>
    <w:rsid w:val="006A41A0"/>
    <w:rsid w:val="006A47BB"/>
    <w:rsid w:val="006A4928"/>
    <w:rsid w:val="006A4D68"/>
    <w:rsid w:val="006A58DC"/>
    <w:rsid w:val="006A5B63"/>
    <w:rsid w:val="006A5B68"/>
    <w:rsid w:val="006A6A19"/>
    <w:rsid w:val="006A6A96"/>
    <w:rsid w:val="006A6BE2"/>
    <w:rsid w:val="006A6C52"/>
    <w:rsid w:val="006A6EA1"/>
    <w:rsid w:val="006A6EF1"/>
    <w:rsid w:val="006A7163"/>
    <w:rsid w:val="006A7295"/>
    <w:rsid w:val="006A74F0"/>
    <w:rsid w:val="006B0175"/>
    <w:rsid w:val="006B0AC5"/>
    <w:rsid w:val="006B1054"/>
    <w:rsid w:val="006B2238"/>
    <w:rsid w:val="006B2AEC"/>
    <w:rsid w:val="006B395B"/>
    <w:rsid w:val="006B48EB"/>
    <w:rsid w:val="006B4BB6"/>
    <w:rsid w:val="006B5887"/>
    <w:rsid w:val="006B5F68"/>
    <w:rsid w:val="006B635D"/>
    <w:rsid w:val="006B6786"/>
    <w:rsid w:val="006B67E2"/>
    <w:rsid w:val="006B6844"/>
    <w:rsid w:val="006B6DAD"/>
    <w:rsid w:val="006B7364"/>
    <w:rsid w:val="006B74BC"/>
    <w:rsid w:val="006B7F33"/>
    <w:rsid w:val="006C11FF"/>
    <w:rsid w:val="006C1861"/>
    <w:rsid w:val="006C3452"/>
    <w:rsid w:val="006C3FF5"/>
    <w:rsid w:val="006C4458"/>
    <w:rsid w:val="006C48D4"/>
    <w:rsid w:val="006C4D6D"/>
    <w:rsid w:val="006C5241"/>
    <w:rsid w:val="006C6113"/>
    <w:rsid w:val="006C6900"/>
    <w:rsid w:val="006C6EF7"/>
    <w:rsid w:val="006C7193"/>
    <w:rsid w:val="006C7993"/>
    <w:rsid w:val="006C7D68"/>
    <w:rsid w:val="006D0575"/>
    <w:rsid w:val="006D0A89"/>
    <w:rsid w:val="006D0B63"/>
    <w:rsid w:val="006D0B99"/>
    <w:rsid w:val="006D160B"/>
    <w:rsid w:val="006D173B"/>
    <w:rsid w:val="006D1C0C"/>
    <w:rsid w:val="006D22BC"/>
    <w:rsid w:val="006D31B1"/>
    <w:rsid w:val="006D3342"/>
    <w:rsid w:val="006D34D5"/>
    <w:rsid w:val="006D3DFC"/>
    <w:rsid w:val="006D40D6"/>
    <w:rsid w:val="006D455E"/>
    <w:rsid w:val="006D46BF"/>
    <w:rsid w:val="006D4F49"/>
    <w:rsid w:val="006D5EE4"/>
    <w:rsid w:val="006D636C"/>
    <w:rsid w:val="006D6BDA"/>
    <w:rsid w:val="006D6DF1"/>
    <w:rsid w:val="006D73AF"/>
    <w:rsid w:val="006D78B9"/>
    <w:rsid w:val="006D7ACB"/>
    <w:rsid w:val="006D7AEF"/>
    <w:rsid w:val="006D7FA4"/>
    <w:rsid w:val="006E1163"/>
    <w:rsid w:val="006E124F"/>
    <w:rsid w:val="006E1508"/>
    <w:rsid w:val="006E15F6"/>
    <w:rsid w:val="006E1814"/>
    <w:rsid w:val="006E1D54"/>
    <w:rsid w:val="006E2C7A"/>
    <w:rsid w:val="006E32D6"/>
    <w:rsid w:val="006E445C"/>
    <w:rsid w:val="006E456F"/>
    <w:rsid w:val="006E5335"/>
    <w:rsid w:val="006E5679"/>
    <w:rsid w:val="006E57AB"/>
    <w:rsid w:val="006E6405"/>
    <w:rsid w:val="006E6AA0"/>
    <w:rsid w:val="006E6D41"/>
    <w:rsid w:val="006E6E3D"/>
    <w:rsid w:val="006E72D3"/>
    <w:rsid w:val="006E7909"/>
    <w:rsid w:val="006E7F29"/>
    <w:rsid w:val="006F019B"/>
    <w:rsid w:val="006F0B44"/>
    <w:rsid w:val="006F1041"/>
    <w:rsid w:val="006F172C"/>
    <w:rsid w:val="006F1A05"/>
    <w:rsid w:val="006F1E4A"/>
    <w:rsid w:val="006F266D"/>
    <w:rsid w:val="006F27F1"/>
    <w:rsid w:val="006F2BFD"/>
    <w:rsid w:val="006F33CA"/>
    <w:rsid w:val="006F3447"/>
    <w:rsid w:val="006F3CC9"/>
    <w:rsid w:val="006F40D2"/>
    <w:rsid w:val="006F4317"/>
    <w:rsid w:val="006F438F"/>
    <w:rsid w:val="006F48C0"/>
    <w:rsid w:val="006F4F6B"/>
    <w:rsid w:val="006F5AB5"/>
    <w:rsid w:val="006F64C7"/>
    <w:rsid w:val="006F6AAD"/>
    <w:rsid w:val="006F6B84"/>
    <w:rsid w:val="006F6E22"/>
    <w:rsid w:val="006F7061"/>
    <w:rsid w:val="00700305"/>
    <w:rsid w:val="00700AC9"/>
    <w:rsid w:val="00700D44"/>
    <w:rsid w:val="00700E75"/>
    <w:rsid w:val="00701175"/>
    <w:rsid w:val="007016D1"/>
    <w:rsid w:val="007017F0"/>
    <w:rsid w:val="00701915"/>
    <w:rsid w:val="00701CB8"/>
    <w:rsid w:val="00702F08"/>
    <w:rsid w:val="007032B2"/>
    <w:rsid w:val="007033A1"/>
    <w:rsid w:val="00703836"/>
    <w:rsid w:val="00703C35"/>
    <w:rsid w:val="00703D37"/>
    <w:rsid w:val="007042FA"/>
    <w:rsid w:val="007055A7"/>
    <w:rsid w:val="007056F2"/>
    <w:rsid w:val="00705B00"/>
    <w:rsid w:val="00705B44"/>
    <w:rsid w:val="007060C1"/>
    <w:rsid w:val="007066F4"/>
    <w:rsid w:val="007100FB"/>
    <w:rsid w:val="00711F7D"/>
    <w:rsid w:val="0071247E"/>
    <w:rsid w:val="00712A73"/>
    <w:rsid w:val="0071313E"/>
    <w:rsid w:val="00713497"/>
    <w:rsid w:val="00713575"/>
    <w:rsid w:val="00714331"/>
    <w:rsid w:val="00714BC0"/>
    <w:rsid w:val="00714FAA"/>
    <w:rsid w:val="007159BA"/>
    <w:rsid w:val="00716BA3"/>
    <w:rsid w:val="00717906"/>
    <w:rsid w:val="007206D4"/>
    <w:rsid w:val="0072137D"/>
    <w:rsid w:val="00721384"/>
    <w:rsid w:val="007213A3"/>
    <w:rsid w:val="00721647"/>
    <w:rsid w:val="0072179D"/>
    <w:rsid w:val="00721CAE"/>
    <w:rsid w:val="00721D01"/>
    <w:rsid w:val="007222F1"/>
    <w:rsid w:val="00722C53"/>
    <w:rsid w:val="00722CD2"/>
    <w:rsid w:val="00722D29"/>
    <w:rsid w:val="00722FCA"/>
    <w:rsid w:val="00723EE0"/>
    <w:rsid w:val="007248E6"/>
    <w:rsid w:val="00725508"/>
    <w:rsid w:val="00725C78"/>
    <w:rsid w:val="0072692D"/>
    <w:rsid w:val="0072721B"/>
    <w:rsid w:val="007273F0"/>
    <w:rsid w:val="007275C3"/>
    <w:rsid w:val="00727B78"/>
    <w:rsid w:val="007300B9"/>
    <w:rsid w:val="007300C3"/>
    <w:rsid w:val="007303F6"/>
    <w:rsid w:val="00730497"/>
    <w:rsid w:val="00730838"/>
    <w:rsid w:val="00730982"/>
    <w:rsid w:val="00730B63"/>
    <w:rsid w:val="00730CFE"/>
    <w:rsid w:val="00731AEA"/>
    <w:rsid w:val="00731C44"/>
    <w:rsid w:val="00731D02"/>
    <w:rsid w:val="007320F2"/>
    <w:rsid w:val="00732D94"/>
    <w:rsid w:val="007331C7"/>
    <w:rsid w:val="00733342"/>
    <w:rsid w:val="0073374C"/>
    <w:rsid w:val="007342C5"/>
    <w:rsid w:val="00734588"/>
    <w:rsid w:val="0073535F"/>
    <w:rsid w:val="00735382"/>
    <w:rsid w:val="00735461"/>
    <w:rsid w:val="00735D5D"/>
    <w:rsid w:val="00736C83"/>
    <w:rsid w:val="00736D15"/>
    <w:rsid w:val="00737166"/>
    <w:rsid w:val="007373C4"/>
    <w:rsid w:val="00737D26"/>
    <w:rsid w:val="00740015"/>
    <w:rsid w:val="0074037C"/>
    <w:rsid w:val="007404DE"/>
    <w:rsid w:val="0074063B"/>
    <w:rsid w:val="00741292"/>
    <w:rsid w:val="007418E0"/>
    <w:rsid w:val="00741936"/>
    <w:rsid w:val="00741CC4"/>
    <w:rsid w:val="00742312"/>
    <w:rsid w:val="00742349"/>
    <w:rsid w:val="0074247C"/>
    <w:rsid w:val="007425F2"/>
    <w:rsid w:val="007429AB"/>
    <w:rsid w:val="00742C95"/>
    <w:rsid w:val="00742CA5"/>
    <w:rsid w:val="00742DA6"/>
    <w:rsid w:val="00743846"/>
    <w:rsid w:val="00743B56"/>
    <w:rsid w:val="0074404A"/>
    <w:rsid w:val="00744075"/>
    <w:rsid w:val="0074443B"/>
    <w:rsid w:val="0074486C"/>
    <w:rsid w:val="00745EE9"/>
    <w:rsid w:val="0074646E"/>
    <w:rsid w:val="007469FE"/>
    <w:rsid w:val="00746A5F"/>
    <w:rsid w:val="00746A98"/>
    <w:rsid w:val="00746B6A"/>
    <w:rsid w:val="00746F9A"/>
    <w:rsid w:val="00747175"/>
    <w:rsid w:val="007503A7"/>
    <w:rsid w:val="007503DB"/>
    <w:rsid w:val="0075089B"/>
    <w:rsid w:val="00751D33"/>
    <w:rsid w:val="00751E14"/>
    <w:rsid w:val="00752224"/>
    <w:rsid w:val="00753393"/>
    <w:rsid w:val="007538A2"/>
    <w:rsid w:val="00754728"/>
    <w:rsid w:val="00754D43"/>
    <w:rsid w:val="00755029"/>
    <w:rsid w:val="00755D76"/>
    <w:rsid w:val="007560C9"/>
    <w:rsid w:val="007564EE"/>
    <w:rsid w:val="00756B59"/>
    <w:rsid w:val="0075702B"/>
    <w:rsid w:val="007604F1"/>
    <w:rsid w:val="007605B4"/>
    <w:rsid w:val="00760A9A"/>
    <w:rsid w:val="00760C00"/>
    <w:rsid w:val="00760F26"/>
    <w:rsid w:val="007615C3"/>
    <w:rsid w:val="00761D0E"/>
    <w:rsid w:val="00762594"/>
    <w:rsid w:val="00762728"/>
    <w:rsid w:val="007627CC"/>
    <w:rsid w:val="00763262"/>
    <w:rsid w:val="00763527"/>
    <w:rsid w:val="0076370A"/>
    <w:rsid w:val="0076402B"/>
    <w:rsid w:val="00764371"/>
    <w:rsid w:val="0076491A"/>
    <w:rsid w:val="007649B9"/>
    <w:rsid w:val="00764C18"/>
    <w:rsid w:val="00764DAE"/>
    <w:rsid w:val="00764F45"/>
    <w:rsid w:val="0076520C"/>
    <w:rsid w:val="0076550C"/>
    <w:rsid w:val="0076555B"/>
    <w:rsid w:val="007662C1"/>
    <w:rsid w:val="0076644D"/>
    <w:rsid w:val="00766B12"/>
    <w:rsid w:val="00766D42"/>
    <w:rsid w:val="00767008"/>
    <w:rsid w:val="00767017"/>
    <w:rsid w:val="0076702F"/>
    <w:rsid w:val="00767210"/>
    <w:rsid w:val="0076742D"/>
    <w:rsid w:val="00767B5D"/>
    <w:rsid w:val="00770508"/>
    <w:rsid w:val="007706D4"/>
    <w:rsid w:val="007706DE"/>
    <w:rsid w:val="00770797"/>
    <w:rsid w:val="00771765"/>
    <w:rsid w:val="00771B10"/>
    <w:rsid w:val="00772673"/>
    <w:rsid w:val="00773327"/>
    <w:rsid w:val="00773A7C"/>
    <w:rsid w:val="00773BA7"/>
    <w:rsid w:val="00773F09"/>
    <w:rsid w:val="00774414"/>
    <w:rsid w:val="00774608"/>
    <w:rsid w:val="0077485B"/>
    <w:rsid w:val="00774B41"/>
    <w:rsid w:val="007750A6"/>
    <w:rsid w:val="00775AD2"/>
    <w:rsid w:val="00775E64"/>
    <w:rsid w:val="007760AE"/>
    <w:rsid w:val="00776177"/>
    <w:rsid w:val="00776576"/>
    <w:rsid w:val="00776F25"/>
    <w:rsid w:val="00776F26"/>
    <w:rsid w:val="007775DC"/>
    <w:rsid w:val="00777CDD"/>
    <w:rsid w:val="00777D3C"/>
    <w:rsid w:val="00777E4D"/>
    <w:rsid w:val="00777FA8"/>
    <w:rsid w:val="00780464"/>
    <w:rsid w:val="007804D2"/>
    <w:rsid w:val="00780F78"/>
    <w:rsid w:val="00781112"/>
    <w:rsid w:val="00781C86"/>
    <w:rsid w:val="00781DD8"/>
    <w:rsid w:val="00781E98"/>
    <w:rsid w:val="0078204D"/>
    <w:rsid w:val="00782073"/>
    <w:rsid w:val="007821BC"/>
    <w:rsid w:val="00782208"/>
    <w:rsid w:val="007824BB"/>
    <w:rsid w:val="007830DD"/>
    <w:rsid w:val="0078349A"/>
    <w:rsid w:val="00783AA0"/>
    <w:rsid w:val="00783D81"/>
    <w:rsid w:val="007846ED"/>
    <w:rsid w:val="00784724"/>
    <w:rsid w:val="00784DA8"/>
    <w:rsid w:val="00785179"/>
    <w:rsid w:val="00785275"/>
    <w:rsid w:val="00785E90"/>
    <w:rsid w:val="00785EFE"/>
    <w:rsid w:val="00786364"/>
    <w:rsid w:val="00786A04"/>
    <w:rsid w:val="00786CBD"/>
    <w:rsid w:val="00786DFF"/>
    <w:rsid w:val="0078709C"/>
    <w:rsid w:val="00787968"/>
    <w:rsid w:val="00787F11"/>
    <w:rsid w:val="007900CD"/>
    <w:rsid w:val="00790A3D"/>
    <w:rsid w:val="00790AAA"/>
    <w:rsid w:val="00790B01"/>
    <w:rsid w:val="00790C4F"/>
    <w:rsid w:val="00791486"/>
    <w:rsid w:val="00791D8B"/>
    <w:rsid w:val="00791EB6"/>
    <w:rsid w:val="00792408"/>
    <w:rsid w:val="00792A4A"/>
    <w:rsid w:val="00792C62"/>
    <w:rsid w:val="0079359B"/>
    <w:rsid w:val="00793A20"/>
    <w:rsid w:val="00793B27"/>
    <w:rsid w:val="00794197"/>
    <w:rsid w:val="00794AF5"/>
    <w:rsid w:val="00794B9C"/>
    <w:rsid w:val="00795AE0"/>
    <w:rsid w:val="007962DE"/>
    <w:rsid w:val="00796547"/>
    <w:rsid w:val="007967CB"/>
    <w:rsid w:val="007967CE"/>
    <w:rsid w:val="0079682D"/>
    <w:rsid w:val="00796CD8"/>
    <w:rsid w:val="0079708C"/>
    <w:rsid w:val="007972E1"/>
    <w:rsid w:val="00797362"/>
    <w:rsid w:val="00797911"/>
    <w:rsid w:val="0079799C"/>
    <w:rsid w:val="00797AAB"/>
    <w:rsid w:val="00797E37"/>
    <w:rsid w:val="007A0401"/>
    <w:rsid w:val="007A042E"/>
    <w:rsid w:val="007A0EA5"/>
    <w:rsid w:val="007A1AF2"/>
    <w:rsid w:val="007A1D44"/>
    <w:rsid w:val="007A25CD"/>
    <w:rsid w:val="007A26A2"/>
    <w:rsid w:val="007A29C6"/>
    <w:rsid w:val="007A32DB"/>
    <w:rsid w:val="007A353D"/>
    <w:rsid w:val="007A36BB"/>
    <w:rsid w:val="007A3834"/>
    <w:rsid w:val="007A3E8E"/>
    <w:rsid w:val="007A4361"/>
    <w:rsid w:val="007A46B0"/>
    <w:rsid w:val="007A4A18"/>
    <w:rsid w:val="007A4B3D"/>
    <w:rsid w:val="007A4BAD"/>
    <w:rsid w:val="007A50DC"/>
    <w:rsid w:val="007A623B"/>
    <w:rsid w:val="007A6298"/>
    <w:rsid w:val="007A645B"/>
    <w:rsid w:val="007A6AEF"/>
    <w:rsid w:val="007A7277"/>
    <w:rsid w:val="007A739F"/>
    <w:rsid w:val="007A78CA"/>
    <w:rsid w:val="007A7CD4"/>
    <w:rsid w:val="007B0061"/>
    <w:rsid w:val="007B0066"/>
    <w:rsid w:val="007B0BC4"/>
    <w:rsid w:val="007B0C02"/>
    <w:rsid w:val="007B0C68"/>
    <w:rsid w:val="007B0E89"/>
    <w:rsid w:val="007B19D0"/>
    <w:rsid w:val="007B2362"/>
    <w:rsid w:val="007B27BF"/>
    <w:rsid w:val="007B28F1"/>
    <w:rsid w:val="007B3165"/>
    <w:rsid w:val="007B33EC"/>
    <w:rsid w:val="007B41ED"/>
    <w:rsid w:val="007B4208"/>
    <w:rsid w:val="007B4E11"/>
    <w:rsid w:val="007B4F31"/>
    <w:rsid w:val="007B5417"/>
    <w:rsid w:val="007B5A71"/>
    <w:rsid w:val="007B5CF1"/>
    <w:rsid w:val="007B5F3B"/>
    <w:rsid w:val="007B68AF"/>
    <w:rsid w:val="007B68B0"/>
    <w:rsid w:val="007B6986"/>
    <w:rsid w:val="007B70E3"/>
    <w:rsid w:val="007B722B"/>
    <w:rsid w:val="007B72BD"/>
    <w:rsid w:val="007B799E"/>
    <w:rsid w:val="007C01C9"/>
    <w:rsid w:val="007C02F2"/>
    <w:rsid w:val="007C0E32"/>
    <w:rsid w:val="007C146D"/>
    <w:rsid w:val="007C147B"/>
    <w:rsid w:val="007C18A3"/>
    <w:rsid w:val="007C282E"/>
    <w:rsid w:val="007C2F75"/>
    <w:rsid w:val="007C304B"/>
    <w:rsid w:val="007C31AA"/>
    <w:rsid w:val="007C3480"/>
    <w:rsid w:val="007C402D"/>
    <w:rsid w:val="007C4BD9"/>
    <w:rsid w:val="007C5545"/>
    <w:rsid w:val="007C556E"/>
    <w:rsid w:val="007C59B0"/>
    <w:rsid w:val="007C5B87"/>
    <w:rsid w:val="007C6380"/>
    <w:rsid w:val="007C659C"/>
    <w:rsid w:val="007C6A02"/>
    <w:rsid w:val="007C6B83"/>
    <w:rsid w:val="007C6C82"/>
    <w:rsid w:val="007C78C8"/>
    <w:rsid w:val="007D064B"/>
    <w:rsid w:val="007D1350"/>
    <w:rsid w:val="007D20BA"/>
    <w:rsid w:val="007D292B"/>
    <w:rsid w:val="007D295D"/>
    <w:rsid w:val="007D2B6B"/>
    <w:rsid w:val="007D3310"/>
    <w:rsid w:val="007D485D"/>
    <w:rsid w:val="007D4FC1"/>
    <w:rsid w:val="007D5A80"/>
    <w:rsid w:val="007D64FE"/>
    <w:rsid w:val="007D7010"/>
    <w:rsid w:val="007D7087"/>
    <w:rsid w:val="007D735B"/>
    <w:rsid w:val="007D7D64"/>
    <w:rsid w:val="007D7D75"/>
    <w:rsid w:val="007D7F9B"/>
    <w:rsid w:val="007E035F"/>
    <w:rsid w:val="007E0613"/>
    <w:rsid w:val="007E0649"/>
    <w:rsid w:val="007E0656"/>
    <w:rsid w:val="007E0A2E"/>
    <w:rsid w:val="007E0DD3"/>
    <w:rsid w:val="007E1420"/>
    <w:rsid w:val="007E1733"/>
    <w:rsid w:val="007E1B43"/>
    <w:rsid w:val="007E1CA4"/>
    <w:rsid w:val="007E2265"/>
    <w:rsid w:val="007E278E"/>
    <w:rsid w:val="007E27B9"/>
    <w:rsid w:val="007E2C32"/>
    <w:rsid w:val="007E2D18"/>
    <w:rsid w:val="007E34D7"/>
    <w:rsid w:val="007E3956"/>
    <w:rsid w:val="007E474D"/>
    <w:rsid w:val="007E47FC"/>
    <w:rsid w:val="007E4C1E"/>
    <w:rsid w:val="007E54DE"/>
    <w:rsid w:val="007E5711"/>
    <w:rsid w:val="007E6587"/>
    <w:rsid w:val="007E66FB"/>
    <w:rsid w:val="007E691C"/>
    <w:rsid w:val="007F01B3"/>
    <w:rsid w:val="007F05FB"/>
    <w:rsid w:val="007F39EE"/>
    <w:rsid w:val="007F3ACC"/>
    <w:rsid w:val="007F3D50"/>
    <w:rsid w:val="007F475F"/>
    <w:rsid w:val="007F478E"/>
    <w:rsid w:val="007F4A8D"/>
    <w:rsid w:val="007F5000"/>
    <w:rsid w:val="007F5A28"/>
    <w:rsid w:val="007F5E60"/>
    <w:rsid w:val="007F752E"/>
    <w:rsid w:val="007F795A"/>
    <w:rsid w:val="007F79CE"/>
    <w:rsid w:val="008001D0"/>
    <w:rsid w:val="00800717"/>
    <w:rsid w:val="0080084F"/>
    <w:rsid w:val="00800DA8"/>
    <w:rsid w:val="00801A48"/>
    <w:rsid w:val="00801DEB"/>
    <w:rsid w:val="0080308C"/>
    <w:rsid w:val="00803256"/>
    <w:rsid w:val="00803479"/>
    <w:rsid w:val="0080364D"/>
    <w:rsid w:val="008039AD"/>
    <w:rsid w:val="00803FC2"/>
    <w:rsid w:val="008048FE"/>
    <w:rsid w:val="0080511F"/>
    <w:rsid w:val="0080593A"/>
    <w:rsid w:val="00806641"/>
    <w:rsid w:val="008068C9"/>
    <w:rsid w:val="0080690E"/>
    <w:rsid w:val="00807837"/>
    <w:rsid w:val="00807908"/>
    <w:rsid w:val="00807C1A"/>
    <w:rsid w:val="00807DC4"/>
    <w:rsid w:val="0081001D"/>
    <w:rsid w:val="00811055"/>
    <w:rsid w:val="0081112E"/>
    <w:rsid w:val="0081113F"/>
    <w:rsid w:val="00811C0E"/>
    <w:rsid w:val="00811CEF"/>
    <w:rsid w:val="008123C0"/>
    <w:rsid w:val="008127E4"/>
    <w:rsid w:val="0081287C"/>
    <w:rsid w:val="00813679"/>
    <w:rsid w:val="008147CE"/>
    <w:rsid w:val="008148E1"/>
    <w:rsid w:val="0081494C"/>
    <w:rsid w:val="00814C26"/>
    <w:rsid w:val="00814CCD"/>
    <w:rsid w:val="00814E0C"/>
    <w:rsid w:val="00815DBA"/>
    <w:rsid w:val="00816377"/>
    <w:rsid w:val="0081695C"/>
    <w:rsid w:val="008169DF"/>
    <w:rsid w:val="0081713A"/>
    <w:rsid w:val="00817695"/>
    <w:rsid w:val="00817905"/>
    <w:rsid w:val="00817D3A"/>
    <w:rsid w:val="00817FFD"/>
    <w:rsid w:val="00820F53"/>
    <w:rsid w:val="00821A5B"/>
    <w:rsid w:val="00821DBB"/>
    <w:rsid w:val="00821E69"/>
    <w:rsid w:val="00822386"/>
    <w:rsid w:val="0082247A"/>
    <w:rsid w:val="008235A6"/>
    <w:rsid w:val="00823FFD"/>
    <w:rsid w:val="0082437F"/>
    <w:rsid w:val="00824B3B"/>
    <w:rsid w:val="00824F6F"/>
    <w:rsid w:val="00825039"/>
    <w:rsid w:val="0082570F"/>
    <w:rsid w:val="00825885"/>
    <w:rsid w:val="00825B71"/>
    <w:rsid w:val="00825EED"/>
    <w:rsid w:val="0082660C"/>
    <w:rsid w:val="00826C7C"/>
    <w:rsid w:val="00827337"/>
    <w:rsid w:val="008275B6"/>
    <w:rsid w:val="00827BE1"/>
    <w:rsid w:val="00827FC2"/>
    <w:rsid w:val="00831290"/>
    <w:rsid w:val="00831629"/>
    <w:rsid w:val="00832695"/>
    <w:rsid w:val="008328CD"/>
    <w:rsid w:val="0083531B"/>
    <w:rsid w:val="00835853"/>
    <w:rsid w:val="008359E9"/>
    <w:rsid w:val="00835B52"/>
    <w:rsid w:val="00835DAE"/>
    <w:rsid w:val="00836212"/>
    <w:rsid w:val="0083652A"/>
    <w:rsid w:val="0083660E"/>
    <w:rsid w:val="00837218"/>
    <w:rsid w:val="008373A3"/>
    <w:rsid w:val="008373E0"/>
    <w:rsid w:val="008373FA"/>
    <w:rsid w:val="0083768E"/>
    <w:rsid w:val="008379F0"/>
    <w:rsid w:val="00837A42"/>
    <w:rsid w:val="00837AA7"/>
    <w:rsid w:val="00837C17"/>
    <w:rsid w:val="00837D9D"/>
    <w:rsid w:val="00840DC5"/>
    <w:rsid w:val="008410F6"/>
    <w:rsid w:val="0084132F"/>
    <w:rsid w:val="00841576"/>
    <w:rsid w:val="0084167F"/>
    <w:rsid w:val="0084269C"/>
    <w:rsid w:val="0084387B"/>
    <w:rsid w:val="008440FA"/>
    <w:rsid w:val="0084411F"/>
    <w:rsid w:val="00844358"/>
    <w:rsid w:val="00844766"/>
    <w:rsid w:val="00844E00"/>
    <w:rsid w:val="00845C56"/>
    <w:rsid w:val="00845CE7"/>
    <w:rsid w:val="00846DB2"/>
    <w:rsid w:val="008473BB"/>
    <w:rsid w:val="00847455"/>
    <w:rsid w:val="00847A13"/>
    <w:rsid w:val="00847DF4"/>
    <w:rsid w:val="008523F8"/>
    <w:rsid w:val="00852402"/>
    <w:rsid w:val="008525AC"/>
    <w:rsid w:val="008526F1"/>
    <w:rsid w:val="0085297B"/>
    <w:rsid w:val="00852D31"/>
    <w:rsid w:val="008530D3"/>
    <w:rsid w:val="0085331E"/>
    <w:rsid w:val="0085351A"/>
    <w:rsid w:val="008538E2"/>
    <w:rsid w:val="00853928"/>
    <w:rsid w:val="00853DE4"/>
    <w:rsid w:val="00854343"/>
    <w:rsid w:val="008551B4"/>
    <w:rsid w:val="00855313"/>
    <w:rsid w:val="00856F45"/>
    <w:rsid w:val="008572C1"/>
    <w:rsid w:val="00857C77"/>
    <w:rsid w:val="00857E5F"/>
    <w:rsid w:val="00857F55"/>
    <w:rsid w:val="008616CF"/>
    <w:rsid w:val="0086177A"/>
    <w:rsid w:val="00861786"/>
    <w:rsid w:val="008618FA"/>
    <w:rsid w:val="008624FA"/>
    <w:rsid w:val="008627D1"/>
    <w:rsid w:val="00863290"/>
    <w:rsid w:val="00863DB2"/>
    <w:rsid w:val="00863ED8"/>
    <w:rsid w:val="008649A0"/>
    <w:rsid w:val="00865B76"/>
    <w:rsid w:val="00866410"/>
    <w:rsid w:val="008667AA"/>
    <w:rsid w:val="008669B3"/>
    <w:rsid w:val="00866B44"/>
    <w:rsid w:val="00866E62"/>
    <w:rsid w:val="00867A30"/>
    <w:rsid w:val="00867ABD"/>
    <w:rsid w:val="00867F82"/>
    <w:rsid w:val="00870033"/>
    <w:rsid w:val="0087042E"/>
    <w:rsid w:val="008705DA"/>
    <w:rsid w:val="008708A6"/>
    <w:rsid w:val="0087094D"/>
    <w:rsid w:val="008712A1"/>
    <w:rsid w:val="00871355"/>
    <w:rsid w:val="008716B8"/>
    <w:rsid w:val="0087177A"/>
    <w:rsid w:val="00871B7F"/>
    <w:rsid w:val="008721FB"/>
    <w:rsid w:val="0087237B"/>
    <w:rsid w:val="0087282F"/>
    <w:rsid w:val="00872BB0"/>
    <w:rsid w:val="0087314A"/>
    <w:rsid w:val="0087361C"/>
    <w:rsid w:val="0087361F"/>
    <w:rsid w:val="008738CC"/>
    <w:rsid w:val="00873F28"/>
    <w:rsid w:val="00873F8C"/>
    <w:rsid w:val="0087409F"/>
    <w:rsid w:val="00874325"/>
    <w:rsid w:val="0087466E"/>
    <w:rsid w:val="0087498C"/>
    <w:rsid w:val="00874AFE"/>
    <w:rsid w:val="00874CC7"/>
    <w:rsid w:val="00875217"/>
    <w:rsid w:val="008753B1"/>
    <w:rsid w:val="0087551F"/>
    <w:rsid w:val="0087623D"/>
    <w:rsid w:val="008763DC"/>
    <w:rsid w:val="00876419"/>
    <w:rsid w:val="00876F64"/>
    <w:rsid w:val="00876FCC"/>
    <w:rsid w:val="008772ED"/>
    <w:rsid w:val="00877951"/>
    <w:rsid w:val="00877A6C"/>
    <w:rsid w:val="00877DCC"/>
    <w:rsid w:val="00877E3C"/>
    <w:rsid w:val="0088015C"/>
    <w:rsid w:val="0088110C"/>
    <w:rsid w:val="00881BA8"/>
    <w:rsid w:val="00881D65"/>
    <w:rsid w:val="00882556"/>
    <w:rsid w:val="00883068"/>
    <w:rsid w:val="00883140"/>
    <w:rsid w:val="00883300"/>
    <w:rsid w:val="0088425B"/>
    <w:rsid w:val="0088425D"/>
    <w:rsid w:val="00884A8F"/>
    <w:rsid w:val="00884BC0"/>
    <w:rsid w:val="00884C20"/>
    <w:rsid w:val="00885516"/>
    <w:rsid w:val="008857D5"/>
    <w:rsid w:val="00885BBB"/>
    <w:rsid w:val="00885D94"/>
    <w:rsid w:val="008860B7"/>
    <w:rsid w:val="00886A65"/>
    <w:rsid w:val="008874E8"/>
    <w:rsid w:val="008875D8"/>
    <w:rsid w:val="00887B0B"/>
    <w:rsid w:val="008901EA"/>
    <w:rsid w:val="00890499"/>
    <w:rsid w:val="0089178E"/>
    <w:rsid w:val="00891B62"/>
    <w:rsid w:val="00891BB8"/>
    <w:rsid w:val="00892DC6"/>
    <w:rsid w:val="00893205"/>
    <w:rsid w:val="0089356E"/>
    <w:rsid w:val="00893834"/>
    <w:rsid w:val="008938AA"/>
    <w:rsid w:val="00893B46"/>
    <w:rsid w:val="00893B9F"/>
    <w:rsid w:val="0089451B"/>
    <w:rsid w:val="008946E5"/>
    <w:rsid w:val="00894A15"/>
    <w:rsid w:val="00894C3A"/>
    <w:rsid w:val="00894CDD"/>
    <w:rsid w:val="008951BF"/>
    <w:rsid w:val="00895366"/>
    <w:rsid w:val="0089562E"/>
    <w:rsid w:val="008964D1"/>
    <w:rsid w:val="008970CF"/>
    <w:rsid w:val="0089740B"/>
    <w:rsid w:val="00897750"/>
    <w:rsid w:val="008977ED"/>
    <w:rsid w:val="00897F0A"/>
    <w:rsid w:val="008A0284"/>
    <w:rsid w:val="008A2878"/>
    <w:rsid w:val="008A28DB"/>
    <w:rsid w:val="008A2B99"/>
    <w:rsid w:val="008A2CAA"/>
    <w:rsid w:val="008A308B"/>
    <w:rsid w:val="008A3E10"/>
    <w:rsid w:val="008A4459"/>
    <w:rsid w:val="008A452F"/>
    <w:rsid w:val="008A4CF7"/>
    <w:rsid w:val="008A57FE"/>
    <w:rsid w:val="008A58D7"/>
    <w:rsid w:val="008A5967"/>
    <w:rsid w:val="008A6877"/>
    <w:rsid w:val="008A69D1"/>
    <w:rsid w:val="008A6A9C"/>
    <w:rsid w:val="008A74E0"/>
    <w:rsid w:val="008A76D1"/>
    <w:rsid w:val="008A7EA4"/>
    <w:rsid w:val="008B0234"/>
    <w:rsid w:val="008B0EE2"/>
    <w:rsid w:val="008B12B6"/>
    <w:rsid w:val="008B2234"/>
    <w:rsid w:val="008B26E5"/>
    <w:rsid w:val="008B2CB8"/>
    <w:rsid w:val="008B3036"/>
    <w:rsid w:val="008B313C"/>
    <w:rsid w:val="008B32BE"/>
    <w:rsid w:val="008B32CA"/>
    <w:rsid w:val="008B3B40"/>
    <w:rsid w:val="008B574F"/>
    <w:rsid w:val="008B61F8"/>
    <w:rsid w:val="008B6643"/>
    <w:rsid w:val="008B6B6B"/>
    <w:rsid w:val="008B75F4"/>
    <w:rsid w:val="008B7AA2"/>
    <w:rsid w:val="008B7C44"/>
    <w:rsid w:val="008B7EB0"/>
    <w:rsid w:val="008C0193"/>
    <w:rsid w:val="008C05D6"/>
    <w:rsid w:val="008C0A74"/>
    <w:rsid w:val="008C0B49"/>
    <w:rsid w:val="008C0CED"/>
    <w:rsid w:val="008C0DF1"/>
    <w:rsid w:val="008C0EEE"/>
    <w:rsid w:val="008C11B5"/>
    <w:rsid w:val="008C128A"/>
    <w:rsid w:val="008C14D7"/>
    <w:rsid w:val="008C1989"/>
    <w:rsid w:val="008C22BF"/>
    <w:rsid w:val="008C247E"/>
    <w:rsid w:val="008C2B4C"/>
    <w:rsid w:val="008C2C3C"/>
    <w:rsid w:val="008C317D"/>
    <w:rsid w:val="008C364D"/>
    <w:rsid w:val="008C3CB5"/>
    <w:rsid w:val="008C4E81"/>
    <w:rsid w:val="008C6340"/>
    <w:rsid w:val="008C6ACF"/>
    <w:rsid w:val="008C6B42"/>
    <w:rsid w:val="008C72D1"/>
    <w:rsid w:val="008C7623"/>
    <w:rsid w:val="008C79BB"/>
    <w:rsid w:val="008C7EB5"/>
    <w:rsid w:val="008C7FB1"/>
    <w:rsid w:val="008C7FC5"/>
    <w:rsid w:val="008D00EB"/>
    <w:rsid w:val="008D0E4F"/>
    <w:rsid w:val="008D0FBC"/>
    <w:rsid w:val="008D1B92"/>
    <w:rsid w:val="008D1DD5"/>
    <w:rsid w:val="008D1ED5"/>
    <w:rsid w:val="008D25F8"/>
    <w:rsid w:val="008D2728"/>
    <w:rsid w:val="008D2BB8"/>
    <w:rsid w:val="008D36E3"/>
    <w:rsid w:val="008D38D9"/>
    <w:rsid w:val="008D3C8F"/>
    <w:rsid w:val="008D3EFF"/>
    <w:rsid w:val="008D4263"/>
    <w:rsid w:val="008D48B3"/>
    <w:rsid w:val="008D49EC"/>
    <w:rsid w:val="008D5334"/>
    <w:rsid w:val="008D5342"/>
    <w:rsid w:val="008D635B"/>
    <w:rsid w:val="008D65B7"/>
    <w:rsid w:val="008D674C"/>
    <w:rsid w:val="008D767F"/>
    <w:rsid w:val="008D7681"/>
    <w:rsid w:val="008E28F1"/>
    <w:rsid w:val="008E2BD5"/>
    <w:rsid w:val="008E34A8"/>
    <w:rsid w:val="008E3724"/>
    <w:rsid w:val="008E3A13"/>
    <w:rsid w:val="008E4143"/>
    <w:rsid w:val="008E42E5"/>
    <w:rsid w:val="008E5184"/>
    <w:rsid w:val="008E5564"/>
    <w:rsid w:val="008E5603"/>
    <w:rsid w:val="008E57C2"/>
    <w:rsid w:val="008E5F18"/>
    <w:rsid w:val="008E6723"/>
    <w:rsid w:val="008E6A8E"/>
    <w:rsid w:val="008E7660"/>
    <w:rsid w:val="008E79C3"/>
    <w:rsid w:val="008E79F1"/>
    <w:rsid w:val="008F0775"/>
    <w:rsid w:val="008F097F"/>
    <w:rsid w:val="008F1955"/>
    <w:rsid w:val="008F2136"/>
    <w:rsid w:val="008F21B0"/>
    <w:rsid w:val="008F2340"/>
    <w:rsid w:val="008F2557"/>
    <w:rsid w:val="008F3700"/>
    <w:rsid w:val="008F3BD3"/>
    <w:rsid w:val="008F40E0"/>
    <w:rsid w:val="008F416D"/>
    <w:rsid w:val="008F43C3"/>
    <w:rsid w:val="008F4B6B"/>
    <w:rsid w:val="008F4D21"/>
    <w:rsid w:val="008F4DE2"/>
    <w:rsid w:val="008F50F0"/>
    <w:rsid w:val="008F5900"/>
    <w:rsid w:val="008F60F7"/>
    <w:rsid w:val="008F612A"/>
    <w:rsid w:val="008F67BB"/>
    <w:rsid w:val="008F6A99"/>
    <w:rsid w:val="008F6AC1"/>
    <w:rsid w:val="008F6D54"/>
    <w:rsid w:val="008F6FAE"/>
    <w:rsid w:val="008F740B"/>
    <w:rsid w:val="008F7807"/>
    <w:rsid w:val="008F7839"/>
    <w:rsid w:val="008F7B75"/>
    <w:rsid w:val="008F7C00"/>
    <w:rsid w:val="008F7D89"/>
    <w:rsid w:val="00900744"/>
    <w:rsid w:val="00900B2E"/>
    <w:rsid w:val="0090207E"/>
    <w:rsid w:val="0090211E"/>
    <w:rsid w:val="009021E7"/>
    <w:rsid w:val="0090246C"/>
    <w:rsid w:val="009025B4"/>
    <w:rsid w:val="0090390F"/>
    <w:rsid w:val="00903E88"/>
    <w:rsid w:val="00904F7F"/>
    <w:rsid w:val="0090577B"/>
    <w:rsid w:val="00905CE4"/>
    <w:rsid w:val="00906159"/>
    <w:rsid w:val="00906472"/>
    <w:rsid w:val="009068B4"/>
    <w:rsid w:val="00906D22"/>
    <w:rsid w:val="009079A0"/>
    <w:rsid w:val="00910044"/>
    <w:rsid w:val="009100B0"/>
    <w:rsid w:val="00910184"/>
    <w:rsid w:val="009102BF"/>
    <w:rsid w:val="0091058F"/>
    <w:rsid w:val="0091059B"/>
    <w:rsid w:val="00910B40"/>
    <w:rsid w:val="00910EAE"/>
    <w:rsid w:val="009112B8"/>
    <w:rsid w:val="0091185C"/>
    <w:rsid w:val="009122EC"/>
    <w:rsid w:val="00912B94"/>
    <w:rsid w:val="00912BDB"/>
    <w:rsid w:val="009134F9"/>
    <w:rsid w:val="00913532"/>
    <w:rsid w:val="00913585"/>
    <w:rsid w:val="0091387C"/>
    <w:rsid w:val="00913DEB"/>
    <w:rsid w:val="009148F7"/>
    <w:rsid w:val="009149E4"/>
    <w:rsid w:val="00914FF7"/>
    <w:rsid w:val="009150FD"/>
    <w:rsid w:val="009154E1"/>
    <w:rsid w:val="00915B8E"/>
    <w:rsid w:val="00916038"/>
    <w:rsid w:val="0091699C"/>
    <w:rsid w:val="00916AF4"/>
    <w:rsid w:val="00917528"/>
    <w:rsid w:val="00920F94"/>
    <w:rsid w:val="009211FB"/>
    <w:rsid w:val="00921465"/>
    <w:rsid w:val="00921818"/>
    <w:rsid w:val="00921B02"/>
    <w:rsid w:val="00921DAA"/>
    <w:rsid w:val="0092254A"/>
    <w:rsid w:val="00923174"/>
    <w:rsid w:val="00923232"/>
    <w:rsid w:val="0092366B"/>
    <w:rsid w:val="009243E6"/>
    <w:rsid w:val="009249D8"/>
    <w:rsid w:val="00925211"/>
    <w:rsid w:val="00926A0D"/>
    <w:rsid w:val="00926B15"/>
    <w:rsid w:val="00926C85"/>
    <w:rsid w:val="00926E7C"/>
    <w:rsid w:val="00927429"/>
    <w:rsid w:val="0092763C"/>
    <w:rsid w:val="00927ED3"/>
    <w:rsid w:val="0093023E"/>
    <w:rsid w:val="0093027B"/>
    <w:rsid w:val="00930BC1"/>
    <w:rsid w:val="00931126"/>
    <w:rsid w:val="009317A2"/>
    <w:rsid w:val="00931B33"/>
    <w:rsid w:val="00931CFC"/>
    <w:rsid w:val="00931D5D"/>
    <w:rsid w:val="00931FA7"/>
    <w:rsid w:val="009324B4"/>
    <w:rsid w:val="00932A97"/>
    <w:rsid w:val="00933005"/>
    <w:rsid w:val="009337BF"/>
    <w:rsid w:val="009338E5"/>
    <w:rsid w:val="00933937"/>
    <w:rsid w:val="009339FE"/>
    <w:rsid w:val="00933CBA"/>
    <w:rsid w:val="00934B1D"/>
    <w:rsid w:val="00934F3D"/>
    <w:rsid w:val="00935104"/>
    <w:rsid w:val="00935419"/>
    <w:rsid w:val="00935DBB"/>
    <w:rsid w:val="009363AB"/>
    <w:rsid w:val="009367A5"/>
    <w:rsid w:val="0093719F"/>
    <w:rsid w:val="00937937"/>
    <w:rsid w:val="00937BE7"/>
    <w:rsid w:val="00937E8B"/>
    <w:rsid w:val="0094058D"/>
    <w:rsid w:val="00940E3E"/>
    <w:rsid w:val="00940F0C"/>
    <w:rsid w:val="00940FC3"/>
    <w:rsid w:val="00941A72"/>
    <w:rsid w:val="00943480"/>
    <w:rsid w:val="00943DE8"/>
    <w:rsid w:val="00944B4F"/>
    <w:rsid w:val="00944B57"/>
    <w:rsid w:val="009450A9"/>
    <w:rsid w:val="00945844"/>
    <w:rsid w:val="00945ACF"/>
    <w:rsid w:val="00945E96"/>
    <w:rsid w:val="00946382"/>
    <w:rsid w:val="00946B1C"/>
    <w:rsid w:val="00947630"/>
    <w:rsid w:val="009478FD"/>
    <w:rsid w:val="00947DAB"/>
    <w:rsid w:val="00950269"/>
    <w:rsid w:val="00950A09"/>
    <w:rsid w:val="00950C4E"/>
    <w:rsid w:val="00950C9F"/>
    <w:rsid w:val="0095153B"/>
    <w:rsid w:val="009519D8"/>
    <w:rsid w:val="00951C62"/>
    <w:rsid w:val="0095204B"/>
    <w:rsid w:val="00952799"/>
    <w:rsid w:val="00952E01"/>
    <w:rsid w:val="00952FF8"/>
    <w:rsid w:val="009531F3"/>
    <w:rsid w:val="00953434"/>
    <w:rsid w:val="00953DB4"/>
    <w:rsid w:val="00954708"/>
    <w:rsid w:val="00955013"/>
    <w:rsid w:val="00955204"/>
    <w:rsid w:val="0095527C"/>
    <w:rsid w:val="00955806"/>
    <w:rsid w:val="00955975"/>
    <w:rsid w:val="009561B0"/>
    <w:rsid w:val="0095620F"/>
    <w:rsid w:val="00956540"/>
    <w:rsid w:val="00956A6C"/>
    <w:rsid w:val="0095711B"/>
    <w:rsid w:val="00957410"/>
    <w:rsid w:val="009575A1"/>
    <w:rsid w:val="00957AFE"/>
    <w:rsid w:val="00960090"/>
    <w:rsid w:val="00960472"/>
    <w:rsid w:val="00960BE1"/>
    <w:rsid w:val="00960C53"/>
    <w:rsid w:val="00961216"/>
    <w:rsid w:val="00961BB0"/>
    <w:rsid w:val="0096234E"/>
    <w:rsid w:val="009623CD"/>
    <w:rsid w:val="009625B1"/>
    <w:rsid w:val="00962F33"/>
    <w:rsid w:val="00963CDD"/>
    <w:rsid w:val="00964CAB"/>
    <w:rsid w:val="00965092"/>
    <w:rsid w:val="00965163"/>
    <w:rsid w:val="0096540B"/>
    <w:rsid w:val="0096590C"/>
    <w:rsid w:val="00966371"/>
    <w:rsid w:val="00966404"/>
    <w:rsid w:val="00966695"/>
    <w:rsid w:val="00966846"/>
    <w:rsid w:val="00966D90"/>
    <w:rsid w:val="00966E3C"/>
    <w:rsid w:val="009670BB"/>
    <w:rsid w:val="009672CB"/>
    <w:rsid w:val="009700AD"/>
    <w:rsid w:val="00970294"/>
    <w:rsid w:val="00970303"/>
    <w:rsid w:val="00970396"/>
    <w:rsid w:val="00970460"/>
    <w:rsid w:val="009707FE"/>
    <w:rsid w:val="009715A4"/>
    <w:rsid w:val="00971EB3"/>
    <w:rsid w:val="0097238A"/>
    <w:rsid w:val="009724D2"/>
    <w:rsid w:val="009727B9"/>
    <w:rsid w:val="00972845"/>
    <w:rsid w:val="009731EC"/>
    <w:rsid w:val="009738E5"/>
    <w:rsid w:val="00973AF0"/>
    <w:rsid w:val="00973B5C"/>
    <w:rsid w:val="00974017"/>
    <w:rsid w:val="009741FD"/>
    <w:rsid w:val="00974945"/>
    <w:rsid w:val="00974B79"/>
    <w:rsid w:val="0097500A"/>
    <w:rsid w:val="009750B7"/>
    <w:rsid w:val="0097514D"/>
    <w:rsid w:val="00975569"/>
    <w:rsid w:val="0097593E"/>
    <w:rsid w:val="0097662D"/>
    <w:rsid w:val="00976BC8"/>
    <w:rsid w:val="00976C10"/>
    <w:rsid w:val="009774F2"/>
    <w:rsid w:val="0097770E"/>
    <w:rsid w:val="00977BAC"/>
    <w:rsid w:val="00977D72"/>
    <w:rsid w:val="00980122"/>
    <w:rsid w:val="009801E4"/>
    <w:rsid w:val="009802FA"/>
    <w:rsid w:val="00980862"/>
    <w:rsid w:val="00980992"/>
    <w:rsid w:val="00981A52"/>
    <w:rsid w:val="00981DEF"/>
    <w:rsid w:val="0098217D"/>
    <w:rsid w:val="00982368"/>
    <w:rsid w:val="00982B41"/>
    <w:rsid w:val="00982FE8"/>
    <w:rsid w:val="00984042"/>
    <w:rsid w:val="00984091"/>
    <w:rsid w:val="00984371"/>
    <w:rsid w:val="0098446A"/>
    <w:rsid w:val="00984714"/>
    <w:rsid w:val="00984C53"/>
    <w:rsid w:val="009858DF"/>
    <w:rsid w:val="00986187"/>
    <w:rsid w:val="0098630C"/>
    <w:rsid w:val="009871A3"/>
    <w:rsid w:val="00987408"/>
    <w:rsid w:val="0099042F"/>
    <w:rsid w:val="009904CA"/>
    <w:rsid w:val="00990C6F"/>
    <w:rsid w:val="0099141D"/>
    <w:rsid w:val="009914DB"/>
    <w:rsid w:val="009916E7"/>
    <w:rsid w:val="009930E8"/>
    <w:rsid w:val="00993BDB"/>
    <w:rsid w:val="00994680"/>
    <w:rsid w:val="009949E2"/>
    <w:rsid w:val="00994E8D"/>
    <w:rsid w:val="009951FD"/>
    <w:rsid w:val="009953AB"/>
    <w:rsid w:val="009953B7"/>
    <w:rsid w:val="00995F17"/>
    <w:rsid w:val="0099605F"/>
    <w:rsid w:val="009965BD"/>
    <w:rsid w:val="00996AA9"/>
    <w:rsid w:val="00996F92"/>
    <w:rsid w:val="00996FF8"/>
    <w:rsid w:val="00997349"/>
    <w:rsid w:val="009973FD"/>
    <w:rsid w:val="00997B3B"/>
    <w:rsid w:val="00997C60"/>
    <w:rsid w:val="009A032A"/>
    <w:rsid w:val="009A0F1A"/>
    <w:rsid w:val="009A1887"/>
    <w:rsid w:val="009A205F"/>
    <w:rsid w:val="009A211B"/>
    <w:rsid w:val="009A28DF"/>
    <w:rsid w:val="009A2F32"/>
    <w:rsid w:val="009A374A"/>
    <w:rsid w:val="009A3A8A"/>
    <w:rsid w:val="009A3FD6"/>
    <w:rsid w:val="009A3FF2"/>
    <w:rsid w:val="009A4A80"/>
    <w:rsid w:val="009A512F"/>
    <w:rsid w:val="009A54CC"/>
    <w:rsid w:val="009A59AB"/>
    <w:rsid w:val="009A5A93"/>
    <w:rsid w:val="009A5DC0"/>
    <w:rsid w:val="009A680E"/>
    <w:rsid w:val="009A70D9"/>
    <w:rsid w:val="009A72D2"/>
    <w:rsid w:val="009A7647"/>
    <w:rsid w:val="009B0067"/>
    <w:rsid w:val="009B0212"/>
    <w:rsid w:val="009B0384"/>
    <w:rsid w:val="009B0FBF"/>
    <w:rsid w:val="009B1263"/>
    <w:rsid w:val="009B1B97"/>
    <w:rsid w:val="009B1C97"/>
    <w:rsid w:val="009B1EBA"/>
    <w:rsid w:val="009B2251"/>
    <w:rsid w:val="009B2288"/>
    <w:rsid w:val="009B24B8"/>
    <w:rsid w:val="009B27D8"/>
    <w:rsid w:val="009B29DB"/>
    <w:rsid w:val="009B2B2B"/>
    <w:rsid w:val="009B2F6F"/>
    <w:rsid w:val="009B4A8E"/>
    <w:rsid w:val="009B4DB9"/>
    <w:rsid w:val="009B5040"/>
    <w:rsid w:val="009B5A36"/>
    <w:rsid w:val="009B5E94"/>
    <w:rsid w:val="009B73A5"/>
    <w:rsid w:val="009B7C96"/>
    <w:rsid w:val="009C0244"/>
    <w:rsid w:val="009C06B6"/>
    <w:rsid w:val="009C0882"/>
    <w:rsid w:val="009C0E61"/>
    <w:rsid w:val="009C2FFA"/>
    <w:rsid w:val="009C33C1"/>
    <w:rsid w:val="009C440C"/>
    <w:rsid w:val="009C446B"/>
    <w:rsid w:val="009C4D4C"/>
    <w:rsid w:val="009C5CF8"/>
    <w:rsid w:val="009C5E9E"/>
    <w:rsid w:val="009C605C"/>
    <w:rsid w:val="009C665E"/>
    <w:rsid w:val="009C7A30"/>
    <w:rsid w:val="009C7B37"/>
    <w:rsid w:val="009D0198"/>
    <w:rsid w:val="009D0326"/>
    <w:rsid w:val="009D0EEB"/>
    <w:rsid w:val="009D1391"/>
    <w:rsid w:val="009D1867"/>
    <w:rsid w:val="009D18F9"/>
    <w:rsid w:val="009D1F23"/>
    <w:rsid w:val="009D20E0"/>
    <w:rsid w:val="009D2882"/>
    <w:rsid w:val="009D2DDB"/>
    <w:rsid w:val="009D3286"/>
    <w:rsid w:val="009D32E4"/>
    <w:rsid w:val="009D3BE2"/>
    <w:rsid w:val="009D3D1E"/>
    <w:rsid w:val="009D3F74"/>
    <w:rsid w:val="009D4C0D"/>
    <w:rsid w:val="009D5103"/>
    <w:rsid w:val="009D5118"/>
    <w:rsid w:val="009D53B9"/>
    <w:rsid w:val="009D564B"/>
    <w:rsid w:val="009D5876"/>
    <w:rsid w:val="009D6397"/>
    <w:rsid w:val="009D65FB"/>
    <w:rsid w:val="009D664A"/>
    <w:rsid w:val="009D6B76"/>
    <w:rsid w:val="009D77BD"/>
    <w:rsid w:val="009D77FD"/>
    <w:rsid w:val="009D7818"/>
    <w:rsid w:val="009D7CF6"/>
    <w:rsid w:val="009D7DED"/>
    <w:rsid w:val="009D7E14"/>
    <w:rsid w:val="009E0E39"/>
    <w:rsid w:val="009E0F63"/>
    <w:rsid w:val="009E13B8"/>
    <w:rsid w:val="009E1925"/>
    <w:rsid w:val="009E19AC"/>
    <w:rsid w:val="009E255F"/>
    <w:rsid w:val="009E2E74"/>
    <w:rsid w:val="009E30D8"/>
    <w:rsid w:val="009E3200"/>
    <w:rsid w:val="009E3665"/>
    <w:rsid w:val="009E4032"/>
    <w:rsid w:val="009E459B"/>
    <w:rsid w:val="009E497A"/>
    <w:rsid w:val="009E4ACE"/>
    <w:rsid w:val="009E4BD5"/>
    <w:rsid w:val="009E4BF9"/>
    <w:rsid w:val="009E4D54"/>
    <w:rsid w:val="009E4F15"/>
    <w:rsid w:val="009E5221"/>
    <w:rsid w:val="009E5FD1"/>
    <w:rsid w:val="009E6F7A"/>
    <w:rsid w:val="009E75C2"/>
    <w:rsid w:val="009E76B8"/>
    <w:rsid w:val="009E791E"/>
    <w:rsid w:val="009E7C7D"/>
    <w:rsid w:val="009F0008"/>
    <w:rsid w:val="009F0B4F"/>
    <w:rsid w:val="009F1091"/>
    <w:rsid w:val="009F1440"/>
    <w:rsid w:val="009F14D3"/>
    <w:rsid w:val="009F179F"/>
    <w:rsid w:val="009F2222"/>
    <w:rsid w:val="009F231A"/>
    <w:rsid w:val="009F2709"/>
    <w:rsid w:val="009F2977"/>
    <w:rsid w:val="009F3157"/>
    <w:rsid w:val="009F4274"/>
    <w:rsid w:val="009F427D"/>
    <w:rsid w:val="009F4A78"/>
    <w:rsid w:val="009F4E84"/>
    <w:rsid w:val="009F52BE"/>
    <w:rsid w:val="009F5840"/>
    <w:rsid w:val="009F5937"/>
    <w:rsid w:val="009F594B"/>
    <w:rsid w:val="009F649D"/>
    <w:rsid w:val="009F6B6D"/>
    <w:rsid w:val="009F72A4"/>
    <w:rsid w:val="009F7731"/>
    <w:rsid w:val="009F7A71"/>
    <w:rsid w:val="009F7CAA"/>
    <w:rsid w:val="009F7D31"/>
    <w:rsid w:val="00A001A3"/>
    <w:rsid w:val="00A003D5"/>
    <w:rsid w:val="00A009F9"/>
    <w:rsid w:val="00A019C6"/>
    <w:rsid w:val="00A028B9"/>
    <w:rsid w:val="00A03537"/>
    <w:rsid w:val="00A0370E"/>
    <w:rsid w:val="00A03859"/>
    <w:rsid w:val="00A03A84"/>
    <w:rsid w:val="00A03BBB"/>
    <w:rsid w:val="00A043D2"/>
    <w:rsid w:val="00A050A2"/>
    <w:rsid w:val="00A05B34"/>
    <w:rsid w:val="00A064DA"/>
    <w:rsid w:val="00A06644"/>
    <w:rsid w:val="00A06843"/>
    <w:rsid w:val="00A06BCD"/>
    <w:rsid w:val="00A06E0B"/>
    <w:rsid w:val="00A06F06"/>
    <w:rsid w:val="00A07431"/>
    <w:rsid w:val="00A07AF1"/>
    <w:rsid w:val="00A07B72"/>
    <w:rsid w:val="00A07E32"/>
    <w:rsid w:val="00A104DF"/>
    <w:rsid w:val="00A10E11"/>
    <w:rsid w:val="00A11972"/>
    <w:rsid w:val="00A11B47"/>
    <w:rsid w:val="00A122DA"/>
    <w:rsid w:val="00A124D3"/>
    <w:rsid w:val="00A1281B"/>
    <w:rsid w:val="00A12C08"/>
    <w:rsid w:val="00A12FB3"/>
    <w:rsid w:val="00A130C7"/>
    <w:rsid w:val="00A13CE9"/>
    <w:rsid w:val="00A140FA"/>
    <w:rsid w:val="00A141D0"/>
    <w:rsid w:val="00A1423C"/>
    <w:rsid w:val="00A14252"/>
    <w:rsid w:val="00A145C7"/>
    <w:rsid w:val="00A14604"/>
    <w:rsid w:val="00A1491A"/>
    <w:rsid w:val="00A14EC1"/>
    <w:rsid w:val="00A151C8"/>
    <w:rsid w:val="00A16299"/>
    <w:rsid w:val="00A165EA"/>
    <w:rsid w:val="00A1671D"/>
    <w:rsid w:val="00A16DEC"/>
    <w:rsid w:val="00A17294"/>
    <w:rsid w:val="00A172DC"/>
    <w:rsid w:val="00A17CEA"/>
    <w:rsid w:val="00A17DC7"/>
    <w:rsid w:val="00A17F9E"/>
    <w:rsid w:val="00A2045C"/>
    <w:rsid w:val="00A20D11"/>
    <w:rsid w:val="00A20F08"/>
    <w:rsid w:val="00A22283"/>
    <w:rsid w:val="00A225E1"/>
    <w:rsid w:val="00A226DD"/>
    <w:rsid w:val="00A24009"/>
    <w:rsid w:val="00A24F04"/>
    <w:rsid w:val="00A24F87"/>
    <w:rsid w:val="00A250DB"/>
    <w:rsid w:val="00A2526E"/>
    <w:rsid w:val="00A2546D"/>
    <w:rsid w:val="00A2575A"/>
    <w:rsid w:val="00A25834"/>
    <w:rsid w:val="00A25FE3"/>
    <w:rsid w:val="00A2658E"/>
    <w:rsid w:val="00A26781"/>
    <w:rsid w:val="00A26D97"/>
    <w:rsid w:val="00A273D8"/>
    <w:rsid w:val="00A27F33"/>
    <w:rsid w:val="00A3037C"/>
    <w:rsid w:val="00A30514"/>
    <w:rsid w:val="00A31379"/>
    <w:rsid w:val="00A31479"/>
    <w:rsid w:val="00A31C18"/>
    <w:rsid w:val="00A3223F"/>
    <w:rsid w:val="00A322D1"/>
    <w:rsid w:val="00A32529"/>
    <w:rsid w:val="00A32949"/>
    <w:rsid w:val="00A33577"/>
    <w:rsid w:val="00A33AF2"/>
    <w:rsid w:val="00A340F3"/>
    <w:rsid w:val="00A3434A"/>
    <w:rsid w:val="00A34B80"/>
    <w:rsid w:val="00A35027"/>
    <w:rsid w:val="00A3515A"/>
    <w:rsid w:val="00A35182"/>
    <w:rsid w:val="00A355F5"/>
    <w:rsid w:val="00A359EF"/>
    <w:rsid w:val="00A35C04"/>
    <w:rsid w:val="00A3612C"/>
    <w:rsid w:val="00A366E3"/>
    <w:rsid w:val="00A368EB"/>
    <w:rsid w:val="00A36E13"/>
    <w:rsid w:val="00A37327"/>
    <w:rsid w:val="00A37370"/>
    <w:rsid w:val="00A374D4"/>
    <w:rsid w:val="00A378D4"/>
    <w:rsid w:val="00A37E02"/>
    <w:rsid w:val="00A37E64"/>
    <w:rsid w:val="00A37F6C"/>
    <w:rsid w:val="00A37F6E"/>
    <w:rsid w:val="00A40612"/>
    <w:rsid w:val="00A40B33"/>
    <w:rsid w:val="00A412CB"/>
    <w:rsid w:val="00A4143F"/>
    <w:rsid w:val="00A41F8A"/>
    <w:rsid w:val="00A41FD5"/>
    <w:rsid w:val="00A42948"/>
    <w:rsid w:val="00A430DE"/>
    <w:rsid w:val="00A4367A"/>
    <w:rsid w:val="00A43A4C"/>
    <w:rsid w:val="00A43AEC"/>
    <w:rsid w:val="00A44098"/>
    <w:rsid w:val="00A443BB"/>
    <w:rsid w:val="00A44584"/>
    <w:rsid w:val="00A445A1"/>
    <w:rsid w:val="00A46702"/>
    <w:rsid w:val="00A46788"/>
    <w:rsid w:val="00A46C01"/>
    <w:rsid w:val="00A4709A"/>
    <w:rsid w:val="00A476DA"/>
    <w:rsid w:val="00A504D3"/>
    <w:rsid w:val="00A505C4"/>
    <w:rsid w:val="00A518BC"/>
    <w:rsid w:val="00A51D53"/>
    <w:rsid w:val="00A51EF8"/>
    <w:rsid w:val="00A5235C"/>
    <w:rsid w:val="00A52802"/>
    <w:rsid w:val="00A52B6A"/>
    <w:rsid w:val="00A530D9"/>
    <w:rsid w:val="00A54073"/>
    <w:rsid w:val="00A543FE"/>
    <w:rsid w:val="00A544E0"/>
    <w:rsid w:val="00A54534"/>
    <w:rsid w:val="00A5496C"/>
    <w:rsid w:val="00A54B2F"/>
    <w:rsid w:val="00A5511E"/>
    <w:rsid w:val="00A55770"/>
    <w:rsid w:val="00A56246"/>
    <w:rsid w:val="00A56B07"/>
    <w:rsid w:val="00A608D2"/>
    <w:rsid w:val="00A60E89"/>
    <w:rsid w:val="00A60EAC"/>
    <w:rsid w:val="00A610E0"/>
    <w:rsid w:val="00A61440"/>
    <w:rsid w:val="00A614AC"/>
    <w:rsid w:val="00A6210F"/>
    <w:rsid w:val="00A62DD4"/>
    <w:rsid w:val="00A62F6B"/>
    <w:rsid w:val="00A63F50"/>
    <w:rsid w:val="00A643DA"/>
    <w:rsid w:val="00A64C36"/>
    <w:rsid w:val="00A654F4"/>
    <w:rsid w:val="00A65A35"/>
    <w:rsid w:val="00A65A3C"/>
    <w:rsid w:val="00A65F6C"/>
    <w:rsid w:val="00A66289"/>
    <w:rsid w:val="00A6665F"/>
    <w:rsid w:val="00A66B5D"/>
    <w:rsid w:val="00A67771"/>
    <w:rsid w:val="00A67950"/>
    <w:rsid w:val="00A67AE3"/>
    <w:rsid w:val="00A67E7D"/>
    <w:rsid w:val="00A7059D"/>
    <w:rsid w:val="00A7067D"/>
    <w:rsid w:val="00A7087C"/>
    <w:rsid w:val="00A708F1"/>
    <w:rsid w:val="00A709D8"/>
    <w:rsid w:val="00A70FE9"/>
    <w:rsid w:val="00A70FEB"/>
    <w:rsid w:val="00A71B7B"/>
    <w:rsid w:val="00A71F2D"/>
    <w:rsid w:val="00A7260A"/>
    <w:rsid w:val="00A73847"/>
    <w:rsid w:val="00A7488D"/>
    <w:rsid w:val="00A74A2D"/>
    <w:rsid w:val="00A74BBA"/>
    <w:rsid w:val="00A74F2D"/>
    <w:rsid w:val="00A75135"/>
    <w:rsid w:val="00A7526F"/>
    <w:rsid w:val="00A752DA"/>
    <w:rsid w:val="00A7593A"/>
    <w:rsid w:val="00A75CC4"/>
    <w:rsid w:val="00A75D4D"/>
    <w:rsid w:val="00A765B0"/>
    <w:rsid w:val="00A7666D"/>
    <w:rsid w:val="00A767EE"/>
    <w:rsid w:val="00A768DB"/>
    <w:rsid w:val="00A76AEE"/>
    <w:rsid w:val="00A76B9F"/>
    <w:rsid w:val="00A76E4B"/>
    <w:rsid w:val="00A76F8C"/>
    <w:rsid w:val="00A7758A"/>
    <w:rsid w:val="00A77A29"/>
    <w:rsid w:val="00A77DEF"/>
    <w:rsid w:val="00A80486"/>
    <w:rsid w:val="00A80931"/>
    <w:rsid w:val="00A8163B"/>
    <w:rsid w:val="00A817B1"/>
    <w:rsid w:val="00A8189B"/>
    <w:rsid w:val="00A8195B"/>
    <w:rsid w:val="00A81AAE"/>
    <w:rsid w:val="00A821C4"/>
    <w:rsid w:val="00A825CA"/>
    <w:rsid w:val="00A82691"/>
    <w:rsid w:val="00A82A83"/>
    <w:rsid w:val="00A82AFC"/>
    <w:rsid w:val="00A82B64"/>
    <w:rsid w:val="00A8308B"/>
    <w:rsid w:val="00A834E9"/>
    <w:rsid w:val="00A83CB9"/>
    <w:rsid w:val="00A84F26"/>
    <w:rsid w:val="00A8581E"/>
    <w:rsid w:val="00A85D7B"/>
    <w:rsid w:val="00A861AB"/>
    <w:rsid w:val="00A86236"/>
    <w:rsid w:val="00A862A3"/>
    <w:rsid w:val="00A86B53"/>
    <w:rsid w:val="00A86F50"/>
    <w:rsid w:val="00A870C4"/>
    <w:rsid w:val="00A872BB"/>
    <w:rsid w:val="00A8775D"/>
    <w:rsid w:val="00A87B84"/>
    <w:rsid w:val="00A87E06"/>
    <w:rsid w:val="00A90014"/>
    <w:rsid w:val="00A9058A"/>
    <w:rsid w:val="00A9075A"/>
    <w:rsid w:val="00A90F07"/>
    <w:rsid w:val="00A90F91"/>
    <w:rsid w:val="00A9109C"/>
    <w:rsid w:val="00A9152E"/>
    <w:rsid w:val="00A93138"/>
    <w:rsid w:val="00A932F3"/>
    <w:rsid w:val="00A9361E"/>
    <w:rsid w:val="00A93E32"/>
    <w:rsid w:val="00A9400A"/>
    <w:rsid w:val="00A94262"/>
    <w:rsid w:val="00A949DC"/>
    <w:rsid w:val="00A94B9F"/>
    <w:rsid w:val="00A94F47"/>
    <w:rsid w:val="00A9527A"/>
    <w:rsid w:val="00A95637"/>
    <w:rsid w:val="00A95917"/>
    <w:rsid w:val="00A95A05"/>
    <w:rsid w:val="00A96016"/>
    <w:rsid w:val="00A96922"/>
    <w:rsid w:val="00A97364"/>
    <w:rsid w:val="00A9751B"/>
    <w:rsid w:val="00A976EB"/>
    <w:rsid w:val="00A97774"/>
    <w:rsid w:val="00AA03AD"/>
    <w:rsid w:val="00AA0CA6"/>
    <w:rsid w:val="00AA152B"/>
    <w:rsid w:val="00AA186D"/>
    <w:rsid w:val="00AA3221"/>
    <w:rsid w:val="00AA355C"/>
    <w:rsid w:val="00AA39AB"/>
    <w:rsid w:val="00AA3E6A"/>
    <w:rsid w:val="00AA46C6"/>
    <w:rsid w:val="00AA47A8"/>
    <w:rsid w:val="00AA48F7"/>
    <w:rsid w:val="00AA4C64"/>
    <w:rsid w:val="00AA5174"/>
    <w:rsid w:val="00AA5E79"/>
    <w:rsid w:val="00AA64B6"/>
    <w:rsid w:val="00AA65C3"/>
    <w:rsid w:val="00AA68CB"/>
    <w:rsid w:val="00AA70C8"/>
    <w:rsid w:val="00AA71E0"/>
    <w:rsid w:val="00AA723E"/>
    <w:rsid w:val="00AA747F"/>
    <w:rsid w:val="00AB0953"/>
    <w:rsid w:val="00AB15CA"/>
    <w:rsid w:val="00AB16AA"/>
    <w:rsid w:val="00AB19DD"/>
    <w:rsid w:val="00AB1A2A"/>
    <w:rsid w:val="00AB1C13"/>
    <w:rsid w:val="00AB1F28"/>
    <w:rsid w:val="00AB1FCD"/>
    <w:rsid w:val="00AB2336"/>
    <w:rsid w:val="00AB2720"/>
    <w:rsid w:val="00AB2C2B"/>
    <w:rsid w:val="00AB3043"/>
    <w:rsid w:val="00AB32C3"/>
    <w:rsid w:val="00AB33B9"/>
    <w:rsid w:val="00AB3660"/>
    <w:rsid w:val="00AB3C7E"/>
    <w:rsid w:val="00AB4110"/>
    <w:rsid w:val="00AB4339"/>
    <w:rsid w:val="00AB4A34"/>
    <w:rsid w:val="00AB4E07"/>
    <w:rsid w:val="00AB4E19"/>
    <w:rsid w:val="00AB4E34"/>
    <w:rsid w:val="00AB4FCE"/>
    <w:rsid w:val="00AB582D"/>
    <w:rsid w:val="00AB60AC"/>
    <w:rsid w:val="00AB620A"/>
    <w:rsid w:val="00AB6A95"/>
    <w:rsid w:val="00AB72C2"/>
    <w:rsid w:val="00AB78D7"/>
    <w:rsid w:val="00AB7CFD"/>
    <w:rsid w:val="00AC000D"/>
    <w:rsid w:val="00AC0558"/>
    <w:rsid w:val="00AC09CB"/>
    <w:rsid w:val="00AC14A7"/>
    <w:rsid w:val="00AC1651"/>
    <w:rsid w:val="00AC198C"/>
    <w:rsid w:val="00AC30E4"/>
    <w:rsid w:val="00AC3133"/>
    <w:rsid w:val="00AC3ED3"/>
    <w:rsid w:val="00AC3EF4"/>
    <w:rsid w:val="00AC44F5"/>
    <w:rsid w:val="00AC4F83"/>
    <w:rsid w:val="00AC5717"/>
    <w:rsid w:val="00AC5B9D"/>
    <w:rsid w:val="00AC6BD0"/>
    <w:rsid w:val="00AC7306"/>
    <w:rsid w:val="00AC7ADA"/>
    <w:rsid w:val="00AD04A7"/>
    <w:rsid w:val="00AD2369"/>
    <w:rsid w:val="00AD23E0"/>
    <w:rsid w:val="00AD2946"/>
    <w:rsid w:val="00AD2B11"/>
    <w:rsid w:val="00AD2CF0"/>
    <w:rsid w:val="00AD3FE4"/>
    <w:rsid w:val="00AD4646"/>
    <w:rsid w:val="00AD497F"/>
    <w:rsid w:val="00AD4BCD"/>
    <w:rsid w:val="00AD4D58"/>
    <w:rsid w:val="00AD533D"/>
    <w:rsid w:val="00AD53C3"/>
    <w:rsid w:val="00AD67C0"/>
    <w:rsid w:val="00AD6A05"/>
    <w:rsid w:val="00AD6DC7"/>
    <w:rsid w:val="00AD730D"/>
    <w:rsid w:val="00AD7B02"/>
    <w:rsid w:val="00AD7BD5"/>
    <w:rsid w:val="00AD7BD7"/>
    <w:rsid w:val="00AD7C85"/>
    <w:rsid w:val="00AD7D28"/>
    <w:rsid w:val="00AD7DDC"/>
    <w:rsid w:val="00AE0197"/>
    <w:rsid w:val="00AE0310"/>
    <w:rsid w:val="00AE05A7"/>
    <w:rsid w:val="00AE111A"/>
    <w:rsid w:val="00AE138A"/>
    <w:rsid w:val="00AE144B"/>
    <w:rsid w:val="00AE270E"/>
    <w:rsid w:val="00AE28FF"/>
    <w:rsid w:val="00AE30BE"/>
    <w:rsid w:val="00AE31CF"/>
    <w:rsid w:val="00AE40F8"/>
    <w:rsid w:val="00AE4320"/>
    <w:rsid w:val="00AE44C7"/>
    <w:rsid w:val="00AE5C67"/>
    <w:rsid w:val="00AE5D87"/>
    <w:rsid w:val="00AE61E0"/>
    <w:rsid w:val="00AE6F67"/>
    <w:rsid w:val="00AF01A8"/>
    <w:rsid w:val="00AF04BB"/>
    <w:rsid w:val="00AF05F1"/>
    <w:rsid w:val="00AF1935"/>
    <w:rsid w:val="00AF20E0"/>
    <w:rsid w:val="00AF20FC"/>
    <w:rsid w:val="00AF2E10"/>
    <w:rsid w:val="00AF2E17"/>
    <w:rsid w:val="00AF3197"/>
    <w:rsid w:val="00AF32D1"/>
    <w:rsid w:val="00AF41C9"/>
    <w:rsid w:val="00AF442C"/>
    <w:rsid w:val="00AF46FA"/>
    <w:rsid w:val="00AF4C0F"/>
    <w:rsid w:val="00AF4C42"/>
    <w:rsid w:val="00AF4C74"/>
    <w:rsid w:val="00AF5415"/>
    <w:rsid w:val="00AF5C86"/>
    <w:rsid w:val="00AF5DB1"/>
    <w:rsid w:val="00AF6440"/>
    <w:rsid w:val="00AF6A18"/>
    <w:rsid w:val="00AF6CF5"/>
    <w:rsid w:val="00AF700E"/>
    <w:rsid w:val="00AF7018"/>
    <w:rsid w:val="00AF70D9"/>
    <w:rsid w:val="00AF74CA"/>
    <w:rsid w:val="00B006AE"/>
    <w:rsid w:val="00B006F4"/>
    <w:rsid w:val="00B01060"/>
    <w:rsid w:val="00B01F0D"/>
    <w:rsid w:val="00B029CB"/>
    <w:rsid w:val="00B02D65"/>
    <w:rsid w:val="00B02D72"/>
    <w:rsid w:val="00B02E2D"/>
    <w:rsid w:val="00B02FA5"/>
    <w:rsid w:val="00B0377B"/>
    <w:rsid w:val="00B03879"/>
    <w:rsid w:val="00B03CB8"/>
    <w:rsid w:val="00B03D75"/>
    <w:rsid w:val="00B04194"/>
    <w:rsid w:val="00B043FD"/>
    <w:rsid w:val="00B0486D"/>
    <w:rsid w:val="00B0550E"/>
    <w:rsid w:val="00B05BFC"/>
    <w:rsid w:val="00B05D12"/>
    <w:rsid w:val="00B05DF5"/>
    <w:rsid w:val="00B05F63"/>
    <w:rsid w:val="00B06578"/>
    <w:rsid w:val="00B065DA"/>
    <w:rsid w:val="00B066D4"/>
    <w:rsid w:val="00B0691A"/>
    <w:rsid w:val="00B0691D"/>
    <w:rsid w:val="00B06BAB"/>
    <w:rsid w:val="00B06F3C"/>
    <w:rsid w:val="00B07046"/>
    <w:rsid w:val="00B07808"/>
    <w:rsid w:val="00B07ED4"/>
    <w:rsid w:val="00B10250"/>
    <w:rsid w:val="00B10E05"/>
    <w:rsid w:val="00B115F5"/>
    <w:rsid w:val="00B11F8D"/>
    <w:rsid w:val="00B12082"/>
    <w:rsid w:val="00B12783"/>
    <w:rsid w:val="00B12823"/>
    <w:rsid w:val="00B12E19"/>
    <w:rsid w:val="00B12FAC"/>
    <w:rsid w:val="00B13438"/>
    <w:rsid w:val="00B146DE"/>
    <w:rsid w:val="00B148CE"/>
    <w:rsid w:val="00B14A2B"/>
    <w:rsid w:val="00B14FFD"/>
    <w:rsid w:val="00B15566"/>
    <w:rsid w:val="00B15EC2"/>
    <w:rsid w:val="00B15FD7"/>
    <w:rsid w:val="00B17256"/>
    <w:rsid w:val="00B177D7"/>
    <w:rsid w:val="00B17DF2"/>
    <w:rsid w:val="00B17E09"/>
    <w:rsid w:val="00B17E98"/>
    <w:rsid w:val="00B20A13"/>
    <w:rsid w:val="00B20A18"/>
    <w:rsid w:val="00B21272"/>
    <w:rsid w:val="00B2137E"/>
    <w:rsid w:val="00B21F76"/>
    <w:rsid w:val="00B220A3"/>
    <w:rsid w:val="00B2213F"/>
    <w:rsid w:val="00B226CB"/>
    <w:rsid w:val="00B22C8E"/>
    <w:rsid w:val="00B237C2"/>
    <w:rsid w:val="00B247B4"/>
    <w:rsid w:val="00B2495B"/>
    <w:rsid w:val="00B24A65"/>
    <w:rsid w:val="00B25040"/>
    <w:rsid w:val="00B259E3"/>
    <w:rsid w:val="00B263CF"/>
    <w:rsid w:val="00B264A9"/>
    <w:rsid w:val="00B26676"/>
    <w:rsid w:val="00B26B96"/>
    <w:rsid w:val="00B26D6F"/>
    <w:rsid w:val="00B2723A"/>
    <w:rsid w:val="00B278DF"/>
    <w:rsid w:val="00B3027A"/>
    <w:rsid w:val="00B306B2"/>
    <w:rsid w:val="00B30962"/>
    <w:rsid w:val="00B30BD5"/>
    <w:rsid w:val="00B30DF6"/>
    <w:rsid w:val="00B31022"/>
    <w:rsid w:val="00B31677"/>
    <w:rsid w:val="00B316FF"/>
    <w:rsid w:val="00B317EB"/>
    <w:rsid w:val="00B31D24"/>
    <w:rsid w:val="00B31E9B"/>
    <w:rsid w:val="00B3215F"/>
    <w:rsid w:val="00B32835"/>
    <w:rsid w:val="00B329F5"/>
    <w:rsid w:val="00B32C33"/>
    <w:rsid w:val="00B3382F"/>
    <w:rsid w:val="00B3405D"/>
    <w:rsid w:val="00B3418E"/>
    <w:rsid w:val="00B3432C"/>
    <w:rsid w:val="00B345B7"/>
    <w:rsid w:val="00B34BF5"/>
    <w:rsid w:val="00B34C56"/>
    <w:rsid w:val="00B34CF8"/>
    <w:rsid w:val="00B350D0"/>
    <w:rsid w:val="00B358FC"/>
    <w:rsid w:val="00B35983"/>
    <w:rsid w:val="00B35A48"/>
    <w:rsid w:val="00B35D24"/>
    <w:rsid w:val="00B35F68"/>
    <w:rsid w:val="00B363CD"/>
    <w:rsid w:val="00B36D7B"/>
    <w:rsid w:val="00B36F81"/>
    <w:rsid w:val="00B372D0"/>
    <w:rsid w:val="00B37459"/>
    <w:rsid w:val="00B3766B"/>
    <w:rsid w:val="00B37707"/>
    <w:rsid w:val="00B377D6"/>
    <w:rsid w:val="00B3783F"/>
    <w:rsid w:val="00B4007A"/>
    <w:rsid w:val="00B4045A"/>
    <w:rsid w:val="00B408CC"/>
    <w:rsid w:val="00B4097A"/>
    <w:rsid w:val="00B417BE"/>
    <w:rsid w:val="00B41948"/>
    <w:rsid w:val="00B41E3D"/>
    <w:rsid w:val="00B4235F"/>
    <w:rsid w:val="00B42470"/>
    <w:rsid w:val="00B4254C"/>
    <w:rsid w:val="00B42F0C"/>
    <w:rsid w:val="00B42FAE"/>
    <w:rsid w:val="00B43C5F"/>
    <w:rsid w:val="00B43FE2"/>
    <w:rsid w:val="00B44501"/>
    <w:rsid w:val="00B4473D"/>
    <w:rsid w:val="00B451E7"/>
    <w:rsid w:val="00B453CF"/>
    <w:rsid w:val="00B4570C"/>
    <w:rsid w:val="00B46520"/>
    <w:rsid w:val="00B4654B"/>
    <w:rsid w:val="00B476C7"/>
    <w:rsid w:val="00B47EB5"/>
    <w:rsid w:val="00B47FC7"/>
    <w:rsid w:val="00B50BDA"/>
    <w:rsid w:val="00B50E75"/>
    <w:rsid w:val="00B510B5"/>
    <w:rsid w:val="00B5167D"/>
    <w:rsid w:val="00B5173B"/>
    <w:rsid w:val="00B51919"/>
    <w:rsid w:val="00B52C89"/>
    <w:rsid w:val="00B5364E"/>
    <w:rsid w:val="00B537D4"/>
    <w:rsid w:val="00B5395E"/>
    <w:rsid w:val="00B53C58"/>
    <w:rsid w:val="00B53E99"/>
    <w:rsid w:val="00B5463D"/>
    <w:rsid w:val="00B55737"/>
    <w:rsid w:val="00B5589F"/>
    <w:rsid w:val="00B55A16"/>
    <w:rsid w:val="00B55FC1"/>
    <w:rsid w:val="00B56261"/>
    <w:rsid w:val="00B56F2F"/>
    <w:rsid w:val="00B57644"/>
    <w:rsid w:val="00B601CE"/>
    <w:rsid w:val="00B6035E"/>
    <w:rsid w:val="00B607B2"/>
    <w:rsid w:val="00B60E17"/>
    <w:rsid w:val="00B610BA"/>
    <w:rsid w:val="00B617E6"/>
    <w:rsid w:val="00B61AF3"/>
    <w:rsid w:val="00B62EC5"/>
    <w:rsid w:val="00B62ED5"/>
    <w:rsid w:val="00B62F94"/>
    <w:rsid w:val="00B643DC"/>
    <w:rsid w:val="00B64732"/>
    <w:rsid w:val="00B6482C"/>
    <w:rsid w:val="00B64F93"/>
    <w:rsid w:val="00B6516A"/>
    <w:rsid w:val="00B65B60"/>
    <w:rsid w:val="00B663D0"/>
    <w:rsid w:val="00B663E3"/>
    <w:rsid w:val="00B66FB4"/>
    <w:rsid w:val="00B673C2"/>
    <w:rsid w:val="00B674E5"/>
    <w:rsid w:val="00B678FE"/>
    <w:rsid w:val="00B70238"/>
    <w:rsid w:val="00B705A0"/>
    <w:rsid w:val="00B70CE7"/>
    <w:rsid w:val="00B70EBB"/>
    <w:rsid w:val="00B7142B"/>
    <w:rsid w:val="00B71747"/>
    <w:rsid w:val="00B719F9"/>
    <w:rsid w:val="00B71DE4"/>
    <w:rsid w:val="00B7200D"/>
    <w:rsid w:val="00B7319F"/>
    <w:rsid w:val="00B73205"/>
    <w:rsid w:val="00B7326B"/>
    <w:rsid w:val="00B7387C"/>
    <w:rsid w:val="00B7393A"/>
    <w:rsid w:val="00B7412A"/>
    <w:rsid w:val="00B74A9F"/>
    <w:rsid w:val="00B7568C"/>
    <w:rsid w:val="00B7698B"/>
    <w:rsid w:val="00B76B20"/>
    <w:rsid w:val="00B76BF4"/>
    <w:rsid w:val="00B7762D"/>
    <w:rsid w:val="00B77BBD"/>
    <w:rsid w:val="00B77C1D"/>
    <w:rsid w:val="00B77FA2"/>
    <w:rsid w:val="00B800D1"/>
    <w:rsid w:val="00B80677"/>
    <w:rsid w:val="00B8069D"/>
    <w:rsid w:val="00B807D2"/>
    <w:rsid w:val="00B80BF3"/>
    <w:rsid w:val="00B80FCF"/>
    <w:rsid w:val="00B81379"/>
    <w:rsid w:val="00B81740"/>
    <w:rsid w:val="00B82378"/>
    <w:rsid w:val="00B825B1"/>
    <w:rsid w:val="00B82BC7"/>
    <w:rsid w:val="00B830C7"/>
    <w:rsid w:val="00B83D55"/>
    <w:rsid w:val="00B83D98"/>
    <w:rsid w:val="00B83F0F"/>
    <w:rsid w:val="00B84099"/>
    <w:rsid w:val="00B8450C"/>
    <w:rsid w:val="00B8462E"/>
    <w:rsid w:val="00B848BA"/>
    <w:rsid w:val="00B8499A"/>
    <w:rsid w:val="00B84D1B"/>
    <w:rsid w:val="00B85090"/>
    <w:rsid w:val="00B85356"/>
    <w:rsid w:val="00B855EA"/>
    <w:rsid w:val="00B8692F"/>
    <w:rsid w:val="00B86CF5"/>
    <w:rsid w:val="00B87082"/>
    <w:rsid w:val="00B8754B"/>
    <w:rsid w:val="00B87D92"/>
    <w:rsid w:val="00B9087D"/>
    <w:rsid w:val="00B918FD"/>
    <w:rsid w:val="00B91B90"/>
    <w:rsid w:val="00B91CCA"/>
    <w:rsid w:val="00B92FF0"/>
    <w:rsid w:val="00B937A6"/>
    <w:rsid w:val="00B93A6C"/>
    <w:rsid w:val="00B93BB4"/>
    <w:rsid w:val="00B94055"/>
    <w:rsid w:val="00B94413"/>
    <w:rsid w:val="00B946B1"/>
    <w:rsid w:val="00B9479E"/>
    <w:rsid w:val="00B94F06"/>
    <w:rsid w:val="00B959A3"/>
    <w:rsid w:val="00B95DB8"/>
    <w:rsid w:val="00B96A21"/>
    <w:rsid w:val="00B9775E"/>
    <w:rsid w:val="00B979B2"/>
    <w:rsid w:val="00BA06B8"/>
    <w:rsid w:val="00BA0CC9"/>
    <w:rsid w:val="00BA1515"/>
    <w:rsid w:val="00BA2354"/>
    <w:rsid w:val="00BA2C67"/>
    <w:rsid w:val="00BA2D1F"/>
    <w:rsid w:val="00BA3A12"/>
    <w:rsid w:val="00BA3A2F"/>
    <w:rsid w:val="00BA3B13"/>
    <w:rsid w:val="00BA4083"/>
    <w:rsid w:val="00BA415E"/>
    <w:rsid w:val="00BA4409"/>
    <w:rsid w:val="00BA45BE"/>
    <w:rsid w:val="00BA48FE"/>
    <w:rsid w:val="00BA5318"/>
    <w:rsid w:val="00BA567D"/>
    <w:rsid w:val="00BA56A5"/>
    <w:rsid w:val="00BA56AF"/>
    <w:rsid w:val="00BA5D08"/>
    <w:rsid w:val="00BA5F9D"/>
    <w:rsid w:val="00BA7B91"/>
    <w:rsid w:val="00BA7EE2"/>
    <w:rsid w:val="00BB054C"/>
    <w:rsid w:val="00BB0A9C"/>
    <w:rsid w:val="00BB0AFF"/>
    <w:rsid w:val="00BB0B61"/>
    <w:rsid w:val="00BB17F8"/>
    <w:rsid w:val="00BB27CA"/>
    <w:rsid w:val="00BB2BCF"/>
    <w:rsid w:val="00BB3AB1"/>
    <w:rsid w:val="00BB3C89"/>
    <w:rsid w:val="00BB4980"/>
    <w:rsid w:val="00BB4E63"/>
    <w:rsid w:val="00BB5E91"/>
    <w:rsid w:val="00BB5EB6"/>
    <w:rsid w:val="00BB5F68"/>
    <w:rsid w:val="00BB682A"/>
    <w:rsid w:val="00BB6F89"/>
    <w:rsid w:val="00BC0350"/>
    <w:rsid w:val="00BC0430"/>
    <w:rsid w:val="00BC10C2"/>
    <w:rsid w:val="00BC1A3B"/>
    <w:rsid w:val="00BC2D38"/>
    <w:rsid w:val="00BC2E39"/>
    <w:rsid w:val="00BC2EE7"/>
    <w:rsid w:val="00BC30ED"/>
    <w:rsid w:val="00BC32BD"/>
    <w:rsid w:val="00BC3304"/>
    <w:rsid w:val="00BC372D"/>
    <w:rsid w:val="00BC3BC9"/>
    <w:rsid w:val="00BC3CBE"/>
    <w:rsid w:val="00BC3E25"/>
    <w:rsid w:val="00BC42EB"/>
    <w:rsid w:val="00BC481F"/>
    <w:rsid w:val="00BC49B4"/>
    <w:rsid w:val="00BC4DFD"/>
    <w:rsid w:val="00BC5DD5"/>
    <w:rsid w:val="00BC5E4C"/>
    <w:rsid w:val="00BC65C0"/>
    <w:rsid w:val="00BC69D1"/>
    <w:rsid w:val="00BC6BE9"/>
    <w:rsid w:val="00BC6E6E"/>
    <w:rsid w:val="00BC7094"/>
    <w:rsid w:val="00BC70AF"/>
    <w:rsid w:val="00BC7C8D"/>
    <w:rsid w:val="00BD0435"/>
    <w:rsid w:val="00BD05AA"/>
    <w:rsid w:val="00BD0640"/>
    <w:rsid w:val="00BD0CBE"/>
    <w:rsid w:val="00BD1588"/>
    <w:rsid w:val="00BD18CE"/>
    <w:rsid w:val="00BD2022"/>
    <w:rsid w:val="00BD248C"/>
    <w:rsid w:val="00BD2D56"/>
    <w:rsid w:val="00BD2FA7"/>
    <w:rsid w:val="00BD2FE9"/>
    <w:rsid w:val="00BD3618"/>
    <w:rsid w:val="00BD3B07"/>
    <w:rsid w:val="00BD3DC9"/>
    <w:rsid w:val="00BD41A8"/>
    <w:rsid w:val="00BD4B68"/>
    <w:rsid w:val="00BD58F4"/>
    <w:rsid w:val="00BD6040"/>
    <w:rsid w:val="00BD611F"/>
    <w:rsid w:val="00BD6514"/>
    <w:rsid w:val="00BD658B"/>
    <w:rsid w:val="00BD677D"/>
    <w:rsid w:val="00BD68A9"/>
    <w:rsid w:val="00BD6A9B"/>
    <w:rsid w:val="00BD6F1B"/>
    <w:rsid w:val="00BD700D"/>
    <w:rsid w:val="00BD73D7"/>
    <w:rsid w:val="00BD76DB"/>
    <w:rsid w:val="00BD7B29"/>
    <w:rsid w:val="00BE0534"/>
    <w:rsid w:val="00BE0DAA"/>
    <w:rsid w:val="00BE12C8"/>
    <w:rsid w:val="00BE1B5A"/>
    <w:rsid w:val="00BE1C12"/>
    <w:rsid w:val="00BE218B"/>
    <w:rsid w:val="00BE379E"/>
    <w:rsid w:val="00BE3FC3"/>
    <w:rsid w:val="00BE42DE"/>
    <w:rsid w:val="00BE4908"/>
    <w:rsid w:val="00BE4CB0"/>
    <w:rsid w:val="00BE4DAF"/>
    <w:rsid w:val="00BE5301"/>
    <w:rsid w:val="00BE53D6"/>
    <w:rsid w:val="00BE5EF9"/>
    <w:rsid w:val="00BE62D5"/>
    <w:rsid w:val="00BE748F"/>
    <w:rsid w:val="00BE7A8A"/>
    <w:rsid w:val="00BE7E58"/>
    <w:rsid w:val="00BF001F"/>
    <w:rsid w:val="00BF00D5"/>
    <w:rsid w:val="00BF0587"/>
    <w:rsid w:val="00BF05A2"/>
    <w:rsid w:val="00BF17BA"/>
    <w:rsid w:val="00BF20F8"/>
    <w:rsid w:val="00BF21B6"/>
    <w:rsid w:val="00BF2AAD"/>
    <w:rsid w:val="00BF3218"/>
    <w:rsid w:val="00BF4A8F"/>
    <w:rsid w:val="00BF52F0"/>
    <w:rsid w:val="00BF54E6"/>
    <w:rsid w:val="00BF6468"/>
    <w:rsid w:val="00BF6541"/>
    <w:rsid w:val="00BF6A3F"/>
    <w:rsid w:val="00BF758A"/>
    <w:rsid w:val="00BF7B43"/>
    <w:rsid w:val="00C005F2"/>
    <w:rsid w:val="00C008F0"/>
    <w:rsid w:val="00C00F89"/>
    <w:rsid w:val="00C02084"/>
    <w:rsid w:val="00C02288"/>
    <w:rsid w:val="00C026CC"/>
    <w:rsid w:val="00C02872"/>
    <w:rsid w:val="00C02BDF"/>
    <w:rsid w:val="00C035B6"/>
    <w:rsid w:val="00C037CF"/>
    <w:rsid w:val="00C03E14"/>
    <w:rsid w:val="00C03EC8"/>
    <w:rsid w:val="00C03ECD"/>
    <w:rsid w:val="00C0419C"/>
    <w:rsid w:val="00C0422A"/>
    <w:rsid w:val="00C04377"/>
    <w:rsid w:val="00C04857"/>
    <w:rsid w:val="00C04C8F"/>
    <w:rsid w:val="00C051F2"/>
    <w:rsid w:val="00C0616E"/>
    <w:rsid w:val="00C06E56"/>
    <w:rsid w:val="00C072DA"/>
    <w:rsid w:val="00C07726"/>
    <w:rsid w:val="00C07A9D"/>
    <w:rsid w:val="00C10294"/>
    <w:rsid w:val="00C10731"/>
    <w:rsid w:val="00C10807"/>
    <w:rsid w:val="00C10BA1"/>
    <w:rsid w:val="00C115E7"/>
    <w:rsid w:val="00C11890"/>
    <w:rsid w:val="00C1189E"/>
    <w:rsid w:val="00C11B3A"/>
    <w:rsid w:val="00C12433"/>
    <w:rsid w:val="00C1280E"/>
    <w:rsid w:val="00C1350F"/>
    <w:rsid w:val="00C13C1D"/>
    <w:rsid w:val="00C1406E"/>
    <w:rsid w:val="00C141A1"/>
    <w:rsid w:val="00C14226"/>
    <w:rsid w:val="00C147DD"/>
    <w:rsid w:val="00C14DCE"/>
    <w:rsid w:val="00C15017"/>
    <w:rsid w:val="00C15156"/>
    <w:rsid w:val="00C15313"/>
    <w:rsid w:val="00C154A2"/>
    <w:rsid w:val="00C15A80"/>
    <w:rsid w:val="00C16D3B"/>
    <w:rsid w:val="00C170B9"/>
    <w:rsid w:val="00C17586"/>
    <w:rsid w:val="00C17DEC"/>
    <w:rsid w:val="00C2072D"/>
    <w:rsid w:val="00C2096F"/>
    <w:rsid w:val="00C21599"/>
    <w:rsid w:val="00C215E1"/>
    <w:rsid w:val="00C229AA"/>
    <w:rsid w:val="00C22F8C"/>
    <w:rsid w:val="00C23450"/>
    <w:rsid w:val="00C23900"/>
    <w:rsid w:val="00C24420"/>
    <w:rsid w:val="00C244E9"/>
    <w:rsid w:val="00C245BE"/>
    <w:rsid w:val="00C249C0"/>
    <w:rsid w:val="00C24B4F"/>
    <w:rsid w:val="00C25064"/>
    <w:rsid w:val="00C25301"/>
    <w:rsid w:val="00C25A02"/>
    <w:rsid w:val="00C25D09"/>
    <w:rsid w:val="00C25EA8"/>
    <w:rsid w:val="00C26145"/>
    <w:rsid w:val="00C269C3"/>
    <w:rsid w:val="00C27676"/>
    <w:rsid w:val="00C30014"/>
    <w:rsid w:val="00C30900"/>
    <w:rsid w:val="00C30E11"/>
    <w:rsid w:val="00C31290"/>
    <w:rsid w:val="00C31B7A"/>
    <w:rsid w:val="00C31EF5"/>
    <w:rsid w:val="00C31FFF"/>
    <w:rsid w:val="00C3256B"/>
    <w:rsid w:val="00C325CB"/>
    <w:rsid w:val="00C3289B"/>
    <w:rsid w:val="00C33FC9"/>
    <w:rsid w:val="00C3457F"/>
    <w:rsid w:val="00C34B8C"/>
    <w:rsid w:val="00C34B9C"/>
    <w:rsid w:val="00C35B76"/>
    <w:rsid w:val="00C35CE9"/>
    <w:rsid w:val="00C35F2F"/>
    <w:rsid w:val="00C36349"/>
    <w:rsid w:val="00C36CAE"/>
    <w:rsid w:val="00C36D15"/>
    <w:rsid w:val="00C36DEE"/>
    <w:rsid w:val="00C37E49"/>
    <w:rsid w:val="00C37E53"/>
    <w:rsid w:val="00C402EA"/>
    <w:rsid w:val="00C40466"/>
    <w:rsid w:val="00C4073D"/>
    <w:rsid w:val="00C41A54"/>
    <w:rsid w:val="00C423DD"/>
    <w:rsid w:val="00C42763"/>
    <w:rsid w:val="00C42C27"/>
    <w:rsid w:val="00C42FF9"/>
    <w:rsid w:val="00C43AEC"/>
    <w:rsid w:val="00C43B56"/>
    <w:rsid w:val="00C44510"/>
    <w:rsid w:val="00C44661"/>
    <w:rsid w:val="00C455CF"/>
    <w:rsid w:val="00C45986"/>
    <w:rsid w:val="00C45E08"/>
    <w:rsid w:val="00C46873"/>
    <w:rsid w:val="00C47A91"/>
    <w:rsid w:val="00C47A99"/>
    <w:rsid w:val="00C47C80"/>
    <w:rsid w:val="00C47E4A"/>
    <w:rsid w:val="00C500C2"/>
    <w:rsid w:val="00C50913"/>
    <w:rsid w:val="00C509B9"/>
    <w:rsid w:val="00C51000"/>
    <w:rsid w:val="00C510C4"/>
    <w:rsid w:val="00C51490"/>
    <w:rsid w:val="00C5163E"/>
    <w:rsid w:val="00C516EA"/>
    <w:rsid w:val="00C51A0B"/>
    <w:rsid w:val="00C51DD9"/>
    <w:rsid w:val="00C52906"/>
    <w:rsid w:val="00C529F0"/>
    <w:rsid w:val="00C52C2C"/>
    <w:rsid w:val="00C534F1"/>
    <w:rsid w:val="00C540AD"/>
    <w:rsid w:val="00C540CB"/>
    <w:rsid w:val="00C5584A"/>
    <w:rsid w:val="00C5604A"/>
    <w:rsid w:val="00C56391"/>
    <w:rsid w:val="00C564E7"/>
    <w:rsid w:val="00C569B9"/>
    <w:rsid w:val="00C57C29"/>
    <w:rsid w:val="00C57C5C"/>
    <w:rsid w:val="00C57DE2"/>
    <w:rsid w:val="00C57E9D"/>
    <w:rsid w:val="00C605BF"/>
    <w:rsid w:val="00C60971"/>
    <w:rsid w:val="00C60DC5"/>
    <w:rsid w:val="00C6155E"/>
    <w:rsid w:val="00C616F5"/>
    <w:rsid w:val="00C61B88"/>
    <w:rsid w:val="00C61BBC"/>
    <w:rsid w:val="00C6241F"/>
    <w:rsid w:val="00C62563"/>
    <w:rsid w:val="00C628D3"/>
    <w:rsid w:val="00C6311F"/>
    <w:rsid w:val="00C63F03"/>
    <w:rsid w:val="00C64402"/>
    <w:rsid w:val="00C64429"/>
    <w:rsid w:val="00C64B37"/>
    <w:rsid w:val="00C64BA3"/>
    <w:rsid w:val="00C64E5C"/>
    <w:rsid w:val="00C654AB"/>
    <w:rsid w:val="00C659E7"/>
    <w:rsid w:val="00C66AA2"/>
    <w:rsid w:val="00C67848"/>
    <w:rsid w:val="00C70697"/>
    <w:rsid w:val="00C708B6"/>
    <w:rsid w:val="00C70971"/>
    <w:rsid w:val="00C70B2F"/>
    <w:rsid w:val="00C712F8"/>
    <w:rsid w:val="00C71389"/>
    <w:rsid w:val="00C71606"/>
    <w:rsid w:val="00C71609"/>
    <w:rsid w:val="00C71B88"/>
    <w:rsid w:val="00C71C3C"/>
    <w:rsid w:val="00C72386"/>
    <w:rsid w:val="00C72522"/>
    <w:rsid w:val="00C72D64"/>
    <w:rsid w:val="00C730B8"/>
    <w:rsid w:val="00C73B19"/>
    <w:rsid w:val="00C73D86"/>
    <w:rsid w:val="00C73EEC"/>
    <w:rsid w:val="00C73F39"/>
    <w:rsid w:val="00C74170"/>
    <w:rsid w:val="00C74774"/>
    <w:rsid w:val="00C74868"/>
    <w:rsid w:val="00C74D58"/>
    <w:rsid w:val="00C75915"/>
    <w:rsid w:val="00C76837"/>
    <w:rsid w:val="00C77AA4"/>
    <w:rsid w:val="00C81907"/>
    <w:rsid w:val="00C81B3D"/>
    <w:rsid w:val="00C81CF4"/>
    <w:rsid w:val="00C82BC5"/>
    <w:rsid w:val="00C83B8F"/>
    <w:rsid w:val="00C84161"/>
    <w:rsid w:val="00C84194"/>
    <w:rsid w:val="00C84CBE"/>
    <w:rsid w:val="00C857A3"/>
    <w:rsid w:val="00C86895"/>
    <w:rsid w:val="00C8692F"/>
    <w:rsid w:val="00C86C48"/>
    <w:rsid w:val="00C87129"/>
    <w:rsid w:val="00C87470"/>
    <w:rsid w:val="00C8753F"/>
    <w:rsid w:val="00C87D3C"/>
    <w:rsid w:val="00C9002C"/>
    <w:rsid w:val="00C90294"/>
    <w:rsid w:val="00C90C69"/>
    <w:rsid w:val="00C91415"/>
    <w:rsid w:val="00C91657"/>
    <w:rsid w:val="00C9206A"/>
    <w:rsid w:val="00C92504"/>
    <w:rsid w:val="00C9298B"/>
    <w:rsid w:val="00C92B11"/>
    <w:rsid w:val="00C92E38"/>
    <w:rsid w:val="00C9303F"/>
    <w:rsid w:val="00C93A23"/>
    <w:rsid w:val="00C93B4F"/>
    <w:rsid w:val="00C9464E"/>
    <w:rsid w:val="00C94AD2"/>
    <w:rsid w:val="00C94D6B"/>
    <w:rsid w:val="00C95639"/>
    <w:rsid w:val="00C95F18"/>
    <w:rsid w:val="00C95F2B"/>
    <w:rsid w:val="00C97627"/>
    <w:rsid w:val="00C976BF"/>
    <w:rsid w:val="00C97D03"/>
    <w:rsid w:val="00CA001B"/>
    <w:rsid w:val="00CA0CAB"/>
    <w:rsid w:val="00CA0D82"/>
    <w:rsid w:val="00CA1188"/>
    <w:rsid w:val="00CA12BF"/>
    <w:rsid w:val="00CA1C56"/>
    <w:rsid w:val="00CA2232"/>
    <w:rsid w:val="00CA228A"/>
    <w:rsid w:val="00CA344A"/>
    <w:rsid w:val="00CA3520"/>
    <w:rsid w:val="00CA377E"/>
    <w:rsid w:val="00CA3B96"/>
    <w:rsid w:val="00CA46B4"/>
    <w:rsid w:val="00CA4DA3"/>
    <w:rsid w:val="00CA5AF0"/>
    <w:rsid w:val="00CA6F30"/>
    <w:rsid w:val="00CA713B"/>
    <w:rsid w:val="00CA77AE"/>
    <w:rsid w:val="00CA77D5"/>
    <w:rsid w:val="00CA78E3"/>
    <w:rsid w:val="00CA7C3D"/>
    <w:rsid w:val="00CB04D9"/>
    <w:rsid w:val="00CB050C"/>
    <w:rsid w:val="00CB05C8"/>
    <w:rsid w:val="00CB1193"/>
    <w:rsid w:val="00CB1773"/>
    <w:rsid w:val="00CB2181"/>
    <w:rsid w:val="00CB2336"/>
    <w:rsid w:val="00CB2607"/>
    <w:rsid w:val="00CB2707"/>
    <w:rsid w:val="00CB2747"/>
    <w:rsid w:val="00CB2A56"/>
    <w:rsid w:val="00CB2BB1"/>
    <w:rsid w:val="00CB2FD4"/>
    <w:rsid w:val="00CB3675"/>
    <w:rsid w:val="00CB36CC"/>
    <w:rsid w:val="00CB3976"/>
    <w:rsid w:val="00CB3A44"/>
    <w:rsid w:val="00CB3CB7"/>
    <w:rsid w:val="00CB4084"/>
    <w:rsid w:val="00CB41B9"/>
    <w:rsid w:val="00CB41C3"/>
    <w:rsid w:val="00CB4578"/>
    <w:rsid w:val="00CB4CE8"/>
    <w:rsid w:val="00CB59C0"/>
    <w:rsid w:val="00CB5BEB"/>
    <w:rsid w:val="00CB5CCE"/>
    <w:rsid w:val="00CB5CCF"/>
    <w:rsid w:val="00CB638E"/>
    <w:rsid w:val="00CB668C"/>
    <w:rsid w:val="00CB683B"/>
    <w:rsid w:val="00CB690D"/>
    <w:rsid w:val="00CB6998"/>
    <w:rsid w:val="00CB71C9"/>
    <w:rsid w:val="00CB7685"/>
    <w:rsid w:val="00CB7714"/>
    <w:rsid w:val="00CB7A53"/>
    <w:rsid w:val="00CC0844"/>
    <w:rsid w:val="00CC08FC"/>
    <w:rsid w:val="00CC0D94"/>
    <w:rsid w:val="00CC0DED"/>
    <w:rsid w:val="00CC1232"/>
    <w:rsid w:val="00CC13E8"/>
    <w:rsid w:val="00CC154B"/>
    <w:rsid w:val="00CC15B8"/>
    <w:rsid w:val="00CC1BA2"/>
    <w:rsid w:val="00CC1CEA"/>
    <w:rsid w:val="00CC213B"/>
    <w:rsid w:val="00CC277A"/>
    <w:rsid w:val="00CC289A"/>
    <w:rsid w:val="00CC3271"/>
    <w:rsid w:val="00CC35BA"/>
    <w:rsid w:val="00CC39F7"/>
    <w:rsid w:val="00CC43D4"/>
    <w:rsid w:val="00CC4590"/>
    <w:rsid w:val="00CC4810"/>
    <w:rsid w:val="00CC49C2"/>
    <w:rsid w:val="00CC50F5"/>
    <w:rsid w:val="00CC5A17"/>
    <w:rsid w:val="00CC5D38"/>
    <w:rsid w:val="00CC5F3B"/>
    <w:rsid w:val="00CC616B"/>
    <w:rsid w:val="00CC64AB"/>
    <w:rsid w:val="00CC65C4"/>
    <w:rsid w:val="00CC6C8A"/>
    <w:rsid w:val="00CC6F2C"/>
    <w:rsid w:val="00CC6FCF"/>
    <w:rsid w:val="00CC7ABE"/>
    <w:rsid w:val="00CD0529"/>
    <w:rsid w:val="00CD068D"/>
    <w:rsid w:val="00CD0C0D"/>
    <w:rsid w:val="00CD1135"/>
    <w:rsid w:val="00CD1230"/>
    <w:rsid w:val="00CD1FBB"/>
    <w:rsid w:val="00CD2608"/>
    <w:rsid w:val="00CD2ACB"/>
    <w:rsid w:val="00CD2CC7"/>
    <w:rsid w:val="00CD5333"/>
    <w:rsid w:val="00CD563F"/>
    <w:rsid w:val="00CD578D"/>
    <w:rsid w:val="00CD5E65"/>
    <w:rsid w:val="00CD6E24"/>
    <w:rsid w:val="00CD6E99"/>
    <w:rsid w:val="00CD7813"/>
    <w:rsid w:val="00CD7C5C"/>
    <w:rsid w:val="00CE04F4"/>
    <w:rsid w:val="00CE07A8"/>
    <w:rsid w:val="00CE08CE"/>
    <w:rsid w:val="00CE0AA9"/>
    <w:rsid w:val="00CE15E8"/>
    <w:rsid w:val="00CE1B63"/>
    <w:rsid w:val="00CE1F3A"/>
    <w:rsid w:val="00CE2240"/>
    <w:rsid w:val="00CE2F81"/>
    <w:rsid w:val="00CE2FED"/>
    <w:rsid w:val="00CE3014"/>
    <w:rsid w:val="00CE3AEA"/>
    <w:rsid w:val="00CE3C6F"/>
    <w:rsid w:val="00CE438D"/>
    <w:rsid w:val="00CE4A30"/>
    <w:rsid w:val="00CE4E35"/>
    <w:rsid w:val="00CE5312"/>
    <w:rsid w:val="00CE666D"/>
    <w:rsid w:val="00CE6CDF"/>
    <w:rsid w:val="00CE6F64"/>
    <w:rsid w:val="00CE7027"/>
    <w:rsid w:val="00CE718A"/>
    <w:rsid w:val="00CE7195"/>
    <w:rsid w:val="00CE7367"/>
    <w:rsid w:val="00CE757C"/>
    <w:rsid w:val="00CE7BB5"/>
    <w:rsid w:val="00CF05A5"/>
    <w:rsid w:val="00CF101D"/>
    <w:rsid w:val="00CF1184"/>
    <w:rsid w:val="00CF11AC"/>
    <w:rsid w:val="00CF2541"/>
    <w:rsid w:val="00CF2CFD"/>
    <w:rsid w:val="00CF2D97"/>
    <w:rsid w:val="00CF2E27"/>
    <w:rsid w:val="00CF3217"/>
    <w:rsid w:val="00CF35FF"/>
    <w:rsid w:val="00CF3669"/>
    <w:rsid w:val="00CF522D"/>
    <w:rsid w:val="00CF5996"/>
    <w:rsid w:val="00CF65C3"/>
    <w:rsid w:val="00CF6C3E"/>
    <w:rsid w:val="00CF71D8"/>
    <w:rsid w:val="00CF731D"/>
    <w:rsid w:val="00D00728"/>
    <w:rsid w:val="00D00B10"/>
    <w:rsid w:val="00D00CC5"/>
    <w:rsid w:val="00D00CC8"/>
    <w:rsid w:val="00D01031"/>
    <w:rsid w:val="00D01362"/>
    <w:rsid w:val="00D0141D"/>
    <w:rsid w:val="00D01D1A"/>
    <w:rsid w:val="00D01D6C"/>
    <w:rsid w:val="00D026DC"/>
    <w:rsid w:val="00D02EC1"/>
    <w:rsid w:val="00D0351E"/>
    <w:rsid w:val="00D03D68"/>
    <w:rsid w:val="00D03F38"/>
    <w:rsid w:val="00D0402F"/>
    <w:rsid w:val="00D05825"/>
    <w:rsid w:val="00D06185"/>
    <w:rsid w:val="00D06667"/>
    <w:rsid w:val="00D072F4"/>
    <w:rsid w:val="00D0781D"/>
    <w:rsid w:val="00D07982"/>
    <w:rsid w:val="00D07E75"/>
    <w:rsid w:val="00D07F90"/>
    <w:rsid w:val="00D10887"/>
    <w:rsid w:val="00D10F09"/>
    <w:rsid w:val="00D11D65"/>
    <w:rsid w:val="00D12200"/>
    <w:rsid w:val="00D12D13"/>
    <w:rsid w:val="00D12DEF"/>
    <w:rsid w:val="00D12FA1"/>
    <w:rsid w:val="00D13358"/>
    <w:rsid w:val="00D133DF"/>
    <w:rsid w:val="00D14278"/>
    <w:rsid w:val="00D1491A"/>
    <w:rsid w:val="00D14FCF"/>
    <w:rsid w:val="00D14FF9"/>
    <w:rsid w:val="00D152C8"/>
    <w:rsid w:val="00D155D2"/>
    <w:rsid w:val="00D158E0"/>
    <w:rsid w:val="00D15E0E"/>
    <w:rsid w:val="00D15EC7"/>
    <w:rsid w:val="00D16350"/>
    <w:rsid w:val="00D16B2C"/>
    <w:rsid w:val="00D16E0C"/>
    <w:rsid w:val="00D179D3"/>
    <w:rsid w:val="00D17A1E"/>
    <w:rsid w:val="00D17BB8"/>
    <w:rsid w:val="00D200DC"/>
    <w:rsid w:val="00D200F3"/>
    <w:rsid w:val="00D208E7"/>
    <w:rsid w:val="00D20D3B"/>
    <w:rsid w:val="00D20F77"/>
    <w:rsid w:val="00D2111D"/>
    <w:rsid w:val="00D21C3F"/>
    <w:rsid w:val="00D22184"/>
    <w:rsid w:val="00D224CC"/>
    <w:rsid w:val="00D22999"/>
    <w:rsid w:val="00D22DE7"/>
    <w:rsid w:val="00D22E95"/>
    <w:rsid w:val="00D231E1"/>
    <w:rsid w:val="00D23770"/>
    <w:rsid w:val="00D24829"/>
    <w:rsid w:val="00D24D4A"/>
    <w:rsid w:val="00D24D88"/>
    <w:rsid w:val="00D24DA1"/>
    <w:rsid w:val="00D257E2"/>
    <w:rsid w:val="00D2639B"/>
    <w:rsid w:val="00D267B7"/>
    <w:rsid w:val="00D26EC1"/>
    <w:rsid w:val="00D27D79"/>
    <w:rsid w:val="00D3050E"/>
    <w:rsid w:val="00D30672"/>
    <w:rsid w:val="00D30B74"/>
    <w:rsid w:val="00D311E7"/>
    <w:rsid w:val="00D3131F"/>
    <w:rsid w:val="00D31350"/>
    <w:rsid w:val="00D3141D"/>
    <w:rsid w:val="00D317B7"/>
    <w:rsid w:val="00D319BF"/>
    <w:rsid w:val="00D31A68"/>
    <w:rsid w:val="00D32C97"/>
    <w:rsid w:val="00D330C0"/>
    <w:rsid w:val="00D333F4"/>
    <w:rsid w:val="00D33E43"/>
    <w:rsid w:val="00D3405A"/>
    <w:rsid w:val="00D34F9F"/>
    <w:rsid w:val="00D35F7F"/>
    <w:rsid w:val="00D361D5"/>
    <w:rsid w:val="00D36292"/>
    <w:rsid w:val="00D363F0"/>
    <w:rsid w:val="00D36CDE"/>
    <w:rsid w:val="00D36D13"/>
    <w:rsid w:val="00D36EE5"/>
    <w:rsid w:val="00D37179"/>
    <w:rsid w:val="00D37890"/>
    <w:rsid w:val="00D404CF"/>
    <w:rsid w:val="00D40608"/>
    <w:rsid w:val="00D40AE4"/>
    <w:rsid w:val="00D40F8F"/>
    <w:rsid w:val="00D4117F"/>
    <w:rsid w:val="00D4167F"/>
    <w:rsid w:val="00D41839"/>
    <w:rsid w:val="00D41993"/>
    <w:rsid w:val="00D41B19"/>
    <w:rsid w:val="00D41D23"/>
    <w:rsid w:val="00D41D43"/>
    <w:rsid w:val="00D41E9B"/>
    <w:rsid w:val="00D4250B"/>
    <w:rsid w:val="00D42840"/>
    <w:rsid w:val="00D428F0"/>
    <w:rsid w:val="00D429F5"/>
    <w:rsid w:val="00D43788"/>
    <w:rsid w:val="00D4417F"/>
    <w:rsid w:val="00D44396"/>
    <w:rsid w:val="00D44987"/>
    <w:rsid w:val="00D44B7A"/>
    <w:rsid w:val="00D450FB"/>
    <w:rsid w:val="00D45F01"/>
    <w:rsid w:val="00D45FF8"/>
    <w:rsid w:val="00D46E38"/>
    <w:rsid w:val="00D472BF"/>
    <w:rsid w:val="00D4763E"/>
    <w:rsid w:val="00D52072"/>
    <w:rsid w:val="00D52347"/>
    <w:rsid w:val="00D52A14"/>
    <w:rsid w:val="00D53167"/>
    <w:rsid w:val="00D539BE"/>
    <w:rsid w:val="00D53FD1"/>
    <w:rsid w:val="00D54193"/>
    <w:rsid w:val="00D543F6"/>
    <w:rsid w:val="00D548B2"/>
    <w:rsid w:val="00D54CA5"/>
    <w:rsid w:val="00D55152"/>
    <w:rsid w:val="00D554AA"/>
    <w:rsid w:val="00D55605"/>
    <w:rsid w:val="00D574F1"/>
    <w:rsid w:val="00D57770"/>
    <w:rsid w:val="00D60382"/>
    <w:rsid w:val="00D6042E"/>
    <w:rsid w:val="00D6059C"/>
    <w:rsid w:val="00D60DE3"/>
    <w:rsid w:val="00D60E63"/>
    <w:rsid w:val="00D61448"/>
    <w:rsid w:val="00D6155A"/>
    <w:rsid w:val="00D6162F"/>
    <w:rsid w:val="00D6187F"/>
    <w:rsid w:val="00D619C3"/>
    <w:rsid w:val="00D621DA"/>
    <w:rsid w:val="00D629D6"/>
    <w:rsid w:val="00D62B98"/>
    <w:rsid w:val="00D62DBB"/>
    <w:rsid w:val="00D62E3E"/>
    <w:rsid w:val="00D631A8"/>
    <w:rsid w:val="00D64B8C"/>
    <w:rsid w:val="00D650CC"/>
    <w:rsid w:val="00D660D6"/>
    <w:rsid w:val="00D668FD"/>
    <w:rsid w:val="00D66ACA"/>
    <w:rsid w:val="00D66B66"/>
    <w:rsid w:val="00D67EA0"/>
    <w:rsid w:val="00D67EA6"/>
    <w:rsid w:val="00D7051B"/>
    <w:rsid w:val="00D70697"/>
    <w:rsid w:val="00D706CB"/>
    <w:rsid w:val="00D70E59"/>
    <w:rsid w:val="00D712A2"/>
    <w:rsid w:val="00D71FF6"/>
    <w:rsid w:val="00D72040"/>
    <w:rsid w:val="00D72B41"/>
    <w:rsid w:val="00D72BA3"/>
    <w:rsid w:val="00D72CBA"/>
    <w:rsid w:val="00D72D7E"/>
    <w:rsid w:val="00D7367E"/>
    <w:rsid w:val="00D73E40"/>
    <w:rsid w:val="00D73F3A"/>
    <w:rsid w:val="00D73F3E"/>
    <w:rsid w:val="00D73F68"/>
    <w:rsid w:val="00D7458F"/>
    <w:rsid w:val="00D755C5"/>
    <w:rsid w:val="00D756E3"/>
    <w:rsid w:val="00D75918"/>
    <w:rsid w:val="00D75A2F"/>
    <w:rsid w:val="00D763D0"/>
    <w:rsid w:val="00D764F6"/>
    <w:rsid w:val="00D76908"/>
    <w:rsid w:val="00D76E1F"/>
    <w:rsid w:val="00D77544"/>
    <w:rsid w:val="00D8061F"/>
    <w:rsid w:val="00D80889"/>
    <w:rsid w:val="00D80D05"/>
    <w:rsid w:val="00D80E1F"/>
    <w:rsid w:val="00D80E37"/>
    <w:rsid w:val="00D80F6F"/>
    <w:rsid w:val="00D81354"/>
    <w:rsid w:val="00D81490"/>
    <w:rsid w:val="00D820EB"/>
    <w:rsid w:val="00D82174"/>
    <w:rsid w:val="00D823D8"/>
    <w:rsid w:val="00D82990"/>
    <w:rsid w:val="00D8303A"/>
    <w:rsid w:val="00D83C6D"/>
    <w:rsid w:val="00D83DA9"/>
    <w:rsid w:val="00D8417D"/>
    <w:rsid w:val="00D845B9"/>
    <w:rsid w:val="00D8465F"/>
    <w:rsid w:val="00D84838"/>
    <w:rsid w:val="00D8484A"/>
    <w:rsid w:val="00D852CF"/>
    <w:rsid w:val="00D85606"/>
    <w:rsid w:val="00D8636F"/>
    <w:rsid w:val="00D86806"/>
    <w:rsid w:val="00D869D2"/>
    <w:rsid w:val="00D86BC9"/>
    <w:rsid w:val="00D86DB1"/>
    <w:rsid w:val="00D875B5"/>
    <w:rsid w:val="00D87989"/>
    <w:rsid w:val="00D87AB3"/>
    <w:rsid w:val="00D90093"/>
    <w:rsid w:val="00D9025B"/>
    <w:rsid w:val="00D905C5"/>
    <w:rsid w:val="00D90683"/>
    <w:rsid w:val="00D9093D"/>
    <w:rsid w:val="00D91539"/>
    <w:rsid w:val="00D9159F"/>
    <w:rsid w:val="00D91A9E"/>
    <w:rsid w:val="00D91C0C"/>
    <w:rsid w:val="00D91ED1"/>
    <w:rsid w:val="00D92905"/>
    <w:rsid w:val="00D92CD8"/>
    <w:rsid w:val="00D92FC8"/>
    <w:rsid w:val="00D931F2"/>
    <w:rsid w:val="00D940AF"/>
    <w:rsid w:val="00D94459"/>
    <w:rsid w:val="00D95505"/>
    <w:rsid w:val="00D95558"/>
    <w:rsid w:val="00D96070"/>
    <w:rsid w:val="00D966C1"/>
    <w:rsid w:val="00D96B6F"/>
    <w:rsid w:val="00D972C7"/>
    <w:rsid w:val="00D9742F"/>
    <w:rsid w:val="00D97793"/>
    <w:rsid w:val="00D97859"/>
    <w:rsid w:val="00DA0034"/>
    <w:rsid w:val="00DA0FA4"/>
    <w:rsid w:val="00DA10DF"/>
    <w:rsid w:val="00DA163F"/>
    <w:rsid w:val="00DA1BA9"/>
    <w:rsid w:val="00DA20B7"/>
    <w:rsid w:val="00DA2776"/>
    <w:rsid w:val="00DA288D"/>
    <w:rsid w:val="00DA2DBF"/>
    <w:rsid w:val="00DA49D4"/>
    <w:rsid w:val="00DA4BE4"/>
    <w:rsid w:val="00DA5047"/>
    <w:rsid w:val="00DA5503"/>
    <w:rsid w:val="00DA5B25"/>
    <w:rsid w:val="00DA5F97"/>
    <w:rsid w:val="00DA610C"/>
    <w:rsid w:val="00DA636F"/>
    <w:rsid w:val="00DA6948"/>
    <w:rsid w:val="00DA6EE1"/>
    <w:rsid w:val="00DA7ECB"/>
    <w:rsid w:val="00DB0147"/>
    <w:rsid w:val="00DB0633"/>
    <w:rsid w:val="00DB119E"/>
    <w:rsid w:val="00DB11DA"/>
    <w:rsid w:val="00DB1B18"/>
    <w:rsid w:val="00DB1F6E"/>
    <w:rsid w:val="00DB25EB"/>
    <w:rsid w:val="00DB26B0"/>
    <w:rsid w:val="00DB27A9"/>
    <w:rsid w:val="00DB293A"/>
    <w:rsid w:val="00DB29B1"/>
    <w:rsid w:val="00DB2F51"/>
    <w:rsid w:val="00DB36F6"/>
    <w:rsid w:val="00DB3D03"/>
    <w:rsid w:val="00DB41D2"/>
    <w:rsid w:val="00DB434E"/>
    <w:rsid w:val="00DB511F"/>
    <w:rsid w:val="00DB54A7"/>
    <w:rsid w:val="00DB5DD0"/>
    <w:rsid w:val="00DB7C3F"/>
    <w:rsid w:val="00DC0C38"/>
    <w:rsid w:val="00DC140E"/>
    <w:rsid w:val="00DC1879"/>
    <w:rsid w:val="00DC18B9"/>
    <w:rsid w:val="00DC2772"/>
    <w:rsid w:val="00DC2AAB"/>
    <w:rsid w:val="00DC3B45"/>
    <w:rsid w:val="00DC3C51"/>
    <w:rsid w:val="00DC3EFD"/>
    <w:rsid w:val="00DC42DF"/>
    <w:rsid w:val="00DC454E"/>
    <w:rsid w:val="00DC472F"/>
    <w:rsid w:val="00DC4D6C"/>
    <w:rsid w:val="00DC509A"/>
    <w:rsid w:val="00DC5330"/>
    <w:rsid w:val="00DC540D"/>
    <w:rsid w:val="00DC5C93"/>
    <w:rsid w:val="00DC63C6"/>
    <w:rsid w:val="00DC687D"/>
    <w:rsid w:val="00DC6CCC"/>
    <w:rsid w:val="00DC6FB0"/>
    <w:rsid w:val="00DC7098"/>
    <w:rsid w:val="00DC73A1"/>
    <w:rsid w:val="00DC75E2"/>
    <w:rsid w:val="00DC7DB3"/>
    <w:rsid w:val="00DC7DE8"/>
    <w:rsid w:val="00DD044E"/>
    <w:rsid w:val="00DD0D9C"/>
    <w:rsid w:val="00DD0E8A"/>
    <w:rsid w:val="00DD1685"/>
    <w:rsid w:val="00DD324B"/>
    <w:rsid w:val="00DD3360"/>
    <w:rsid w:val="00DD340D"/>
    <w:rsid w:val="00DD3967"/>
    <w:rsid w:val="00DD3D8E"/>
    <w:rsid w:val="00DD3F39"/>
    <w:rsid w:val="00DD4344"/>
    <w:rsid w:val="00DD4371"/>
    <w:rsid w:val="00DD4484"/>
    <w:rsid w:val="00DD5082"/>
    <w:rsid w:val="00DD57ED"/>
    <w:rsid w:val="00DD57FF"/>
    <w:rsid w:val="00DD584A"/>
    <w:rsid w:val="00DD5A2F"/>
    <w:rsid w:val="00DD5D24"/>
    <w:rsid w:val="00DD5EBE"/>
    <w:rsid w:val="00DD79B6"/>
    <w:rsid w:val="00DD7B66"/>
    <w:rsid w:val="00DD7C43"/>
    <w:rsid w:val="00DE019B"/>
    <w:rsid w:val="00DE07AC"/>
    <w:rsid w:val="00DE0E1E"/>
    <w:rsid w:val="00DE12A1"/>
    <w:rsid w:val="00DE1986"/>
    <w:rsid w:val="00DE1ED9"/>
    <w:rsid w:val="00DE1EE4"/>
    <w:rsid w:val="00DE26BD"/>
    <w:rsid w:val="00DE2796"/>
    <w:rsid w:val="00DE2F5C"/>
    <w:rsid w:val="00DE334C"/>
    <w:rsid w:val="00DE3D7B"/>
    <w:rsid w:val="00DE3DAE"/>
    <w:rsid w:val="00DE4393"/>
    <w:rsid w:val="00DE4C01"/>
    <w:rsid w:val="00DE539F"/>
    <w:rsid w:val="00DE55E7"/>
    <w:rsid w:val="00DE61C3"/>
    <w:rsid w:val="00DE635A"/>
    <w:rsid w:val="00DE657E"/>
    <w:rsid w:val="00DE7286"/>
    <w:rsid w:val="00DE7437"/>
    <w:rsid w:val="00DE76B0"/>
    <w:rsid w:val="00DE7A69"/>
    <w:rsid w:val="00DE7B93"/>
    <w:rsid w:val="00DF08B0"/>
    <w:rsid w:val="00DF1AC4"/>
    <w:rsid w:val="00DF1E3C"/>
    <w:rsid w:val="00DF218B"/>
    <w:rsid w:val="00DF29B4"/>
    <w:rsid w:val="00DF2A12"/>
    <w:rsid w:val="00DF2AC5"/>
    <w:rsid w:val="00DF38C9"/>
    <w:rsid w:val="00DF3ED8"/>
    <w:rsid w:val="00DF4653"/>
    <w:rsid w:val="00DF4F4E"/>
    <w:rsid w:val="00DF64CF"/>
    <w:rsid w:val="00DF6BD0"/>
    <w:rsid w:val="00DF7473"/>
    <w:rsid w:val="00DF780D"/>
    <w:rsid w:val="00DF7A21"/>
    <w:rsid w:val="00DF7A73"/>
    <w:rsid w:val="00DF7D17"/>
    <w:rsid w:val="00E00113"/>
    <w:rsid w:val="00E005BE"/>
    <w:rsid w:val="00E005FF"/>
    <w:rsid w:val="00E006DF"/>
    <w:rsid w:val="00E00DDC"/>
    <w:rsid w:val="00E0129D"/>
    <w:rsid w:val="00E0153B"/>
    <w:rsid w:val="00E02240"/>
    <w:rsid w:val="00E022E3"/>
    <w:rsid w:val="00E023BD"/>
    <w:rsid w:val="00E02417"/>
    <w:rsid w:val="00E0283C"/>
    <w:rsid w:val="00E02F29"/>
    <w:rsid w:val="00E033DA"/>
    <w:rsid w:val="00E03590"/>
    <w:rsid w:val="00E03842"/>
    <w:rsid w:val="00E03AAB"/>
    <w:rsid w:val="00E03B7C"/>
    <w:rsid w:val="00E03C06"/>
    <w:rsid w:val="00E03C08"/>
    <w:rsid w:val="00E052C6"/>
    <w:rsid w:val="00E0535D"/>
    <w:rsid w:val="00E06256"/>
    <w:rsid w:val="00E0656D"/>
    <w:rsid w:val="00E06B73"/>
    <w:rsid w:val="00E07497"/>
    <w:rsid w:val="00E07AAA"/>
    <w:rsid w:val="00E1014B"/>
    <w:rsid w:val="00E10773"/>
    <w:rsid w:val="00E10D16"/>
    <w:rsid w:val="00E112E8"/>
    <w:rsid w:val="00E1164B"/>
    <w:rsid w:val="00E1280C"/>
    <w:rsid w:val="00E1478F"/>
    <w:rsid w:val="00E158CF"/>
    <w:rsid w:val="00E161E7"/>
    <w:rsid w:val="00E1692E"/>
    <w:rsid w:val="00E170BF"/>
    <w:rsid w:val="00E1711E"/>
    <w:rsid w:val="00E17499"/>
    <w:rsid w:val="00E20021"/>
    <w:rsid w:val="00E21660"/>
    <w:rsid w:val="00E21F3B"/>
    <w:rsid w:val="00E22397"/>
    <w:rsid w:val="00E22463"/>
    <w:rsid w:val="00E2252B"/>
    <w:rsid w:val="00E225AC"/>
    <w:rsid w:val="00E228B1"/>
    <w:rsid w:val="00E22ED4"/>
    <w:rsid w:val="00E23194"/>
    <w:rsid w:val="00E240A1"/>
    <w:rsid w:val="00E24BC6"/>
    <w:rsid w:val="00E24C04"/>
    <w:rsid w:val="00E24DC2"/>
    <w:rsid w:val="00E25D2A"/>
    <w:rsid w:val="00E26006"/>
    <w:rsid w:val="00E2612E"/>
    <w:rsid w:val="00E2668F"/>
    <w:rsid w:val="00E26FB1"/>
    <w:rsid w:val="00E2726B"/>
    <w:rsid w:val="00E273CC"/>
    <w:rsid w:val="00E27587"/>
    <w:rsid w:val="00E27F4D"/>
    <w:rsid w:val="00E30992"/>
    <w:rsid w:val="00E30FA5"/>
    <w:rsid w:val="00E32B34"/>
    <w:rsid w:val="00E32D1F"/>
    <w:rsid w:val="00E32F6A"/>
    <w:rsid w:val="00E33393"/>
    <w:rsid w:val="00E33477"/>
    <w:rsid w:val="00E3371A"/>
    <w:rsid w:val="00E339EB"/>
    <w:rsid w:val="00E33D5D"/>
    <w:rsid w:val="00E33E12"/>
    <w:rsid w:val="00E34243"/>
    <w:rsid w:val="00E343C3"/>
    <w:rsid w:val="00E344F1"/>
    <w:rsid w:val="00E3479D"/>
    <w:rsid w:val="00E348F5"/>
    <w:rsid w:val="00E35E6F"/>
    <w:rsid w:val="00E36374"/>
    <w:rsid w:val="00E364C6"/>
    <w:rsid w:val="00E365BC"/>
    <w:rsid w:val="00E36B0C"/>
    <w:rsid w:val="00E36EF4"/>
    <w:rsid w:val="00E37047"/>
    <w:rsid w:val="00E375CD"/>
    <w:rsid w:val="00E40104"/>
    <w:rsid w:val="00E403B6"/>
    <w:rsid w:val="00E40EFF"/>
    <w:rsid w:val="00E4118F"/>
    <w:rsid w:val="00E41A5C"/>
    <w:rsid w:val="00E41A7B"/>
    <w:rsid w:val="00E41D4C"/>
    <w:rsid w:val="00E42427"/>
    <w:rsid w:val="00E424BD"/>
    <w:rsid w:val="00E42C26"/>
    <w:rsid w:val="00E42F58"/>
    <w:rsid w:val="00E4370A"/>
    <w:rsid w:val="00E4374C"/>
    <w:rsid w:val="00E43973"/>
    <w:rsid w:val="00E43EE2"/>
    <w:rsid w:val="00E44122"/>
    <w:rsid w:val="00E443E4"/>
    <w:rsid w:val="00E457E3"/>
    <w:rsid w:val="00E45D31"/>
    <w:rsid w:val="00E4691D"/>
    <w:rsid w:val="00E46DA5"/>
    <w:rsid w:val="00E507C3"/>
    <w:rsid w:val="00E50A0F"/>
    <w:rsid w:val="00E50C58"/>
    <w:rsid w:val="00E511CD"/>
    <w:rsid w:val="00E51374"/>
    <w:rsid w:val="00E517C4"/>
    <w:rsid w:val="00E51831"/>
    <w:rsid w:val="00E51FDF"/>
    <w:rsid w:val="00E52033"/>
    <w:rsid w:val="00E526B1"/>
    <w:rsid w:val="00E526E9"/>
    <w:rsid w:val="00E52A17"/>
    <w:rsid w:val="00E54805"/>
    <w:rsid w:val="00E54BF6"/>
    <w:rsid w:val="00E54E88"/>
    <w:rsid w:val="00E558E1"/>
    <w:rsid w:val="00E55994"/>
    <w:rsid w:val="00E56954"/>
    <w:rsid w:val="00E57308"/>
    <w:rsid w:val="00E5737F"/>
    <w:rsid w:val="00E6029E"/>
    <w:rsid w:val="00E612DB"/>
    <w:rsid w:val="00E61F5C"/>
    <w:rsid w:val="00E622A2"/>
    <w:rsid w:val="00E62D0A"/>
    <w:rsid w:val="00E62E93"/>
    <w:rsid w:val="00E62EFA"/>
    <w:rsid w:val="00E63126"/>
    <w:rsid w:val="00E63165"/>
    <w:rsid w:val="00E63AD0"/>
    <w:rsid w:val="00E63CDA"/>
    <w:rsid w:val="00E64291"/>
    <w:rsid w:val="00E6440E"/>
    <w:rsid w:val="00E648EC"/>
    <w:rsid w:val="00E6507D"/>
    <w:rsid w:val="00E65523"/>
    <w:rsid w:val="00E6596F"/>
    <w:rsid w:val="00E65BB8"/>
    <w:rsid w:val="00E65D35"/>
    <w:rsid w:val="00E66DD0"/>
    <w:rsid w:val="00E67561"/>
    <w:rsid w:val="00E67721"/>
    <w:rsid w:val="00E703B9"/>
    <w:rsid w:val="00E7049B"/>
    <w:rsid w:val="00E716FD"/>
    <w:rsid w:val="00E719D0"/>
    <w:rsid w:val="00E7217C"/>
    <w:rsid w:val="00E723B3"/>
    <w:rsid w:val="00E72B74"/>
    <w:rsid w:val="00E73B61"/>
    <w:rsid w:val="00E73C2D"/>
    <w:rsid w:val="00E74131"/>
    <w:rsid w:val="00E7464E"/>
    <w:rsid w:val="00E74CC3"/>
    <w:rsid w:val="00E74EBC"/>
    <w:rsid w:val="00E74F22"/>
    <w:rsid w:val="00E7501A"/>
    <w:rsid w:val="00E771B1"/>
    <w:rsid w:val="00E773FF"/>
    <w:rsid w:val="00E774F8"/>
    <w:rsid w:val="00E777C1"/>
    <w:rsid w:val="00E77915"/>
    <w:rsid w:val="00E80201"/>
    <w:rsid w:val="00E808D5"/>
    <w:rsid w:val="00E80F18"/>
    <w:rsid w:val="00E80FC9"/>
    <w:rsid w:val="00E81203"/>
    <w:rsid w:val="00E812A7"/>
    <w:rsid w:val="00E81537"/>
    <w:rsid w:val="00E81852"/>
    <w:rsid w:val="00E8197C"/>
    <w:rsid w:val="00E8226D"/>
    <w:rsid w:val="00E8229F"/>
    <w:rsid w:val="00E82517"/>
    <w:rsid w:val="00E82E2E"/>
    <w:rsid w:val="00E82F06"/>
    <w:rsid w:val="00E8324A"/>
    <w:rsid w:val="00E83685"/>
    <w:rsid w:val="00E83993"/>
    <w:rsid w:val="00E83A07"/>
    <w:rsid w:val="00E83BB8"/>
    <w:rsid w:val="00E83C41"/>
    <w:rsid w:val="00E84D02"/>
    <w:rsid w:val="00E85B18"/>
    <w:rsid w:val="00E86900"/>
    <w:rsid w:val="00E8691F"/>
    <w:rsid w:val="00E86FBE"/>
    <w:rsid w:val="00E87E0A"/>
    <w:rsid w:val="00E907F0"/>
    <w:rsid w:val="00E90A1A"/>
    <w:rsid w:val="00E90C05"/>
    <w:rsid w:val="00E91572"/>
    <w:rsid w:val="00E91A7E"/>
    <w:rsid w:val="00E91B22"/>
    <w:rsid w:val="00E923EE"/>
    <w:rsid w:val="00E928AF"/>
    <w:rsid w:val="00E92E2C"/>
    <w:rsid w:val="00E932D0"/>
    <w:rsid w:val="00E9347C"/>
    <w:rsid w:val="00E934FB"/>
    <w:rsid w:val="00E93F69"/>
    <w:rsid w:val="00E947A6"/>
    <w:rsid w:val="00E95296"/>
    <w:rsid w:val="00E95480"/>
    <w:rsid w:val="00E959AA"/>
    <w:rsid w:val="00E95C0F"/>
    <w:rsid w:val="00E96243"/>
    <w:rsid w:val="00E96EF5"/>
    <w:rsid w:val="00E9733C"/>
    <w:rsid w:val="00E97B24"/>
    <w:rsid w:val="00E97FDD"/>
    <w:rsid w:val="00EA0499"/>
    <w:rsid w:val="00EA171D"/>
    <w:rsid w:val="00EA1762"/>
    <w:rsid w:val="00EA2086"/>
    <w:rsid w:val="00EA2265"/>
    <w:rsid w:val="00EA2D3A"/>
    <w:rsid w:val="00EA2EB4"/>
    <w:rsid w:val="00EA42D4"/>
    <w:rsid w:val="00EA45C1"/>
    <w:rsid w:val="00EA4998"/>
    <w:rsid w:val="00EA49B7"/>
    <w:rsid w:val="00EA506A"/>
    <w:rsid w:val="00EA5644"/>
    <w:rsid w:val="00EA5715"/>
    <w:rsid w:val="00EA6559"/>
    <w:rsid w:val="00EA65D6"/>
    <w:rsid w:val="00EA67EA"/>
    <w:rsid w:val="00EA730B"/>
    <w:rsid w:val="00EA7690"/>
    <w:rsid w:val="00EB04E7"/>
    <w:rsid w:val="00EB0885"/>
    <w:rsid w:val="00EB2151"/>
    <w:rsid w:val="00EB25C9"/>
    <w:rsid w:val="00EB29CF"/>
    <w:rsid w:val="00EB3ADA"/>
    <w:rsid w:val="00EB497B"/>
    <w:rsid w:val="00EB4C21"/>
    <w:rsid w:val="00EB537F"/>
    <w:rsid w:val="00EB58BF"/>
    <w:rsid w:val="00EB5A8A"/>
    <w:rsid w:val="00EB5AC5"/>
    <w:rsid w:val="00EB6201"/>
    <w:rsid w:val="00EB6F83"/>
    <w:rsid w:val="00EB7166"/>
    <w:rsid w:val="00EB744E"/>
    <w:rsid w:val="00EB7741"/>
    <w:rsid w:val="00EB7E3B"/>
    <w:rsid w:val="00EC0842"/>
    <w:rsid w:val="00EC0B62"/>
    <w:rsid w:val="00EC0E04"/>
    <w:rsid w:val="00EC1453"/>
    <w:rsid w:val="00EC17CD"/>
    <w:rsid w:val="00EC1913"/>
    <w:rsid w:val="00EC1E9A"/>
    <w:rsid w:val="00EC1EA3"/>
    <w:rsid w:val="00EC2792"/>
    <w:rsid w:val="00EC2A2E"/>
    <w:rsid w:val="00EC2B44"/>
    <w:rsid w:val="00EC3068"/>
    <w:rsid w:val="00EC30DE"/>
    <w:rsid w:val="00EC3344"/>
    <w:rsid w:val="00EC3571"/>
    <w:rsid w:val="00EC35D1"/>
    <w:rsid w:val="00EC3814"/>
    <w:rsid w:val="00EC3EFB"/>
    <w:rsid w:val="00EC41AE"/>
    <w:rsid w:val="00EC4351"/>
    <w:rsid w:val="00EC4B41"/>
    <w:rsid w:val="00EC5185"/>
    <w:rsid w:val="00EC52BC"/>
    <w:rsid w:val="00EC5DC5"/>
    <w:rsid w:val="00EC5F6C"/>
    <w:rsid w:val="00EC602E"/>
    <w:rsid w:val="00EC650B"/>
    <w:rsid w:val="00EC67AD"/>
    <w:rsid w:val="00EC6871"/>
    <w:rsid w:val="00EC751C"/>
    <w:rsid w:val="00ED0C1F"/>
    <w:rsid w:val="00ED112B"/>
    <w:rsid w:val="00ED19F6"/>
    <w:rsid w:val="00ED2A65"/>
    <w:rsid w:val="00ED2E17"/>
    <w:rsid w:val="00ED3546"/>
    <w:rsid w:val="00ED35AA"/>
    <w:rsid w:val="00ED36BC"/>
    <w:rsid w:val="00ED38FF"/>
    <w:rsid w:val="00ED3F56"/>
    <w:rsid w:val="00ED4848"/>
    <w:rsid w:val="00ED67C4"/>
    <w:rsid w:val="00ED6E73"/>
    <w:rsid w:val="00ED78A2"/>
    <w:rsid w:val="00EE0006"/>
    <w:rsid w:val="00EE0046"/>
    <w:rsid w:val="00EE04B3"/>
    <w:rsid w:val="00EE09E6"/>
    <w:rsid w:val="00EE0E2F"/>
    <w:rsid w:val="00EE1AAE"/>
    <w:rsid w:val="00EE21B7"/>
    <w:rsid w:val="00EE227C"/>
    <w:rsid w:val="00EE3065"/>
    <w:rsid w:val="00EE3148"/>
    <w:rsid w:val="00EE31EE"/>
    <w:rsid w:val="00EE349A"/>
    <w:rsid w:val="00EE3761"/>
    <w:rsid w:val="00EE4A2A"/>
    <w:rsid w:val="00EE4B8F"/>
    <w:rsid w:val="00EE549F"/>
    <w:rsid w:val="00EE566E"/>
    <w:rsid w:val="00EE5D39"/>
    <w:rsid w:val="00EE5F84"/>
    <w:rsid w:val="00EE5F8A"/>
    <w:rsid w:val="00EE5FEC"/>
    <w:rsid w:val="00EE6605"/>
    <w:rsid w:val="00EE7269"/>
    <w:rsid w:val="00EE76DE"/>
    <w:rsid w:val="00EE7718"/>
    <w:rsid w:val="00EE7A36"/>
    <w:rsid w:val="00EF0C12"/>
    <w:rsid w:val="00EF0E63"/>
    <w:rsid w:val="00EF110D"/>
    <w:rsid w:val="00EF13CA"/>
    <w:rsid w:val="00EF1589"/>
    <w:rsid w:val="00EF1728"/>
    <w:rsid w:val="00EF2623"/>
    <w:rsid w:val="00EF2A8A"/>
    <w:rsid w:val="00EF2C08"/>
    <w:rsid w:val="00EF2E98"/>
    <w:rsid w:val="00EF3165"/>
    <w:rsid w:val="00EF31AE"/>
    <w:rsid w:val="00EF39A2"/>
    <w:rsid w:val="00EF3C5D"/>
    <w:rsid w:val="00EF43F9"/>
    <w:rsid w:val="00EF4526"/>
    <w:rsid w:val="00EF4B9F"/>
    <w:rsid w:val="00EF6244"/>
    <w:rsid w:val="00EF633F"/>
    <w:rsid w:val="00EF6EAC"/>
    <w:rsid w:val="00EF6F59"/>
    <w:rsid w:val="00EF79AB"/>
    <w:rsid w:val="00F00777"/>
    <w:rsid w:val="00F0090D"/>
    <w:rsid w:val="00F016E3"/>
    <w:rsid w:val="00F01A2E"/>
    <w:rsid w:val="00F023EF"/>
    <w:rsid w:val="00F0272D"/>
    <w:rsid w:val="00F02732"/>
    <w:rsid w:val="00F02823"/>
    <w:rsid w:val="00F02AE6"/>
    <w:rsid w:val="00F02DF3"/>
    <w:rsid w:val="00F0345D"/>
    <w:rsid w:val="00F03480"/>
    <w:rsid w:val="00F034D5"/>
    <w:rsid w:val="00F03AD9"/>
    <w:rsid w:val="00F040CE"/>
    <w:rsid w:val="00F04275"/>
    <w:rsid w:val="00F058A4"/>
    <w:rsid w:val="00F05F8F"/>
    <w:rsid w:val="00F0655A"/>
    <w:rsid w:val="00F0657A"/>
    <w:rsid w:val="00F0673B"/>
    <w:rsid w:val="00F06A09"/>
    <w:rsid w:val="00F06F50"/>
    <w:rsid w:val="00F0707A"/>
    <w:rsid w:val="00F077D1"/>
    <w:rsid w:val="00F1016F"/>
    <w:rsid w:val="00F10263"/>
    <w:rsid w:val="00F10579"/>
    <w:rsid w:val="00F10D19"/>
    <w:rsid w:val="00F11331"/>
    <w:rsid w:val="00F11837"/>
    <w:rsid w:val="00F11855"/>
    <w:rsid w:val="00F11FB7"/>
    <w:rsid w:val="00F127BD"/>
    <w:rsid w:val="00F1302E"/>
    <w:rsid w:val="00F13493"/>
    <w:rsid w:val="00F146C7"/>
    <w:rsid w:val="00F14C82"/>
    <w:rsid w:val="00F14CCE"/>
    <w:rsid w:val="00F14DD0"/>
    <w:rsid w:val="00F15460"/>
    <w:rsid w:val="00F15464"/>
    <w:rsid w:val="00F15891"/>
    <w:rsid w:val="00F15E3F"/>
    <w:rsid w:val="00F16832"/>
    <w:rsid w:val="00F178F3"/>
    <w:rsid w:val="00F20117"/>
    <w:rsid w:val="00F20653"/>
    <w:rsid w:val="00F209A5"/>
    <w:rsid w:val="00F20AD7"/>
    <w:rsid w:val="00F21106"/>
    <w:rsid w:val="00F21326"/>
    <w:rsid w:val="00F2162D"/>
    <w:rsid w:val="00F21678"/>
    <w:rsid w:val="00F216DB"/>
    <w:rsid w:val="00F21AF2"/>
    <w:rsid w:val="00F21BE3"/>
    <w:rsid w:val="00F23657"/>
    <w:rsid w:val="00F23D0E"/>
    <w:rsid w:val="00F23D50"/>
    <w:rsid w:val="00F243A6"/>
    <w:rsid w:val="00F24784"/>
    <w:rsid w:val="00F24C8F"/>
    <w:rsid w:val="00F24D48"/>
    <w:rsid w:val="00F24D7A"/>
    <w:rsid w:val="00F24F77"/>
    <w:rsid w:val="00F25094"/>
    <w:rsid w:val="00F25239"/>
    <w:rsid w:val="00F2569D"/>
    <w:rsid w:val="00F262EE"/>
    <w:rsid w:val="00F26495"/>
    <w:rsid w:val="00F2650F"/>
    <w:rsid w:val="00F2651A"/>
    <w:rsid w:val="00F2657B"/>
    <w:rsid w:val="00F2662E"/>
    <w:rsid w:val="00F26CBB"/>
    <w:rsid w:val="00F27878"/>
    <w:rsid w:val="00F27C47"/>
    <w:rsid w:val="00F27E70"/>
    <w:rsid w:val="00F30054"/>
    <w:rsid w:val="00F30486"/>
    <w:rsid w:val="00F30658"/>
    <w:rsid w:val="00F30675"/>
    <w:rsid w:val="00F309E7"/>
    <w:rsid w:val="00F30FB4"/>
    <w:rsid w:val="00F3102B"/>
    <w:rsid w:val="00F3108D"/>
    <w:rsid w:val="00F31832"/>
    <w:rsid w:val="00F31974"/>
    <w:rsid w:val="00F31C2A"/>
    <w:rsid w:val="00F31E86"/>
    <w:rsid w:val="00F32423"/>
    <w:rsid w:val="00F3315A"/>
    <w:rsid w:val="00F34214"/>
    <w:rsid w:val="00F344DB"/>
    <w:rsid w:val="00F344E5"/>
    <w:rsid w:val="00F347C3"/>
    <w:rsid w:val="00F34BBC"/>
    <w:rsid w:val="00F34E2E"/>
    <w:rsid w:val="00F3509B"/>
    <w:rsid w:val="00F355A0"/>
    <w:rsid w:val="00F359A8"/>
    <w:rsid w:val="00F35B0B"/>
    <w:rsid w:val="00F35C32"/>
    <w:rsid w:val="00F35F40"/>
    <w:rsid w:val="00F36004"/>
    <w:rsid w:val="00F3606C"/>
    <w:rsid w:val="00F36D09"/>
    <w:rsid w:val="00F37DA7"/>
    <w:rsid w:val="00F40690"/>
    <w:rsid w:val="00F40F4B"/>
    <w:rsid w:val="00F4158C"/>
    <w:rsid w:val="00F41AB2"/>
    <w:rsid w:val="00F428CD"/>
    <w:rsid w:val="00F437A3"/>
    <w:rsid w:val="00F43966"/>
    <w:rsid w:val="00F4496D"/>
    <w:rsid w:val="00F44CBA"/>
    <w:rsid w:val="00F44E13"/>
    <w:rsid w:val="00F45627"/>
    <w:rsid w:val="00F46D78"/>
    <w:rsid w:val="00F4704E"/>
    <w:rsid w:val="00F4730F"/>
    <w:rsid w:val="00F47658"/>
    <w:rsid w:val="00F47A55"/>
    <w:rsid w:val="00F47EC6"/>
    <w:rsid w:val="00F50142"/>
    <w:rsid w:val="00F50473"/>
    <w:rsid w:val="00F50F10"/>
    <w:rsid w:val="00F51740"/>
    <w:rsid w:val="00F5224B"/>
    <w:rsid w:val="00F52760"/>
    <w:rsid w:val="00F52F2E"/>
    <w:rsid w:val="00F53009"/>
    <w:rsid w:val="00F5304E"/>
    <w:rsid w:val="00F534A6"/>
    <w:rsid w:val="00F53D6B"/>
    <w:rsid w:val="00F549CF"/>
    <w:rsid w:val="00F553B8"/>
    <w:rsid w:val="00F55D13"/>
    <w:rsid w:val="00F55DA1"/>
    <w:rsid w:val="00F56069"/>
    <w:rsid w:val="00F566E9"/>
    <w:rsid w:val="00F5679D"/>
    <w:rsid w:val="00F57091"/>
    <w:rsid w:val="00F57CEA"/>
    <w:rsid w:val="00F603A2"/>
    <w:rsid w:val="00F60622"/>
    <w:rsid w:val="00F60656"/>
    <w:rsid w:val="00F6077D"/>
    <w:rsid w:val="00F60794"/>
    <w:rsid w:val="00F612F7"/>
    <w:rsid w:val="00F616F4"/>
    <w:rsid w:val="00F61829"/>
    <w:rsid w:val="00F61A63"/>
    <w:rsid w:val="00F61F18"/>
    <w:rsid w:val="00F61F8F"/>
    <w:rsid w:val="00F62135"/>
    <w:rsid w:val="00F62338"/>
    <w:rsid w:val="00F6292D"/>
    <w:rsid w:val="00F62B30"/>
    <w:rsid w:val="00F63188"/>
    <w:rsid w:val="00F6366D"/>
    <w:rsid w:val="00F6398F"/>
    <w:rsid w:val="00F63B2E"/>
    <w:rsid w:val="00F64592"/>
    <w:rsid w:val="00F648C5"/>
    <w:rsid w:val="00F64B79"/>
    <w:rsid w:val="00F6505A"/>
    <w:rsid w:val="00F650C9"/>
    <w:rsid w:val="00F66232"/>
    <w:rsid w:val="00F66658"/>
    <w:rsid w:val="00F6714E"/>
    <w:rsid w:val="00F67445"/>
    <w:rsid w:val="00F701E5"/>
    <w:rsid w:val="00F7058C"/>
    <w:rsid w:val="00F71379"/>
    <w:rsid w:val="00F71486"/>
    <w:rsid w:val="00F71795"/>
    <w:rsid w:val="00F72024"/>
    <w:rsid w:val="00F72425"/>
    <w:rsid w:val="00F72EC6"/>
    <w:rsid w:val="00F7355C"/>
    <w:rsid w:val="00F73A88"/>
    <w:rsid w:val="00F73ABB"/>
    <w:rsid w:val="00F749C2"/>
    <w:rsid w:val="00F74D56"/>
    <w:rsid w:val="00F74FFB"/>
    <w:rsid w:val="00F750F4"/>
    <w:rsid w:val="00F75190"/>
    <w:rsid w:val="00F7533D"/>
    <w:rsid w:val="00F753E2"/>
    <w:rsid w:val="00F75409"/>
    <w:rsid w:val="00F75425"/>
    <w:rsid w:val="00F757A0"/>
    <w:rsid w:val="00F7593D"/>
    <w:rsid w:val="00F759E5"/>
    <w:rsid w:val="00F76269"/>
    <w:rsid w:val="00F76735"/>
    <w:rsid w:val="00F7676B"/>
    <w:rsid w:val="00F76E10"/>
    <w:rsid w:val="00F76F39"/>
    <w:rsid w:val="00F771FC"/>
    <w:rsid w:val="00F7755C"/>
    <w:rsid w:val="00F77AD4"/>
    <w:rsid w:val="00F80B83"/>
    <w:rsid w:val="00F81CC1"/>
    <w:rsid w:val="00F826BC"/>
    <w:rsid w:val="00F8273B"/>
    <w:rsid w:val="00F827AB"/>
    <w:rsid w:val="00F82D37"/>
    <w:rsid w:val="00F82F26"/>
    <w:rsid w:val="00F83A4A"/>
    <w:rsid w:val="00F841D2"/>
    <w:rsid w:val="00F84648"/>
    <w:rsid w:val="00F846BA"/>
    <w:rsid w:val="00F853F7"/>
    <w:rsid w:val="00F85BCC"/>
    <w:rsid w:val="00F86045"/>
    <w:rsid w:val="00F86149"/>
    <w:rsid w:val="00F864B2"/>
    <w:rsid w:val="00F87624"/>
    <w:rsid w:val="00F878EA"/>
    <w:rsid w:val="00F87F23"/>
    <w:rsid w:val="00F900B7"/>
    <w:rsid w:val="00F901FC"/>
    <w:rsid w:val="00F909B1"/>
    <w:rsid w:val="00F90C11"/>
    <w:rsid w:val="00F90EB4"/>
    <w:rsid w:val="00F92725"/>
    <w:rsid w:val="00F9292E"/>
    <w:rsid w:val="00F92A08"/>
    <w:rsid w:val="00F92F4A"/>
    <w:rsid w:val="00F937F9"/>
    <w:rsid w:val="00F94487"/>
    <w:rsid w:val="00F9461E"/>
    <w:rsid w:val="00F94B38"/>
    <w:rsid w:val="00F94BFA"/>
    <w:rsid w:val="00F94D21"/>
    <w:rsid w:val="00F94D48"/>
    <w:rsid w:val="00F9536D"/>
    <w:rsid w:val="00F9570A"/>
    <w:rsid w:val="00F95A8B"/>
    <w:rsid w:val="00F95D57"/>
    <w:rsid w:val="00F95EE7"/>
    <w:rsid w:val="00F96A77"/>
    <w:rsid w:val="00F96E43"/>
    <w:rsid w:val="00F9737A"/>
    <w:rsid w:val="00F9774B"/>
    <w:rsid w:val="00F97EEE"/>
    <w:rsid w:val="00FA05F0"/>
    <w:rsid w:val="00FA0B7D"/>
    <w:rsid w:val="00FA1111"/>
    <w:rsid w:val="00FA1545"/>
    <w:rsid w:val="00FA1FD9"/>
    <w:rsid w:val="00FA2717"/>
    <w:rsid w:val="00FA2B84"/>
    <w:rsid w:val="00FA2E73"/>
    <w:rsid w:val="00FA3312"/>
    <w:rsid w:val="00FA35ED"/>
    <w:rsid w:val="00FA3E52"/>
    <w:rsid w:val="00FA416F"/>
    <w:rsid w:val="00FA4606"/>
    <w:rsid w:val="00FA4B25"/>
    <w:rsid w:val="00FA4D14"/>
    <w:rsid w:val="00FA57D0"/>
    <w:rsid w:val="00FA5E02"/>
    <w:rsid w:val="00FA5E4D"/>
    <w:rsid w:val="00FA6473"/>
    <w:rsid w:val="00FA651E"/>
    <w:rsid w:val="00FA6A37"/>
    <w:rsid w:val="00FA6AFC"/>
    <w:rsid w:val="00FA71D6"/>
    <w:rsid w:val="00FA7BC3"/>
    <w:rsid w:val="00FB00B3"/>
    <w:rsid w:val="00FB15D1"/>
    <w:rsid w:val="00FB18F5"/>
    <w:rsid w:val="00FB1C3F"/>
    <w:rsid w:val="00FB217F"/>
    <w:rsid w:val="00FB2470"/>
    <w:rsid w:val="00FB274F"/>
    <w:rsid w:val="00FB2840"/>
    <w:rsid w:val="00FB29C2"/>
    <w:rsid w:val="00FB2C55"/>
    <w:rsid w:val="00FB3235"/>
    <w:rsid w:val="00FB3ABE"/>
    <w:rsid w:val="00FB3BD3"/>
    <w:rsid w:val="00FB3F56"/>
    <w:rsid w:val="00FB3FEA"/>
    <w:rsid w:val="00FB4586"/>
    <w:rsid w:val="00FB4688"/>
    <w:rsid w:val="00FB4A99"/>
    <w:rsid w:val="00FB4E4A"/>
    <w:rsid w:val="00FB5979"/>
    <w:rsid w:val="00FB5FD8"/>
    <w:rsid w:val="00FB679D"/>
    <w:rsid w:val="00FB69A5"/>
    <w:rsid w:val="00FB6C63"/>
    <w:rsid w:val="00FB7120"/>
    <w:rsid w:val="00FB7393"/>
    <w:rsid w:val="00FC1261"/>
    <w:rsid w:val="00FC134D"/>
    <w:rsid w:val="00FC1377"/>
    <w:rsid w:val="00FC13F0"/>
    <w:rsid w:val="00FC1620"/>
    <w:rsid w:val="00FC1BEE"/>
    <w:rsid w:val="00FC1D54"/>
    <w:rsid w:val="00FC20C3"/>
    <w:rsid w:val="00FC252B"/>
    <w:rsid w:val="00FC2791"/>
    <w:rsid w:val="00FC27A0"/>
    <w:rsid w:val="00FC2CD7"/>
    <w:rsid w:val="00FC2CE1"/>
    <w:rsid w:val="00FC320F"/>
    <w:rsid w:val="00FC38F3"/>
    <w:rsid w:val="00FC44F8"/>
    <w:rsid w:val="00FC4779"/>
    <w:rsid w:val="00FC48C2"/>
    <w:rsid w:val="00FC4A26"/>
    <w:rsid w:val="00FC5115"/>
    <w:rsid w:val="00FC585F"/>
    <w:rsid w:val="00FC59E5"/>
    <w:rsid w:val="00FC601C"/>
    <w:rsid w:val="00FC6365"/>
    <w:rsid w:val="00FC63E6"/>
    <w:rsid w:val="00FC6614"/>
    <w:rsid w:val="00FC6760"/>
    <w:rsid w:val="00FC6C56"/>
    <w:rsid w:val="00FC779A"/>
    <w:rsid w:val="00FD06B2"/>
    <w:rsid w:val="00FD07E0"/>
    <w:rsid w:val="00FD0925"/>
    <w:rsid w:val="00FD0B98"/>
    <w:rsid w:val="00FD0D76"/>
    <w:rsid w:val="00FD0E71"/>
    <w:rsid w:val="00FD0EDB"/>
    <w:rsid w:val="00FD0F47"/>
    <w:rsid w:val="00FD1760"/>
    <w:rsid w:val="00FD1B57"/>
    <w:rsid w:val="00FD1C20"/>
    <w:rsid w:val="00FD2B5E"/>
    <w:rsid w:val="00FD307D"/>
    <w:rsid w:val="00FD3095"/>
    <w:rsid w:val="00FD458C"/>
    <w:rsid w:val="00FD46D2"/>
    <w:rsid w:val="00FD4C31"/>
    <w:rsid w:val="00FD4E57"/>
    <w:rsid w:val="00FD66AE"/>
    <w:rsid w:val="00FD6BAC"/>
    <w:rsid w:val="00FD6DF1"/>
    <w:rsid w:val="00FD7373"/>
    <w:rsid w:val="00FD76E2"/>
    <w:rsid w:val="00FD7FA6"/>
    <w:rsid w:val="00FE027C"/>
    <w:rsid w:val="00FE1069"/>
    <w:rsid w:val="00FE16CD"/>
    <w:rsid w:val="00FE18C9"/>
    <w:rsid w:val="00FE1FC9"/>
    <w:rsid w:val="00FE35CB"/>
    <w:rsid w:val="00FE36DE"/>
    <w:rsid w:val="00FE3B6A"/>
    <w:rsid w:val="00FE4AC9"/>
    <w:rsid w:val="00FE5033"/>
    <w:rsid w:val="00FE5044"/>
    <w:rsid w:val="00FE51EC"/>
    <w:rsid w:val="00FE5374"/>
    <w:rsid w:val="00FE58A0"/>
    <w:rsid w:val="00FE5DD9"/>
    <w:rsid w:val="00FE5EAB"/>
    <w:rsid w:val="00FE619F"/>
    <w:rsid w:val="00FE6238"/>
    <w:rsid w:val="00FE6A9F"/>
    <w:rsid w:val="00FE6E69"/>
    <w:rsid w:val="00FE77CA"/>
    <w:rsid w:val="00FE7A83"/>
    <w:rsid w:val="00FF070B"/>
    <w:rsid w:val="00FF0B11"/>
    <w:rsid w:val="00FF0DB8"/>
    <w:rsid w:val="00FF109E"/>
    <w:rsid w:val="00FF1CA9"/>
    <w:rsid w:val="00FF1CEC"/>
    <w:rsid w:val="00FF29FF"/>
    <w:rsid w:val="00FF2AB0"/>
    <w:rsid w:val="00FF2CA2"/>
    <w:rsid w:val="00FF2EE6"/>
    <w:rsid w:val="00FF380B"/>
    <w:rsid w:val="00FF461C"/>
    <w:rsid w:val="00FF4681"/>
    <w:rsid w:val="00FF5386"/>
    <w:rsid w:val="00FF5C48"/>
    <w:rsid w:val="00FF5D46"/>
    <w:rsid w:val="00FF5E9E"/>
    <w:rsid w:val="00FF67B8"/>
    <w:rsid w:val="00FF6F4D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0862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0862E0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0862E0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0862E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0862E0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0862E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0862E0"/>
    <w:rPr>
      <w:rFonts w:cs="Times New Roman"/>
      <w:sz w:val="2"/>
    </w:rPr>
  </w:style>
  <w:style w:type="character" w:customStyle="1" w:styleId="hps">
    <w:name w:val="hps"/>
    <w:basedOn w:val="Policepardfaut"/>
    <w:rsid w:val="001E2E19"/>
    <w:rPr>
      <w:rFonts w:cs="Times New Roman"/>
    </w:rPr>
  </w:style>
  <w:style w:type="character" w:customStyle="1" w:styleId="hpsatn">
    <w:name w:val="hps atn"/>
    <w:basedOn w:val="Policepardfaut"/>
    <w:rsid w:val="0080084F"/>
    <w:rPr>
      <w:rFonts w:cs="Times New Roman"/>
    </w:rPr>
  </w:style>
  <w:style w:type="character" w:styleId="lev">
    <w:name w:val="Strong"/>
    <w:basedOn w:val="Policepardfaut"/>
    <w:qFormat/>
    <w:locked/>
    <w:rsid w:val="003D4283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AA46C6"/>
    <w:rPr>
      <w:rFonts w:ascii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AA46C6"/>
    <w:rPr>
      <w:rFonts w:ascii="Calibri" w:hAnsi="Calibri" w:cs="Arial"/>
      <w:lang w:val="fr-FR" w:eastAsia="en-US" w:bidi="ar-SA"/>
    </w:rPr>
  </w:style>
  <w:style w:type="character" w:styleId="Appelnotedebasdep">
    <w:name w:val="footnote reference"/>
    <w:basedOn w:val="Policepardfaut"/>
    <w:semiHidden/>
    <w:rsid w:val="00AA46C6"/>
    <w:rPr>
      <w:rFonts w:cs="Times New Roman"/>
      <w:vertAlign w:val="superscript"/>
    </w:rPr>
  </w:style>
  <w:style w:type="character" w:customStyle="1" w:styleId="ebo1e">
    <w:name w:val="ebo1e"/>
    <w:basedOn w:val="Policepardfaut"/>
    <w:rsid w:val="001712FF"/>
    <w:rPr>
      <w:rFonts w:cs="Times New Roman"/>
    </w:rPr>
  </w:style>
  <w:style w:type="character" w:customStyle="1" w:styleId="fc0t1x20a">
    <w:name w:val="fc0t1x20a"/>
    <w:basedOn w:val="Policepardfaut"/>
    <w:rsid w:val="00FB217F"/>
    <w:rPr>
      <w:rFonts w:cs="Times New Roman"/>
    </w:rPr>
  </w:style>
  <w:style w:type="paragraph" w:styleId="Paragraphedeliste">
    <w:name w:val="List Paragraph"/>
    <w:basedOn w:val="Normal"/>
    <w:qFormat/>
    <w:rsid w:val="00A43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gende">
    <w:name w:val="caption"/>
    <w:basedOn w:val="Normal"/>
    <w:next w:val="Normal"/>
    <w:unhideWhenUsed/>
    <w:qFormat/>
    <w:locked/>
    <w:rsid w:val="00B91B90"/>
    <w:pPr>
      <w:spacing w:after="200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27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maliki\Desktop\Ministre%2018%2003%202022\Note%20evolution%20des%20prix%202022\Note%20d'inflation%20version%2017%2003%202022\Graph%20mondial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Note%20inflation%2004%2003%202022\articles\9c982d5f-237a-45ed-bfc9-ebcfd593565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maliki\Desktop\Ministre\Note%20evolution%20des%20prix%202022\note%2010%2003%202022\note%20evolution%20ipc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maliki\Desktop\Ministre%2018%2003%202022\Note%20evolution%20des%20prix%202022\Note%20d'inflation%20version%2017%2003%202022\note%20evolution%20ipc%202021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maliki\Desktop\Ministre%2018%2003%202022\Note%20evolution%20des%20prix%202022\Note%20d'inflation%20version%2017%2003%202022\21%2003%202022\note%20evolution%20ipc%20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maliki\Desktop\Ministre%2018%2003%202022\Note%20evolution%20des%20prix%202022\Note%20d'inflation%20version%2017%2003%202022\EVOLUTION%20ISJ%20VS%20IPC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maliki\Desktop\Ministre%2018%2003%202022\Note%20evolution%20des%20prix%202022\Note%20d'inflation%20version%2017%2003%202022\EVOLUTION%20ISJ%20VS%20IP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 sz="1100"/>
              <a:t>Taux d'inflation en glissement annuel (%), février 2022 ou dernières données disponibles janvier 2022</a:t>
            </a:r>
          </a:p>
          <a:p>
            <a:pPr>
              <a:defRPr/>
            </a:pPr>
            <a:endParaRPr lang="en-US" sz="1100"/>
          </a:p>
          <a:p>
            <a:pPr>
              <a:defRPr/>
            </a:pPr>
            <a:endParaRPr lang="en-US" sz="1200"/>
          </a:p>
        </c:rich>
      </c:tx>
      <c:layout>
        <c:manualLayout>
          <c:xMode val="edge"/>
          <c:yMode val="edge"/>
          <c:x val="0.20630594540368216"/>
          <c:y val="1.3422822561237465E-3"/>
        </c:manualLayout>
      </c:layout>
    </c:title>
    <c:plotArea>
      <c:layout>
        <c:manualLayout>
          <c:layoutTarget val="inner"/>
          <c:xMode val="edge"/>
          <c:yMode val="edge"/>
          <c:x val="0.21570183113075794"/>
          <c:y val="0.19432888597258688"/>
          <c:w val="0.73990928765483688"/>
          <c:h val="0.65529673374161568"/>
        </c:manualLayout>
      </c:layout>
      <c:barChart>
        <c:barDir val="bar"/>
        <c:grouping val="clustered"/>
        <c:ser>
          <c:idx val="0"/>
          <c:order val="0"/>
          <c:tx>
            <c:strRef>
              <c:f>Feuil1!$C$3</c:f>
              <c:strCache>
                <c:ptCount val="1"/>
                <c:pt idx="0">
                  <c:v>glissement annuel de février 2022 en %</c:v>
                </c:pt>
              </c:strCache>
            </c:strRef>
          </c:tx>
          <c:dLbls>
            <c:showVal val="1"/>
          </c:dLbls>
          <c:cat>
            <c:strRef>
              <c:f>Feuil1!$B$4:$B$17</c:f>
              <c:strCache>
                <c:ptCount val="14"/>
                <c:pt idx="0">
                  <c:v>Japon</c:v>
                </c:pt>
                <c:pt idx="1">
                  <c:v>France</c:v>
                </c:pt>
                <c:pt idx="2">
                  <c:v>Royaume-Uni</c:v>
                </c:pt>
                <c:pt idx="3">
                  <c:v>Allemagne</c:v>
                </c:pt>
                <c:pt idx="4">
                  <c:v>Zone euro (19 pays)</c:v>
                </c:pt>
                <c:pt idx="5">
                  <c:v>G7</c:v>
                </c:pt>
                <c:pt idx="6">
                  <c:v>Canada</c:v>
                </c:pt>
                <c:pt idx="7">
                  <c:v>Inde</c:v>
                </c:pt>
                <c:pt idx="8">
                  <c:v>G20</c:v>
                </c:pt>
                <c:pt idx="9">
                  <c:v>Espagne</c:v>
                </c:pt>
                <c:pt idx="10">
                  <c:v>États-Unis</c:v>
                </c:pt>
                <c:pt idx="11">
                  <c:v>Russie</c:v>
                </c:pt>
                <c:pt idx="12">
                  <c:v>Bresil </c:v>
                </c:pt>
                <c:pt idx="13">
                  <c:v>Turquie</c:v>
                </c:pt>
              </c:strCache>
            </c:strRef>
          </c:cat>
          <c:val>
            <c:numRef>
              <c:f>Feuil1!$C$4:$C$17</c:f>
              <c:numCache>
                <c:formatCode>#,##0.0_ ;\-#,##0.0\ </c:formatCode>
                <c:ptCount val="14"/>
                <c:pt idx="0">
                  <c:v>0.5</c:v>
                </c:pt>
                <c:pt idx="1">
                  <c:v>3.6</c:v>
                </c:pt>
                <c:pt idx="2">
                  <c:v>4.9000000000000004</c:v>
                </c:pt>
                <c:pt idx="3">
                  <c:v>5.0999999999999996</c:v>
                </c:pt>
                <c:pt idx="4">
                  <c:v>5.0999999999999996</c:v>
                </c:pt>
                <c:pt idx="5">
                  <c:v>5.3</c:v>
                </c:pt>
                <c:pt idx="6">
                  <c:v>5.7</c:v>
                </c:pt>
                <c:pt idx="7">
                  <c:v>5.8</c:v>
                </c:pt>
                <c:pt idx="8">
                  <c:v>6.5</c:v>
                </c:pt>
                <c:pt idx="9">
                  <c:v>7.6</c:v>
                </c:pt>
                <c:pt idx="10">
                  <c:v>7.9</c:v>
                </c:pt>
                <c:pt idx="11">
                  <c:v>8.7000000000000011</c:v>
                </c:pt>
                <c:pt idx="12">
                  <c:v>10.4</c:v>
                </c:pt>
                <c:pt idx="13">
                  <c:v>54.4</c:v>
                </c:pt>
              </c:numCache>
            </c:numRef>
          </c:val>
        </c:ser>
        <c:axId val="84681088"/>
        <c:axId val="84685184"/>
      </c:barChart>
      <c:catAx>
        <c:axId val="84681088"/>
        <c:scaling>
          <c:orientation val="minMax"/>
        </c:scaling>
        <c:axPos val="l"/>
        <c:tickLblPos val="nextTo"/>
        <c:crossAx val="84685184"/>
        <c:crosses val="autoZero"/>
        <c:auto val="1"/>
        <c:lblAlgn val="ctr"/>
        <c:lblOffset val="100"/>
      </c:catAx>
      <c:valAx>
        <c:axId val="84685184"/>
        <c:scaling>
          <c:orientation val="minMax"/>
        </c:scaling>
        <c:axPos val="b"/>
        <c:majorGridlines/>
        <c:numFmt formatCode="#,##0.0_ ;\-#,##0.0\ " sourceLinked="1"/>
        <c:tickLblPos val="nextTo"/>
        <c:crossAx val="84681088"/>
        <c:crosses val="autoZero"/>
        <c:crossBetween val="between"/>
      </c:valAx>
    </c:plotArea>
    <c:plotVisOnly val="1"/>
  </c:chart>
  <c:spPr>
    <a:effectLst>
      <a:outerShdw blurRad="50800" dist="50800" dir="5400000" algn="ctr" rotWithShape="0">
        <a:srgbClr val="000000">
          <a:alpha val="66000"/>
        </a:srgbClr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200"/>
              <a:t>Evolution de l'inflation au Maroc de 2000 à 2021 en %</a:t>
            </a:r>
          </a:p>
        </c:rich>
      </c:tx>
    </c:title>
    <c:plotArea>
      <c:layout>
        <c:manualLayout>
          <c:layoutTarget val="inner"/>
          <c:xMode val="edge"/>
          <c:yMode val="edge"/>
          <c:x val="3.1927299168835195E-2"/>
          <c:y val="0.21796523931502756"/>
          <c:w val="0.94455837847118262"/>
          <c:h val="0.62816008219413821"/>
        </c:manualLayout>
      </c:layout>
      <c:lineChart>
        <c:grouping val="stacked"/>
        <c:ser>
          <c:idx val="1"/>
          <c:order val="0"/>
          <c:tx>
            <c:strRef>
              <c:f>Feuil3!$B$3</c:f>
              <c:strCache>
                <c:ptCount val="1"/>
                <c:pt idx="0">
                  <c:v>Produits alimentaires</c:v>
                </c:pt>
              </c:strCache>
            </c:strRef>
          </c:tx>
          <c:dLbls>
            <c:dLblPos val="b"/>
            <c:showVal val="1"/>
          </c:dLbls>
          <c:cat>
            <c:numRef>
              <c:f>Feuil3!$A$4:$A$25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Feuil3!$B$4:$B$25</c:f>
              <c:numCache>
                <c:formatCode>0.0</c:formatCode>
                <c:ptCount val="22"/>
                <c:pt idx="0">
                  <c:v>1.5</c:v>
                </c:pt>
                <c:pt idx="1">
                  <c:v>-1</c:v>
                </c:pt>
                <c:pt idx="2">
                  <c:v>4.3</c:v>
                </c:pt>
                <c:pt idx="3">
                  <c:v>1.3</c:v>
                </c:pt>
                <c:pt idx="4">
                  <c:v>1.6</c:v>
                </c:pt>
                <c:pt idx="5">
                  <c:v>0.30000000000000032</c:v>
                </c:pt>
                <c:pt idx="6">
                  <c:v>3.9</c:v>
                </c:pt>
                <c:pt idx="7">
                  <c:v>3.2</c:v>
                </c:pt>
                <c:pt idx="8">
                  <c:v>6.8</c:v>
                </c:pt>
                <c:pt idx="9">
                  <c:v>1</c:v>
                </c:pt>
                <c:pt idx="10">
                  <c:v>1.2</c:v>
                </c:pt>
                <c:pt idx="11">
                  <c:v>1.3</c:v>
                </c:pt>
                <c:pt idx="12">
                  <c:v>2.2000000000000002</c:v>
                </c:pt>
                <c:pt idx="13">
                  <c:v>2.4</c:v>
                </c:pt>
                <c:pt idx="14">
                  <c:v>-1.1000000000000001</c:v>
                </c:pt>
                <c:pt idx="15">
                  <c:v>2.7</c:v>
                </c:pt>
                <c:pt idx="16">
                  <c:v>2.7</c:v>
                </c:pt>
                <c:pt idx="17">
                  <c:v>0.1</c:v>
                </c:pt>
                <c:pt idx="18">
                  <c:v>1.3</c:v>
                </c:pt>
                <c:pt idx="19">
                  <c:v>-0.5</c:v>
                </c:pt>
                <c:pt idx="20">
                  <c:v>0.9</c:v>
                </c:pt>
                <c:pt idx="21">
                  <c:v>0.8</c:v>
                </c:pt>
              </c:numCache>
            </c:numRef>
          </c:val>
        </c:ser>
        <c:ser>
          <c:idx val="2"/>
          <c:order val="1"/>
          <c:tx>
            <c:strRef>
              <c:f>Feuil3!$C$3</c:f>
              <c:strCache>
                <c:ptCount val="1"/>
                <c:pt idx="0">
                  <c:v>Produits non alimentaires</c:v>
                </c:pt>
              </c:strCache>
            </c:strRef>
          </c:tx>
          <c:dLbls>
            <c:dLblPos val="ctr"/>
            <c:showVal val="1"/>
          </c:dLbls>
          <c:cat>
            <c:numRef>
              <c:f>Feuil3!$A$4:$A$25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Feuil3!$C$4:$C$25</c:f>
              <c:numCache>
                <c:formatCode>0.0</c:formatCode>
                <c:ptCount val="22"/>
                <c:pt idx="0">
                  <c:v>2.2000000000000002</c:v>
                </c:pt>
                <c:pt idx="1">
                  <c:v>1.9000000000000001</c:v>
                </c:pt>
                <c:pt idx="2">
                  <c:v>1.6</c:v>
                </c:pt>
                <c:pt idx="3">
                  <c:v>1.1000000000000001</c:v>
                </c:pt>
                <c:pt idx="4">
                  <c:v>1.4</c:v>
                </c:pt>
                <c:pt idx="5">
                  <c:v>1.6</c:v>
                </c:pt>
                <c:pt idx="6">
                  <c:v>2.8</c:v>
                </c:pt>
                <c:pt idx="7">
                  <c:v>1</c:v>
                </c:pt>
                <c:pt idx="8">
                  <c:v>1.4</c:v>
                </c:pt>
                <c:pt idx="9">
                  <c:v>0.9</c:v>
                </c:pt>
                <c:pt idx="10">
                  <c:v>0.9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1.5</c:v>
                </c:pt>
                <c:pt idx="14">
                  <c:v>1.6</c:v>
                </c:pt>
                <c:pt idx="15">
                  <c:v>0.70000000000000062</c:v>
                </c:pt>
                <c:pt idx="16">
                  <c:v>0.70000000000000062</c:v>
                </c:pt>
                <c:pt idx="17">
                  <c:v>1.4</c:v>
                </c:pt>
                <c:pt idx="18">
                  <c:v>1.8</c:v>
                </c:pt>
                <c:pt idx="19">
                  <c:v>0.9</c:v>
                </c:pt>
                <c:pt idx="20">
                  <c:v>0.5</c:v>
                </c:pt>
                <c:pt idx="21">
                  <c:v>1.8</c:v>
                </c:pt>
              </c:numCache>
            </c:numRef>
          </c:val>
        </c:ser>
        <c:ser>
          <c:idx val="3"/>
          <c:order val="2"/>
          <c:tx>
            <c:strRef>
              <c:f>Feuil3!$D$3</c:f>
              <c:strCache>
                <c:ptCount val="1"/>
                <c:pt idx="0">
                  <c:v>Indice général </c:v>
                </c:pt>
              </c:strCache>
            </c:strRef>
          </c:tx>
          <c:spPr>
            <a:ln w="31750" cmpd="sng"/>
          </c:spPr>
          <c:marker>
            <c:spPr>
              <a:ln>
                <a:solidFill>
                  <a:sysClr val="windowText" lastClr="000000"/>
                </a:solidFill>
              </a:ln>
            </c:spPr>
          </c:marker>
          <c:dLbls>
            <c:dLblPos val="t"/>
            <c:showVal val="1"/>
          </c:dLbls>
          <c:cat>
            <c:numRef>
              <c:f>Feuil3!$A$4:$A$25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Feuil3!$D$4:$D$25</c:f>
              <c:numCache>
                <c:formatCode>0.0</c:formatCode>
                <c:ptCount val="22"/>
                <c:pt idx="0">
                  <c:v>1.9000000000000001</c:v>
                </c:pt>
                <c:pt idx="1">
                  <c:v>0.60000000000000064</c:v>
                </c:pt>
                <c:pt idx="2">
                  <c:v>2.8</c:v>
                </c:pt>
                <c:pt idx="3">
                  <c:v>1.2</c:v>
                </c:pt>
                <c:pt idx="4">
                  <c:v>1.5</c:v>
                </c:pt>
                <c:pt idx="5">
                  <c:v>1</c:v>
                </c:pt>
                <c:pt idx="6">
                  <c:v>3.3</c:v>
                </c:pt>
                <c:pt idx="7">
                  <c:v>2</c:v>
                </c:pt>
                <c:pt idx="8">
                  <c:v>3.9</c:v>
                </c:pt>
                <c:pt idx="9">
                  <c:v>1</c:v>
                </c:pt>
                <c:pt idx="10">
                  <c:v>0.9</c:v>
                </c:pt>
                <c:pt idx="11">
                  <c:v>0.9</c:v>
                </c:pt>
                <c:pt idx="12">
                  <c:v>1.3</c:v>
                </c:pt>
                <c:pt idx="13">
                  <c:v>1.9000000000000001</c:v>
                </c:pt>
                <c:pt idx="14">
                  <c:v>0.4</c:v>
                </c:pt>
                <c:pt idx="15">
                  <c:v>1.6</c:v>
                </c:pt>
                <c:pt idx="16">
                  <c:v>1.6</c:v>
                </c:pt>
                <c:pt idx="17">
                  <c:v>0.70000000000000062</c:v>
                </c:pt>
                <c:pt idx="18">
                  <c:v>1.9000000000000001</c:v>
                </c:pt>
                <c:pt idx="19">
                  <c:v>0.2</c:v>
                </c:pt>
                <c:pt idx="20">
                  <c:v>0.70000000000000062</c:v>
                </c:pt>
                <c:pt idx="21">
                  <c:v>1.4</c:v>
                </c:pt>
              </c:numCache>
            </c:numRef>
          </c:val>
        </c:ser>
        <c:dLbls>
          <c:showVal val="1"/>
        </c:dLbls>
        <c:marker val="1"/>
        <c:axId val="84837888"/>
        <c:axId val="89895680"/>
      </c:lineChart>
      <c:catAx>
        <c:axId val="84837888"/>
        <c:scaling>
          <c:orientation val="minMax"/>
        </c:scaling>
        <c:axPos val="b"/>
        <c:numFmt formatCode="General" sourceLinked="1"/>
        <c:majorTickMark val="none"/>
        <c:tickLblPos val="nextTo"/>
        <c:crossAx val="89895680"/>
        <c:crosses val="autoZero"/>
        <c:auto val="1"/>
        <c:lblAlgn val="ctr"/>
        <c:lblOffset val="100"/>
      </c:catAx>
      <c:valAx>
        <c:axId val="8989568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848378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9.6556170111058701E-2"/>
          <c:y val="0.9116380909968087"/>
          <c:w val="0.82826431646878385"/>
          <c:h val="6.7107969219278474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 sz="1100"/>
              <a:t>Variation moyenne de l'IPC</a:t>
            </a:r>
            <a:r>
              <a:rPr lang="en-US" sz="1100" baseline="0"/>
              <a:t> en </a:t>
            </a:r>
            <a:r>
              <a:rPr lang="en-US" sz="1100"/>
              <a:t>% </a:t>
            </a:r>
          </a:p>
          <a:p>
            <a:pPr>
              <a:defRPr/>
            </a:pPr>
            <a:r>
              <a:rPr lang="en-US" sz="1100"/>
              <a:t>2010-2021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Feuil3!$D$2</c:f>
              <c:strCache>
                <c:ptCount val="1"/>
                <c:pt idx="0">
                  <c:v>Variation moyenne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Pt>
            <c:idx val="6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  <a:effectLst>
                <a:outerShdw blurRad="50800" dist="50800" dir="5400000" algn="ctr" rotWithShape="0">
                  <a:srgbClr val="C00000"/>
                </a:outerShdw>
              </a:effectLst>
            </c:spPr>
          </c:dPt>
          <c:dLbls>
            <c:showVal val="1"/>
          </c:dLbls>
          <c:cat>
            <c:strRef>
              <c:f>Feuil3!$C$3:$C$15</c:f>
              <c:strCache>
                <c:ptCount val="13"/>
                <c:pt idx="0">
                  <c:v>COMMUNICATIONS</c:v>
                </c:pt>
                <c:pt idx="1">
                  <c:v>LOISIRS ET CULTURE</c:v>
                </c:pt>
                <c:pt idx="2">
                  <c:v>SANTÉ</c:v>
                </c:pt>
                <c:pt idx="3">
                  <c:v>MEUBLES, ARTICLES DE MENAGE ET ENTRETIEN COURANT DU FOYER</c:v>
                </c:pt>
                <c:pt idx="4">
                  <c:v>PRODUITS ALIMENTAIRES ET BOISSONS NON ALCOOLISÉES</c:v>
                </c:pt>
                <c:pt idx="5">
                  <c:v>TRANSPORTS</c:v>
                </c:pt>
                <c:pt idx="6">
                  <c:v>Indice des prix à la consommation</c:v>
                </c:pt>
                <c:pt idx="7">
                  <c:v>LOGEMENT, EAU, GAZ, ELECTRICITE ET AUTRES COMBUSTIBLES</c:v>
                </c:pt>
                <c:pt idx="8">
                  <c:v>ARTICLES D'HABILLEMENT ET CHAUSSURES</c:v>
                </c:pt>
                <c:pt idx="9">
                  <c:v>BIENS ET SERVICES DIVERS</c:v>
                </c:pt>
                <c:pt idx="10">
                  <c:v>RESTAURANTS ET HÔTELS</c:v>
                </c:pt>
                <c:pt idx="11">
                  <c:v>ENSEIGNEMENT</c:v>
                </c:pt>
                <c:pt idx="12">
                  <c:v>BOISSONS ALCOOLISÉES, TABAC ET STUPÉFIANTS</c:v>
                </c:pt>
              </c:strCache>
            </c:strRef>
          </c:cat>
          <c:val>
            <c:numRef>
              <c:f>Feuil3!$D$3:$D$15</c:f>
              <c:numCache>
                <c:formatCode>0.0</c:formatCode>
                <c:ptCount val="13"/>
                <c:pt idx="0">
                  <c:v>-3.7605136040032905</c:v>
                </c:pt>
                <c:pt idx="1">
                  <c:v>0.34959650500574724</c:v>
                </c:pt>
                <c:pt idx="2">
                  <c:v>0.45805836397821204</c:v>
                </c:pt>
                <c:pt idx="3">
                  <c:v>0.63032746295532682</c:v>
                </c:pt>
                <c:pt idx="4">
                  <c:v>1.031009259412631</c:v>
                </c:pt>
                <c:pt idx="5">
                  <c:v>1.1396267860834284</c:v>
                </c:pt>
                <c:pt idx="6">
                  <c:v>1.1478370102316893</c:v>
                </c:pt>
                <c:pt idx="7">
                  <c:v>1.1981339091876237</c:v>
                </c:pt>
                <c:pt idx="8">
                  <c:v>1.3364587949063453</c:v>
                </c:pt>
                <c:pt idx="9">
                  <c:v>1.6424461563964821</c:v>
                </c:pt>
                <c:pt idx="10">
                  <c:v>2.0424944628327402</c:v>
                </c:pt>
                <c:pt idx="11">
                  <c:v>3.1293630498407752</c:v>
                </c:pt>
                <c:pt idx="12">
                  <c:v>3.9816742591506382</c:v>
                </c:pt>
              </c:numCache>
            </c:numRef>
          </c:val>
        </c:ser>
        <c:shape val="cylinder"/>
        <c:axId val="90356736"/>
        <c:axId val="90358528"/>
        <c:axId val="0"/>
      </c:bar3DChart>
      <c:catAx>
        <c:axId val="90356736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aseline="0"/>
            </a:pPr>
            <a:endParaRPr lang="fr-FR"/>
          </a:p>
        </c:txPr>
        <c:crossAx val="90358528"/>
        <c:crosses val="autoZero"/>
        <c:auto val="1"/>
        <c:lblAlgn val="ctr"/>
        <c:lblOffset val="100"/>
      </c:catAx>
      <c:valAx>
        <c:axId val="90358528"/>
        <c:scaling>
          <c:orientation val="minMax"/>
        </c:scaling>
        <c:axPos val="b"/>
        <c:majorGridlines/>
        <c:numFmt formatCode="0.0" sourceLinked="1"/>
        <c:tickLblPos val="nextTo"/>
        <c:crossAx val="90356736"/>
        <c:crosses val="autoZero"/>
        <c:crossBetween val="between"/>
      </c:valAx>
    </c:plotArea>
    <c:plotVisOnly val="1"/>
  </c:chart>
  <c:spPr>
    <a:effectLst>
      <a:outerShdw blurRad="50800" dist="50800" dir="5400000" algn="ctr" rotWithShape="0">
        <a:srgbClr val="000000">
          <a:alpha val="76000"/>
        </a:srgbClr>
      </a:outerShdw>
    </a:effectLst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 sz="1200"/>
              <a:t>Glissement annuel de l'IPC en %</a:t>
            </a:r>
          </a:p>
        </c:rich>
      </c:tx>
    </c:title>
    <c:plotArea>
      <c:layout>
        <c:manualLayout>
          <c:layoutTarget val="inner"/>
          <c:xMode val="edge"/>
          <c:yMode val="edge"/>
          <c:x val="5.2582900821608138E-2"/>
          <c:y val="0.12750775471247924"/>
          <c:w val="0.90188660627948092"/>
          <c:h val="0.82066642806012891"/>
        </c:manualLayout>
      </c:layout>
      <c:lineChart>
        <c:grouping val="stacked"/>
        <c:ser>
          <c:idx val="0"/>
          <c:order val="0"/>
          <c:tx>
            <c:strRef>
              <c:f>'gliss ipc'!$C$2</c:f>
              <c:strCache>
                <c:ptCount val="1"/>
                <c:pt idx="0">
                  <c:v>Glissement annuel en %</c:v>
                </c:pt>
              </c:strCache>
            </c:strRef>
          </c:tx>
          <c:dLbls>
            <c:dLbl>
              <c:idx val="4"/>
              <c:layout>
                <c:manualLayout>
                  <c:x val="1.1695906432748536E-2"/>
                  <c:y val="-2.7272727272727417E-2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-1.0025062656641598E-2"/>
                  <c:y val="6.666666666666668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-1.6708437761069395E-2"/>
                  <c:y val="5.4545454545454515E-2"/>
                </c:manualLayout>
              </c:layout>
              <c:dLblPos val="t"/>
              <c:showVal val="1"/>
            </c:dLbl>
            <c:dLbl>
              <c:idx val="8"/>
              <c:layout>
                <c:manualLayout>
                  <c:x val="5.0125313283208017E-3"/>
                  <c:y val="8.181818181818136E-2"/>
                </c:manualLayout>
              </c:layout>
              <c:dLblPos val="t"/>
              <c:showVal val="1"/>
            </c:dLbl>
            <c:dLbl>
              <c:idx val="11"/>
              <c:layout>
                <c:manualLayout>
                  <c:x val="-1.8379281537176273E-2"/>
                  <c:y val="3.6363636363636362E-2"/>
                </c:manualLayout>
              </c:layout>
              <c:dLblPos val="t"/>
              <c:showVal val="1"/>
            </c:dLbl>
            <c:dLbl>
              <c:idx val="12"/>
              <c:layout>
                <c:manualLayout>
                  <c:x val="5.0125313283208017E-3"/>
                  <c:y val="2.1212121212121213E-2"/>
                </c:manualLayout>
              </c:layout>
              <c:dLblPos val="t"/>
              <c:showVal val="1"/>
            </c:dLbl>
            <c:dLbl>
              <c:idx val="13"/>
              <c:layout>
                <c:manualLayout>
                  <c:x val="2.3391812865497082E-2"/>
                  <c:y val="4.5454545454545463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-2.1720969089390151E-2"/>
                  <c:y val="3.9393939393939391E-2"/>
                </c:manualLayout>
              </c:layout>
              <c:dLblPos val="t"/>
              <c:showVal val="1"/>
            </c:dLbl>
            <c:dLbl>
              <c:idx val="15"/>
              <c:layout>
                <c:manualLayout>
                  <c:x val="-1.5037593984962405E-2"/>
                  <c:y val="1.818181818181824E-2"/>
                </c:manualLayout>
              </c:layout>
              <c:dLblPos val="t"/>
              <c:showVal val="1"/>
            </c:dLbl>
            <c:dLbl>
              <c:idx val="16"/>
              <c:layout>
                <c:manualLayout>
                  <c:x val="8.3542188805346695E-3"/>
                  <c:y val="1.2121212121212118E-2"/>
                </c:manualLayout>
              </c:layout>
              <c:dLblPos val="t"/>
              <c:showVal val="1"/>
            </c:dLbl>
            <c:dLbl>
              <c:idx val="17"/>
              <c:layout>
                <c:manualLayout>
                  <c:x val="1.8379281537176273E-2"/>
                  <c:y val="2.1212121212121213E-2"/>
                </c:manualLayout>
              </c:layout>
              <c:dLblPos val="t"/>
              <c:showVal val="1"/>
            </c:dLbl>
            <c:dLbl>
              <c:idx val="18"/>
              <c:layout>
                <c:manualLayout>
                  <c:x val="1.8379281537176273E-2"/>
                  <c:y val="2.1212121212121213E-2"/>
                </c:manualLayout>
              </c:layout>
              <c:dLblPos val="t"/>
              <c:showVal val="1"/>
            </c:dLbl>
            <c:dLbl>
              <c:idx val="19"/>
              <c:layout>
                <c:manualLayout>
                  <c:x val="1.5037593984962405E-2"/>
                  <c:y val="1.818181818181824E-2"/>
                </c:manualLayout>
              </c:layout>
              <c:dLblPos val="t"/>
              <c:showVal val="1"/>
            </c:dLbl>
            <c:dLbl>
              <c:idx val="20"/>
              <c:layout>
                <c:manualLayout>
                  <c:x val="-1.8379281537176273E-2"/>
                  <c:y val="3.6363636363636362E-2"/>
                </c:manualLayout>
              </c:layout>
              <c:dLblPos val="t"/>
              <c:showVal val="1"/>
            </c:dLbl>
            <c:dLbl>
              <c:idx val="21"/>
              <c:layout>
                <c:manualLayout>
                  <c:x val="1.6708437761069413E-3"/>
                  <c:y val="6.0606060606060622E-2"/>
                </c:manualLayout>
              </c:layout>
              <c:dLblPos val="t"/>
              <c:showVal val="1"/>
            </c:dLbl>
            <c:dLbl>
              <c:idx val="22"/>
              <c:layout>
                <c:manualLayout>
                  <c:x val="5.0125313283208017E-3"/>
                  <c:y val="6.0606060606060623E-3"/>
                </c:manualLayout>
              </c:layout>
              <c:dLblPos val="t"/>
              <c:showVal val="1"/>
            </c:dLbl>
            <c:dLbl>
              <c:idx val="23"/>
              <c:layout>
                <c:manualLayout>
                  <c:x val="-1.8379281537176273E-2"/>
                  <c:y val="1.818181818181824E-2"/>
                </c:manualLayout>
              </c:layout>
              <c:dLblPos val="t"/>
              <c:showVal val="1"/>
            </c:dLbl>
            <c:dLbl>
              <c:idx val="25"/>
              <c:layout>
                <c:manualLayout>
                  <c:x val="0"/>
                  <c:y val="3.333333333333334E-2"/>
                </c:manualLayout>
              </c:layout>
              <c:dLblPos val="t"/>
              <c:showVal val="1"/>
            </c:dLbl>
            <c:dLbl>
              <c:idx val="26"/>
              <c:layout>
                <c:manualLayout>
                  <c:x val="1.5037593984962405E-2"/>
                  <c:y val="3.6363636363636362E-2"/>
                </c:manualLayout>
              </c:layout>
              <c:dLblPos val="t"/>
              <c:showVal val="1"/>
            </c:dLbl>
            <c:dLbl>
              <c:idx val="27"/>
              <c:layout>
                <c:manualLayout>
                  <c:x val="-1.3366750208855539E-2"/>
                  <c:y val="2.4242424242424229E-2"/>
                </c:manualLayout>
              </c:layout>
              <c:dLblPos val="t"/>
              <c:showVal val="1"/>
            </c:dLbl>
            <c:dLbl>
              <c:idx val="28"/>
              <c:layout>
                <c:manualLayout>
                  <c:x val="8.3540873180326762E-3"/>
                  <c:y val="1.818181818181824E-2"/>
                </c:manualLayout>
              </c:layout>
              <c:dLblPos val="t"/>
              <c:showVal val="1"/>
            </c:dLbl>
            <c:dLbl>
              <c:idx val="29"/>
              <c:layout>
                <c:manualLayout>
                  <c:x val="5.0125313283208633E-3"/>
                  <c:y val="5.7575757575757391E-2"/>
                </c:manualLayout>
              </c:layout>
              <c:dLblPos val="t"/>
              <c:showVal val="1"/>
            </c:dLbl>
            <c:dLbl>
              <c:idx val="30"/>
              <c:layout>
                <c:manualLayout>
                  <c:x val="1.5037593984962405E-2"/>
                  <c:y val="5.1515151515151486E-2"/>
                </c:manualLayout>
              </c:layout>
              <c:dLblPos val="t"/>
              <c:showVal val="1"/>
            </c:dLbl>
            <c:dLbl>
              <c:idx val="35"/>
              <c:layout>
                <c:manualLayout>
                  <c:x val="-6.6833751044277434E-3"/>
                  <c:y val="3.333333333333334E-2"/>
                </c:manualLayout>
              </c:layout>
              <c:dLblPos val="t"/>
              <c:showVal val="1"/>
            </c:dLbl>
            <c:dLbl>
              <c:idx val="47"/>
              <c:layout>
                <c:manualLayout>
                  <c:x val="5.0125313283208017E-3"/>
                  <c:y val="7.8787878787878671E-2"/>
                </c:manualLayout>
              </c:layout>
              <c:dLblPos val="t"/>
              <c:showVal val="1"/>
            </c:dLbl>
            <c:dLbl>
              <c:idx val="55"/>
              <c:layout>
                <c:manualLayout>
                  <c:x val="3.3416875522138691E-3"/>
                  <c:y val="7.2727272727272724E-2"/>
                </c:manualLayout>
              </c:layout>
              <c:dLblPos val="t"/>
              <c:showVal val="1"/>
            </c:dLbl>
            <c:dLblPos val="t"/>
            <c:showVal val="1"/>
          </c:dLbls>
          <c:cat>
            <c:numRef>
              <c:f>'gliss ipc'!$B$3:$B$64</c:f>
              <c:numCache>
                <c:formatCode>mmm\-yy</c:formatCode>
                <c:ptCount val="62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  <c:pt idx="57">
                  <c:v>44470</c:v>
                </c:pt>
                <c:pt idx="58">
                  <c:v>44501</c:v>
                </c:pt>
                <c:pt idx="59">
                  <c:v>44531</c:v>
                </c:pt>
                <c:pt idx="60">
                  <c:v>44562</c:v>
                </c:pt>
                <c:pt idx="61">
                  <c:v>44593</c:v>
                </c:pt>
              </c:numCache>
            </c:numRef>
          </c:cat>
          <c:val>
            <c:numRef>
              <c:f>'gliss ipc'!$C$3:$C$64</c:f>
              <c:numCache>
                <c:formatCode>General</c:formatCode>
                <c:ptCount val="62"/>
                <c:pt idx="0">
                  <c:v>2.1</c:v>
                </c:pt>
                <c:pt idx="1">
                  <c:v>1.6</c:v>
                </c:pt>
                <c:pt idx="2">
                  <c:v>0.1</c:v>
                </c:pt>
                <c:pt idx="3">
                  <c:v>0.30000000000000032</c:v>
                </c:pt>
                <c:pt idx="4">
                  <c:v>0.30000000000000032</c:v>
                </c:pt>
                <c:pt idx="5">
                  <c:v>0.30000000000000032</c:v>
                </c:pt>
                <c:pt idx="6">
                  <c:v>-0.1</c:v>
                </c:pt>
                <c:pt idx="7">
                  <c:v>0.30000000000000032</c:v>
                </c:pt>
                <c:pt idx="8">
                  <c:v>0.4</c:v>
                </c:pt>
                <c:pt idx="9">
                  <c:v>0.60000000000000064</c:v>
                </c:pt>
                <c:pt idx="10">
                  <c:v>1.3</c:v>
                </c:pt>
                <c:pt idx="11">
                  <c:v>1.9000000000000001</c:v>
                </c:pt>
                <c:pt idx="12">
                  <c:v>2</c:v>
                </c:pt>
                <c:pt idx="13">
                  <c:v>1.8</c:v>
                </c:pt>
                <c:pt idx="14">
                  <c:v>2.5</c:v>
                </c:pt>
                <c:pt idx="15">
                  <c:v>2.7</c:v>
                </c:pt>
                <c:pt idx="16">
                  <c:v>2.6</c:v>
                </c:pt>
                <c:pt idx="17">
                  <c:v>2.5</c:v>
                </c:pt>
                <c:pt idx="18">
                  <c:v>2.1</c:v>
                </c:pt>
                <c:pt idx="19">
                  <c:v>1.7</c:v>
                </c:pt>
                <c:pt idx="20">
                  <c:v>1.1000000000000001</c:v>
                </c:pt>
                <c:pt idx="21">
                  <c:v>1.1000000000000001</c:v>
                </c:pt>
                <c:pt idx="22">
                  <c:v>1.3</c:v>
                </c:pt>
                <c:pt idx="23">
                  <c:v>0.1</c:v>
                </c:pt>
                <c:pt idx="24">
                  <c:v>-0.5</c:v>
                </c:pt>
                <c:pt idx="25">
                  <c:v>0</c:v>
                </c:pt>
                <c:pt idx="26">
                  <c:v>-0.1</c:v>
                </c:pt>
                <c:pt idx="27">
                  <c:v>0.2</c:v>
                </c:pt>
                <c:pt idx="28">
                  <c:v>0.30000000000000032</c:v>
                </c:pt>
                <c:pt idx="29">
                  <c:v>0.2</c:v>
                </c:pt>
                <c:pt idx="30">
                  <c:v>0.30000000000000032</c:v>
                </c:pt>
                <c:pt idx="31">
                  <c:v>0.8</c:v>
                </c:pt>
                <c:pt idx="32">
                  <c:v>0.30000000000000032</c:v>
                </c:pt>
                <c:pt idx="33">
                  <c:v>0.70000000000000062</c:v>
                </c:pt>
                <c:pt idx="34">
                  <c:v>0.4</c:v>
                </c:pt>
                <c:pt idx="35">
                  <c:v>1.2</c:v>
                </c:pt>
                <c:pt idx="36">
                  <c:v>1.3</c:v>
                </c:pt>
                <c:pt idx="37">
                  <c:v>1.1000000000000001</c:v>
                </c:pt>
                <c:pt idx="38">
                  <c:v>1.5</c:v>
                </c:pt>
                <c:pt idx="39">
                  <c:v>0.8</c:v>
                </c:pt>
                <c:pt idx="40">
                  <c:v>-0.1</c:v>
                </c:pt>
                <c:pt idx="41">
                  <c:v>-0.5</c:v>
                </c:pt>
                <c:pt idx="42">
                  <c:v>0</c:v>
                </c:pt>
                <c:pt idx="43">
                  <c:v>1.1000000000000001</c:v>
                </c:pt>
                <c:pt idx="44">
                  <c:v>1.6</c:v>
                </c:pt>
                <c:pt idx="45">
                  <c:v>1.4</c:v>
                </c:pt>
                <c:pt idx="46">
                  <c:v>0.2</c:v>
                </c:pt>
                <c:pt idx="47">
                  <c:v>-0.2</c:v>
                </c:pt>
                <c:pt idx="48">
                  <c:v>0</c:v>
                </c:pt>
                <c:pt idx="49">
                  <c:v>0.30000000000000032</c:v>
                </c:pt>
                <c:pt idx="50">
                  <c:v>0.1</c:v>
                </c:pt>
                <c:pt idx="51">
                  <c:v>1.3</c:v>
                </c:pt>
                <c:pt idx="52">
                  <c:v>1.9000000000000001</c:v>
                </c:pt>
                <c:pt idx="53">
                  <c:v>1.5</c:v>
                </c:pt>
                <c:pt idx="54">
                  <c:v>2.2000000000000002</c:v>
                </c:pt>
                <c:pt idx="55">
                  <c:v>0.70000000000000062</c:v>
                </c:pt>
                <c:pt idx="56">
                  <c:v>1.2</c:v>
                </c:pt>
                <c:pt idx="57">
                  <c:v>1.7</c:v>
                </c:pt>
                <c:pt idx="58">
                  <c:v>2.6</c:v>
                </c:pt>
                <c:pt idx="59">
                  <c:v>3.3</c:v>
                </c:pt>
                <c:pt idx="60">
                  <c:v>3.1</c:v>
                </c:pt>
                <c:pt idx="61">
                  <c:v>3.6</c:v>
                </c:pt>
              </c:numCache>
            </c:numRef>
          </c:val>
        </c:ser>
        <c:marker val="1"/>
        <c:axId val="91489408"/>
        <c:axId val="91491328"/>
      </c:lineChart>
      <c:dateAx>
        <c:axId val="91489408"/>
        <c:scaling>
          <c:orientation val="minMax"/>
        </c:scaling>
        <c:axPos val="b"/>
        <c:numFmt formatCode="mmm\-yy" sourceLinked="1"/>
        <c:tickLblPos val="nextTo"/>
        <c:crossAx val="91491328"/>
        <c:crosses val="autoZero"/>
        <c:lblOffset val="100"/>
        <c:baseTimeUnit val="months"/>
      </c:dateAx>
      <c:valAx>
        <c:axId val="91491328"/>
        <c:scaling>
          <c:orientation val="minMax"/>
        </c:scaling>
        <c:axPos val="l"/>
        <c:majorGridlines/>
        <c:numFmt formatCode="General" sourceLinked="1"/>
        <c:tickLblPos val="nextTo"/>
        <c:crossAx val="91489408"/>
        <c:crosses val="autoZero"/>
        <c:crossBetween val="midCat"/>
      </c:valAx>
    </c:plotArea>
    <c:plotVisOnly val="1"/>
  </c:chart>
  <c:spPr>
    <a:effectLst>
      <a:outerShdw blurRad="50800" dist="50800" dir="5400000" algn="ctr" rotWithShape="0">
        <a:srgbClr val="000000">
          <a:alpha val="68000"/>
        </a:srgbClr>
      </a:outerShdw>
    </a:effectLst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200"/>
              <a:t>Glissement annuel en %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'gliss pr import'!$B$2</c:f>
              <c:strCache>
                <c:ptCount val="1"/>
                <c:pt idx="0">
                  <c:v>PAIN ET CEREALES</c:v>
                </c:pt>
              </c:strCache>
            </c:strRef>
          </c:tx>
          <c:marker>
            <c:symbol val="plus"/>
            <c:size val="3"/>
          </c:marker>
          <c:dLbls>
            <c:dLbl>
              <c:idx val="61"/>
              <c:layout>
                <c:manualLayout>
                  <c:x val="0"/>
                  <c:y val="5.2713178294573733E-2"/>
                </c:manualLayout>
              </c:layout>
              <c:showVal val="1"/>
            </c:dLbl>
            <c:delete val="1"/>
          </c:dLbls>
          <c:cat>
            <c:numRef>
              <c:f>'gliss pr import'!$A$3:$A$64</c:f>
              <c:numCache>
                <c:formatCode>mmm\-yy</c:formatCode>
                <c:ptCount val="62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  <c:pt idx="57">
                  <c:v>44470</c:v>
                </c:pt>
                <c:pt idx="58">
                  <c:v>44501</c:v>
                </c:pt>
                <c:pt idx="59">
                  <c:v>44531</c:v>
                </c:pt>
                <c:pt idx="60">
                  <c:v>44562</c:v>
                </c:pt>
                <c:pt idx="61">
                  <c:v>44593</c:v>
                </c:pt>
              </c:numCache>
            </c:numRef>
          </c:cat>
          <c:val>
            <c:numRef>
              <c:f>'gliss pr import'!$B$3:$B$64</c:f>
              <c:numCache>
                <c:formatCode>General</c:formatCode>
                <c:ptCount val="62"/>
                <c:pt idx="0">
                  <c:v>0.60000000000000064</c:v>
                </c:pt>
                <c:pt idx="1">
                  <c:v>0.30000000000000032</c:v>
                </c:pt>
                <c:pt idx="2">
                  <c:v>0.1</c:v>
                </c:pt>
                <c:pt idx="3">
                  <c:v>0.30000000000000032</c:v>
                </c:pt>
                <c:pt idx="4">
                  <c:v>-0.2</c:v>
                </c:pt>
                <c:pt idx="5">
                  <c:v>-0.4</c:v>
                </c:pt>
                <c:pt idx="6">
                  <c:v>-0.70000000000000062</c:v>
                </c:pt>
                <c:pt idx="7">
                  <c:v>-0.70000000000000062</c:v>
                </c:pt>
                <c:pt idx="8">
                  <c:v>-0.9</c:v>
                </c:pt>
                <c:pt idx="9">
                  <c:v>-0.8</c:v>
                </c:pt>
                <c:pt idx="10">
                  <c:v>-0.60000000000000064</c:v>
                </c:pt>
                <c:pt idx="11">
                  <c:v>-0.60000000000000064</c:v>
                </c:pt>
                <c:pt idx="12">
                  <c:v>-0.70000000000000062</c:v>
                </c:pt>
                <c:pt idx="13">
                  <c:v>-0.9</c:v>
                </c:pt>
                <c:pt idx="14">
                  <c:v>-0.9</c:v>
                </c:pt>
                <c:pt idx="15">
                  <c:v>-0.9</c:v>
                </c:pt>
                <c:pt idx="16">
                  <c:v>-0.60000000000000064</c:v>
                </c:pt>
                <c:pt idx="17">
                  <c:v>-0.5</c:v>
                </c:pt>
                <c:pt idx="18">
                  <c:v>-0.5</c:v>
                </c:pt>
                <c:pt idx="19">
                  <c:v>-0.60000000000000064</c:v>
                </c:pt>
                <c:pt idx="20">
                  <c:v>-0.5</c:v>
                </c:pt>
                <c:pt idx="21">
                  <c:v>-0.5</c:v>
                </c:pt>
                <c:pt idx="22">
                  <c:v>-0.60000000000000064</c:v>
                </c:pt>
                <c:pt idx="23">
                  <c:v>-1</c:v>
                </c:pt>
                <c:pt idx="24">
                  <c:v>-1</c:v>
                </c:pt>
                <c:pt idx="25">
                  <c:v>-0.8</c:v>
                </c:pt>
                <c:pt idx="26">
                  <c:v>-0.60000000000000064</c:v>
                </c:pt>
                <c:pt idx="27">
                  <c:v>-0.4</c:v>
                </c:pt>
                <c:pt idx="28">
                  <c:v>-0.2</c:v>
                </c:pt>
                <c:pt idx="29">
                  <c:v>0</c:v>
                </c:pt>
                <c:pt idx="30">
                  <c:v>0</c:v>
                </c:pt>
                <c:pt idx="31">
                  <c:v>0.2</c:v>
                </c:pt>
                <c:pt idx="32">
                  <c:v>0.2</c:v>
                </c:pt>
                <c:pt idx="33">
                  <c:v>0.2</c:v>
                </c:pt>
                <c:pt idx="34">
                  <c:v>0.30000000000000032</c:v>
                </c:pt>
                <c:pt idx="35">
                  <c:v>0.60000000000000064</c:v>
                </c:pt>
                <c:pt idx="36">
                  <c:v>0.9</c:v>
                </c:pt>
                <c:pt idx="37">
                  <c:v>1</c:v>
                </c:pt>
                <c:pt idx="38">
                  <c:v>1.4</c:v>
                </c:pt>
                <c:pt idx="39">
                  <c:v>1.5</c:v>
                </c:pt>
                <c:pt idx="40">
                  <c:v>1.1000000000000001</c:v>
                </c:pt>
                <c:pt idx="41">
                  <c:v>1</c:v>
                </c:pt>
                <c:pt idx="42">
                  <c:v>1.2</c:v>
                </c:pt>
                <c:pt idx="43">
                  <c:v>1.2</c:v>
                </c:pt>
                <c:pt idx="44">
                  <c:v>1</c:v>
                </c:pt>
                <c:pt idx="45">
                  <c:v>0.60000000000000064</c:v>
                </c:pt>
                <c:pt idx="46">
                  <c:v>0.5</c:v>
                </c:pt>
                <c:pt idx="47">
                  <c:v>0.60000000000000064</c:v>
                </c:pt>
                <c:pt idx="48">
                  <c:v>0.2</c:v>
                </c:pt>
                <c:pt idx="49">
                  <c:v>-0.1</c:v>
                </c:pt>
                <c:pt idx="50">
                  <c:v>-0.2</c:v>
                </c:pt>
                <c:pt idx="51">
                  <c:v>-0.5</c:v>
                </c:pt>
                <c:pt idx="52">
                  <c:v>-0.5</c:v>
                </c:pt>
                <c:pt idx="53">
                  <c:v>-1.1000000000000001</c:v>
                </c:pt>
                <c:pt idx="54">
                  <c:v>-0.70000000000000062</c:v>
                </c:pt>
                <c:pt idx="55">
                  <c:v>0.2</c:v>
                </c:pt>
                <c:pt idx="56">
                  <c:v>5</c:v>
                </c:pt>
                <c:pt idx="57">
                  <c:v>6</c:v>
                </c:pt>
                <c:pt idx="58">
                  <c:v>6.6</c:v>
                </c:pt>
                <c:pt idx="59">
                  <c:v>7.5</c:v>
                </c:pt>
                <c:pt idx="60">
                  <c:v>9.8000000000000007</c:v>
                </c:pt>
                <c:pt idx="61">
                  <c:v>13.2</c:v>
                </c:pt>
              </c:numCache>
            </c:numRef>
          </c:val>
        </c:ser>
        <c:ser>
          <c:idx val="3"/>
          <c:order val="1"/>
          <c:tx>
            <c:strRef>
              <c:f>'gliss pr import'!$E$2</c:f>
              <c:strCache>
                <c:ptCount val="1"/>
                <c:pt idx="0">
                  <c:v>HUILES ET GRAISSES</c:v>
                </c:pt>
              </c:strCache>
            </c:strRef>
          </c:tx>
          <c:marker>
            <c:symbol val="diamond"/>
            <c:size val="5"/>
          </c:marker>
          <c:dLbls>
            <c:dLbl>
              <c:idx val="61"/>
              <c:layout>
                <c:manualLayout>
                  <c:x val="-3.2921810699588572E-3"/>
                  <c:y val="-3.7209302325581513E-2"/>
                </c:manualLayout>
              </c:layout>
              <c:showVal val="1"/>
            </c:dLbl>
            <c:delete val="1"/>
          </c:dLbls>
          <c:cat>
            <c:numRef>
              <c:f>'gliss pr import'!$A$3:$A$64</c:f>
              <c:numCache>
                <c:formatCode>mmm\-yy</c:formatCode>
                <c:ptCount val="62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  <c:pt idx="57">
                  <c:v>44470</c:v>
                </c:pt>
                <c:pt idx="58">
                  <c:v>44501</c:v>
                </c:pt>
                <c:pt idx="59">
                  <c:v>44531</c:v>
                </c:pt>
                <c:pt idx="60">
                  <c:v>44562</c:v>
                </c:pt>
                <c:pt idx="61">
                  <c:v>44593</c:v>
                </c:pt>
              </c:numCache>
            </c:numRef>
          </c:cat>
          <c:val>
            <c:numRef>
              <c:f>'gliss pr import'!$E$3:$E$64</c:f>
              <c:numCache>
                <c:formatCode>General</c:formatCode>
                <c:ptCount val="62"/>
                <c:pt idx="0">
                  <c:v>4.5</c:v>
                </c:pt>
                <c:pt idx="1">
                  <c:v>5.4</c:v>
                </c:pt>
                <c:pt idx="2">
                  <c:v>5.7</c:v>
                </c:pt>
                <c:pt idx="3">
                  <c:v>6.4</c:v>
                </c:pt>
                <c:pt idx="4">
                  <c:v>6.5</c:v>
                </c:pt>
                <c:pt idx="5">
                  <c:v>7.2</c:v>
                </c:pt>
                <c:pt idx="6">
                  <c:v>7</c:v>
                </c:pt>
                <c:pt idx="7">
                  <c:v>7.1</c:v>
                </c:pt>
                <c:pt idx="8">
                  <c:v>8.2000000000000011</c:v>
                </c:pt>
                <c:pt idx="9">
                  <c:v>10.4</c:v>
                </c:pt>
                <c:pt idx="10">
                  <c:v>9.7000000000000011</c:v>
                </c:pt>
                <c:pt idx="11">
                  <c:v>8.7000000000000011</c:v>
                </c:pt>
                <c:pt idx="12">
                  <c:v>6.8</c:v>
                </c:pt>
                <c:pt idx="13">
                  <c:v>5.8</c:v>
                </c:pt>
                <c:pt idx="14">
                  <c:v>5.8</c:v>
                </c:pt>
                <c:pt idx="15">
                  <c:v>5.3</c:v>
                </c:pt>
                <c:pt idx="16">
                  <c:v>5.0999999999999996</c:v>
                </c:pt>
                <c:pt idx="17">
                  <c:v>4.3</c:v>
                </c:pt>
                <c:pt idx="18">
                  <c:v>3.6</c:v>
                </c:pt>
                <c:pt idx="19">
                  <c:v>3.5</c:v>
                </c:pt>
                <c:pt idx="20">
                  <c:v>2.6</c:v>
                </c:pt>
                <c:pt idx="21">
                  <c:v>0.70000000000000062</c:v>
                </c:pt>
                <c:pt idx="22">
                  <c:v>-1.9000000000000001</c:v>
                </c:pt>
                <c:pt idx="23">
                  <c:v>-4.4000000000000004</c:v>
                </c:pt>
                <c:pt idx="24">
                  <c:v>-7.3</c:v>
                </c:pt>
                <c:pt idx="25">
                  <c:v>-8.8000000000000007</c:v>
                </c:pt>
                <c:pt idx="26">
                  <c:v>-9.5</c:v>
                </c:pt>
                <c:pt idx="27">
                  <c:v>-9.6</c:v>
                </c:pt>
                <c:pt idx="28">
                  <c:v>-9.9</c:v>
                </c:pt>
                <c:pt idx="29">
                  <c:v>-10.7</c:v>
                </c:pt>
                <c:pt idx="30">
                  <c:v>-10.1</c:v>
                </c:pt>
                <c:pt idx="31">
                  <c:v>-9.4</c:v>
                </c:pt>
                <c:pt idx="32">
                  <c:v>-8.8000000000000007</c:v>
                </c:pt>
                <c:pt idx="33">
                  <c:v>-8.6</c:v>
                </c:pt>
                <c:pt idx="34">
                  <c:v>-7</c:v>
                </c:pt>
                <c:pt idx="35">
                  <c:v>-4.8</c:v>
                </c:pt>
                <c:pt idx="36">
                  <c:v>-1.9000000000000001</c:v>
                </c:pt>
                <c:pt idx="37">
                  <c:v>0.1</c:v>
                </c:pt>
                <c:pt idx="38">
                  <c:v>1.5</c:v>
                </c:pt>
                <c:pt idx="39">
                  <c:v>2.1</c:v>
                </c:pt>
                <c:pt idx="40">
                  <c:v>2.4</c:v>
                </c:pt>
                <c:pt idx="41">
                  <c:v>2.6</c:v>
                </c:pt>
                <c:pt idx="42">
                  <c:v>2</c:v>
                </c:pt>
                <c:pt idx="43">
                  <c:v>1.3</c:v>
                </c:pt>
                <c:pt idx="44">
                  <c:v>0.5</c:v>
                </c:pt>
                <c:pt idx="45">
                  <c:v>0.2</c:v>
                </c:pt>
                <c:pt idx="46">
                  <c:v>-0.1</c:v>
                </c:pt>
                <c:pt idx="47">
                  <c:v>0.30000000000000032</c:v>
                </c:pt>
                <c:pt idx="48">
                  <c:v>1.8</c:v>
                </c:pt>
                <c:pt idx="49">
                  <c:v>3.9</c:v>
                </c:pt>
                <c:pt idx="50">
                  <c:v>4.4000000000000004</c:v>
                </c:pt>
                <c:pt idx="51">
                  <c:v>4.5999999999999996</c:v>
                </c:pt>
                <c:pt idx="52">
                  <c:v>4.8</c:v>
                </c:pt>
                <c:pt idx="53">
                  <c:v>6.7</c:v>
                </c:pt>
                <c:pt idx="54">
                  <c:v>8.2000000000000011</c:v>
                </c:pt>
                <c:pt idx="55">
                  <c:v>9.3000000000000007</c:v>
                </c:pt>
                <c:pt idx="56">
                  <c:v>12.2</c:v>
                </c:pt>
                <c:pt idx="57">
                  <c:v>13.2</c:v>
                </c:pt>
                <c:pt idx="58">
                  <c:v>14.7</c:v>
                </c:pt>
                <c:pt idx="59">
                  <c:v>15.6</c:v>
                </c:pt>
                <c:pt idx="60">
                  <c:v>14.8</c:v>
                </c:pt>
                <c:pt idx="61">
                  <c:v>13.7</c:v>
                </c:pt>
              </c:numCache>
            </c:numRef>
          </c:val>
        </c:ser>
        <c:ser>
          <c:idx val="6"/>
          <c:order val="2"/>
          <c:tx>
            <c:strRef>
              <c:f>'gliss pr import'!$H$2</c:f>
              <c:strCache>
                <c:ptCount val="1"/>
                <c:pt idx="0">
                  <c:v>CARBURANTS ET LUBRIFIANTS POUR VEHICULES DE TOURISME</c:v>
                </c:pt>
              </c:strCache>
            </c:strRef>
          </c:tx>
          <c:marker>
            <c:symbol val="triangle"/>
            <c:size val="4"/>
          </c:marker>
          <c:dLbls>
            <c:dLbl>
              <c:idx val="61"/>
              <c:layout>
                <c:manualLayout>
                  <c:x val="0"/>
                  <c:y val="-3.1007751937984489E-2"/>
                </c:manualLayout>
              </c:layout>
              <c:showVal val="1"/>
            </c:dLbl>
            <c:delete val="1"/>
          </c:dLbls>
          <c:cat>
            <c:numRef>
              <c:f>'gliss pr import'!$A$3:$A$64</c:f>
              <c:numCache>
                <c:formatCode>mmm\-yy</c:formatCode>
                <c:ptCount val="62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  <c:pt idx="57">
                  <c:v>44470</c:v>
                </c:pt>
                <c:pt idx="58">
                  <c:v>44501</c:v>
                </c:pt>
                <c:pt idx="59">
                  <c:v>44531</c:v>
                </c:pt>
                <c:pt idx="60">
                  <c:v>44562</c:v>
                </c:pt>
                <c:pt idx="61">
                  <c:v>44593</c:v>
                </c:pt>
              </c:numCache>
            </c:numRef>
          </c:cat>
          <c:val>
            <c:numRef>
              <c:f>'gliss pr import'!$H$3:$H$64</c:f>
              <c:numCache>
                <c:formatCode>General</c:formatCode>
                <c:ptCount val="62"/>
                <c:pt idx="0">
                  <c:v>19.399999999999999</c:v>
                </c:pt>
                <c:pt idx="1">
                  <c:v>20.8</c:v>
                </c:pt>
                <c:pt idx="2">
                  <c:v>18.5</c:v>
                </c:pt>
                <c:pt idx="3">
                  <c:v>11.2</c:v>
                </c:pt>
                <c:pt idx="4">
                  <c:v>6.5</c:v>
                </c:pt>
                <c:pt idx="5">
                  <c:v>1.3</c:v>
                </c:pt>
                <c:pt idx="6">
                  <c:v>0.4</c:v>
                </c:pt>
                <c:pt idx="7">
                  <c:v>6.6</c:v>
                </c:pt>
                <c:pt idx="8">
                  <c:v>5.8</c:v>
                </c:pt>
                <c:pt idx="9">
                  <c:v>5.5</c:v>
                </c:pt>
                <c:pt idx="10">
                  <c:v>6.6</c:v>
                </c:pt>
                <c:pt idx="11">
                  <c:v>6.7</c:v>
                </c:pt>
                <c:pt idx="12">
                  <c:v>2.9</c:v>
                </c:pt>
                <c:pt idx="13">
                  <c:v>3</c:v>
                </c:pt>
                <c:pt idx="14">
                  <c:v>0.70000000000000062</c:v>
                </c:pt>
                <c:pt idx="15">
                  <c:v>5</c:v>
                </c:pt>
                <c:pt idx="16">
                  <c:v>7</c:v>
                </c:pt>
                <c:pt idx="17">
                  <c:v>9.2000000000000011</c:v>
                </c:pt>
                <c:pt idx="18">
                  <c:v>11.8</c:v>
                </c:pt>
                <c:pt idx="19">
                  <c:v>9.3000000000000007</c:v>
                </c:pt>
                <c:pt idx="20">
                  <c:v>7.4</c:v>
                </c:pt>
                <c:pt idx="21">
                  <c:v>8.1</c:v>
                </c:pt>
                <c:pt idx="22">
                  <c:v>4.4000000000000004</c:v>
                </c:pt>
                <c:pt idx="23">
                  <c:v>-5.0999999999999996</c:v>
                </c:pt>
                <c:pt idx="24">
                  <c:v>-10.7</c:v>
                </c:pt>
                <c:pt idx="25">
                  <c:v>-7.9</c:v>
                </c:pt>
                <c:pt idx="26">
                  <c:v>-1</c:v>
                </c:pt>
                <c:pt idx="27">
                  <c:v>-1.2</c:v>
                </c:pt>
                <c:pt idx="28">
                  <c:v>0.4</c:v>
                </c:pt>
                <c:pt idx="29">
                  <c:v>-1.8</c:v>
                </c:pt>
                <c:pt idx="30">
                  <c:v>-2.6</c:v>
                </c:pt>
                <c:pt idx="31">
                  <c:v>-2.9</c:v>
                </c:pt>
                <c:pt idx="32">
                  <c:v>-4.5</c:v>
                </c:pt>
                <c:pt idx="33">
                  <c:v>-3.6</c:v>
                </c:pt>
                <c:pt idx="34">
                  <c:v>-3.2</c:v>
                </c:pt>
                <c:pt idx="35">
                  <c:v>5.9</c:v>
                </c:pt>
                <c:pt idx="36">
                  <c:v>13.9</c:v>
                </c:pt>
                <c:pt idx="37">
                  <c:v>4.3</c:v>
                </c:pt>
                <c:pt idx="38">
                  <c:v>-7.5</c:v>
                </c:pt>
                <c:pt idx="39">
                  <c:v>-24.5</c:v>
                </c:pt>
                <c:pt idx="40">
                  <c:v>-27.3</c:v>
                </c:pt>
                <c:pt idx="41">
                  <c:v>-20.399999999999999</c:v>
                </c:pt>
                <c:pt idx="42">
                  <c:v>-14.1</c:v>
                </c:pt>
                <c:pt idx="43">
                  <c:v>-13.4</c:v>
                </c:pt>
                <c:pt idx="44">
                  <c:v>-13</c:v>
                </c:pt>
                <c:pt idx="45">
                  <c:v>-16.399999999999999</c:v>
                </c:pt>
                <c:pt idx="46">
                  <c:v>-15.5</c:v>
                </c:pt>
                <c:pt idx="47">
                  <c:v>-12.4</c:v>
                </c:pt>
                <c:pt idx="48">
                  <c:v>-12</c:v>
                </c:pt>
                <c:pt idx="49">
                  <c:v>-4.9000000000000004</c:v>
                </c:pt>
                <c:pt idx="50">
                  <c:v>4.5</c:v>
                </c:pt>
                <c:pt idx="51">
                  <c:v>23.6</c:v>
                </c:pt>
                <c:pt idx="52">
                  <c:v>25.6</c:v>
                </c:pt>
                <c:pt idx="53">
                  <c:v>17.7</c:v>
                </c:pt>
                <c:pt idx="54">
                  <c:v>13.7</c:v>
                </c:pt>
                <c:pt idx="55">
                  <c:v>13.6</c:v>
                </c:pt>
                <c:pt idx="56">
                  <c:v>15.7</c:v>
                </c:pt>
                <c:pt idx="57">
                  <c:v>21.1</c:v>
                </c:pt>
                <c:pt idx="58">
                  <c:v>25.1</c:v>
                </c:pt>
                <c:pt idx="59">
                  <c:v>19.899999999999999</c:v>
                </c:pt>
                <c:pt idx="60">
                  <c:v>18.2</c:v>
                </c:pt>
                <c:pt idx="61">
                  <c:v>22</c:v>
                </c:pt>
              </c:numCache>
            </c:numRef>
          </c:val>
        </c:ser>
        <c:marker val="1"/>
        <c:axId val="127402752"/>
        <c:axId val="127456000"/>
      </c:lineChart>
      <c:catAx>
        <c:axId val="127402752"/>
        <c:scaling>
          <c:orientation val="minMax"/>
        </c:scaling>
        <c:axPos val="b"/>
        <c:numFmt formatCode="mmm\-yy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7456000"/>
        <c:crosses val="autoZero"/>
        <c:lblAlgn val="ctr"/>
        <c:lblOffset val="100"/>
        <c:tickMarkSkip val="1"/>
      </c:catAx>
      <c:valAx>
        <c:axId val="1274560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27402752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5.6844012617688795E-2"/>
          <c:y val="0.92532429957883355"/>
          <c:w val="0.8863119747646202"/>
          <c:h val="4.0567173289385354E-2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</c:chart>
  <c:spPr>
    <a:effectLst>
      <a:outerShdw blurRad="50800" dist="50800" dir="5400000" algn="ctr" rotWithShape="0">
        <a:srgbClr val="000000">
          <a:alpha val="65000"/>
        </a:srgbClr>
      </a:outerShdw>
    </a:effectLst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200"/>
              <a:t>Evolution du glissement annuel de l'IPC</a:t>
            </a:r>
            <a:r>
              <a:rPr lang="fr-FR" sz="1200" baseline="0"/>
              <a:t> et l'ISJ en %</a:t>
            </a:r>
            <a:endParaRPr lang="fr-FR" sz="12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Feuil2!$J$2</c:f>
              <c:strCache>
                <c:ptCount val="1"/>
                <c:pt idx="0">
                  <c:v>Glissement en % de l'IPC </c:v>
                </c:pt>
              </c:strCache>
            </c:strRef>
          </c:tx>
          <c:marker>
            <c:symbol val="star"/>
            <c:size val="5"/>
          </c:marker>
          <c:dLbls>
            <c:spPr>
              <a:noFill/>
            </c:spPr>
            <c:txPr>
              <a:bodyPr/>
              <a:lstStyle/>
              <a:p>
                <a:pPr>
                  <a:defRPr>
                    <a:solidFill>
                      <a:srgbClr val="00B0F0"/>
                    </a:solidFill>
                  </a:defRPr>
                </a:pPr>
                <a:endParaRPr lang="fr-FR"/>
              </a:p>
            </c:txPr>
            <c:dLblPos val="b"/>
            <c:showVal val="1"/>
          </c:dLbls>
          <c:cat>
            <c:numRef>
              <c:f>Feuil2!$I$3:$I$28</c:f>
              <c:numCache>
                <c:formatCode>mmm\-yy</c:formatCode>
                <c:ptCount val="26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</c:numCache>
            </c:numRef>
          </c:cat>
          <c:val>
            <c:numRef>
              <c:f>Feuil2!$J$3:$J$28</c:f>
              <c:numCache>
                <c:formatCode>0.0</c:formatCode>
                <c:ptCount val="26"/>
                <c:pt idx="0">
                  <c:v>0.5</c:v>
                </c:pt>
                <c:pt idx="1">
                  <c:v>0.60000000000000064</c:v>
                </c:pt>
                <c:pt idx="2">
                  <c:v>0.8</c:v>
                </c:pt>
                <c:pt idx="3">
                  <c:v>0.5</c:v>
                </c:pt>
                <c:pt idx="4">
                  <c:v>0.4</c:v>
                </c:pt>
                <c:pt idx="5">
                  <c:v>0.2</c:v>
                </c:pt>
                <c:pt idx="6">
                  <c:v>0.30000000000000032</c:v>
                </c:pt>
                <c:pt idx="7">
                  <c:v>0.2</c:v>
                </c:pt>
                <c:pt idx="8">
                  <c:v>0.2</c:v>
                </c:pt>
                <c:pt idx="9">
                  <c:v>0.2</c:v>
                </c:pt>
                <c:pt idx="10">
                  <c:v>0.1</c:v>
                </c:pt>
                <c:pt idx="11">
                  <c:v>0.30000000000000032</c:v>
                </c:pt>
                <c:pt idx="12">
                  <c:v>0.5</c:v>
                </c:pt>
                <c:pt idx="13">
                  <c:v>0.8</c:v>
                </c:pt>
                <c:pt idx="14">
                  <c:v>0.70000000000000062</c:v>
                </c:pt>
                <c:pt idx="15">
                  <c:v>0.9</c:v>
                </c:pt>
                <c:pt idx="16">
                  <c:v>1</c:v>
                </c:pt>
                <c:pt idx="17">
                  <c:v>1.3</c:v>
                </c:pt>
                <c:pt idx="18">
                  <c:v>1.7</c:v>
                </c:pt>
                <c:pt idx="19">
                  <c:v>1.7</c:v>
                </c:pt>
                <c:pt idx="20">
                  <c:v>2.2000000000000002</c:v>
                </c:pt>
                <c:pt idx="21">
                  <c:v>2.7</c:v>
                </c:pt>
                <c:pt idx="22">
                  <c:v>2.9</c:v>
                </c:pt>
                <c:pt idx="23">
                  <c:v>3.1</c:v>
                </c:pt>
                <c:pt idx="24">
                  <c:v>3.2</c:v>
                </c:pt>
                <c:pt idx="25">
                  <c:v>3.5</c:v>
                </c:pt>
              </c:numCache>
            </c:numRef>
          </c:val>
        </c:ser>
        <c:ser>
          <c:idx val="1"/>
          <c:order val="1"/>
          <c:tx>
            <c:strRef>
              <c:f>Feuil2!$K$2</c:f>
              <c:strCache>
                <c:ptCount val="1"/>
                <c:pt idx="0">
                  <c:v>Glissement en % de l'ISJ</c:v>
                </c:pt>
              </c:strCache>
            </c:strRef>
          </c:tx>
          <c:marker>
            <c:symbol val="triangle"/>
            <c:size val="5"/>
          </c:marker>
          <c:dLbls>
            <c:spPr>
              <a:effectLst>
                <a:outerShdw blurRad="50800" dist="50800" dir="5400000" algn="ctr" rotWithShape="0">
                  <a:srgbClr val="FF0000"/>
                </a:outerShdw>
              </a:effectLst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Feuil2!$I$3:$I$28</c:f>
              <c:numCache>
                <c:formatCode>mmm\-yy</c:formatCode>
                <c:ptCount val="26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</c:numCache>
            </c:numRef>
          </c:cat>
          <c:val>
            <c:numRef>
              <c:f>Feuil2!$K$3:$K$28</c:f>
              <c:numCache>
                <c:formatCode>0.0</c:formatCode>
                <c:ptCount val="26"/>
                <c:pt idx="0">
                  <c:v>1.3</c:v>
                </c:pt>
                <c:pt idx="1">
                  <c:v>1.1000000000000001</c:v>
                </c:pt>
                <c:pt idx="2">
                  <c:v>1.5</c:v>
                </c:pt>
                <c:pt idx="3">
                  <c:v>0.8</c:v>
                </c:pt>
                <c:pt idx="4">
                  <c:v>0</c:v>
                </c:pt>
                <c:pt idx="5">
                  <c:v>-0.5</c:v>
                </c:pt>
                <c:pt idx="6">
                  <c:v>0</c:v>
                </c:pt>
                <c:pt idx="7">
                  <c:v>1.1000000000000001</c:v>
                </c:pt>
                <c:pt idx="8">
                  <c:v>1.6</c:v>
                </c:pt>
                <c:pt idx="9">
                  <c:v>1.4</c:v>
                </c:pt>
                <c:pt idx="10">
                  <c:v>0.30000000000000032</c:v>
                </c:pt>
                <c:pt idx="11">
                  <c:v>-0.2</c:v>
                </c:pt>
                <c:pt idx="12">
                  <c:v>0</c:v>
                </c:pt>
                <c:pt idx="13">
                  <c:v>0.30000000000000032</c:v>
                </c:pt>
                <c:pt idx="14">
                  <c:v>0.1</c:v>
                </c:pt>
                <c:pt idx="15">
                  <c:v>1.4</c:v>
                </c:pt>
                <c:pt idx="16">
                  <c:v>1.9000000000000001</c:v>
                </c:pt>
                <c:pt idx="17">
                  <c:v>1.5</c:v>
                </c:pt>
                <c:pt idx="18">
                  <c:v>2.2000000000000002</c:v>
                </c:pt>
                <c:pt idx="19">
                  <c:v>0.8</c:v>
                </c:pt>
                <c:pt idx="20">
                  <c:v>1.2</c:v>
                </c:pt>
                <c:pt idx="21">
                  <c:v>1.7</c:v>
                </c:pt>
                <c:pt idx="22">
                  <c:v>2.6</c:v>
                </c:pt>
                <c:pt idx="23">
                  <c:v>3.2</c:v>
                </c:pt>
                <c:pt idx="24">
                  <c:v>3.1</c:v>
                </c:pt>
                <c:pt idx="25">
                  <c:v>3.6</c:v>
                </c:pt>
              </c:numCache>
            </c:numRef>
          </c:val>
        </c:ser>
        <c:marker val="1"/>
        <c:axId val="127716352"/>
        <c:axId val="127808256"/>
      </c:lineChart>
      <c:dateAx>
        <c:axId val="127716352"/>
        <c:scaling>
          <c:orientation val="minMax"/>
        </c:scaling>
        <c:axPos val="b"/>
        <c:numFmt formatCode="mmm\-yy" sourceLinked="1"/>
        <c:majorTickMark val="none"/>
        <c:tickLblPos val="nextTo"/>
        <c:crossAx val="127808256"/>
        <c:crosses val="autoZero"/>
        <c:auto val="1"/>
        <c:lblOffset val="100"/>
      </c:dateAx>
      <c:valAx>
        <c:axId val="127808256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27716352"/>
        <c:crosses val="autoZero"/>
        <c:crossBetween val="between"/>
      </c:valAx>
    </c:plotArea>
    <c:legend>
      <c:legendPos val="b"/>
    </c:legend>
    <c:plotVisOnly val="1"/>
  </c:chart>
  <c:spPr>
    <a:effectLst>
      <a:outerShdw blurRad="50800" dist="50800" dir="5400000" algn="ctr" rotWithShape="0">
        <a:srgbClr val="000000">
          <a:alpha val="66000"/>
        </a:srgbClr>
      </a:outerShdw>
    </a:effectLst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 sz="1200"/>
              <a:t>Glissement annuel de l'indice des prix à la consommation en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Feuil5!$C$1</c:f>
              <c:strCache>
                <c:ptCount val="1"/>
                <c:pt idx="0">
                  <c:v>Glissement annuel en %</c:v>
                </c:pt>
              </c:strCache>
            </c:strRef>
          </c:tx>
          <c:dLbls>
            <c:showVal val="1"/>
          </c:dLbls>
          <c:cat>
            <c:multiLvlStrRef>
              <c:f>Feuil5!$A$2:$B$13</c:f>
              <c:multiLvlStrCache>
                <c:ptCount val="12"/>
                <c:lvl>
                  <c:pt idx="0">
                    <c:v>Janvier</c:v>
                  </c:pt>
                  <c:pt idx="1">
                    <c:v>Février</c:v>
                  </c:pt>
                  <c:pt idx="2">
                    <c:v>Janvier</c:v>
                  </c:pt>
                  <c:pt idx="3">
                    <c:v>Février</c:v>
                  </c:pt>
                  <c:pt idx="4">
                    <c:v>Janvier</c:v>
                  </c:pt>
                  <c:pt idx="5">
                    <c:v>Février</c:v>
                  </c:pt>
                  <c:pt idx="6">
                    <c:v>Janvier</c:v>
                  </c:pt>
                  <c:pt idx="7">
                    <c:v>Février</c:v>
                  </c:pt>
                  <c:pt idx="8">
                    <c:v>Janvier</c:v>
                  </c:pt>
                  <c:pt idx="9">
                    <c:v>Février</c:v>
                  </c:pt>
                  <c:pt idx="10">
                    <c:v>Janvier</c:v>
                  </c:pt>
                  <c:pt idx="11">
                    <c:v>Février</c:v>
                  </c:pt>
                </c:lvl>
                <c:lvl>
                  <c:pt idx="0">
                    <c:v>2017</c:v>
                  </c:pt>
                  <c:pt idx="2">
                    <c:v>2018</c:v>
                  </c:pt>
                  <c:pt idx="4">
                    <c:v>2019</c:v>
                  </c:pt>
                  <c:pt idx="6">
                    <c:v>2020</c:v>
                  </c:pt>
                  <c:pt idx="8">
                    <c:v>2021</c:v>
                  </c:pt>
                  <c:pt idx="10">
                    <c:v>2022</c:v>
                  </c:pt>
                </c:lvl>
              </c:multiLvlStrCache>
            </c:multiLvlStrRef>
          </c:cat>
          <c:val>
            <c:numRef>
              <c:f>Feuil5!$C$2:$C$13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1.6</c:v>
                </c:pt>
                <c:pt idx="2">
                  <c:v>2</c:v>
                </c:pt>
                <c:pt idx="3">
                  <c:v>1.8</c:v>
                </c:pt>
                <c:pt idx="4">
                  <c:v>-0.5</c:v>
                </c:pt>
                <c:pt idx="5">
                  <c:v>0</c:v>
                </c:pt>
                <c:pt idx="6">
                  <c:v>1.3</c:v>
                </c:pt>
                <c:pt idx="7">
                  <c:v>1.1000000000000001</c:v>
                </c:pt>
                <c:pt idx="8">
                  <c:v>0</c:v>
                </c:pt>
                <c:pt idx="9">
                  <c:v>0.30000000000000032</c:v>
                </c:pt>
                <c:pt idx="10">
                  <c:v>3.1</c:v>
                </c:pt>
                <c:pt idx="11">
                  <c:v>3.6</c:v>
                </c:pt>
              </c:numCache>
            </c:numRef>
          </c:val>
        </c:ser>
        <c:axId val="130649088"/>
        <c:axId val="79041280"/>
      </c:barChart>
      <c:catAx>
        <c:axId val="130649088"/>
        <c:scaling>
          <c:orientation val="minMax"/>
        </c:scaling>
        <c:axPos val="b"/>
        <c:tickLblPos val="nextTo"/>
        <c:crossAx val="79041280"/>
        <c:crosses val="autoZero"/>
        <c:auto val="1"/>
        <c:lblAlgn val="ctr"/>
        <c:lblOffset val="100"/>
      </c:catAx>
      <c:valAx>
        <c:axId val="79041280"/>
        <c:scaling>
          <c:orientation val="minMax"/>
        </c:scaling>
        <c:axPos val="l"/>
        <c:majorGridlines/>
        <c:numFmt formatCode="General" sourceLinked="1"/>
        <c:tickLblPos val="nextTo"/>
        <c:crossAx val="1306490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8A64-A6C2-498A-83CD-28FDCC0A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Sweet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10</cp:revision>
  <cp:lastPrinted>2022-03-18T12:31:00Z</cp:lastPrinted>
  <dcterms:created xsi:type="dcterms:W3CDTF">2022-03-23T09:09:00Z</dcterms:created>
  <dcterms:modified xsi:type="dcterms:W3CDTF">2022-03-24T12:08:00Z</dcterms:modified>
</cp:coreProperties>
</file>