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B2" w:rsidRDefault="00DB06F5" w:rsidP="00CE2139">
      <w:pPr>
        <w:bidi/>
        <w:jc w:val="center"/>
        <w:outlineLvl w:val="0"/>
      </w:pPr>
      <w:r>
        <w:rPr>
          <w:noProof/>
        </w:rPr>
        <w:pict>
          <v:rect id="_x0000_s1026" style="position:absolute;left:0;text-align:left;margin-left:-101.05pt;margin-top:-68.15pt;width:655pt;height:324.05pt;z-index:-251658752" o:preferrelative="t" filled="f" stroked="f" insetpen="t" o:cliptowrap="t">
            <v:imagedata r:id="rId8" o:title=""/>
            <v:path o:extrusionok="f"/>
            <o:lock v:ext="edit" aspectratio="t"/>
            <w10:wrap anchorx="page"/>
          </v:rect>
          <o:OLEObject Type="Embed" ProgID="PBrush" ShapeID="_x0000_s1026" DrawAspect="Content" ObjectID="_1711833628" r:id="rId9"/>
        </w:pict>
      </w:r>
      <w:r w:rsidR="00981F00">
        <w:rPr>
          <w:rFonts w:hint="cs"/>
          <w:rtl/>
        </w:rPr>
        <w:t xml:space="preserve">  </w:t>
      </w:r>
    </w:p>
    <w:p w:rsidR="00453FB2" w:rsidRDefault="00453FB2" w:rsidP="00B32235">
      <w:pPr>
        <w:bidi/>
        <w:jc w:val="center"/>
        <w:outlineLvl w:val="0"/>
      </w:pPr>
    </w:p>
    <w:p w:rsidR="00453FB2" w:rsidRDefault="00453FB2" w:rsidP="00B32235">
      <w:pPr>
        <w:bidi/>
        <w:jc w:val="center"/>
        <w:outlineLvl w:val="0"/>
      </w:pPr>
    </w:p>
    <w:p w:rsidR="00CE7BED" w:rsidRDefault="00CE7BED" w:rsidP="008E1A8F">
      <w:pPr>
        <w:autoSpaceDE w:val="0"/>
        <w:autoSpaceDN w:val="0"/>
        <w:adjustRightInd w:val="0"/>
        <w:ind w:right="-233"/>
        <w:jc w:val="both"/>
        <w:rPr>
          <w:b/>
          <w:bCs/>
        </w:rPr>
      </w:pPr>
    </w:p>
    <w:p w:rsidR="00A02738" w:rsidRPr="004B5F0C" w:rsidRDefault="00A02738" w:rsidP="00A02738">
      <w:pPr>
        <w:bidi/>
        <w:jc w:val="center"/>
        <w:rPr>
          <w:rFonts w:ascii="Arial" w:hAnsi="Arial"/>
          <w:b/>
          <w:bCs/>
          <w:color w:val="A11F32"/>
          <w:sz w:val="28"/>
          <w:szCs w:val="28"/>
          <w:rtl/>
          <w:lang w:bidi="ar-MA"/>
        </w:rPr>
      </w:pPr>
      <w:r w:rsidRPr="004B5F0C">
        <w:rPr>
          <w:rFonts w:ascii="Arial" w:hAnsi="Arial" w:hint="cs"/>
          <w:b/>
          <w:bCs/>
          <w:color w:val="A11F32"/>
          <w:sz w:val="28"/>
          <w:szCs w:val="28"/>
          <w:rtl/>
          <w:lang w:bidi="ar-MA"/>
        </w:rPr>
        <w:t>مذكرة إخبارية للمندوبية السامية للتخطيط</w:t>
      </w:r>
    </w:p>
    <w:p w:rsidR="00A02738" w:rsidRPr="004B5F0C" w:rsidRDefault="00A02738" w:rsidP="00A02738">
      <w:pPr>
        <w:bidi/>
        <w:jc w:val="center"/>
        <w:rPr>
          <w:rFonts w:ascii="Arial" w:hAnsi="Arial"/>
          <w:b/>
          <w:bCs/>
          <w:color w:val="A11F32"/>
          <w:sz w:val="28"/>
          <w:szCs w:val="28"/>
          <w:rtl/>
          <w:lang w:bidi="ar-MA"/>
        </w:rPr>
      </w:pPr>
      <w:r w:rsidRPr="004B5F0C">
        <w:rPr>
          <w:rFonts w:ascii="Arial" w:hAnsi="Arial" w:hint="cs"/>
          <w:b/>
          <w:bCs/>
          <w:color w:val="A11F32"/>
          <w:sz w:val="28"/>
          <w:szCs w:val="28"/>
          <w:rtl/>
          <w:lang w:bidi="ar-MA"/>
        </w:rPr>
        <w:t>حول تغيير سنة الأساس للحسابات الوطنية</w:t>
      </w:r>
    </w:p>
    <w:p w:rsidR="00A02738" w:rsidRPr="004B5F0C" w:rsidRDefault="00A02738" w:rsidP="00A02738">
      <w:pPr>
        <w:bidi/>
        <w:jc w:val="center"/>
        <w:rPr>
          <w:rFonts w:ascii="Arial" w:hAnsi="Arial"/>
          <w:b/>
          <w:bCs/>
          <w:color w:val="A11F32"/>
          <w:sz w:val="28"/>
          <w:szCs w:val="28"/>
          <w:rtl/>
          <w:lang w:bidi="ar-MA"/>
        </w:rPr>
      </w:pPr>
      <w:r w:rsidRPr="004B5F0C">
        <w:rPr>
          <w:rFonts w:ascii="Arial" w:hAnsi="Arial" w:hint="cs"/>
          <w:b/>
          <w:bCs/>
          <w:color w:val="A11F32"/>
          <w:sz w:val="28"/>
          <w:szCs w:val="28"/>
          <w:rtl/>
          <w:lang w:bidi="ar-MA"/>
        </w:rPr>
        <w:t>2014 عوض 2007</w:t>
      </w:r>
    </w:p>
    <w:p w:rsidR="00A02738" w:rsidRPr="004B5F0C" w:rsidRDefault="00A02738" w:rsidP="00A02738">
      <w:pPr>
        <w:bidi/>
        <w:jc w:val="center"/>
        <w:rPr>
          <w:rFonts w:ascii="Arial" w:hAnsi="Arial"/>
          <w:color w:val="A11F32"/>
          <w:sz w:val="28"/>
          <w:szCs w:val="28"/>
          <w:rtl/>
          <w:lang w:bidi="ar-MA"/>
        </w:rPr>
      </w:pPr>
    </w:p>
    <w:p w:rsidR="00A02738" w:rsidRDefault="00A02738" w:rsidP="00A02738">
      <w:pPr>
        <w:bidi/>
        <w:jc w:val="center"/>
        <w:rPr>
          <w:rFonts w:ascii="Arial" w:hAnsi="Arial"/>
          <w:sz w:val="28"/>
          <w:szCs w:val="28"/>
          <w:lang w:bidi="ar-MA"/>
        </w:rPr>
      </w:pPr>
    </w:p>
    <w:p w:rsidR="00A02738" w:rsidRPr="008A1A7B" w:rsidRDefault="00A02738" w:rsidP="00A02738">
      <w:pPr>
        <w:bidi/>
        <w:jc w:val="both"/>
        <w:rPr>
          <w:rFonts w:ascii="Calibri" w:hAnsi="Calibri"/>
          <w:sz w:val="28"/>
          <w:szCs w:val="28"/>
          <w:rtl/>
        </w:rPr>
      </w:pPr>
      <w:r w:rsidRPr="008A1A7B">
        <w:rPr>
          <w:rFonts w:ascii="Calibri" w:hAnsi="Calibri"/>
          <w:sz w:val="28"/>
          <w:szCs w:val="28"/>
          <w:rtl/>
        </w:rPr>
        <w:t>يتم إعـداد</w:t>
      </w:r>
      <w:r w:rsidRPr="008A1A7B">
        <w:rPr>
          <w:rFonts w:ascii="Calibri" w:hAnsi="Calibri"/>
          <w:sz w:val="28"/>
          <w:szCs w:val="28"/>
        </w:rPr>
        <w:t xml:space="preserve"> </w:t>
      </w:r>
      <w:r w:rsidRPr="008A1A7B">
        <w:rPr>
          <w:rFonts w:ascii="Calibri" w:hAnsi="Calibri"/>
          <w:sz w:val="28"/>
          <w:szCs w:val="28"/>
          <w:rtl/>
        </w:rPr>
        <w:t>الحسابات الوطنية وفق نظـام المحـاسبة الوطنيـة (</w:t>
      </w:r>
      <w:r w:rsidRPr="008A1A7B">
        <w:rPr>
          <w:rFonts w:ascii="Calibri" w:hAnsi="Calibri"/>
          <w:sz w:val="28"/>
          <w:szCs w:val="28"/>
        </w:rPr>
        <w:t>SCN</w:t>
      </w:r>
      <w:r w:rsidRPr="008A1A7B">
        <w:rPr>
          <w:rFonts w:ascii="Calibri" w:hAnsi="Calibri"/>
          <w:sz w:val="28"/>
          <w:szCs w:val="28"/>
          <w:rtl/>
        </w:rPr>
        <w:t>)، وهو مرجع دولي تم إعداده ونشره تحت رعاية الأمم المتحدة، المفوضية الأوروبية، منظمة التعاون والتنمية الاقتصادية، صندوق النقد الدولي ومجموعة البنك الدولي.</w:t>
      </w:r>
    </w:p>
    <w:p w:rsidR="00A02738" w:rsidRPr="008A1A7B" w:rsidRDefault="00A02738" w:rsidP="00A02738">
      <w:pPr>
        <w:bidi/>
        <w:jc w:val="both"/>
        <w:rPr>
          <w:rFonts w:ascii="Calibri" w:hAnsi="Calibri"/>
          <w:sz w:val="28"/>
          <w:szCs w:val="28"/>
          <w:rtl/>
        </w:rPr>
      </w:pPr>
    </w:p>
    <w:p w:rsidR="00A02738" w:rsidRPr="008A1A7B" w:rsidRDefault="00A02738" w:rsidP="0053627F">
      <w:pPr>
        <w:bidi/>
        <w:jc w:val="both"/>
        <w:rPr>
          <w:rFonts w:ascii="Calibri" w:hAnsi="Calibri"/>
          <w:sz w:val="28"/>
          <w:szCs w:val="28"/>
          <w:rtl/>
        </w:rPr>
      </w:pPr>
      <w:r w:rsidRPr="008A1A7B">
        <w:rPr>
          <w:rFonts w:ascii="Calibri" w:hAnsi="Calibri"/>
          <w:sz w:val="28"/>
          <w:szCs w:val="28"/>
          <w:rtl/>
          <w:lang w:bidi="ar-MA"/>
        </w:rPr>
        <w:t>استنادا</w:t>
      </w:r>
      <w:r w:rsidRPr="008A1A7B">
        <w:rPr>
          <w:rFonts w:ascii="Calibri" w:hAnsi="Calibri"/>
          <w:sz w:val="28"/>
          <w:szCs w:val="28"/>
          <w:rtl/>
        </w:rPr>
        <w:t xml:space="preserve"> إلى نظام المحاسبة الوطنية تقدم الحسابات الوطنية المغربية وصفا </w:t>
      </w:r>
      <w:r w:rsidR="00FB31E1">
        <w:rPr>
          <w:rFonts w:ascii="Calibri" w:hAnsi="Calibri" w:hint="cs"/>
          <w:sz w:val="28"/>
          <w:szCs w:val="28"/>
          <w:rtl/>
        </w:rPr>
        <w:t>مترابطا</w:t>
      </w:r>
      <w:r w:rsidRPr="008A1A7B">
        <w:rPr>
          <w:rFonts w:ascii="Calibri" w:hAnsi="Calibri"/>
          <w:sz w:val="28"/>
          <w:szCs w:val="28"/>
          <w:rtl/>
        </w:rPr>
        <w:t xml:space="preserve"> وشاملا ومناسبا قدر الامكان لأداء الاقتصاد الوطني الذي يتغير عبر الزمن. </w:t>
      </w:r>
      <w:r w:rsidR="0053627F">
        <w:rPr>
          <w:rFonts w:ascii="Calibri" w:hAnsi="Calibri" w:hint="cs"/>
          <w:sz w:val="28"/>
          <w:szCs w:val="28"/>
          <w:rtl/>
        </w:rPr>
        <w:t>بحيث</w:t>
      </w:r>
      <w:r w:rsidRPr="008A1A7B">
        <w:rPr>
          <w:rFonts w:ascii="Calibri" w:hAnsi="Calibri"/>
          <w:sz w:val="28"/>
          <w:szCs w:val="28"/>
          <w:rtl/>
        </w:rPr>
        <w:t xml:space="preserve"> يتطور الإطار المفاهيمي للحسابات الوطنية وكدا التصنيف</w:t>
      </w:r>
      <w:r w:rsidR="009B3A98" w:rsidRPr="008A1A7B">
        <w:rPr>
          <w:rFonts w:ascii="Calibri" w:hAnsi="Calibri"/>
          <w:sz w:val="28"/>
          <w:szCs w:val="28"/>
          <w:rtl/>
        </w:rPr>
        <w:t>ات</w:t>
      </w:r>
      <w:r w:rsidRPr="008A1A7B">
        <w:rPr>
          <w:rFonts w:ascii="Calibri" w:hAnsi="Calibri"/>
          <w:sz w:val="28"/>
          <w:szCs w:val="28"/>
          <w:rtl/>
        </w:rPr>
        <w:t xml:space="preserve"> المستعملة لعرض النتائج </w:t>
      </w:r>
      <w:r w:rsidR="00BE677F">
        <w:rPr>
          <w:rFonts w:ascii="Calibri" w:hAnsi="Calibri" w:hint="cs"/>
          <w:sz w:val="28"/>
          <w:szCs w:val="28"/>
          <w:rtl/>
          <w:lang w:bidi="ar-MA"/>
        </w:rPr>
        <w:t>ا</w:t>
      </w:r>
      <w:r w:rsidRPr="008A1A7B">
        <w:rPr>
          <w:rFonts w:ascii="Calibri" w:hAnsi="Calibri"/>
          <w:sz w:val="28"/>
          <w:szCs w:val="28"/>
          <w:rtl/>
        </w:rPr>
        <w:t xml:space="preserve">لملائمة </w:t>
      </w:r>
      <w:r w:rsidR="00BE677F">
        <w:rPr>
          <w:rFonts w:ascii="Calibri" w:hAnsi="Calibri" w:hint="cs"/>
          <w:sz w:val="28"/>
          <w:szCs w:val="28"/>
          <w:rtl/>
        </w:rPr>
        <w:t>ل</w:t>
      </w:r>
      <w:r w:rsidRPr="008A1A7B">
        <w:rPr>
          <w:rFonts w:ascii="Calibri" w:hAnsi="Calibri"/>
          <w:sz w:val="28"/>
          <w:szCs w:val="28"/>
          <w:rtl/>
        </w:rPr>
        <w:t>تحولات الاقتصاد الوطني. ولأخذ هذه التغيرات بعين الاعتبار يتم إجراء مراجعات شاملة للحسابات الوطنية على فترات دورية: يتعلق الأمر بتغيير سنوات أساس الحسابات الوطنية.</w:t>
      </w:r>
    </w:p>
    <w:p w:rsidR="00A02738" w:rsidRPr="008A1A7B" w:rsidRDefault="00A02738" w:rsidP="00A02738">
      <w:pPr>
        <w:bidi/>
        <w:jc w:val="both"/>
        <w:rPr>
          <w:rFonts w:ascii="Calibri" w:hAnsi="Calibri"/>
          <w:sz w:val="28"/>
          <w:szCs w:val="28"/>
          <w:rtl/>
        </w:rPr>
      </w:pPr>
    </w:p>
    <w:p w:rsidR="00A02738" w:rsidRPr="008A1A7B" w:rsidRDefault="00A02738" w:rsidP="00FB31E1">
      <w:pPr>
        <w:bidi/>
        <w:jc w:val="both"/>
        <w:rPr>
          <w:rFonts w:ascii="Calibri" w:hAnsi="Calibri"/>
          <w:sz w:val="28"/>
          <w:szCs w:val="28"/>
          <w:lang w:bidi="ar-MA"/>
        </w:rPr>
      </w:pPr>
      <w:r w:rsidRPr="008A1A7B">
        <w:rPr>
          <w:rFonts w:ascii="Calibri" w:hAnsi="Calibri"/>
          <w:sz w:val="28"/>
          <w:szCs w:val="28"/>
          <w:rtl/>
          <w:lang w:bidi="ar-MA"/>
        </w:rPr>
        <w:t>بشكل عام، يهم تغيير سنة الأساس للحسابات الوطنية الإطار المفاهيمي والمنهجي للحسابات بالكامل الذي يسمح بإدراج مصادر المعلومات والتصنيفات المح</w:t>
      </w:r>
      <w:r w:rsidR="00FB31E1">
        <w:rPr>
          <w:rFonts w:ascii="Calibri" w:hAnsi="Calibri" w:hint="cs"/>
          <w:sz w:val="28"/>
          <w:szCs w:val="28"/>
          <w:rtl/>
          <w:lang w:bidi="ar-MA"/>
        </w:rPr>
        <w:t>ذثة</w:t>
      </w:r>
      <w:r w:rsidRPr="008A1A7B">
        <w:rPr>
          <w:rFonts w:ascii="Calibri" w:hAnsi="Calibri"/>
          <w:sz w:val="28"/>
          <w:szCs w:val="28"/>
          <w:rtl/>
          <w:lang w:bidi="ar-MA"/>
        </w:rPr>
        <w:t xml:space="preserve"> ودمج معايير دولية جديدة وإحداث التغييرات المفاهيمية وتحسين طرق التقييم</w:t>
      </w:r>
      <w:r w:rsidRPr="008A1A7B">
        <w:rPr>
          <w:rFonts w:ascii="Calibri" w:hAnsi="Calibri"/>
          <w:sz w:val="28"/>
          <w:szCs w:val="28"/>
          <w:lang w:bidi="ar-MA"/>
        </w:rPr>
        <w:t>.</w:t>
      </w:r>
      <w:r w:rsidRPr="008A1A7B">
        <w:rPr>
          <w:rFonts w:ascii="Calibri" w:hAnsi="Calibri"/>
          <w:sz w:val="28"/>
          <w:szCs w:val="28"/>
          <w:rtl/>
          <w:lang w:bidi="ar-MA"/>
        </w:rPr>
        <w:t xml:space="preserve"> </w:t>
      </w:r>
    </w:p>
    <w:p w:rsidR="00A02738" w:rsidRPr="008A1A7B" w:rsidRDefault="00A02738" w:rsidP="00A02738">
      <w:pPr>
        <w:bidi/>
        <w:jc w:val="both"/>
        <w:rPr>
          <w:rFonts w:ascii="Calibri" w:hAnsi="Calibri"/>
          <w:sz w:val="28"/>
          <w:szCs w:val="28"/>
        </w:rPr>
      </w:pPr>
    </w:p>
    <w:p w:rsidR="00A02738" w:rsidRPr="008A1A7B" w:rsidRDefault="0053627F" w:rsidP="0053627F">
      <w:pPr>
        <w:bidi/>
        <w:jc w:val="both"/>
        <w:rPr>
          <w:rFonts w:ascii="Calibri" w:hAnsi="Calibri"/>
          <w:sz w:val="28"/>
          <w:szCs w:val="28"/>
          <w:rtl/>
          <w:lang w:bidi="ar-MA"/>
        </w:rPr>
      </w:pPr>
      <w:r w:rsidRPr="0053627F">
        <w:rPr>
          <w:rFonts w:ascii="Calibri" w:hAnsi="Calibri" w:hint="cs"/>
          <w:sz w:val="28"/>
          <w:szCs w:val="28"/>
          <w:rtl/>
          <w:lang w:bidi="ar-MA"/>
        </w:rPr>
        <w:t xml:space="preserve">وفي هذا الإطار ، اعتمد المغرب في حساباته </w:t>
      </w:r>
      <w:r w:rsidRPr="008A1A7B">
        <w:rPr>
          <w:rFonts w:ascii="Calibri" w:hAnsi="Calibri"/>
          <w:sz w:val="28"/>
          <w:szCs w:val="28"/>
          <w:rtl/>
          <w:lang w:bidi="ar-MA"/>
        </w:rPr>
        <w:t>الوطنية</w:t>
      </w:r>
      <w:r w:rsidRPr="0053627F">
        <w:rPr>
          <w:rFonts w:ascii="Calibri" w:hAnsi="Calibri" w:hint="cs"/>
          <w:sz w:val="28"/>
          <w:szCs w:val="28"/>
          <w:rtl/>
          <w:lang w:bidi="ar-MA"/>
        </w:rPr>
        <w:t xml:space="preserve"> سنة أساس جديدة </w:t>
      </w:r>
      <w:r w:rsidRPr="008A1A7B">
        <w:rPr>
          <w:rFonts w:ascii="Calibri" w:hAnsi="Calibri"/>
          <w:sz w:val="28"/>
          <w:szCs w:val="28"/>
          <w:rtl/>
          <w:lang w:bidi="ar-MA"/>
        </w:rPr>
        <w:t>2014</w:t>
      </w:r>
      <w:r>
        <w:rPr>
          <w:rFonts w:ascii="Calibri" w:hAnsi="Calibri" w:hint="cs"/>
          <w:sz w:val="28"/>
          <w:szCs w:val="28"/>
          <w:rtl/>
          <w:lang w:bidi="ar-MA"/>
        </w:rPr>
        <w:t xml:space="preserve">. </w:t>
      </w:r>
      <w:r w:rsidR="00A02738" w:rsidRPr="008A1A7B">
        <w:rPr>
          <w:rFonts w:ascii="Calibri" w:hAnsi="Calibri"/>
          <w:sz w:val="28"/>
          <w:szCs w:val="28"/>
          <w:rtl/>
          <w:lang w:bidi="ar-MA"/>
        </w:rPr>
        <w:t>وتعرض هذه المذكرة أهم التغييرات</w:t>
      </w:r>
      <w:r w:rsidR="00BE677F">
        <w:rPr>
          <w:rFonts w:ascii="Calibri" w:hAnsi="Calibri" w:hint="cs"/>
          <w:sz w:val="28"/>
          <w:szCs w:val="28"/>
          <w:rtl/>
          <w:lang w:bidi="ar-MA"/>
        </w:rPr>
        <w:t xml:space="preserve"> الناتجة عن</w:t>
      </w:r>
      <w:r w:rsidR="00A02738" w:rsidRPr="008A1A7B">
        <w:rPr>
          <w:rFonts w:ascii="Calibri" w:hAnsi="Calibri"/>
          <w:sz w:val="28"/>
          <w:szCs w:val="28"/>
          <w:rtl/>
          <w:lang w:bidi="ar-MA"/>
        </w:rPr>
        <w:t xml:space="preserve"> </w:t>
      </w:r>
      <w:r w:rsidR="00BE677F">
        <w:rPr>
          <w:rFonts w:ascii="Calibri" w:hAnsi="Calibri" w:hint="cs"/>
          <w:sz w:val="28"/>
          <w:szCs w:val="28"/>
          <w:rtl/>
          <w:lang w:bidi="ar-MA"/>
        </w:rPr>
        <w:t>ا</w:t>
      </w:r>
      <w:r w:rsidR="00A02738" w:rsidRPr="008A1A7B">
        <w:rPr>
          <w:rFonts w:ascii="Calibri" w:hAnsi="Calibri"/>
          <w:sz w:val="28"/>
          <w:szCs w:val="28"/>
          <w:rtl/>
          <w:lang w:bidi="ar-MA"/>
        </w:rPr>
        <w:t>لانتقال من الحسابات الوطنية</w:t>
      </w:r>
      <w:r w:rsidR="00BE677F">
        <w:rPr>
          <w:rFonts w:ascii="Calibri" w:hAnsi="Calibri" w:hint="cs"/>
          <w:sz w:val="28"/>
          <w:szCs w:val="28"/>
          <w:rtl/>
          <w:lang w:bidi="ar-MA"/>
        </w:rPr>
        <w:t xml:space="preserve"> </w:t>
      </w:r>
      <w:r w:rsidR="00965FEA">
        <w:rPr>
          <w:rFonts w:ascii="Calibri" w:hAnsi="Calibri" w:hint="cs"/>
          <w:sz w:val="28"/>
          <w:szCs w:val="28"/>
          <w:rtl/>
          <w:lang w:bidi="ar-MA"/>
        </w:rPr>
        <w:t>سنة</w:t>
      </w:r>
      <w:r w:rsidR="00A02738" w:rsidRPr="008A1A7B">
        <w:rPr>
          <w:rFonts w:ascii="Calibri" w:hAnsi="Calibri"/>
          <w:sz w:val="28"/>
          <w:szCs w:val="28"/>
          <w:rtl/>
          <w:lang w:bidi="ar-MA"/>
        </w:rPr>
        <w:t xml:space="preserve"> </w:t>
      </w:r>
      <w:r w:rsidR="00965FEA">
        <w:rPr>
          <w:rFonts w:ascii="Calibri" w:hAnsi="Calibri" w:hint="cs"/>
          <w:sz w:val="28"/>
          <w:szCs w:val="28"/>
          <w:rtl/>
          <w:lang w:bidi="ar-MA"/>
        </w:rPr>
        <w:t>ال</w:t>
      </w:r>
      <w:r w:rsidR="00A02738" w:rsidRPr="008A1A7B">
        <w:rPr>
          <w:rFonts w:ascii="Calibri" w:hAnsi="Calibri"/>
          <w:sz w:val="28"/>
          <w:szCs w:val="28"/>
          <w:rtl/>
          <w:lang w:bidi="ar-MA"/>
        </w:rPr>
        <w:t>أساس 2007 إلى</w:t>
      </w:r>
      <w:r w:rsidR="00965FEA">
        <w:rPr>
          <w:rFonts w:ascii="Calibri" w:hAnsi="Calibri" w:hint="cs"/>
          <w:sz w:val="28"/>
          <w:szCs w:val="28"/>
          <w:rtl/>
          <w:lang w:bidi="ar-MA"/>
        </w:rPr>
        <w:t xml:space="preserve"> سنة</w:t>
      </w:r>
      <w:r w:rsidR="00A02738" w:rsidRPr="008A1A7B">
        <w:rPr>
          <w:rFonts w:ascii="Calibri" w:hAnsi="Calibri"/>
          <w:sz w:val="28"/>
          <w:szCs w:val="28"/>
          <w:rtl/>
          <w:lang w:bidi="ar-MA"/>
        </w:rPr>
        <w:t xml:space="preserve"> </w:t>
      </w:r>
      <w:r w:rsidR="00965FEA">
        <w:rPr>
          <w:rFonts w:ascii="Calibri" w:hAnsi="Calibri" w:hint="cs"/>
          <w:sz w:val="28"/>
          <w:szCs w:val="28"/>
          <w:rtl/>
          <w:lang w:bidi="ar-MA"/>
        </w:rPr>
        <w:t>ال</w:t>
      </w:r>
      <w:r w:rsidR="00A02738" w:rsidRPr="008A1A7B">
        <w:rPr>
          <w:rFonts w:ascii="Calibri" w:hAnsi="Calibri"/>
          <w:sz w:val="28"/>
          <w:szCs w:val="28"/>
          <w:rtl/>
          <w:lang w:bidi="ar-MA"/>
        </w:rPr>
        <w:t>أساس 2014 وتأثيرها على النتائج، وذلك بمقارنة النسب والمجاميع المتعلقة بسنة 2014 لسنتي الأساس</w:t>
      </w:r>
      <w:r w:rsidR="00A02738" w:rsidRPr="008A1A7B">
        <w:rPr>
          <w:rFonts w:ascii="Calibri" w:hAnsi="Calibri"/>
          <w:sz w:val="28"/>
          <w:szCs w:val="28"/>
          <w:lang w:bidi="ar-MA"/>
        </w:rPr>
        <w:t>.</w:t>
      </w:r>
    </w:p>
    <w:p w:rsidR="00A02738" w:rsidRDefault="00A02738" w:rsidP="00A02738">
      <w:pPr>
        <w:bidi/>
        <w:rPr>
          <w:rFonts w:ascii="Arial" w:hAnsi="Arial"/>
          <w:sz w:val="28"/>
          <w:szCs w:val="28"/>
          <w:rtl/>
        </w:rPr>
      </w:pPr>
    </w:p>
    <w:p w:rsidR="00A02738" w:rsidRPr="00CC50B3" w:rsidRDefault="00A02738" w:rsidP="00A02738">
      <w:pPr>
        <w:bidi/>
        <w:rPr>
          <w:rFonts w:ascii="Calibri" w:hAnsi="Calibri"/>
          <w:b/>
          <w:bCs/>
          <w:color w:val="002060"/>
          <w:sz w:val="30"/>
          <w:szCs w:val="30"/>
          <w:rtl/>
        </w:rPr>
      </w:pPr>
      <w:r w:rsidRPr="00CC50B3">
        <w:rPr>
          <w:rFonts w:ascii="Calibri" w:hAnsi="Calibri"/>
          <w:b/>
          <w:bCs/>
          <w:color w:val="002060"/>
          <w:sz w:val="30"/>
          <w:szCs w:val="30"/>
          <w:rtl/>
        </w:rPr>
        <w:t>أهم التغييرات في سنة الأساس 2014</w:t>
      </w:r>
    </w:p>
    <w:p w:rsidR="00A02738" w:rsidRDefault="00A02738" w:rsidP="00A02738">
      <w:pPr>
        <w:bidi/>
        <w:rPr>
          <w:rFonts w:ascii="Arial" w:hAnsi="Arial"/>
          <w:color w:val="943634"/>
          <w:sz w:val="28"/>
          <w:szCs w:val="28"/>
          <w:rtl/>
        </w:rPr>
      </w:pPr>
    </w:p>
    <w:p w:rsidR="00A02738" w:rsidRPr="008A1A7B" w:rsidRDefault="00A02738" w:rsidP="00A02738">
      <w:pPr>
        <w:bidi/>
        <w:rPr>
          <w:rFonts w:ascii="Calibri" w:hAnsi="Calibri"/>
          <w:b/>
          <w:bCs/>
          <w:i/>
          <w:iCs/>
          <w:sz w:val="28"/>
          <w:szCs w:val="28"/>
          <w:rtl/>
        </w:rPr>
      </w:pPr>
      <w:r w:rsidRPr="008A1A7B">
        <w:rPr>
          <w:rFonts w:ascii="Calibri" w:hAnsi="Calibri"/>
          <w:b/>
          <w:bCs/>
          <w:i/>
          <w:iCs/>
          <w:sz w:val="28"/>
          <w:szCs w:val="28"/>
          <w:rtl/>
        </w:rPr>
        <w:t xml:space="preserve">استعمال مصادر معلومات جديدة : </w:t>
      </w:r>
    </w:p>
    <w:p w:rsidR="00A02738" w:rsidRPr="008A1A7B" w:rsidRDefault="00A02738" w:rsidP="00A02738">
      <w:pPr>
        <w:bidi/>
        <w:rPr>
          <w:rFonts w:ascii="Calibri" w:hAnsi="Calibri"/>
          <w:sz w:val="28"/>
          <w:szCs w:val="28"/>
          <w:rtl/>
        </w:rPr>
      </w:pPr>
      <w:r w:rsidRPr="008A1A7B">
        <w:rPr>
          <w:rFonts w:ascii="Calibri" w:hAnsi="Calibri"/>
          <w:sz w:val="28"/>
          <w:szCs w:val="28"/>
          <w:rtl/>
        </w:rPr>
        <w:t>ويتعلق الأمر أساسا ب:</w:t>
      </w:r>
    </w:p>
    <w:p w:rsidR="00A02738" w:rsidRPr="008A1A7B" w:rsidRDefault="00A02738" w:rsidP="00A02738">
      <w:pPr>
        <w:pStyle w:val="Paragraphedeliste"/>
        <w:numPr>
          <w:ilvl w:val="0"/>
          <w:numId w:val="18"/>
        </w:numPr>
        <w:bidi/>
        <w:spacing w:line="276" w:lineRule="auto"/>
        <w:rPr>
          <w:rFonts w:ascii="Calibri" w:hAnsi="Calibri"/>
          <w:sz w:val="28"/>
          <w:szCs w:val="28"/>
        </w:rPr>
      </w:pPr>
      <w:r w:rsidRPr="008A1A7B">
        <w:rPr>
          <w:rFonts w:ascii="Calibri" w:hAnsi="Calibri"/>
          <w:sz w:val="28"/>
          <w:szCs w:val="28"/>
          <w:rtl/>
        </w:rPr>
        <w:t>البحوث حول البنيات الاقتصادية للمقاولات غير المالية (2014)؛</w:t>
      </w:r>
    </w:p>
    <w:p w:rsidR="00A02738" w:rsidRPr="008A1A7B" w:rsidRDefault="00A02738" w:rsidP="00A02738">
      <w:pPr>
        <w:pStyle w:val="Paragraphedeliste"/>
        <w:numPr>
          <w:ilvl w:val="0"/>
          <w:numId w:val="18"/>
        </w:numPr>
        <w:bidi/>
        <w:spacing w:line="276" w:lineRule="auto"/>
        <w:rPr>
          <w:rFonts w:ascii="Calibri" w:hAnsi="Calibri"/>
          <w:sz w:val="28"/>
          <w:szCs w:val="28"/>
        </w:rPr>
      </w:pPr>
      <w:r w:rsidRPr="008A1A7B">
        <w:rPr>
          <w:rFonts w:ascii="Calibri" w:hAnsi="Calibri"/>
          <w:sz w:val="28"/>
          <w:szCs w:val="28"/>
          <w:rtl/>
        </w:rPr>
        <w:t>البحث الوطني حول القطاع غير المنظم (2013-2014)؛</w:t>
      </w:r>
    </w:p>
    <w:p w:rsidR="00A02738" w:rsidRPr="008A1A7B" w:rsidRDefault="00A02738" w:rsidP="00A02738">
      <w:pPr>
        <w:pStyle w:val="Paragraphedeliste"/>
        <w:numPr>
          <w:ilvl w:val="0"/>
          <w:numId w:val="18"/>
        </w:numPr>
        <w:bidi/>
        <w:spacing w:line="276" w:lineRule="auto"/>
        <w:rPr>
          <w:rFonts w:ascii="Calibri" w:hAnsi="Calibri"/>
          <w:sz w:val="28"/>
          <w:szCs w:val="28"/>
        </w:rPr>
      </w:pPr>
      <w:r w:rsidRPr="008A1A7B">
        <w:rPr>
          <w:rFonts w:ascii="Calibri" w:hAnsi="Calibri"/>
          <w:sz w:val="28"/>
          <w:szCs w:val="28"/>
          <w:rtl/>
        </w:rPr>
        <w:t>البحث الوطني حول نفقات واستهلاك الأسر (2014)؛</w:t>
      </w:r>
    </w:p>
    <w:p w:rsidR="00A02738" w:rsidRPr="008A1A7B" w:rsidRDefault="00A02738" w:rsidP="00A02738">
      <w:pPr>
        <w:pStyle w:val="Paragraphedeliste"/>
        <w:numPr>
          <w:ilvl w:val="0"/>
          <w:numId w:val="18"/>
        </w:numPr>
        <w:bidi/>
        <w:spacing w:line="276" w:lineRule="auto"/>
        <w:rPr>
          <w:rFonts w:ascii="Calibri" w:hAnsi="Calibri"/>
          <w:sz w:val="28"/>
          <w:szCs w:val="28"/>
        </w:rPr>
      </w:pPr>
      <w:r w:rsidRPr="008A1A7B">
        <w:rPr>
          <w:rFonts w:ascii="Calibri" w:hAnsi="Calibri"/>
          <w:sz w:val="28"/>
          <w:szCs w:val="28"/>
          <w:rtl/>
        </w:rPr>
        <w:t>البحث حول استثمارات الادارات العمومية</w:t>
      </w:r>
      <w:r w:rsidR="00EE7190" w:rsidRPr="008A1A7B">
        <w:rPr>
          <w:rFonts w:ascii="Calibri" w:hAnsi="Calibri"/>
          <w:sz w:val="28"/>
          <w:szCs w:val="28"/>
          <w:rtl/>
          <w:lang w:bidi="ar-MA"/>
        </w:rPr>
        <w:t xml:space="preserve"> (2014)</w:t>
      </w:r>
      <w:r w:rsidRPr="008A1A7B">
        <w:rPr>
          <w:rFonts w:ascii="Calibri" w:hAnsi="Calibri"/>
          <w:sz w:val="28"/>
          <w:szCs w:val="28"/>
          <w:rtl/>
        </w:rPr>
        <w:t xml:space="preserve">؛ </w:t>
      </w:r>
    </w:p>
    <w:p w:rsidR="00A02738" w:rsidRPr="008A1A7B" w:rsidRDefault="00A02738" w:rsidP="00A02738">
      <w:pPr>
        <w:pStyle w:val="Paragraphedeliste"/>
        <w:numPr>
          <w:ilvl w:val="0"/>
          <w:numId w:val="18"/>
        </w:numPr>
        <w:bidi/>
        <w:spacing w:line="276" w:lineRule="auto"/>
        <w:rPr>
          <w:rFonts w:ascii="Calibri" w:hAnsi="Calibri"/>
          <w:sz w:val="28"/>
          <w:szCs w:val="28"/>
        </w:rPr>
      </w:pPr>
      <w:r w:rsidRPr="008A1A7B">
        <w:rPr>
          <w:rFonts w:ascii="Calibri" w:hAnsi="Calibri"/>
          <w:sz w:val="28"/>
          <w:szCs w:val="28"/>
          <w:rtl/>
        </w:rPr>
        <w:t>مختلف مصادر المعطيات الادارية (ميزان الأداءات الطبعة السادسة، إحصائيات المالية العمومية، الاحصائيات الجمركية).</w:t>
      </w:r>
    </w:p>
    <w:p w:rsidR="00A02738" w:rsidRDefault="00A02738" w:rsidP="00A02738">
      <w:pPr>
        <w:pStyle w:val="Paragraphedeliste"/>
        <w:bidi/>
        <w:rPr>
          <w:rFonts w:ascii="Calibri" w:hAnsi="Calibri"/>
          <w:sz w:val="28"/>
          <w:szCs w:val="28"/>
          <w:rtl/>
        </w:rPr>
      </w:pPr>
    </w:p>
    <w:p w:rsidR="0056071E" w:rsidRDefault="0056071E" w:rsidP="0056071E">
      <w:pPr>
        <w:pStyle w:val="Paragraphedeliste"/>
        <w:bidi/>
        <w:rPr>
          <w:rFonts w:ascii="Calibri" w:hAnsi="Calibri"/>
          <w:sz w:val="28"/>
          <w:szCs w:val="28"/>
          <w:rtl/>
        </w:rPr>
      </w:pPr>
    </w:p>
    <w:p w:rsidR="00A02738" w:rsidRPr="008A1A7B" w:rsidRDefault="00A02738" w:rsidP="00A02738">
      <w:pPr>
        <w:bidi/>
        <w:rPr>
          <w:rFonts w:ascii="Calibri" w:hAnsi="Calibri"/>
          <w:b/>
          <w:bCs/>
          <w:i/>
          <w:iCs/>
          <w:sz w:val="28"/>
          <w:szCs w:val="28"/>
          <w:rtl/>
        </w:rPr>
      </w:pPr>
      <w:r w:rsidRPr="008A1A7B">
        <w:rPr>
          <w:rFonts w:ascii="Calibri" w:hAnsi="Calibri"/>
          <w:b/>
          <w:bCs/>
          <w:i/>
          <w:iCs/>
          <w:sz w:val="28"/>
          <w:szCs w:val="28"/>
          <w:rtl/>
        </w:rPr>
        <w:lastRenderedPageBreak/>
        <w:t>اعتماد تصنيف جديد للأنشطة والمنتجات:</w:t>
      </w:r>
    </w:p>
    <w:p w:rsidR="00A02738" w:rsidRDefault="00830413" w:rsidP="00830413">
      <w:pPr>
        <w:pStyle w:val="Paragraphedeliste"/>
        <w:bidi/>
        <w:ind w:left="0"/>
        <w:jc w:val="center"/>
        <w:rPr>
          <w:rFonts w:ascii="Arial" w:hAnsi="Arial"/>
          <w:sz w:val="28"/>
          <w:szCs w:val="28"/>
          <w:rtl/>
        </w:rPr>
      </w:pPr>
      <w:r>
        <w:rPr>
          <w:rFonts w:ascii="Arial" w:hAnsi="Arial"/>
          <w:sz w:val="28"/>
          <w:szCs w:val="28"/>
        </w:rPr>
        <w:t xml:space="preserve">           </w:t>
      </w:r>
    </w:p>
    <w:p w:rsidR="00A02738" w:rsidRDefault="00A02738" w:rsidP="009B3A98">
      <w:pPr>
        <w:pStyle w:val="Paragraphedeliste"/>
        <w:bidi/>
        <w:ind w:left="0"/>
        <w:jc w:val="both"/>
        <w:rPr>
          <w:rFonts w:ascii="Arial" w:hAnsi="Arial"/>
          <w:sz w:val="28"/>
          <w:szCs w:val="28"/>
          <w:rtl/>
        </w:rPr>
      </w:pPr>
      <w:r>
        <w:rPr>
          <w:rFonts w:ascii="Arial" w:hAnsi="Arial" w:hint="cs"/>
          <w:sz w:val="28"/>
          <w:szCs w:val="28"/>
          <w:rtl/>
        </w:rPr>
        <w:t>تمكن تصنيف</w:t>
      </w:r>
      <w:r w:rsidR="009B3A98">
        <w:rPr>
          <w:rFonts w:ascii="Arial" w:hAnsi="Arial" w:hint="cs"/>
          <w:sz w:val="28"/>
          <w:szCs w:val="28"/>
          <w:rtl/>
        </w:rPr>
        <w:t>ات</w:t>
      </w:r>
      <w:r>
        <w:rPr>
          <w:rFonts w:ascii="Arial" w:hAnsi="Arial" w:hint="cs"/>
          <w:sz w:val="28"/>
          <w:szCs w:val="28"/>
          <w:rtl/>
        </w:rPr>
        <w:t xml:space="preserve"> الأنشطة والمنتجات من وصف أنشطة مختلف الفاعلين الاقتصاديين ومنتجاتهم ومبادلاتهم لتسهيل تنظيم المعلومة الاقتصادية الواردة في الحسابات الوطنية. </w:t>
      </w:r>
      <w:r w:rsidRPr="008C397C">
        <w:rPr>
          <w:rFonts w:ascii="Arial" w:hAnsi="Arial" w:hint="cs"/>
          <w:sz w:val="28"/>
          <w:szCs w:val="28"/>
          <w:rtl/>
        </w:rPr>
        <w:t>و</w:t>
      </w:r>
      <w:r>
        <w:rPr>
          <w:rFonts w:ascii="Arial" w:hAnsi="Arial" w:hint="cs"/>
          <w:sz w:val="28"/>
          <w:szCs w:val="28"/>
          <w:rtl/>
        </w:rPr>
        <w:t>للأخد بعين الاعتبار</w:t>
      </w:r>
      <w:r w:rsidRPr="008C397C">
        <w:rPr>
          <w:rFonts w:ascii="Arial" w:hAnsi="Arial" w:hint="cs"/>
          <w:sz w:val="28"/>
          <w:szCs w:val="28"/>
          <w:rtl/>
        </w:rPr>
        <w:t xml:space="preserve"> التغييرات التي حدثت في بنية الاقتصاد الوطني وكذ</w:t>
      </w:r>
      <w:r>
        <w:rPr>
          <w:rFonts w:ascii="Arial" w:hAnsi="Arial" w:hint="cs"/>
          <w:sz w:val="28"/>
          <w:szCs w:val="28"/>
          <w:rtl/>
        </w:rPr>
        <w:t>ا</w:t>
      </w:r>
      <w:r w:rsidRPr="008C397C">
        <w:rPr>
          <w:rFonts w:ascii="Arial" w:hAnsi="Arial" w:hint="cs"/>
          <w:sz w:val="28"/>
          <w:szCs w:val="28"/>
          <w:rtl/>
        </w:rPr>
        <w:t xml:space="preserve"> مراجعة التصنيفات الدولية، تم وضع تصنيفات جديدة للأنشطة الاقتصادية والمنتجات في الحسابات الوطنية المغربية  لسنة الأساس</w:t>
      </w:r>
      <w:r>
        <w:rPr>
          <w:rFonts w:ascii="Arial" w:hAnsi="Arial" w:hint="cs"/>
          <w:sz w:val="28"/>
          <w:szCs w:val="28"/>
          <w:rtl/>
        </w:rPr>
        <w:t xml:space="preserve"> </w:t>
      </w:r>
      <w:r w:rsidRPr="008C397C">
        <w:rPr>
          <w:rFonts w:ascii="Arial" w:hAnsi="Arial" w:hint="cs"/>
          <w:sz w:val="28"/>
          <w:szCs w:val="28"/>
          <w:rtl/>
        </w:rPr>
        <w:t>2014</w:t>
      </w:r>
      <w:r w:rsidRPr="008C397C">
        <w:rPr>
          <w:rFonts w:ascii="Arial" w:hAnsi="Arial" w:hint="cs"/>
          <w:sz w:val="28"/>
          <w:szCs w:val="28"/>
        </w:rPr>
        <w:t>.</w:t>
      </w:r>
    </w:p>
    <w:p w:rsidR="00A02738" w:rsidRDefault="00A02738" w:rsidP="00A02738">
      <w:pPr>
        <w:pStyle w:val="Paragraphedeliste"/>
        <w:bidi/>
        <w:ind w:left="0"/>
        <w:rPr>
          <w:rFonts w:ascii="Arial" w:hAnsi="Arial"/>
          <w:sz w:val="28"/>
          <w:szCs w:val="28"/>
          <w:rtl/>
        </w:rPr>
      </w:pPr>
    </w:p>
    <w:p w:rsidR="00A02738" w:rsidRPr="004B5F0C" w:rsidRDefault="00A02738" w:rsidP="00A02738">
      <w:pPr>
        <w:pStyle w:val="Paragraphedeliste"/>
        <w:bidi/>
        <w:ind w:left="0"/>
        <w:rPr>
          <w:rFonts w:ascii="Arial" w:hAnsi="Arial"/>
          <w:b/>
          <w:bCs/>
          <w:i/>
          <w:iCs/>
          <w:sz w:val="28"/>
          <w:szCs w:val="28"/>
          <w:rtl/>
        </w:rPr>
      </w:pPr>
      <w:r w:rsidRPr="004B5F0C">
        <w:rPr>
          <w:rFonts w:ascii="Arial" w:hAnsi="Arial" w:hint="cs"/>
          <w:b/>
          <w:bCs/>
          <w:i/>
          <w:iCs/>
          <w:sz w:val="28"/>
          <w:szCs w:val="28"/>
          <w:rtl/>
        </w:rPr>
        <w:t>استعمال الطبعة السادسة لميزان الأداءا</w:t>
      </w:r>
      <w:r w:rsidRPr="004B5F0C">
        <w:rPr>
          <w:rFonts w:ascii="Arial" w:hAnsi="Arial" w:hint="eastAsia"/>
          <w:b/>
          <w:bCs/>
          <w:i/>
          <w:iCs/>
          <w:sz w:val="28"/>
          <w:szCs w:val="28"/>
          <w:rtl/>
        </w:rPr>
        <w:t>ت</w:t>
      </w:r>
      <w:r w:rsidRPr="004B5F0C">
        <w:rPr>
          <w:rFonts w:ascii="Arial" w:hAnsi="Arial" w:hint="cs"/>
          <w:b/>
          <w:bCs/>
          <w:i/>
          <w:iCs/>
          <w:sz w:val="28"/>
          <w:szCs w:val="28"/>
          <w:rtl/>
        </w:rPr>
        <w:t xml:space="preserve"> </w:t>
      </w:r>
      <w:r w:rsidRPr="004B5F0C">
        <w:rPr>
          <w:rFonts w:ascii="Arial" w:hAnsi="Arial" w:hint="cs"/>
          <w:i/>
          <w:iCs/>
          <w:sz w:val="28"/>
          <w:szCs w:val="28"/>
          <w:rtl/>
        </w:rPr>
        <w:t>:</w:t>
      </w:r>
      <w:r w:rsidRPr="004B5F0C">
        <w:rPr>
          <w:rFonts w:ascii="Arial" w:hAnsi="Arial" w:hint="cs"/>
          <w:b/>
          <w:bCs/>
          <w:i/>
          <w:iCs/>
          <w:sz w:val="28"/>
          <w:szCs w:val="28"/>
          <w:rtl/>
        </w:rPr>
        <w:t xml:space="preserve"> </w:t>
      </w:r>
    </w:p>
    <w:p w:rsidR="00A02738" w:rsidRDefault="00A02738" w:rsidP="00A02738">
      <w:pPr>
        <w:pStyle w:val="Paragraphedeliste"/>
        <w:bidi/>
        <w:ind w:left="0"/>
        <w:rPr>
          <w:rFonts w:ascii="Arial" w:hAnsi="Arial"/>
          <w:b/>
          <w:bCs/>
          <w:sz w:val="28"/>
          <w:szCs w:val="28"/>
          <w:rtl/>
        </w:rPr>
      </w:pPr>
    </w:p>
    <w:p w:rsidR="00A02738" w:rsidRDefault="00A02738" w:rsidP="00A02738">
      <w:pPr>
        <w:pStyle w:val="Paragraphedeliste"/>
        <w:bidi/>
        <w:ind w:left="0"/>
        <w:jc w:val="both"/>
        <w:rPr>
          <w:rFonts w:ascii="Arial" w:hAnsi="Arial"/>
          <w:sz w:val="28"/>
          <w:szCs w:val="28"/>
          <w:rtl/>
        </w:rPr>
      </w:pPr>
      <w:r>
        <w:rPr>
          <w:rFonts w:ascii="Arial" w:hAnsi="Arial" w:hint="cs"/>
          <w:sz w:val="28"/>
          <w:szCs w:val="28"/>
          <w:rtl/>
        </w:rPr>
        <w:t>رافق</w:t>
      </w:r>
      <w:r w:rsidRPr="00427FDC">
        <w:rPr>
          <w:rFonts w:ascii="Arial" w:hAnsi="Arial" w:hint="cs"/>
          <w:sz w:val="28"/>
          <w:szCs w:val="28"/>
          <w:rtl/>
        </w:rPr>
        <w:t xml:space="preserve"> الانتقال إلى سنة الأساس الجديدة 2014 </w:t>
      </w:r>
      <w:r>
        <w:rPr>
          <w:rFonts w:ascii="Arial" w:hAnsi="Arial" w:hint="cs"/>
          <w:sz w:val="28"/>
          <w:szCs w:val="28"/>
          <w:rtl/>
        </w:rPr>
        <w:t xml:space="preserve">إعداد حساب بقية العالم باستعمال إحصائيات </w:t>
      </w:r>
      <w:r w:rsidRPr="00427FDC">
        <w:rPr>
          <w:rFonts w:ascii="Arial" w:hAnsi="Arial" w:hint="cs"/>
          <w:sz w:val="28"/>
          <w:szCs w:val="28"/>
          <w:rtl/>
        </w:rPr>
        <w:t xml:space="preserve">ميزان الأداءات المعد حسب الطبعة السادسة ما دام التصنيف الجديد للمنتجات يسمح بذلك. </w:t>
      </w:r>
    </w:p>
    <w:p w:rsidR="00A02738" w:rsidRDefault="00A02738" w:rsidP="00A02738">
      <w:pPr>
        <w:pStyle w:val="Paragraphedeliste"/>
        <w:bidi/>
        <w:ind w:left="0"/>
        <w:rPr>
          <w:rFonts w:ascii="Arial" w:hAnsi="Arial"/>
          <w:sz w:val="28"/>
          <w:szCs w:val="28"/>
          <w:rtl/>
        </w:rPr>
      </w:pPr>
    </w:p>
    <w:p w:rsidR="00A02738" w:rsidRDefault="00A02738" w:rsidP="00A02738">
      <w:pPr>
        <w:bidi/>
        <w:rPr>
          <w:rFonts w:ascii="Arial" w:hAnsi="Arial"/>
          <w:b/>
          <w:bCs/>
          <w:sz w:val="28"/>
          <w:szCs w:val="28"/>
          <w:rtl/>
        </w:rPr>
      </w:pPr>
      <w:r w:rsidRPr="004B2381">
        <w:rPr>
          <w:rFonts w:ascii="Arial" w:hAnsi="Arial" w:hint="cs"/>
          <w:b/>
          <w:bCs/>
          <w:color w:val="002060"/>
          <w:sz w:val="30"/>
          <w:szCs w:val="30"/>
          <w:rtl/>
        </w:rPr>
        <w:t>المجاميع الاقتصادية والجداول التركيبية لحسابات سنة الأساس 2014</w:t>
      </w:r>
    </w:p>
    <w:p w:rsidR="00A02738" w:rsidRDefault="00A02738" w:rsidP="00A02738">
      <w:pPr>
        <w:pStyle w:val="Paragraphedeliste"/>
        <w:bidi/>
        <w:ind w:left="0"/>
        <w:rPr>
          <w:rFonts w:ascii="Arial" w:hAnsi="Arial"/>
          <w:b/>
          <w:bCs/>
          <w:sz w:val="28"/>
          <w:szCs w:val="28"/>
          <w:rtl/>
        </w:rPr>
      </w:pPr>
    </w:p>
    <w:p w:rsidR="00A02738" w:rsidRPr="00CC50B3" w:rsidRDefault="00A02738" w:rsidP="00A02738">
      <w:pPr>
        <w:pStyle w:val="Paragraphedeliste"/>
        <w:bidi/>
        <w:ind w:left="0"/>
        <w:jc w:val="both"/>
        <w:rPr>
          <w:rFonts w:ascii="Calibri" w:hAnsi="Calibri"/>
          <w:sz w:val="28"/>
          <w:szCs w:val="28"/>
          <w:rtl/>
        </w:rPr>
      </w:pPr>
      <w:r w:rsidRPr="00CC50B3">
        <w:rPr>
          <w:rFonts w:ascii="Calibri" w:hAnsi="Calibri"/>
          <w:sz w:val="28"/>
          <w:szCs w:val="28"/>
          <w:rtl/>
        </w:rPr>
        <w:t>تعرض سلسلة الحسابات لسنة الأساس 2014، الممتدة من سنة 2014 إلى سنة 2019، مجموع الحسابات والجداول التي تهم أساسا:</w:t>
      </w:r>
    </w:p>
    <w:p w:rsidR="00A02738" w:rsidRPr="00CC50B3" w:rsidRDefault="00A02738" w:rsidP="00A02738">
      <w:pPr>
        <w:pStyle w:val="Paragraphedeliste"/>
        <w:numPr>
          <w:ilvl w:val="0"/>
          <w:numId w:val="18"/>
        </w:numPr>
        <w:bidi/>
        <w:spacing w:after="200" w:line="360" w:lineRule="exact"/>
        <w:jc w:val="both"/>
        <w:rPr>
          <w:rFonts w:ascii="Calibri" w:hAnsi="Calibri"/>
          <w:sz w:val="28"/>
          <w:szCs w:val="28"/>
          <w:lang w:bidi="ar-MA"/>
        </w:rPr>
      </w:pPr>
      <w:r w:rsidRPr="00CC50B3">
        <w:rPr>
          <w:rFonts w:ascii="Calibri" w:hAnsi="Calibri"/>
          <w:sz w:val="28"/>
          <w:szCs w:val="28"/>
          <w:rtl/>
          <w:lang w:bidi="ar-MA"/>
        </w:rPr>
        <w:t>توازن الموارد والاستعمالات حسب المنتج بالقيمة وبالحجم؛</w:t>
      </w:r>
    </w:p>
    <w:p w:rsidR="00A02738" w:rsidRPr="00CC50B3" w:rsidRDefault="00A02738" w:rsidP="00A02738">
      <w:pPr>
        <w:pStyle w:val="Paragraphedeliste"/>
        <w:numPr>
          <w:ilvl w:val="0"/>
          <w:numId w:val="18"/>
        </w:numPr>
        <w:bidi/>
        <w:spacing w:after="200" w:line="360" w:lineRule="exact"/>
        <w:jc w:val="both"/>
        <w:rPr>
          <w:rFonts w:ascii="Calibri" w:hAnsi="Calibri"/>
          <w:sz w:val="28"/>
          <w:szCs w:val="28"/>
          <w:lang w:bidi="ar-MA"/>
        </w:rPr>
      </w:pPr>
      <w:r w:rsidRPr="00CC50B3">
        <w:rPr>
          <w:rFonts w:ascii="Calibri" w:hAnsi="Calibri"/>
          <w:sz w:val="28"/>
          <w:szCs w:val="28"/>
          <w:rtl/>
          <w:lang w:bidi="ar-MA"/>
        </w:rPr>
        <w:t>حسابات فروع الأنشطة بالقيمة وبالحجم: ويتعلق الأمر بحسابي الانتاج والاستغلال حسب فروع الأنشطة الاقتصادية؛</w:t>
      </w:r>
    </w:p>
    <w:p w:rsidR="00A02738" w:rsidRPr="00CC50B3" w:rsidRDefault="00A02738" w:rsidP="00A02738">
      <w:pPr>
        <w:pStyle w:val="Paragraphedeliste"/>
        <w:numPr>
          <w:ilvl w:val="0"/>
          <w:numId w:val="18"/>
        </w:numPr>
        <w:bidi/>
        <w:spacing w:after="200" w:line="360" w:lineRule="exact"/>
        <w:jc w:val="both"/>
        <w:rPr>
          <w:rFonts w:ascii="Calibri" w:hAnsi="Calibri"/>
          <w:sz w:val="28"/>
          <w:szCs w:val="28"/>
          <w:lang w:bidi="ar-MA"/>
        </w:rPr>
      </w:pPr>
      <w:r w:rsidRPr="00CC50B3">
        <w:rPr>
          <w:rFonts w:ascii="Calibri" w:hAnsi="Calibri"/>
          <w:sz w:val="28"/>
          <w:szCs w:val="28"/>
          <w:rtl/>
          <w:lang w:bidi="ar-MA"/>
        </w:rPr>
        <w:t>سلسلة حسابات القطاعات المؤسساتية؛</w:t>
      </w:r>
    </w:p>
    <w:p w:rsidR="00A02738" w:rsidRPr="00CC50B3" w:rsidRDefault="00A02738" w:rsidP="00A02738">
      <w:pPr>
        <w:pStyle w:val="Paragraphedeliste"/>
        <w:numPr>
          <w:ilvl w:val="0"/>
          <w:numId w:val="18"/>
        </w:numPr>
        <w:bidi/>
        <w:spacing w:after="200" w:line="360" w:lineRule="exact"/>
        <w:jc w:val="both"/>
        <w:rPr>
          <w:rFonts w:ascii="Calibri" w:hAnsi="Calibri"/>
          <w:sz w:val="28"/>
          <w:szCs w:val="28"/>
          <w:lang w:bidi="ar-MA"/>
        </w:rPr>
      </w:pPr>
      <w:r w:rsidRPr="00CC50B3">
        <w:rPr>
          <w:rFonts w:ascii="Calibri" w:hAnsi="Calibri"/>
          <w:sz w:val="28"/>
          <w:szCs w:val="28"/>
          <w:rtl/>
          <w:lang w:bidi="ar-MA"/>
        </w:rPr>
        <w:t>جدول العرض والاستخدام بالقيمة وبالحجم؛</w:t>
      </w:r>
    </w:p>
    <w:p w:rsidR="006A0D03" w:rsidRPr="00CC50B3" w:rsidRDefault="00A02738" w:rsidP="00A02738">
      <w:pPr>
        <w:pStyle w:val="Paragraphedeliste"/>
        <w:numPr>
          <w:ilvl w:val="0"/>
          <w:numId w:val="18"/>
        </w:numPr>
        <w:bidi/>
        <w:spacing w:after="200" w:line="360" w:lineRule="exact"/>
        <w:jc w:val="both"/>
        <w:rPr>
          <w:rFonts w:ascii="Calibri" w:hAnsi="Calibri"/>
          <w:sz w:val="28"/>
          <w:szCs w:val="28"/>
          <w:lang w:bidi="ar-MA"/>
        </w:rPr>
      </w:pPr>
      <w:r w:rsidRPr="00CC50B3">
        <w:rPr>
          <w:rFonts w:ascii="Calibri" w:hAnsi="Calibri"/>
          <w:sz w:val="28"/>
          <w:szCs w:val="28"/>
          <w:rtl/>
          <w:lang w:bidi="ar-MA"/>
        </w:rPr>
        <w:t>جدول الحسابات الاقتصادية المتكاملة</w:t>
      </w:r>
      <w:r w:rsidR="006A0D03" w:rsidRPr="00CC50B3">
        <w:rPr>
          <w:rFonts w:ascii="Calibri" w:hAnsi="Calibri"/>
          <w:sz w:val="28"/>
          <w:szCs w:val="28"/>
          <w:rtl/>
          <w:lang w:bidi="ar-MA"/>
        </w:rPr>
        <w:t>؛</w:t>
      </w:r>
    </w:p>
    <w:p w:rsidR="00A02738" w:rsidRPr="00CC50B3" w:rsidRDefault="00A02738" w:rsidP="006A0D03">
      <w:pPr>
        <w:pStyle w:val="Paragraphedeliste"/>
        <w:numPr>
          <w:ilvl w:val="0"/>
          <w:numId w:val="18"/>
        </w:numPr>
        <w:bidi/>
        <w:spacing w:after="200" w:line="360" w:lineRule="exact"/>
        <w:jc w:val="both"/>
        <w:rPr>
          <w:rFonts w:ascii="Calibri" w:hAnsi="Calibri"/>
          <w:sz w:val="28"/>
          <w:szCs w:val="28"/>
          <w:lang w:bidi="ar-MA"/>
        </w:rPr>
      </w:pPr>
      <w:r w:rsidRPr="00CC50B3">
        <w:rPr>
          <w:rFonts w:ascii="Calibri" w:hAnsi="Calibri"/>
          <w:sz w:val="28"/>
          <w:szCs w:val="28"/>
          <w:rtl/>
          <w:lang w:bidi="ar-MA"/>
        </w:rPr>
        <w:t xml:space="preserve"> جدول العمليات المالية؛</w:t>
      </w:r>
    </w:p>
    <w:p w:rsidR="001B76D9" w:rsidRPr="00CC50B3" w:rsidRDefault="001B76D9" w:rsidP="001B76D9">
      <w:pPr>
        <w:pStyle w:val="Paragraphedeliste"/>
        <w:numPr>
          <w:ilvl w:val="0"/>
          <w:numId w:val="18"/>
        </w:numPr>
        <w:bidi/>
        <w:spacing w:after="200" w:line="360" w:lineRule="exact"/>
        <w:jc w:val="both"/>
        <w:rPr>
          <w:rFonts w:ascii="Calibri" w:hAnsi="Calibri"/>
          <w:sz w:val="28"/>
          <w:szCs w:val="28"/>
          <w:lang w:bidi="ar-MA"/>
        </w:rPr>
      </w:pPr>
      <w:r w:rsidRPr="00CC50B3">
        <w:rPr>
          <w:rFonts w:ascii="Calibri" w:hAnsi="Calibri"/>
          <w:sz w:val="28"/>
          <w:szCs w:val="28"/>
          <w:rtl/>
          <w:lang w:bidi="ar-MA"/>
        </w:rPr>
        <w:t>مصفوفة إجمالي تكوين رأسمال التابث؛</w:t>
      </w:r>
    </w:p>
    <w:p w:rsidR="00A02738" w:rsidRPr="00CC50B3" w:rsidRDefault="00A02738" w:rsidP="00A02738">
      <w:pPr>
        <w:pStyle w:val="Paragraphedeliste"/>
        <w:numPr>
          <w:ilvl w:val="0"/>
          <w:numId w:val="18"/>
        </w:numPr>
        <w:bidi/>
        <w:spacing w:after="200" w:line="360" w:lineRule="exact"/>
        <w:jc w:val="both"/>
        <w:rPr>
          <w:rFonts w:ascii="Calibri" w:hAnsi="Calibri"/>
          <w:sz w:val="28"/>
          <w:szCs w:val="28"/>
          <w:lang w:bidi="ar-MA"/>
        </w:rPr>
      </w:pPr>
      <w:r w:rsidRPr="00CC50B3">
        <w:rPr>
          <w:rFonts w:ascii="Calibri" w:hAnsi="Calibri"/>
          <w:sz w:val="28"/>
          <w:szCs w:val="28"/>
          <w:rtl/>
          <w:lang w:bidi="ar-MA"/>
        </w:rPr>
        <w:t>مصفوفة المحاسبة الاجتماعية؛</w:t>
      </w:r>
    </w:p>
    <w:p w:rsidR="00A02738" w:rsidRPr="00CC50B3" w:rsidRDefault="00A02738" w:rsidP="00A02738">
      <w:pPr>
        <w:pStyle w:val="Paragraphedeliste"/>
        <w:numPr>
          <w:ilvl w:val="0"/>
          <w:numId w:val="18"/>
        </w:numPr>
        <w:bidi/>
        <w:spacing w:after="200" w:line="360" w:lineRule="exact"/>
        <w:jc w:val="both"/>
        <w:rPr>
          <w:rFonts w:ascii="Calibri" w:hAnsi="Calibri"/>
          <w:sz w:val="28"/>
          <w:szCs w:val="28"/>
          <w:lang w:bidi="ar-MA"/>
        </w:rPr>
      </w:pPr>
      <w:r w:rsidRPr="00CC50B3">
        <w:rPr>
          <w:rFonts w:ascii="Calibri" w:hAnsi="Calibri"/>
          <w:sz w:val="28"/>
          <w:szCs w:val="28"/>
          <w:rtl/>
          <w:lang w:bidi="ar-MA"/>
        </w:rPr>
        <w:t>مصفوفة التشغيل.</w:t>
      </w:r>
    </w:p>
    <w:p w:rsidR="00A02738" w:rsidRDefault="00A02738" w:rsidP="00A02738">
      <w:pPr>
        <w:bidi/>
        <w:rPr>
          <w:b/>
          <w:bCs/>
          <w:rtl/>
          <w:lang w:bidi="ar-MA"/>
        </w:rPr>
      </w:pPr>
      <w:r w:rsidRPr="004B2381">
        <w:rPr>
          <w:rFonts w:ascii="Arial" w:hAnsi="Arial" w:hint="cs"/>
          <w:b/>
          <w:bCs/>
          <w:color w:val="002060"/>
          <w:sz w:val="30"/>
          <w:szCs w:val="30"/>
          <w:rtl/>
        </w:rPr>
        <w:t>تأثير الانتقال إلى سنة الأساس 2014 على المجاميع الاقتصادية</w:t>
      </w:r>
    </w:p>
    <w:p w:rsidR="00A02738" w:rsidRPr="00050E64" w:rsidRDefault="00A02738" w:rsidP="00A02738">
      <w:pPr>
        <w:bidi/>
        <w:spacing w:after="200" w:line="360" w:lineRule="exact"/>
        <w:jc w:val="both"/>
        <w:rPr>
          <w:b/>
          <w:bCs/>
          <w:color w:val="A11F32"/>
          <w:sz w:val="28"/>
          <w:szCs w:val="28"/>
          <w:rtl/>
          <w:lang w:bidi="ar-MA"/>
        </w:rPr>
      </w:pPr>
      <w:r w:rsidRPr="00050E64">
        <w:rPr>
          <w:rFonts w:hint="cs"/>
          <w:b/>
          <w:bCs/>
          <w:color w:val="A11F32"/>
          <w:sz w:val="28"/>
          <w:szCs w:val="28"/>
          <w:rtl/>
          <w:lang w:bidi="ar-MA"/>
        </w:rPr>
        <w:t>مراجعة الناتج الداخلي الاجمالي نحو الارتفاع بنسبة 8.2</w:t>
      </w:r>
      <w:r w:rsidRPr="00050E64">
        <w:rPr>
          <w:b/>
          <w:bCs/>
          <w:color w:val="A11F32"/>
          <w:sz w:val="28"/>
          <w:szCs w:val="28"/>
          <w:lang w:bidi="ar-MA"/>
        </w:rPr>
        <w:t>%</w:t>
      </w:r>
    </w:p>
    <w:p w:rsidR="00A02738" w:rsidRPr="00CC50B3" w:rsidRDefault="00A02738" w:rsidP="000D55DE">
      <w:pPr>
        <w:bidi/>
        <w:spacing w:after="200"/>
        <w:jc w:val="both"/>
        <w:rPr>
          <w:rFonts w:ascii="Calibri" w:hAnsi="Calibri"/>
          <w:sz w:val="28"/>
          <w:szCs w:val="28"/>
          <w:rtl/>
        </w:rPr>
      </w:pPr>
      <w:r w:rsidRPr="00CC50B3">
        <w:rPr>
          <w:rFonts w:ascii="Calibri" w:hAnsi="Calibri"/>
          <w:sz w:val="28"/>
          <w:szCs w:val="28"/>
          <w:rtl/>
        </w:rPr>
        <w:t>بلغ الناتج الداخلي الإجمالي بالقيمة 1001.5 مليار درهم سنة 2014 حسب أساس 2014. وتمت مراجعته نحو الارتفاع بمقدار 76.1 مليار درهم ، أي بزيادة 8.2</w:t>
      </w:r>
      <w:r w:rsidRPr="00CC50B3">
        <w:rPr>
          <w:rFonts w:ascii="Calibri" w:hAnsi="Calibri"/>
          <w:sz w:val="28"/>
          <w:szCs w:val="28"/>
        </w:rPr>
        <w:t xml:space="preserve"> % </w:t>
      </w:r>
      <w:r w:rsidRPr="00CC50B3">
        <w:rPr>
          <w:rFonts w:ascii="Calibri" w:hAnsi="Calibri"/>
          <w:sz w:val="28"/>
          <w:szCs w:val="28"/>
          <w:rtl/>
        </w:rPr>
        <w:t>مقارنة مع سنة الأساس 2007. وتعزى هذه المراجعة إلى ارتفاع القيمة المضافة لمجموع فروع الأنشطة ب 79.8 مليار درهم (9.6</w:t>
      </w:r>
      <w:r w:rsidRPr="00CC50B3">
        <w:rPr>
          <w:rFonts w:ascii="Calibri" w:hAnsi="Calibri"/>
          <w:sz w:val="28"/>
          <w:szCs w:val="28"/>
        </w:rPr>
        <w:t>%</w:t>
      </w:r>
      <w:r w:rsidRPr="00CC50B3">
        <w:rPr>
          <w:rFonts w:ascii="Calibri" w:hAnsi="Calibri"/>
          <w:sz w:val="28"/>
          <w:szCs w:val="28"/>
          <w:rtl/>
        </w:rPr>
        <w:t xml:space="preserve"> مقارنة بالأساس القديم 2007) ومراجعة الضرائب على المنت</w:t>
      </w:r>
      <w:r w:rsidR="00DA3B73" w:rsidRPr="00CC50B3">
        <w:rPr>
          <w:rFonts w:ascii="Calibri" w:hAnsi="Calibri"/>
          <w:sz w:val="28"/>
          <w:szCs w:val="28"/>
          <w:rtl/>
        </w:rPr>
        <w:t>و</w:t>
      </w:r>
      <w:r w:rsidRPr="00CC50B3">
        <w:rPr>
          <w:rFonts w:ascii="Calibri" w:hAnsi="Calibri"/>
          <w:sz w:val="28"/>
          <w:szCs w:val="28"/>
          <w:rtl/>
        </w:rPr>
        <w:t>جات</w:t>
      </w:r>
      <w:r w:rsidR="00DA3B73" w:rsidRPr="00CC50B3">
        <w:rPr>
          <w:rFonts w:ascii="Calibri" w:hAnsi="Calibri"/>
          <w:sz w:val="28"/>
          <w:szCs w:val="28"/>
          <w:rtl/>
        </w:rPr>
        <w:t xml:space="preserve"> صافية من الإعانات</w:t>
      </w:r>
      <w:r w:rsidRPr="00CC50B3">
        <w:rPr>
          <w:rFonts w:ascii="Calibri" w:hAnsi="Calibri"/>
          <w:sz w:val="28"/>
          <w:szCs w:val="28"/>
          <w:rtl/>
        </w:rPr>
        <w:t xml:space="preserve"> نحو الانخفاض ب 3.8 مليار درهم (</w:t>
      </w:r>
      <w:r w:rsidR="00965FEA">
        <w:rPr>
          <w:rFonts w:ascii="Calibri" w:hAnsi="Calibri"/>
          <w:sz w:val="28"/>
          <w:szCs w:val="28"/>
        </w:rPr>
        <w:t>)</w:t>
      </w:r>
      <w:r w:rsidR="000D55DE" w:rsidRPr="00CC50B3">
        <w:rPr>
          <w:rFonts w:ascii="Calibri" w:hAnsi="Calibri"/>
          <w:sz w:val="28"/>
          <w:szCs w:val="28"/>
          <w:rtl/>
        </w:rPr>
        <w:t>4</w:t>
      </w:r>
      <w:r w:rsidRPr="00CC50B3">
        <w:rPr>
          <w:rFonts w:ascii="Calibri" w:hAnsi="Calibri"/>
          <w:sz w:val="28"/>
          <w:szCs w:val="28"/>
        </w:rPr>
        <w:t xml:space="preserve"> %</w:t>
      </w:r>
      <w:r w:rsidR="00965FEA">
        <w:rPr>
          <w:rFonts w:ascii="Calibri" w:hAnsi="Calibri"/>
          <w:sz w:val="28"/>
          <w:szCs w:val="28"/>
        </w:rPr>
        <w:t>(</w:t>
      </w:r>
      <w:r w:rsidRPr="00CC50B3">
        <w:rPr>
          <w:rFonts w:ascii="Calibri" w:hAnsi="Calibri"/>
          <w:sz w:val="28"/>
          <w:szCs w:val="28"/>
        </w:rPr>
        <w:t>-</w:t>
      </w:r>
      <w:r w:rsidRPr="00CC50B3">
        <w:rPr>
          <w:rFonts w:ascii="Calibri" w:hAnsi="Calibri"/>
          <w:sz w:val="28"/>
          <w:szCs w:val="28"/>
          <w:rtl/>
        </w:rPr>
        <w:t>مقارنة بأساس 2007).</w:t>
      </w:r>
    </w:p>
    <w:p w:rsidR="00A02738" w:rsidRPr="00CC50B3" w:rsidRDefault="00A02738" w:rsidP="00A02738">
      <w:pPr>
        <w:bidi/>
        <w:spacing w:after="200"/>
        <w:jc w:val="both"/>
        <w:rPr>
          <w:rFonts w:ascii="Calibri" w:hAnsi="Calibri"/>
          <w:sz w:val="28"/>
          <w:szCs w:val="28"/>
          <w:rtl/>
        </w:rPr>
      </w:pPr>
      <w:r w:rsidRPr="00CC50B3">
        <w:rPr>
          <w:rFonts w:ascii="Calibri" w:hAnsi="Calibri"/>
          <w:sz w:val="28"/>
          <w:szCs w:val="28"/>
          <w:rtl/>
        </w:rPr>
        <w:t>وحسب قطاعات الأنشطة، بلغت القيمة المضافة للقطاع الأولي (الفلاحة والصيد) 103.7 مليار درهم حسب سنة الأساس 2014 مقابل 107.9 مليار درهم حسب سنة الأساس 2007 بمراجعة نحو الانخفاض بنسبة 3.9</w:t>
      </w:r>
      <w:r w:rsidRPr="00CC50B3">
        <w:rPr>
          <w:rFonts w:ascii="Calibri" w:hAnsi="Calibri"/>
          <w:sz w:val="28"/>
          <w:szCs w:val="28"/>
        </w:rPr>
        <w:t>%</w:t>
      </w:r>
      <w:r w:rsidRPr="00CC50B3">
        <w:rPr>
          <w:rFonts w:ascii="Calibri" w:hAnsi="Calibri"/>
          <w:sz w:val="28"/>
          <w:szCs w:val="28"/>
          <w:rtl/>
        </w:rPr>
        <w:t>.</w:t>
      </w:r>
    </w:p>
    <w:p w:rsidR="00A02738" w:rsidRPr="00CC50B3" w:rsidRDefault="00A02738" w:rsidP="00D84BB3">
      <w:pPr>
        <w:bidi/>
        <w:spacing w:after="200"/>
        <w:jc w:val="both"/>
        <w:rPr>
          <w:rFonts w:ascii="Calibri" w:hAnsi="Calibri"/>
          <w:sz w:val="28"/>
          <w:szCs w:val="28"/>
          <w:rtl/>
        </w:rPr>
      </w:pPr>
      <w:r w:rsidRPr="00CC50B3">
        <w:rPr>
          <w:rFonts w:ascii="Calibri" w:hAnsi="Calibri"/>
          <w:sz w:val="28"/>
          <w:szCs w:val="28"/>
          <w:rtl/>
        </w:rPr>
        <w:lastRenderedPageBreak/>
        <w:t>من جهة أخرى، بلغت القيمة المضافة للقطاع الثانوي (الصناعات الاستخراجية والتحويلية، الب</w:t>
      </w:r>
      <w:r w:rsidR="009B3A98" w:rsidRPr="00CC50B3">
        <w:rPr>
          <w:rFonts w:ascii="Calibri" w:hAnsi="Calibri"/>
          <w:sz w:val="28"/>
          <w:szCs w:val="28"/>
          <w:rtl/>
        </w:rPr>
        <w:t>ن</w:t>
      </w:r>
      <w:r w:rsidRPr="00CC50B3">
        <w:rPr>
          <w:rFonts w:ascii="Calibri" w:hAnsi="Calibri"/>
          <w:sz w:val="28"/>
          <w:szCs w:val="28"/>
          <w:rtl/>
        </w:rPr>
        <w:t>اء والأشغال العمومية وإنتاج وتوزيع الماء والكهرباء) 258.5 مليار درهم بدل 245.1 مليار درهم حسب سنة الأساس 2007 بمراجعة بنسبة 5.5</w:t>
      </w:r>
      <w:r w:rsidRPr="00CC50B3">
        <w:rPr>
          <w:rFonts w:ascii="Calibri" w:hAnsi="Calibri"/>
          <w:sz w:val="28"/>
          <w:szCs w:val="28"/>
        </w:rPr>
        <w:t>%</w:t>
      </w:r>
      <w:r w:rsidRPr="00CC50B3">
        <w:rPr>
          <w:rFonts w:ascii="Calibri" w:hAnsi="Calibri"/>
          <w:sz w:val="28"/>
          <w:szCs w:val="28"/>
          <w:rtl/>
        </w:rPr>
        <w:t>.</w:t>
      </w:r>
    </w:p>
    <w:p w:rsidR="00A02738" w:rsidRPr="00CC50B3" w:rsidRDefault="00A02738" w:rsidP="00A02738">
      <w:pPr>
        <w:bidi/>
        <w:spacing w:after="200"/>
        <w:jc w:val="both"/>
        <w:rPr>
          <w:rFonts w:ascii="Calibri" w:hAnsi="Calibri"/>
          <w:sz w:val="28"/>
          <w:szCs w:val="28"/>
          <w:rtl/>
        </w:rPr>
      </w:pPr>
      <w:r w:rsidRPr="00CC50B3">
        <w:rPr>
          <w:rFonts w:ascii="Calibri" w:hAnsi="Calibri"/>
          <w:sz w:val="28"/>
          <w:szCs w:val="28"/>
          <w:rtl/>
        </w:rPr>
        <w:t>بالإضافة إلى ذلك، بلغت القيمة المضافة للقطاع الثالثي (التجارة والخدمات) 548.3 مليار درهم عوض 477.7 مليار درهم، مسجلة ارتفاعا بنسبة 14.8٪</w:t>
      </w:r>
      <w:r w:rsidRPr="00CC50B3">
        <w:rPr>
          <w:rFonts w:ascii="Calibri" w:hAnsi="Calibri"/>
          <w:sz w:val="28"/>
          <w:szCs w:val="28"/>
        </w:rPr>
        <w:t>.</w:t>
      </w:r>
    </w:p>
    <w:p w:rsidR="00A02738" w:rsidRPr="0056071E" w:rsidRDefault="00A02738" w:rsidP="009B3A98">
      <w:pPr>
        <w:bidi/>
        <w:spacing w:after="200"/>
        <w:jc w:val="both"/>
        <w:rPr>
          <w:sz w:val="28"/>
          <w:szCs w:val="28"/>
        </w:rPr>
      </w:pPr>
      <w:r w:rsidRPr="00CC50B3">
        <w:rPr>
          <w:rFonts w:ascii="Calibri" w:hAnsi="Calibri"/>
          <w:sz w:val="28"/>
          <w:szCs w:val="28"/>
          <w:rtl/>
        </w:rPr>
        <w:t>وفي هذه الظروف، يظهر توزيع الناتج الداخلي الاجمالي حسب القطاعات تحسنا ملحوظا في حصة القطاع الثالثي منتقلة من 51.6</w:t>
      </w:r>
      <w:r w:rsidRPr="00CC50B3">
        <w:rPr>
          <w:rFonts w:ascii="Calibri" w:hAnsi="Calibri"/>
          <w:sz w:val="28"/>
          <w:szCs w:val="28"/>
        </w:rPr>
        <w:t>%</w:t>
      </w:r>
      <w:r w:rsidR="009B3A98" w:rsidRPr="00CC50B3">
        <w:rPr>
          <w:rFonts w:ascii="Calibri" w:hAnsi="Calibri"/>
          <w:sz w:val="28"/>
          <w:szCs w:val="28"/>
          <w:rtl/>
        </w:rPr>
        <w:t xml:space="preserve"> </w:t>
      </w:r>
      <w:r w:rsidRPr="00CC50B3">
        <w:rPr>
          <w:rFonts w:ascii="Calibri" w:hAnsi="Calibri"/>
          <w:sz w:val="28"/>
          <w:szCs w:val="28"/>
          <w:rtl/>
        </w:rPr>
        <w:t>إلى 54.8</w:t>
      </w:r>
      <w:r w:rsidRPr="00CC50B3">
        <w:rPr>
          <w:rFonts w:ascii="Calibri" w:hAnsi="Calibri"/>
          <w:sz w:val="28"/>
          <w:szCs w:val="28"/>
        </w:rPr>
        <w:t>%</w:t>
      </w:r>
      <w:r w:rsidRPr="00CC50B3">
        <w:rPr>
          <w:rFonts w:ascii="Calibri" w:hAnsi="Calibri"/>
          <w:sz w:val="28"/>
          <w:szCs w:val="28"/>
          <w:rtl/>
        </w:rPr>
        <w:t xml:space="preserve"> من الناتج الداخلي الاجمالي، كما سجلت حصة القطاع الثانوي 25.8</w:t>
      </w:r>
      <w:r w:rsidRPr="00CC50B3">
        <w:rPr>
          <w:rFonts w:ascii="Calibri" w:hAnsi="Calibri"/>
          <w:sz w:val="28"/>
          <w:szCs w:val="28"/>
        </w:rPr>
        <w:t>%</w:t>
      </w:r>
      <w:r w:rsidRPr="00CC50B3">
        <w:rPr>
          <w:rFonts w:ascii="Calibri" w:hAnsi="Calibri"/>
          <w:sz w:val="28"/>
          <w:szCs w:val="28"/>
          <w:rtl/>
        </w:rPr>
        <w:t xml:space="preserve"> عوض 26.5</w:t>
      </w:r>
      <w:r w:rsidRPr="00CC50B3">
        <w:rPr>
          <w:rFonts w:ascii="Calibri" w:hAnsi="Calibri"/>
          <w:sz w:val="28"/>
          <w:szCs w:val="28"/>
        </w:rPr>
        <w:t>%</w:t>
      </w:r>
      <w:r w:rsidRPr="00CC50B3">
        <w:rPr>
          <w:rFonts w:ascii="Calibri" w:hAnsi="Calibri"/>
          <w:sz w:val="28"/>
          <w:szCs w:val="28"/>
          <w:rtl/>
        </w:rPr>
        <w:t>، أما القطاع الأولي فانتقلت مساهمته في الناتج الداخلي الاجمالي من 11.7</w:t>
      </w:r>
      <w:r w:rsidRPr="00CC50B3">
        <w:rPr>
          <w:rFonts w:ascii="Calibri" w:hAnsi="Calibri"/>
          <w:sz w:val="28"/>
          <w:szCs w:val="28"/>
        </w:rPr>
        <w:t>%</w:t>
      </w:r>
      <w:r w:rsidRPr="00CC50B3">
        <w:rPr>
          <w:rFonts w:ascii="Calibri" w:hAnsi="Calibri"/>
          <w:sz w:val="28"/>
          <w:szCs w:val="28"/>
          <w:rtl/>
        </w:rPr>
        <w:t xml:space="preserve"> إلى 10.4</w:t>
      </w:r>
      <w:r w:rsidRPr="00CC50B3">
        <w:rPr>
          <w:rFonts w:ascii="Calibri" w:hAnsi="Calibri"/>
          <w:sz w:val="28"/>
          <w:szCs w:val="28"/>
        </w:rPr>
        <w:t>%</w:t>
      </w:r>
      <w:r w:rsidRPr="00CC50B3">
        <w:rPr>
          <w:rFonts w:ascii="Calibri" w:hAnsi="Calibri"/>
          <w:sz w:val="28"/>
          <w:szCs w:val="28"/>
          <w:rtl/>
        </w:rPr>
        <w:t>.</w:t>
      </w:r>
    </w:p>
    <w:p w:rsidR="00A02738" w:rsidRPr="00060BF7" w:rsidRDefault="00A02738" w:rsidP="00A02738">
      <w:pPr>
        <w:bidi/>
        <w:spacing w:after="200" w:line="360" w:lineRule="exact"/>
        <w:jc w:val="center"/>
        <w:rPr>
          <w:b/>
          <w:bCs/>
        </w:rPr>
      </w:pPr>
      <w:r w:rsidRPr="00060BF7">
        <w:rPr>
          <w:rStyle w:val="jlqj4b"/>
          <w:rFonts w:hint="cs"/>
          <w:b/>
          <w:bCs/>
          <w:rtl/>
        </w:rPr>
        <w:t>إعادة تقييم الناتج الداخلي الإجمالي لسنة  2014 حسب قطاعات النشاط</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7"/>
        <w:gridCol w:w="236"/>
        <w:gridCol w:w="1088"/>
        <w:gridCol w:w="236"/>
        <w:gridCol w:w="1304"/>
        <w:gridCol w:w="236"/>
        <w:gridCol w:w="1304"/>
        <w:gridCol w:w="236"/>
        <w:gridCol w:w="3453"/>
      </w:tblGrid>
      <w:tr w:rsidR="00A02738" w:rsidRPr="000F254E" w:rsidTr="00D41B59">
        <w:trPr>
          <w:trHeight w:val="170"/>
          <w:jc w:val="center"/>
        </w:trPr>
        <w:tc>
          <w:tcPr>
            <w:tcW w:w="1247" w:type="dxa"/>
            <w:tcBorders>
              <w:top w:val="single" w:sz="18" w:space="0" w:color="F79646"/>
              <w:left w:val="nil"/>
              <w:bottom w:val="single" w:sz="18" w:space="0" w:color="F79646"/>
              <w:right w:val="nil"/>
            </w:tcBorders>
            <w:vAlign w:val="center"/>
          </w:tcPr>
          <w:p w:rsidR="00A02738" w:rsidRPr="00050E64" w:rsidRDefault="00A02738" w:rsidP="000B1874">
            <w:pPr>
              <w:jc w:val="center"/>
              <w:rPr>
                <w:b/>
                <w:bCs/>
                <w:color w:val="60319F"/>
                <w:rtl/>
              </w:rPr>
            </w:pPr>
            <w:r w:rsidRPr="00050E64">
              <w:rPr>
                <w:b/>
                <w:bCs/>
                <w:color w:val="60319F"/>
                <w:rtl/>
              </w:rPr>
              <w:t>التغيير بالنسبة المئوية</w:t>
            </w:r>
          </w:p>
        </w:tc>
        <w:tc>
          <w:tcPr>
            <w:tcW w:w="236" w:type="dxa"/>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1088" w:type="dxa"/>
            <w:tcBorders>
              <w:top w:val="single" w:sz="18" w:space="0" w:color="F79646"/>
              <w:left w:val="nil"/>
              <w:bottom w:val="single" w:sz="18" w:space="0" w:color="F79646"/>
              <w:right w:val="nil"/>
            </w:tcBorders>
            <w:vAlign w:val="center"/>
          </w:tcPr>
          <w:p w:rsidR="00A02738" w:rsidRPr="00050E64" w:rsidRDefault="00A02738" w:rsidP="000B1874">
            <w:pPr>
              <w:jc w:val="center"/>
              <w:rPr>
                <w:b/>
                <w:bCs/>
                <w:color w:val="60319F"/>
              </w:rPr>
            </w:pPr>
            <w:r w:rsidRPr="00050E64">
              <w:rPr>
                <w:b/>
                <w:bCs/>
                <w:color w:val="60319F"/>
                <w:rtl/>
              </w:rPr>
              <w:t>التغيير</w:t>
            </w:r>
          </w:p>
        </w:tc>
        <w:tc>
          <w:tcPr>
            <w:tcW w:w="236" w:type="dxa"/>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1304" w:type="dxa"/>
            <w:tcBorders>
              <w:top w:val="single" w:sz="18" w:space="0" w:color="F79646"/>
              <w:left w:val="nil"/>
              <w:bottom w:val="single" w:sz="18" w:space="0" w:color="F79646"/>
              <w:right w:val="nil"/>
            </w:tcBorders>
            <w:vAlign w:val="center"/>
          </w:tcPr>
          <w:p w:rsidR="00A02738" w:rsidRPr="00050E64" w:rsidRDefault="00A02738" w:rsidP="000B1874">
            <w:pPr>
              <w:bidi/>
              <w:jc w:val="center"/>
              <w:rPr>
                <w:rFonts w:ascii="Arial" w:hAnsi="Arial"/>
                <w:b/>
                <w:bCs/>
                <w:color w:val="60319F"/>
              </w:rPr>
            </w:pPr>
            <w:r w:rsidRPr="00050E64">
              <w:rPr>
                <w:rFonts w:ascii="Arial" w:hAnsi="Arial" w:cs="Arial"/>
                <w:b/>
                <w:bCs/>
                <w:color w:val="60319F"/>
                <w:rtl/>
              </w:rPr>
              <w:t>السنة</w:t>
            </w:r>
            <w:r w:rsidRPr="00050E64">
              <w:rPr>
                <w:rFonts w:ascii="Arial" w:hAnsi="Arial"/>
                <w:b/>
                <w:bCs/>
                <w:color w:val="60319F"/>
              </w:rPr>
              <w:t xml:space="preserve"> </w:t>
            </w:r>
            <w:r w:rsidRPr="00050E64">
              <w:rPr>
                <w:rFonts w:ascii="Arial" w:hAnsi="Arial" w:cs="Arial"/>
                <w:b/>
                <w:bCs/>
                <w:color w:val="60319F"/>
                <w:rtl/>
              </w:rPr>
              <w:t>الأساس</w:t>
            </w:r>
            <w:r w:rsidRPr="00050E64">
              <w:rPr>
                <w:rFonts w:ascii="Arial" w:hAnsi="Arial"/>
                <w:b/>
                <w:bCs/>
                <w:color w:val="60319F"/>
              </w:rPr>
              <w:t xml:space="preserve"> 2007</w:t>
            </w:r>
          </w:p>
        </w:tc>
        <w:tc>
          <w:tcPr>
            <w:tcW w:w="236" w:type="dxa"/>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1304" w:type="dxa"/>
            <w:tcBorders>
              <w:top w:val="single" w:sz="18" w:space="0" w:color="F79646"/>
              <w:left w:val="nil"/>
              <w:bottom w:val="single" w:sz="18" w:space="0" w:color="F79646"/>
              <w:right w:val="nil"/>
            </w:tcBorders>
            <w:vAlign w:val="center"/>
          </w:tcPr>
          <w:p w:rsidR="00A02738" w:rsidRPr="00050E64" w:rsidRDefault="00A02738" w:rsidP="000B1874">
            <w:pPr>
              <w:bidi/>
              <w:jc w:val="center"/>
              <w:rPr>
                <w:rFonts w:ascii="Arial" w:hAnsi="Arial"/>
                <w:b/>
                <w:bCs/>
                <w:color w:val="60319F"/>
              </w:rPr>
            </w:pPr>
            <w:r w:rsidRPr="00050E64">
              <w:rPr>
                <w:rFonts w:ascii="Arial" w:hAnsi="Arial" w:cs="Arial"/>
                <w:b/>
                <w:bCs/>
                <w:color w:val="60319F"/>
                <w:rtl/>
              </w:rPr>
              <w:t>السنة</w:t>
            </w:r>
            <w:r w:rsidRPr="00050E64">
              <w:rPr>
                <w:rFonts w:ascii="Arial" w:hAnsi="Arial"/>
                <w:b/>
                <w:bCs/>
                <w:color w:val="60319F"/>
              </w:rPr>
              <w:t xml:space="preserve"> </w:t>
            </w:r>
            <w:r w:rsidRPr="00050E64">
              <w:rPr>
                <w:rFonts w:ascii="Arial" w:hAnsi="Arial" w:cs="Arial"/>
                <w:b/>
                <w:bCs/>
                <w:color w:val="60319F"/>
                <w:rtl/>
              </w:rPr>
              <w:t>الأساس</w:t>
            </w:r>
            <w:r w:rsidRPr="00050E64">
              <w:rPr>
                <w:rFonts w:ascii="Arial" w:hAnsi="Arial"/>
                <w:b/>
                <w:bCs/>
                <w:color w:val="60319F"/>
              </w:rPr>
              <w:t xml:space="preserve"> 2014</w:t>
            </w:r>
          </w:p>
        </w:tc>
        <w:tc>
          <w:tcPr>
            <w:tcW w:w="236" w:type="dxa"/>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3453" w:type="dxa"/>
            <w:tcBorders>
              <w:top w:val="nil"/>
              <w:left w:val="nil"/>
              <w:bottom w:val="single" w:sz="18" w:space="0" w:color="F79646"/>
              <w:right w:val="nil"/>
            </w:tcBorders>
            <w:vAlign w:val="center"/>
          </w:tcPr>
          <w:p w:rsidR="00A02738" w:rsidRPr="00050E64" w:rsidRDefault="00A02738" w:rsidP="000B1874">
            <w:pPr>
              <w:bidi/>
              <w:jc w:val="center"/>
              <w:rPr>
                <w:rFonts w:ascii="Arial" w:hAnsi="Arial"/>
                <w:b/>
                <w:bCs/>
                <w:color w:val="60319F"/>
              </w:rPr>
            </w:pPr>
            <w:r w:rsidRPr="00050E64">
              <w:rPr>
                <w:rFonts w:ascii="Arial" w:hAnsi="Arial"/>
                <w:b/>
                <w:bCs/>
                <w:color w:val="60319F"/>
                <w:rtl/>
              </w:rPr>
              <w:t>المجاميع الاقتصادية</w:t>
            </w:r>
          </w:p>
        </w:tc>
      </w:tr>
      <w:tr w:rsidR="00A02738" w:rsidRPr="000F254E" w:rsidTr="00D41B59">
        <w:trPr>
          <w:trHeight w:val="283"/>
          <w:jc w:val="center"/>
        </w:trPr>
        <w:tc>
          <w:tcPr>
            <w:tcW w:w="1247" w:type="dxa"/>
            <w:tcBorders>
              <w:top w:val="single" w:sz="18" w:space="0" w:color="F79646"/>
              <w:left w:val="nil"/>
              <w:bottom w:val="nil"/>
              <w:right w:val="nil"/>
            </w:tcBorders>
            <w:vAlign w:val="center"/>
          </w:tcPr>
          <w:p w:rsidR="00A02738" w:rsidRPr="008A1A7B" w:rsidRDefault="00A02738" w:rsidP="00D41B59">
            <w:pPr>
              <w:jc w:val="center"/>
              <w:rPr>
                <w:rFonts w:ascii="Calibri" w:hAnsi="Calibri" w:cs="Arial"/>
                <w:b/>
                <w:bCs/>
                <w:color w:val="60319F"/>
                <w:sz w:val="20"/>
                <w:szCs w:val="20"/>
              </w:rPr>
            </w:pPr>
            <w:r w:rsidRPr="008A1A7B">
              <w:rPr>
                <w:rFonts w:ascii="Calibri" w:hAnsi="Calibri" w:cs="Arial"/>
                <w:b/>
                <w:bCs/>
                <w:color w:val="60319F"/>
                <w:sz w:val="20"/>
                <w:szCs w:val="20"/>
              </w:rPr>
              <w:t>8,2%</w:t>
            </w:r>
          </w:p>
        </w:tc>
        <w:tc>
          <w:tcPr>
            <w:tcW w:w="236" w:type="dxa"/>
            <w:tcBorders>
              <w:top w:val="nil"/>
              <w:left w:val="nil"/>
              <w:bottom w:val="nil"/>
              <w:right w:val="nil"/>
            </w:tcBorders>
            <w:vAlign w:val="center"/>
          </w:tcPr>
          <w:p w:rsidR="00A02738" w:rsidRPr="008A1A7B" w:rsidRDefault="00A02738" w:rsidP="00D41B59">
            <w:pPr>
              <w:jc w:val="center"/>
              <w:rPr>
                <w:rFonts w:ascii="Calibri" w:hAnsi="Calibri" w:cs="Arial"/>
                <w:b/>
                <w:bCs/>
                <w:color w:val="60319F"/>
                <w:sz w:val="20"/>
                <w:szCs w:val="20"/>
              </w:rPr>
            </w:pPr>
          </w:p>
        </w:tc>
        <w:tc>
          <w:tcPr>
            <w:tcW w:w="1088" w:type="dxa"/>
            <w:tcBorders>
              <w:top w:val="single" w:sz="18" w:space="0" w:color="F79646"/>
              <w:left w:val="nil"/>
              <w:bottom w:val="nil"/>
              <w:right w:val="nil"/>
            </w:tcBorders>
            <w:vAlign w:val="center"/>
          </w:tcPr>
          <w:p w:rsidR="00A02738" w:rsidRPr="008A1A7B" w:rsidRDefault="00A02738" w:rsidP="00D41B59">
            <w:pPr>
              <w:jc w:val="center"/>
              <w:rPr>
                <w:rFonts w:ascii="Calibri" w:hAnsi="Calibri" w:cs="Arial"/>
                <w:b/>
                <w:bCs/>
                <w:color w:val="60319F"/>
                <w:sz w:val="20"/>
                <w:szCs w:val="20"/>
              </w:rPr>
            </w:pPr>
            <w:r w:rsidRPr="008A1A7B">
              <w:rPr>
                <w:rFonts w:ascii="Calibri" w:hAnsi="Calibri" w:cs="Arial"/>
                <w:b/>
                <w:bCs/>
                <w:color w:val="60319F"/>
                <w:sz w:val="20"/>
                <w:szCs w:val="20"/>
              </w:rPr>
              <w:t>76 078</w:t>
            </w:r>
          </w:p>
        </w:tc>
        <w:tc>
          <w:tcPr>
            <w:tcW w:w="236" w:type="dxa"/>
            <w:tcBorders>
              <w:top w:val="nil"/>
              <w:left w:val="nil"/>
              <w:bottom w:val="nil"/>
              <w:right w:val="nil"/>
            </w:tcBorders>
            <w:vAlign w:val="center"/>
          </w:tcPr>
          <w:p w:rsidR="00A02738" w:rsidRPr="008A1A7B" w:rsidRDefault="00A02738" w:rsidP="00D41B59">
            <w:pPr>
              <w:jc w:val="center"/>
              <w:rPr>
                <w:rFonts w:ascii="Calibri" w:hAnsi="Calibri" w:cs="Arial"/>
                <w:b/>
                <w:bCs/>
                <w:color w:val="60319F"/>
                <w:sz w:val="20"/>
                <w:szCs w:val="20"/>
              </w:rPr>
            </w:pPr>
          </w:p>
        </w:tc>
        <w:tc>
          <w:tcPr>
            <w:tcW w:w="1304" w:type="dxa"/>
            <w:tcBorders>
              <w:top w:val="single" w:sz="18" w:space="0" w:color="F79646"/>
              <w:left w:val="nil"/>
              <w:bottom w:val="nil"/>
              <w:right w:val="nil"/>
            </w:tcBorders>
            <w:vAlign w:val="center"/>
          </w:tcPr>
          <w:p w:rsidR="00A02738" w:rsidRPr="008A1A7B" w:rsidRDefault="00A02738" w:rsidP="00D41B59">
            <w:pPr>
              <w:jc w:val="center"/>
              <w:rPr>
                <w:rFonts w:ascii="Calibri" w:hAnsi="Calibri" w:cs="Arial"/>
                <w:b/>
                <w:bCs/>
                <w:color w:val="60319F"/>
                <w:sz w:val="20"/>
                <w:szCs w:val="20"/>
              </w:rPr>
            </w:pPr>
            <w:r w:rsidRPr="008A1A7B">
              <w:rPr>
                <w:rFonts w:ascii="Calibri" w:hAnsi="Calibri" w:cs="Arial"/>
                <w:b/>
                <w:bCs/>
                <w:color w:val="60319F"/>
                <w:sz w:val="20"/>
                <w:szCs w:val="20"/>
              </w:rPr>
              <w:t>925 376</w:t>
            </w:r>
          </w:p>
        </w:tc>
        <w:tc>
          <w:tcPr>
            <w:tcW w:w="236" w:type="dxa"/>
            <w:tcBorders>
              <w:top w:val="nil"/>
              <w:left w:val="nil"/>
              <w:bottom w:val="nil"/>
              <w:right w:val="nil"/>
            </w:tcBorders>
            <w:vAlign w:val="center"/>
          </w:tcPr>
          <w:p w:rsidR="00A02738" w:rsidRPr="008A1A7B" w:rsidRDefault="00A02738" w:rsidP="00D41B59">
            <w:pPr>
              <w:jc w:val="center"/>
              <w:rPr>
                <w:rFonts w:ascii="Calibri" w:hAnsi="Calibri" w:cs="Arial"/>
                <w:b/>
                <w:bCs/>
                <w:color w:val="60319F"/>
                <w:sz w:val="20"/>
                <w:szCs w:val="20"/>
              </w:rPr>
            </w:pPr>
          </w:p>
        </w:tc>
        <w:tc>
          <w:tcPr>
            <w:tcW w:w="1304" w:type="dxa"/>
            <w:tcBorders>
              <w:top w:val="single" w:sz="18" w:space="0" w:color="F79646"/>
              <w:left w:val="nil"/>
              <w:bottom w:val="nil"/>
              <w:right w:val="nil"/>
            </w:tcBorders>
            <w:vAlign w:val="center"/>
          </w:tcPr>
          <w:p w:rsidR="00A02738" w:rsidRPr="008A1A7B" w:rsidRDefault="00A02738" w:rsidP="00D41B59">
            <w:pPr>
              <w:jc w:val="center"/>
              <w:rPr>
                <w:rFonts w:ascii="Calibri" w:hAnsi="Calibri" w:cs="Arial"/>
                <w:b/>
                <w:bCs/>
                <w:color w:val="60319F"/>
                <w:sz w:val="20"/>
                <w:szCs w:val="20"/>
              </w:rPr>
            </w:pPr>
            <w:r w:rsidRPr="008A1A7B">
              <w:rPr>
                <w:rFonts w:ascii="Calibri" w:hAnsi="Calibri" w:cs="Arial"/>
                <w:b/>
                <w:bCs/>
                <w:color w:val="60319F"/>
                <w:sz w:val="20"/>
                <w:szCs w:val="20"/>
              </w:rPr>
              <w:t>1 001 454</w:t>
            </w:r>
          </w:p>
        </w:tc>
        <w:tc>
          <w:tcPr>
            <w:tcW w:w="236" w:type="dxa"/>
            <w:tcBorders>
              <w:top w:val="nil"/>
              <w:left w:val="nil"/>
              <w:bottom w:val="nil"/>
              <w:right w:val="nil"/>
            </w:tcBorders>
          </w:tcPr>
          <w:p w:rsidR="00A02738" w:rsidRPr="00D41B59" w:rsidRDefault="00A02738" w:rsidP="00D41B59">
            <w:pPr>
              <w:bidi/>
              <w:rPr>
                <w:b/>
                <w:bCs/>
                <w:color w:val="60319F"/>
                <w:rtl/>
              </w:rPr>
            </w:pPr>
          </w:p>
        </w:tc>
        <w:tc>
          <w:tcPr>
            <w:tcW w:w="3453" w:type="dxa"/>
            <w:tcBorders>
              <w:top w:val="single" w:sz="18" w:space="0" w:color="F79646"/>
              <w:left w:val="nil"/>
              <w:bottom w:val="nil"/>
              <w:right w:val="nil"/>
            </w:tcBorders>
          </w:tcPr>
          <w:p w:rsidR="00A02738" w:rsidRPr="00965FEA" w:rsidRDefault="00A02738" w:rsidP="00D41B59">
            <w:pPr>
              <w:bidi/>
              <w:ind w:left="126"/>
              <w:rPr>
                <w:rFonts w:ascii="Calibri" w:hAnsi="Calibri"/>
                <w:b/>
                <w:bCs/>
                <w:color w:val="60319F"/>
              </w:rPr>
            </w:pPr>
            <w:r w:rsidRPr="00965FEA">
              <w:rPr>
                <w:rFonts w:ascii="Calibri" w:hAnsi="Calibri"/>
                <w:b/>
                <w:bCs/>
                <w:color w:val="60319F"/>
                <w:rtl/>
              </w:rPr>
              <w:t>الناتج الداخلي الإجمالي</w:t>
            </w:r>
          </w:p>
        </w:tc>
      </w:tr>
      <w:tr w:rsidR="00A02738" w:rsidRPr="00E8533F" w:rsidTr="00D41B59">
        <w:trPr>
          <w:trHeight w:val="283"/>
          <w:jc w:val="center"/>
        </w:trPr>
        <w:tc>
          <w:tcPr>
            <w:tcW w:w="1247"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9,6%</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088"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79 828</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830 708</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910 536</w:t>
            </w:r>
          </w:p>
        </w:tc>
        <w:tc>
          <w:tcPr>
            <w:tcW w:w="236" w:type="dxa"/>
            <w:tcBorders>
              <w:top w:val="nil"/>
              <w:left w:val="nil"/>
              <w:bottom w:val="nil"/>
              <w:right w:val="nil"/>
            </w:tcBorders>
          </w:tcPr>
          <w:p w:rsidR="00A02738" w:rsidRPr="00513E68" w:rsidRDefault="00A02738" w:rsidP="000B1874">
            <w:pPr>
              <w:bidi/>
              <w:rPr>
                <w:color w:val="000000"/>
                <w:rtl/>
              </w:rPr>
            </w:pPr>
          </w:p>
        </w:tc>
        <w:tc>
          <w:tcPr>
            <w:tcW w:w="3453" w:type="dxa"/>
            <w:tcBorders>
              <w:top w:val="nil"/>
              <w:left w:val="nil"/>
              <w:bottom w:val="nil"/>
              <w:right w:val="nil"/>
            </w:tcBorders>
          </w:tcPr>
          <w:p w:rsidR="00A02738" w:rsidRPr="00965FEA" w:rsidRDefault="00A02738" w:rsidP="00D41B59">
            <w:pPr>
              <w:bidi/>
              <w:spacing w:line="320" w:lineRule="exact"/>
              <w:ind w:left="126"/>
              <w:rPr>
                <w:rFonts w:ascii="Calibri" w:hAnsi="Calibri"/>
                <w:b/>
                <w:bCs/>
                <w:color w:val="000000"/>
              </w:rPr>
            </w:pPr>
            <w:r w:rsidRPr="00965FEA">
              <w:rPr>
                <w:rFonts w:ascii="Calibri" w:hAnsi="Calibri"/>
                <w:b/>
                <w:bCs/>
                <w:color w:val="000000"/>
                <w:rtl/>
              </w:rPr>
              <w:t>القيمة المضافة بالأسعار الأساسية</w:t>
            </w:r>
          </w:p>
        </w:tc>
      </w:tr>
      <w:tr w:rsidR="00A02738" w:rsidRPr="00E8533F" w:rsidTr="00D41B59">
        <w:trPr>
          <w:trHeight w:val="283"/>
          <w:jc w:val="center"/>
        </w:trPr>
        <w:tc>
          <w:tcPr>
            <w:tcW w:w="1247"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-3,9%</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088"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-4 223</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107 905</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103 682</w:t>
            </w:r>
          </w:p>
        </w:tc>
        <w:tc>
          <w:tcPr>
            <w:tcW w:w="236" w:type="dxa"/>
            <w:tcBorders>
              <w:top w:val="nil"/>
              <w:left w:val="nil"/>
              <w:bottom w:val="nil"/>
              <w:right w:val="nil"/>
            </w:tcBorders>
          </w:tcPr>
          <w:p w:rsidR="00A02738" w:rsidRPr="00513E68" w:rsidRDefault="00A02738" w:rsidP="000B1874">
            <w:pPr>
              <w:bidi/>
              <w:rPr>
                <w:color w:val="000000"/>
              </w:rPr>
            </w:pPr>
          </w:p>
        </w:tc>
        <w:tc>
          <w:tcPr>
            <w:tcW w:w="3453" w:type="dxa"/>
            <w:tcBorders>
              <w:top w:val="nil"/>
              <w:left w:val="nil"/>
              <w:bottom w:val="nil"/>
              <w:right w:val="nil"/>
            </w:tcBorders>
          </w:tcPr>
          <w:p w:rsidR="00A02738" w:rsidRPr="00965FEA" w:rsidRDefault="00A02738" w:rsidP="00D41B59">
            <w:pPr>
              <w:bidi/>
              <w:spacing w:line="320" w:lineRule="exact"/>
              <w:ind w:left="552"/>
              <w:rPr>
                <w:rFonts w:ascii="Calibri" w:hAnsi="Calibri"/>
                <w:b/>
                <w:bCs/>
                <w:color w:val="000000"/>
              </w:rPr>
            </w:pPr>
            <w:r w:rsidRPr="00965FEA">
              <w:rPr>
                <w:rFonts w:ascii="Calibri" w:hAnsi="Calibri"/>
                <w:b/>
                <w:bCs/>
                <w:color w:val="000000"/>
                <w:rtl/>
              </w:rPr>
              <w:t>القطاع الأولي</w:t>
            </w:r>
          </w:p>
        </w:tc>
      </w:tr>
      <w:tr w:rsidR="00A02738" w:rsidRPr="00E8533F" w:rsidTr="00D41B59">
        <w:trPr>
          <w:trHeight w:val="283"/>
          <w:jc w:val="center"/>
        </w:trPr>
        <w:tc>
          <w:tcPr>
            <w:tcW w:w="1247"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5,5%</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088"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13 370</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245 138</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258 508</w:t>
            </w:r>
          </w:p>
        </w:tc>
        <w:tc>
          <w:tcPr>
            <w:tcW w:w="236" w:type="dxa"/>
            <w:tcBorders>
              <w:top w:val="nil"/>
              <w:left w:val="nil"/>
              <w:bottom w:val="nil"/>
              <w:right w:val="nil"/>
            </w:tcBorders>
          </w:tcPr>
          <w:p w:rsidR="00A02738" w:rsidRPr="00513E68" w:rsidRDefault="00A02738" w:rsidP="000B1874">
            <w:pPr>
              <w:bidi/>
              <w:rPr>
                <w:color w:val="000000"/>
              </w:rPr>
            </w:pPr>
          </w:p>
        </w:tc>
        <w:tc>
          <w:tcPr>
            <w:tcW w:w="3453" w:type="dxa"/>
            <w:tcBorders>
              <w:top w:val="nil"/>
              <w:left w:val="nil"/>
              <w:bottom w:val="nil"/>
              <w:right w:val="nil"/>
            </w:tcBorders>
          </w:tcPr>
          <w:p w:rsidR="00A02738" w:rsidRPr="00965FEA" w:rsidRDefault="00A02738" w:rsidP="00D41B59">
            <w:pPr>
              <w:bidi/>
              <w:spacing w:line="320" w:lineRule="exact"/>
              <w:ind w:left="552"/>
              <w:rPr>
                <w:rFonts w:ascii="Calibri" w:hAnsi="Calibri"/>
                <w:b/>
                <w:bCs/>
                <w:color w:val="000000"/>
              </w:rPr>
            </w:pPr>
            <w:r w:rsidRPr="00965FEA">
              <w:rPr>
                <w:rFonts w:ascii="Calibri" w:hAnsi="Calibri"/>
                <w:b/>
                <w:bCs/>
                <w:color w:val="000000"/>
                <w:rtl/>
              </w:rPr>
              <w:t xml:space="preserve">القطاع </w:t>
            </w:r>
            <w:hyperlink r:id="rId10" w:history="1">
              <w:r w:rsidRPr="00965FEA">
                <w:rPr>
                  <w:rStyle w:val="Lienhypertexte"/>
                  <w:rFonts w:ascii="Calibri" w:hAnsi="Calibri"/>
                  <w:b/>
                  <w:bCs/>
                  <w:color w:val="000000"/>
                  <w:rtl/>
                </w:rPr>
                <w:t>الثانوي</w:t>
              </w:r>
            </w:hyperlink>
            <w:r w:rsidRPr="00965FEA">
              <w:rPr>
                <w:rFonts w:ascii="Calibri" w:hAnsi="Calibri"/>
                <w:b/>
                <w:bCs/>
                <w:color w:val="000000"/>
                <w:shd w:val="clear" w:color="auto" w:fill="F5F5F5"/>
              </w:rPr>
              <w:t> </w:t>
            </w:r>
          </w:p>
        </w:tc>
      </w:tr>
      <w:tr w:rsidR="00A02738" w:rsidRPr="00E8533F" w:rsidTr="00D41B59">
        <w:trPr>
          <w:trHeight w:val="283"/>
          <w:jc w:val="center"/>
        </w:trPr>
        <w:tc>
          <w:tcPr>
            <w:tcW w:w="1247"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14,8%</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088"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70 681</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477 665</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D41B59">
            <w:pPr>
              <w:spacing w:line="320" w:lineRule="exact"/>
              <w:jc w:val="center"/>
              <w:rPr>
                <w:rFonts w:ascii="Calibri" w:hAnsi="Calibri" w:cs="Arial"/>
                <w:bCs/>
                <w:sz w:val="20"/>
                <w:szCs w:val="20"/>
              </w:rPr>
            </w:pPr>
            <w:r w:rsidRPr="008A1A7B">
              <w:rPr>
                <w:rFonts w:ascii="Calibri" w:hAnsi="Calibri" w:cs="Arial"/>
                <w:bCs/>
                <w:sz w:val="20"/>
                <w:szCs w:val="20"/>
              </w:rPr>
              <w:t>548 346</w:t>
            </w:r>
          </w:p>
        </w:tc>
        <w:tc>
          <w:tcPr>
            <w:tcW w:w="236" w:type="dxa"/>
            <w:tcBorders>
              <w:top w:val="nil"/>
              <w:left w:val="nil"/>
              <w:bottom w:val="nil"/>
              <w:right w:val="nil"/>
            </w:tcBorders>
          </w:tcPr>
          <w:p w:rsidR="00A02738" w:rsidRPr="00513E68" w:rsidRDefault="00A02738" w:rsidP="000B1874">
            <w:pPr>
              <w:bidi/>
              <w:rPr>
                <w:color w:val="000000"/>
              </w:rPr>
            </w:pPr>
          </w:p>
        </w:tc>
        <w:tc>
          <w:tcPr>
            <w:tcW w:w="3453" w:type="dxa"/>
            <w:tcBorders>
              <w:top w:val="nil"/>
              <w:left w:val="nil"/>
              <w:bottom w:val="nil"/>
              <w:right w:val="nil"/>
            </w:tcBorders>
          </w:tcPr>
          <w:p w:rsidR="00A02738" w:rsidRPr="00965FEA" w:rsidRDefault="00A02738" w:rsidP="00D41B59">
            <w:pPr>
              <w:bidi/>
              <w:spacing w:line="320" w:lineRule="exact"/>
              <w:ind w:left="552"/>
              <w:rPr>
                <w:rFonts w:ascii="Calibri" w:hAnsi="Calibri"/>
                <w:b/>
                <w:bCs/>
                <w:color w:val="000000"/>
              </w:rPr>
            </w:pPr>
            <w:r w:rsidRPr="00965FEA">
              <w:rPr>
                <w:rFonts w:ascii="Calibri" w:hAnsi="Calibri"/>
                <w:b/>
                <w:bCs/>
                <w:color w:val="000000"/>
                <w:rtl/>
              </w:rPr>
              <w:t xml:space="preserve">القطاع </w:t>
            </w:r>
            <w:hyperlink r:id="rId11" w:history="1">
              <w:r w:rsidRPr="00965FEA">
                <w:rPr>
                  <w:rStyle w:val="Lienhypertexte"/>
                  <w:rFonts w:ascii="Calibri" w:hAnsi="Calibri"/>
                  <w:b/>
                  <w:bCs/>
                  <w:color w:val="000000"/>
                  <w:rtl/>
                </w:rPr>
                <w:t>الثالثي</w:t>
              </w:r>
            </w:hyperlink>
          </w:p>
        </w:tc>
      </w:tr>
      <w:tr w:rsidR="00A02738" w:rsidRPr="00E8533F" w:rsidTr="00D41B59">
        <w:trPr>
          <w:trHeight w:val="283"/>
          <w:jc w:val="center"/>
        </w:trPr>
        <w:tc>
          <w:tcPr>
            <w:tcW w:w="1247" w:type="dxa"/>
            <w:tcBorders>
              <w:top w:val="nil"/>
              <w:left w:val="nil"/>
              <w:bottom w:val="single" w:sz="18" w:space="0" w:color="F79646"/>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-4,0%</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088" w:type="dxa"/>
            <w:tcBorders>
              <w:top w:val="nil"/>
              <w:left w:val="nil"/>
              <w:bottom w:val="single" w:sz="18" w:space="0" w:color="F79646"/>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-3750</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single" w:sz="18" w:space="0" w:color="F79646"/>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94 668</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single" w:sz="18" w:space="0" w:color="F79646"/>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90 918</w:t>
            </w:r>
          </w:p>
        </w:tc>
        <w:tc>
          <w:tcPr>
            <w:tcW w:w="236" w:type="dxa"/>
            <w:tcBorders>
              <w:top w:val="nil"/>
              <w:left w:val="nil"/>
              <w:bottom w:val="nil"/>
              <w:right w:val="nil"/>
            </w:tcBorders>
          </w:tcPr>
          <w:p w:rsidR="00A02738" w:rsidRPr="00513E68" w:rsidRDefault="00A02738" w:rsidP="000B1874">
            <w:pPr>
              <w:bidi/>
              <w:rPr>
                <w:color w:val="000000"/>
                <w:rtl/>
              </w:rPr>
            </w:pPr>
          </w:p>
        </w:tc>
        <w:tc>
          <w:tcPr>
            <w:tcW w:w="3453" w:type="dxa"/>
            <w:tcBorders>
              <w:top w:val="nil"/>
              <w:left w:val="nil"/>
              <w:bottom w:val="single" w:sz="18" w:space="0" w:color="F79646"/>
              <w:right w:val="nil"/>
            </w:tcBorders>
          </w:tcPr>
          <w:p w:rsidR="00A02738" w:rsidRPr="00965FEA" w:rsidRDefault="00A02738" w:rsidP="000B1874">
            <w:pPr>
              <w:bidi/>
              <w:ind w:left="126"/>
              <w:rPr>
                <w:rFonts w:ascii="Calibri" w:hAnsi="Calibri"/>
                <w:b/>
                <w:bCs/>
                <w:color w:val="000000"/>
              </w:rPr>
            </w:pPr>
            <w:r w:rsidRPr="00965FEA">
              <w:rPr>
                <w:rFonts w:ascii="Calibri" w:hAnsi="Calibri"/>
                <w:b/>
                <w:bCs/>
                <w:color w:val="000000"/>
                <w:rtl/>
              </w:rPr>
              <w:t xml:space="preserve">صافي الضرائب من الإعانات على المنتجات </w:t>
            </w:r>
          </w:p>
        </w:tc>
      </w:tr>
    </w:tbl>
    <w:p w:rsidR="00A02738" w:rsidRPr="00461785" w:rsidRDefault="00A02738" w:rsidP="00A02738">
      <w:pPr>
        <w:bidi/>
        <w:rPr>
          <w:rFonts w:ascii="Arial" w:hAnsi="Arial"/>
          <w:sz w:val="28"/>
          <w:szCs w:val="28"/>
          <w:rtl/>
        </w:rPr>
      </w:pPr>
    </w:p>
    <w:p w:rsidR="00A02738" w:rsidRPr="00CC50B3" w:rsidRDefault="00A02738" w:rsidP="00A02738">
      <w:pPr>
        <w:pStyle w:val="Paragraphedeliste"/>
        <w:numPr>
          <w:ilvl w:val="0"/>
          <w:numId w:val="19"/>
        </w:numPr>
        <w:bidi/>
        <w:spacing w:line="276" w:lineRule="auto"/>
        <w:rPr>
          <w:rFonts w:ascii="Calibri" w:hAnsi="Calibri"/>
          <w:b/>
          <w:bCs/>
          <w:color w:val="17365D"/>
          <w:sz w:val="28"/>
          <w:szCs w:val="28"/>
        </w:rPr>
      </w:pPr>
      <w:r w:rsidRPr="00CC50B3">
        <w:rPr>
          <w:rFonts w:ascii="Calibri" w:hAnsi="Calibri"/>
          <w:b/>
          <w:bCs/>
          <w:color w:val="17365D"/>
          <w:sz w:val="28"/>
          <w:szCs w:val="28"/>
          <w:rtl/>
        </w:rPr>
        <w:t>على مستوى الطلب</w:t>
      </w:r>
    </w:p>
    <w:p w:rsidR="00A02738" w:rsidRPr="00CC50B3" w:rsidRDefault="00A02738" w:rsidP="00A02738">
      <w:pPr>
        <w:pStyle w:val="Paragraphedeliste"/>
        <w:bidi/>
        <w:spacing w:line="360" w:lineRule="auto"/>
        <w:ind w:left="141"/>
        <w:rPr>
          <w:rFonts w:ascii="Calibri" w:hAnsi="Calibri"/>
          <w:b/>
          <w:bCs/>
          <w:color w:val="A11F32"/>
          <w:sz w:val="28"/>
          <w:szCs w:val="28"/>
          <w:rtl/>
          <w:lang w:bidi="ar-MA"/>
        </w:rPr>
      </w:pPr>
      <w:r w:rsidRPr="00CC50B3">
        <w:rPr>
          <w:rFonts w:ascii="Calibri" w:hAnsi="Calibri"/>
          <w:b/>
          <w:bCs/>
          <w:color w:val="A11F32"/>
          <w:sz w:val="28"/>
          <w:szCs w:val="28"/>
          <w:rtl/>
        </w:rPr>
        <w:t>مراجعة نفقات الاستهلاك النهائي للأسر نحو الارتفاع بنسبة 11.2</w:t>
      </w:r>
      <w:r w:rsidRPr="00CC50B3">
        <w:rPr>
          <w:rFonts w:ascii="Calibri" w:hAnsi="Calibri"/>
          <w:b/>
          <w:bCs/>
          <w:color w:val="A11F32"/>
          <w:sz w:val="28"/>
          <w:szCs w:val="28"/>
        </w:rPr>
        <w:t>%</w:t>
      </w:r>
      <w:r w:rsidRPr="00CC50B3">
        <w:rPr>
          <w:rFonts w:ascii="Calibri" w:hAnsi="Calibri"/>
          <w:b/>
          <w:bCs/>
          <w:color w:val="A11F32"/>
          <w:sz w:val="28"/>
          <w:szCs w:val="28"/>
          <w:rtl/>
          <w:lang w:bidi="ar-MA"/>
        </w:rPr>
        <w:t xml:space="preserve"> </w:t>
      </w:r>
    </w:p>
    <w:p w:rsidR="00A02738" w:rsidRPr="00CC50B3" w:rsidRDefault="00A02738" w:rsidP="00A02738">
      <w:pPr>
        <w:pStyle w:val="Paragraphedeliste"/>
        <w:bidi/>
        <w:ind w:left="141"/>
        <w:jc w:val="both"/>
        <w:rPr>
          <w:rFonts w:ascii="Calibri" w:hAnsi="Calibri"/>
          <w:sz w:val="28"/>
          <w:szCs w:val="28"/>
          <w:rtl/>
        </w:rPr>
      </w:pPr>
      <w:r w:rsidRPr="00CC50B3">
        <w:rPr>
          <w:rFonts w:ascii="Calibri" w:hAnsi="Calibri"/>
          <w:sz w:val="28"/>
          <w:szCs w:val="28"/>
          <w:rtl/>
        </w:rPr>
        <w:t>سجلت نفقات الاستهلاك النهائي للأسر ارتفاعا قدره 61.9 مليار درهم بإعادة تقييم قدره 11.2</w:t>
      </w:r>
      <w:r w:rsidRPr="00CC50B3">
        <w:rPr>
          <w:rFonts w:ascii="Calibri" w:hAnsi="Calibri"/>
          <w:sz w:val="28"/>
          <w:szCs w:val="28"/>
        </w:rPr>
        <w:t>%</w:t>
      </w:r>
      <w:r w:rsidRPr="00CC50B3">
        <w:rPr>
          <w:rFonts w:ascii="Calibri" w:hAnsi="Calibri"/>
          <w:sz w:val="28"/>
          <w:szCs w:val="28"/>
          <w:rtl/>
        </w:rPr>
        <w:t xml:space="preserve"> مقارنة</w:t>
      </w:r>
      <w:r w:rsidRPr="00CC50B3">
        <w:rPr>
          <w:rFonts w:ascii="Calibri" w:hAnsi="Calibri"/>
          <w:sz w:val="28"/>
          <w:szCs w:val="28"/>
          <w:rtl/>
          <w:lang w:bidi="ar-MA"/>
        </w:rPr>
        <w:t xml:space="preserve"> </w:t>
      </w:r>
      <w:r w:rsidRPr="00CC50B3">
        <w:rPr>
          <w:rFonts w:ascii="Calibri" w:hAnsi="Calibri"/>
          <w:sz w:val="28"/>
          <w:szCs w:val="28"/>
          <w:rtl/>
        </w:rPr>
        <w:t xml:space="preserve">بالمستوى المسجل </w:t>
      </w:r>
      <w:r w:rsidR="00BE677F">
        <w:rPr>
          <w:rFonts w:ascii="Calibri" w:hAnsi="Calibri" w:hint="cs"/>
          <w:sz w:val="28"/>
          <w:szCs w:val="28"/>
          <w:rtl/>
        </w:rPr>
        <w:t xml:space="preserve">حسب </w:t>
      </w:r>
      <w:r w:rsidRPr="00CC50B3">
        <w:rPr>
          <w:rFonts w:ascii="Calibri" w:hAnsi="Calibri"/>
          <w:sz w:val="28"/>
          <w:szCs w:val="28"/>
          <w:rtl/>
        </w:rPr>
        <w:t>سنة</w:t>
      </w:r>
      <w:r w:rsidR="00BE677F">
        <w:rPr>
          <w:rFonts w:ascii="Calibri" w:hAnsi="Calibri" w:hint="cs"/>
          <w:sz w:val="28"/>
          <w:szCs w:val="28"/>
          <w:rtl/>
        </w:rPr>
        <w:t xml:space="preserve"> الأساس</w:t>
      </w:r>
      <w:r w:rsidRPr="00CC50B3">
        <w:rPr>
          <w:rFonts w:ascii="Calibri" w:hAnsi="Calibri"/>
          <w:sz w:val="28"/>
          <w:szCs w:val="28"/>
          <w:rtl/>
        </w:rPr>
        <w:t xml:space="preserve"> 2007.</w:t>
      </w:r>
      <w:r w:rsidR="00FD64FB">
        <w:rPr>
          <w:rFonts w:ascii="Calibri" w:hAnsi="Calibri"/>
          <w:sz w:val="28"/>
          <w:szCs w:val="28"/>
          <w:rtl/>
        </w:rPr>
        <w:t xml:space="preserve"> </w:t>
      </w:r>
      <w:r w:rsidRPr="00CC50B3">
        <w:rPr>
          <w:rFonts w:ascii="Calibri" w:hAnsi="Calibri"/>
          <w:sz w:val="28"/>
          <w:szCs w:val="28"/>
          <w:rtl/>
        </w:rPr>
        <w:t>ويعود إعادة تقييم هذه النفقات إلى استخدام بحث جديد حول نفقات</w:t>
      </w:r>
      <w:r w:rsidR="00965FEA">
        <w:rPr>
          <w:rFonts w:ascii="Calibri" w:hAnsi="Calibri"/>
          <w:sz w:val="28"/>
          <w:szCs w:val="28"/>
        </w:rPr>
        <w:t> </w:t>
      </w:r>
      <w:r w:rsidR="00965FEA">
        <w:rPr>
          <w:rFonts w:ascii="Calibri" w:hAnsi="Calibri" w:hint="cs"/>
          <w:sz w:val="28"/>
          <w:szCs w:val="28"/>
          <w:rtl/>
        </w:rPr>
        <w:t xml:space="preserve"> واستهلاك</w:t>
      </w:r>
      <w:r w:rsidRPr="00CC50B3">
        <w:rPr>
          <w:rFonts w:ascii="Calibri" w:hAnsi="Calibri"/>
          <w:sz w:val="28"/>
          <w:szCs w:val="28"/>
          <w:rtl/>
        </w:rPr>
        <w:t xml:space="preserve"> الأسر والذي يتيح معلومات عن بنية ومستويات هذه النفقات.  </w:t>
      </w:r>
    </w:p>
    <w:p w:rsidR="00A02738" w:rsidRPr="00CC50B3" w:rsidRDefault="00A02738" w:rsidP="00A02738">
      <w:pPr>
        <w:pStyle w:val="Paragraphedeliste"/>
        <w:bidi/>
        <w:rPr>
          <w:rFonts w:ascii="Calibri" w:hAnsi="Calibri"/>
          <w:sz w:val="28"/>
          <w:szCs w:val="28"/>
          <w:rtl/>
          <w:lang w:bidi="ar-MA"/>
        </w:rPr>
      </w:pPr>
    </w:p>
    <w:p w:rsidR="00A02738" w:rsidRPr="00CC50B3" w:rsidRDefault="00A02738" w:rsidP="00A02738">
      <w:pPr>
        <w:pStyle w:val="Paragraphedeliste"/>
        <w:bidi/>
        <w:spacing w:line="360" w:lineRule="auto"/>
        <w:ind w:left="141"/>
        <w:rPr>
          <w:rFonts w:ascii="Calibri" w:hAnsi="Calibri" w:cs="Arial"/>
          <w:b/>
          <w:bCs/>
          <w:color w:val="A11F32"/>
          <w:rtl/>
        </w:rPr>
      </w:pPr>
      <w:r w:rsidRPr="00CC50B3">
        <w:rPr>
          <w:rFonts w:ascii="Calibri" w:hAnsi="Calibri"/>
          <w:b/>
          <w:bCs/>
          <w:color w:val="A11F32"/>
          <w:sz w:val="28"/>
          <w:szCs w:val="28"/>
          <w:rtl/>
        </w:rPr>
        <w:t>مراجعة طفيفة لإجمالي تكوين الرأسمال التابث نحو الانخفاض</w:t>
      </w:r>
      <w:r w:rsidRPr="00CC50B3">
        <w:rPr>
          <w:rFonts w:ascii="Calibri" w:hAnsi="Calibri" w:cs="Arial"/>
          <w:b/>
          <w:bCs/>
          <w:color w:val="A11F32"/>
          <w:rtl/>
        </w:rPr>
        <w:t xml:space="preserve"> </w:t>
      </w:r>
    </w:p>
    <w:p w:rsidR="00A02738" w:rsidRPr="00CC50B3" w:rsidRDefault="00A02738" w:rsidP="00A02738">
      <w:pPr>
        <w:pStyle w:val="Paragraphedeliste"/>
        <w:bidi/>
        <w:ind w:left="141"/>
        <w:jc w:val="both"/>
        <w:rPr>
          <w:rFonts w:ascii="Calibri" w:hAnsi="Calibri"/>
          <w:sz w:val="28"/>
          <w:szCs w:val="28"/>
          <w:rtl/>
          <w:lang w:bidi="ar-MA"/>
        </w:rPr>
      </w:pPr>
      <w:r w:rsidRPr="00CC50B3">
        <w:rPr>
          <w:rFonts w:ascii="Calibri" w:hAnsi="Calibri"/>
          <w:sz w:val="28"/>
          <w:szCs w:val="28"/>
          <w:rtl/>
        </w:rPr>
        <w:t>تمت</w:t>
      </w:r>
      <w:r w:rsidRPr="00CC50B3">
        <w:rPr>
          <w:rFonts w:ascii="Calibri" w:hAnsi="Calibri"/>
          <w:sz w:val="28"/>
          <w:szCs w:val="28"/>
          <w:rtl/>
          <w:lang w:bidi="ar-MA"/>
        </w:rPr>
        <w:t xml:space="preserve"> مراجعة لإجمالي تكوين الرأسمال الثابت ب </w:t>
      </w:r>
      <w:r w:rsidR="00965FEA">
        <w:rPr>
          <w:rFonts w:ascii="Calibri" w:hAnsi="Calibri"/>
          <w:sz w:val="28"/>
          <w:szCs w:val="28"/>
          <w:lang w:bidi="ar-MA"/>
        </w:rPr>
        <w:t>)</w:t>
      </w:r>
      <w:r w:rsidRPr="00CC50B3">
        <w:rPr>
          <w:rFonts w:ascii="Calibri" w:hAnsi="Calibri"/>
          <w:sz w:val="28"/>
          <w:szCs w:val="28"/>
          <w:rtl/>
          <w:lang w:bidi="ar-MA"/>
        </w:rPr>
        <w:t>5.7-</w:t>
      </w:r>
      <w:r w:rsidR="00965FEA">
        <w:rPr>
          <w:rFonts w:ascii="Calibri" w:hAnsi="Calibri"/>
          <w:sz w:val="28"/>
          <w:szCs w:val="28"/>
          <w:lang w:bidi="ar-MA"/>
        </w:rPr>
        <w:t>(</w:t>
      </w:r>
      <w:r w:rsidRPr="00CC50B3">
        <w:rPr>
          <w:rFonts w:ascii="Calibri" w:hAnsi="Calibri"/>
          <w:sz w:val="28"/>
          <w:szCs w:val="28"/>
          <w:rtl/>
          <w:lang w:bidi="ar-MA"/>
        </w:rPr>
        <w:t xml:space="preserve"> مليار درهم </w:t>
      </w:r>
      <w:r w:rsidRPr="00CC50B3">
        <w:rPr>
          <w:rFonts w:ascii="Calibri" w:hAnsi="Calibri"/>
          <w:rtl/>
          <w:lang w:bidi="ar-MA"/>
        </w:rPr>
        <w:t>بانخفاض</w:t>
      </w:r>
      <w:r w:rsidRPr="00CC50B3">
        <w:rPr>
          <w:rFonts w:ascii="Calibri" w:hAnsi="Calibri"/>
          <w:sz w:val="28"/>
          <w:szCs w:val="28"/>
          <w:rtl/>
          <w:lang w:bidi="ar-MA"/>
        </w:rPr>
        <w:t xml:space="preserve"> </w:t>
      </w:r>
      <w:r w:rsidRPr="00CC50B3">
        <w:rPr>
          <w:rFonts w:ascii="Calibri" w:hAnsi="Calibri"/>
          <w:rtl/>
          <w:lang w:bidi="ar-MA"/>
        </w:rPr>
        <w:t xml:space="preserve">قدره </w:t>
      </w:r>
      <w:r w:rsidRPr="00CC50B3">
        <w:rPr>
          <w:rFonts w:ascii="Calibri" w:hAnsi="Calibri"/>
          <w:sz w:val="28"/>
          <w:szCs w:val="28"/>
          <w:rtl/>
          <w:lang w:bidi="ar-MA"/>
        </w:rPr>
        <w:t>2.1</w:t>
      </w:r>
      <w:r w:rsidRPr="00CC50B3">
        <w:rPr>
          <w:rFonts w:ascii="Calibri" w:hAnsi="Calibri"/>
          <w:sz w:val="28"/>
          <w:szCs w:val="28"/>
          <w:lang w:bidi="ar-MA"/>
        </w:rPr>
        <w:t>%</w:t>
      </w:r>
      <w:r w:rsidRPr="00CC50B3">
        <w:rPr>
          <w:rFonts w:ascii="Calibri" w:hAnsi="Calibri"/>
          <w:sz w:val="28"/>
          <w:szCs w:val="28"/>
          <w:rtl/>
          <w:lang w:bidi="ar-MA"/>
        </w:rPr>
        <w:t xml:space="preserve"> مقارنة بالمستوى </w:t>
      </w:r>
      <w:r w:rsidRPr="00CC50B3">
        <w:rPr>
          <w:rFonts w:ascii="Calibri" w:hAnsi="Calibri"/>
          <w:sz w:val="28"/>
          <w:szCs w:val="28"/>
          <w:rtl/>
        </w:rPr>
        <w:t xml:space="preserve">المسجل خلال الأساس القديم. ويشير تحليل بنية تكوين رأس المال الثابت حسب المنتج الى أن الخدمات عرفت اكبر انخفاض ب  </w:t>
      </w:r>
      <w:r w:rsidR="00965FEA">
        <w:rPr>
          <w:rFonts w:ascii="Calibri" w:hAnsi="Calibri"/>
          <w:sz w:val="28"/>
          <w:szCs w:val="28"/>
        </w:rPr>
        <w:t>)</w:t>
      </w:r>
      <w:r w:rsidRPr="00CC50B3">
        <w:rPr>
          <w:rFonts w:ascii="Calibri" w:hAnsi="Calibri"/>
          <w:sz w:val="28"/>
          <w:szCs w:val="28"/>
          <w:rtl/>
        </w:rPr>
        <w:t>7.3-</w:t>
      </w:r>
      <w:r w:rsidR="00965FEA">
        <w:rPr>
          <w:rFonts w:ascii="Calibri" w:hAnsi="Calibri"/>
          <w:sz w:val="28"/>
          <w:szCs w:val="28"/>
        </w:rPr>
        <w:t>(</w:t>
      </w:r>
      <w:r w:rsidRPr="00CC50B3">
        <w:rPr>
          <w:rFonts w:ascii="Calibri" w:hAnsi="Calibri"/>
          <w:sz w:val="28"/>
          <w:szCs w:val="28"/>
          <w:rtl/>
        </w:rPr>
        <w:t xml:space="preserve"> مليار درهم (</w:t>
      </w:r>
      <w:r w:rsidRPr="00CC50B3">
        <w:rPr>
          <w:rFonts w:ascii="Calibri" w:hAnsi="Calibri"/>
          <w:sz w:val="28"/>
          <w:szCs w:val="28"/>
        </w:rPr>
        <w:t>-18.5%</w:t>
      </w:r>
      <w:r w:rsidRPr="00CC50B3">
        <w:rPr>
          <w:rFonts w:ascii="Calibri" w:hAnsi="Calibri"/>
          <w:sz w:val="28"/>
          <w:szCs w:val="28"/>
          <w:rtl/>
        </w:rPr>
        <w:t xml:space="preserve"> مقارنة بأساس 2007) كما تمت مراجعة إجمالي تكوين رأسمال المال التابث للمنتجات الصناعية بشكل طفيف نحو الانخفاض ب </w:t>
      </w:r>
      <w:r w:rsidR="00965FEA">
        <w:rPr>
          <w:rFonts w:ascii="Calibri" w:hAnsi="Calibri"/>
          <w:sz w:val="28"/>
          <w:szCs w:val="28"/>
        </w:rPr>
        <w:t>)</w:t>
      </w:r>
      <w:r w:rsidRPr="00CC50B3">
        <w:rPr>
          <w:rFonts w:ascii="Calibri" w:hAnsi="Calibri"/>
          <w:sz w:val="28"/>
          <w:szCs w:val="28"/>
          <w:rtl/>
        </w:rPr>
        <w:t>4.3</w:t>
      </w:r>
      <w:r w:rsidRPr="00CC50B3">
        <w:rPr>
          <w:rFonts w:ascii="Calibri" w:hAnsi="Calibri"/>
          <w:sz w:val="28"/>
          <w:szCs w:val="28"/>
        </w:rPr>
        <w:t>%</w:t>
      </w:r>
      <w:r w:rsidR="00965FEA">
        <w:rPr>
          <w:rFonts w:ascii="Calibri" w:hAnsi="Calibri"/>
          <w:sz w:val="28"/>
          <w:szCs w:val="28"/>
        </w:rPr>
        <w:t>(</w:t>
      </w:r>
      <w:r w:rsidRPr="00CC50B3">
        <w:rPr>
          <w:rFonts w:ascii="Calibri" w:hAnsi="Calibri"/>
          <w:sz w:val="28"/>
          <w:szCs w:val="28"/>
        </w:rPr>
        <w:t>-</w:t>
      </w:r>
      <w:r w:rsidRPr="00CC50B3">
        <w:rPr>
          <w:rFonts w:ascii="Calibri" w:hAnsi="Calibri"/>
          <w:sz w:val="28"/>
          <w:szCs w:val="28"/>
          <w:rtl/>
        </w:rPr>
        <w:t xml:space="preserve"> بينما عرف إجمالي تكوين راسمال التابث لمنتجات البناء مراجعة نحو الارتفاع ب 4</w:t>
      </w:r>
      <w:r w:rsidRPr="00CC50B3">
        <w:rPr>
          <w:rFonts w:ascii="Calibri" w:hAnsi="Calibri"/>
          <w:sz w:val="28"/>
          <w:szCs w:val="28"/>
        </w:rPr>
        <w:t>%</w:t>
      </w:r>
      <w:r w:rsidRPr="00CC50B3">
        <w:rPr>
          <w:rFonts w:ascii="Calibri" w:hAnsi="Calibri"/>
          <w:sz w:val="28"/>
          <w:szCs w:val="28"/>
          <w:rtl/>
        </w:rPr>
        <w:t xml:space="preserve"> . وقد نتجت هذه المراجعة بفعل استغلال المعطيات المتأتية من مختلف مصادر المعلومات وخاصة البحوث البنيوية</w:t>
      </w:r>
      <w:r w:rsidRPr="00CC50B3">
        <w:rPr>
          <w:rFonts w:ascii="Calibri" w:hAnsi="Calibri"/>
          <w:sz w:val="28"/>
          <w:szCs w:val="28"/>
          <w:rtl/>
          <w:lang w:bidi="ar-MA"/>
        </w:rPr>
        <w:t>.</w:t>
      </w:r>
    </w:p>
    <w:p w:rsidR="00A02738" w:rsidRPr="00CC50B3" w:rsidRDefault="00A02738" w:rsidP="00A02738">
      <w:pPr>
        <w:pStyle w:val="Paragraphedeliste"/>
        <w:bidi/>
        <w:ind w:left="141"/>
        <w:jc w:val="both"/>
        <w:rPr>
          <w:rFonts w:ascii="Calibri" w:hAnsi="Calibri"/>
          <w:sz w:val="28"/>
          <w:szCs w:val="28"/>
          <w:lang w:bidi="ar-MA"/>
        </w:rPr>
      </w:pPr>
    </w:p>
    <w:p w:rsidR="00A02738" w:rsidRDefault="00A02738" w:rsidP="00A02738">
      <w:pPr>
        <w:pStyle w:val="Paragraphedeliste"/>
        <w:bidi/>
        <w:rPr>
          <w:rFonts w:ascii="Arial" w:hAnsi="Arial"/>
          <w:sz w:val="28"/>
          <w:szCs w:val="28"/>
          <w:rtl/>
          <w:lang w:bidi="ar-MA"/>
        </w:rPr>
      </w:pPr>
    </w:p>
    <w:p w:rsidR="00A02738" w:rsidRPr="00050E64" w:rsidRDefault="00A02738" w:rsidP="00A02738">
      <w:pPr>
        <w:pStyle w:val="Paragraphedeliste"/>
        <w:bidi/>
        <w:spacing w:line="360" w:lineRule="auto"/>
        <w:ind w:left="141"/>
        <w:jc w:val="both"/>
        <w:rPr>
          <w:rFonts w:ascii="Arial" w:hAnsi="Arial"/>
          <w:b/>
          <w:bCs/>
          <w:color w:val="A11F32"/>
          <w:sz w:val="28"/>
          <w:szCs w:val="28"/>
          <w:rtl/>
          <w:lang w:bidi="ar-MA"/>
        </w:rPr>
      </w:pPr>
      <w:r w:rsidRPr="00050E64">
        <w:rPr>
          <w:rFonts w:ascii="Arial" w:hAnsi="Arial" w:hint="cs"/>
          <w:b/>
          <w:bCs/>
          <w:color w:val="A11F32"/>
          <w:sz w:val="28"/>
          <w:szCs w:val="28"/>
          <w:rtl/>
          <w:lang w:bidi="ar-MA"/>
        </w:rPr>
        <w:lastRenderedPageBreak/>
        <w:t>شبه استقرار لرصيد المبادلات الخارجية للسلع والخدمات</w:t>
      </w:r>
    </w:p>
    <w:p w:rsidR="00A02738" w:rsidRPr="00CC50B3" w:rsidRDefault="00A02738" w:rsidP="00965FEA">
      <w:pPr>
        <w:pStyle w:val="Paragraphedeliste"/>
        <w:bidi/>
        <w:ind w:left="141"/>
        <w:jc w:val="both"/>
        <w:rPr>
          <w:rFonts w:ascii="Calibri" w:hAnsi="Calibri"/>
          <w:sz w:val="28"/>
          <w:szCs w:val="28"/>
          <w:rtl/>
          <w:lang w:bidi="ar-MA"/>
        </w:rPr>
      </w:pPr>
      <w:r w:rsidRPr="00CC50B3">
        <w:rPr>
          <w:rFonts w:ascii="Calibri" w:hAnsi="Calibri"/>
          <w:sz w:val="28"/>
          <w:szCs w:val="28"/>
          <w:rtl/>
          <w:lang w:bidi="ar-MA"/>
        </w:rPr>
        <w:t xml:space="preserve">تحت التأثير المشترك لمراجعة الصادرات ب </w:t>
      </w:r>
      <w:r w:rsidR="00965FEA">
        <w:rPr>
          <w:rFonts w:ascii="Calibri" w:hAnsi="Calibri"/>
          <w:sz w:val="28"/>
          <w:szCs w:val="28"/>
          <w:lang w:bidi="ar-MA"/>
        </w:rPr>
        <w:t>(</w:t>
      </w:r>
      <w:r w:rsidRPr="00CC50B3">
        <w:rPr>
          <w:rFonts w:ascii="Calibri" w:hAnsi="Calibri"/>
          <w:sz w:val="28"/>
          <w:szCs w:val="28"/>
          <w:lang w:bidi="ar-MA"/>
        </w:rPr>
        <w:t>-18.7</w:t>
      </w:r>
      <w:r w:rsidR="00965FEA">
        <w:rPr>
          <w:rFonts w:ascii="Calibri" w:hAnsi="Calibri"/>
          <w:sz w:val="28"/>
          <w:szCs w:val="28"/>
          <w:lang w:bidi="ar-MA"/>
        </w:rPr>
        <w:t>)</w:t>
      </w:r>
      <w:r w:rsidRPr="00CC50B3">
        <w:rPr>
          <w:rFonts w:ascii="Calibri" w:hAnsi="Calibri"/>
          <w:sz w:val="28"/>
          <w:szCs w:val="28"/>
          <w:rtl/>
          <w:lang w:bidi="ar-MA"/>
        </w:rPr>
        <w:t xml:space="preserve"> مليار درهم والواردات ب </w:t>
      </w:r>
      <w:r w:rsidR="00965FEA">
        <w:rPr>
          <w:rFonts w:ascii="Calibri" w:hAnsi="Calibri"/>
          <w:sz w:val="28"/>
          <w:szCs w:val="28"/>
          <w:lang w:bidi="ar-MA"/>
        </w:rPr>
        <w:t>(</w:t>
      </w:r>
      <w:r w:rsidRPr="00CC50B3">
        <w:rPr>
          <w:rFonts w:ascii="Calibri" w:hAnsi="Calibri"/>
          <w:sz w:val="28"/>
          <w:szCs w:val="28"/>
          <w:lang w:bidi="ar-MA"/>
        </w:rPr>
        <w:t>-18</w:t>
      </w:r>
      <w:r w:rsidR="00965FEA">
        <w:rPr>
          <w:rFonts w:ascii="Calibri" w:hAnsi="Calibri"/>
          <w:sz w:val="28"/>
          <w:szCs w:val="28"/>
          <w:lang w:bidi="ar-MA"/>
        </w:rPr>
        <w:t>)</w:t>
      </w:r>
      <w:r w:rsidRPr="00CC50B3">
        <w:rPr>
          <w:rFonts w:ascii="Calibri" w:hAnsi="Calibri"/>
          <w:sz w:val="28"/>
          <w:szCs w:val="28"/>
          <w:rtl/>
          <w:lang w:bidi="ar-MA"/>
        </w:rPr>
        <w:t xml:space="preserve"> درهم، ظل رصيد المبادلات الخارجية للسلع والخدمات لسنة 2014 مستقرا ما بين سنتي الأساس (116.4 مليار درهم في أساس 2014 مقابل 115.7 مليار درهم في أساس 2007).</w:t>
      </w:r>
    </w:p>
    <w:p w:rsidR="00A02738" w:rsidRPr="00CC50B3" w:rsidRDefault="00A02738" w:rsidP="00A02738">
      <w:pPr>
        <w:pStyle w:val="Paragraphedeliste"/>
        <w:bidi/>
        <w:ind w:left="141"/>
        <w:jc w:val="both"/>
        <w:rPr>
          <w:rFonts w:ascii="Calibri" w:hAnsi="Calibri"/>
          <w:sz w:val="28"/>
          <w:szCs w:val="28"/>
          <w:rtl/>
          <w:lang w:bidi="ar-MA"/>
        </w:rPr>
      </w:pPr>
      <w:r w:rsidRPr="00CC50B3">
        <w:rPr>
          <w:rFonts w:ascii="Calibri" w:hAnsi="Calibri"/>
          <w:sz w:val="28"/>
          <w:szCs w:val="28"/>
          <w:rtl/>
          <w:lang w:bidi="ar-MA"/>
        </w:rPr>
        <w:t>وترجع مراجعة مستوى الصادرات والواردات خصوصا إلى استعمال الطبعة السادسة لميزان الأداءات.</w:t>
      </w:r>
    </w:p>
    <w:p w:rsidR="00A02738" w:rsidRPr="0056071E" w:rsidRDefault="00A02738" w:rsidP="00A02738">
      <w:pPr>
        <w:pStyle w:val="Paragraphedeliste"/>
        <w:bidi/>
        <w:jc w:val="both"/>
        <w:rPr>
          <w:rFonts w:ascii="Calibri" w:hAnsi="Calibri"/>
          <w:sz w:val="28"/>
          <w:szCs w:val="28"/>
          <w:rtl/>
          <w:lang w:bidi="ar-MA"/>
        </w:rPr>
      </w:pPr>
    </w:p>
    <w:p w:rsidR="00A02738" w:rsidRPr="00461785" w:rsidRDefault="00A02738" w:rsidP="00A02738">
      <w:pPr>
        <w:pStyle w:val="Paragraphedeliste"/>
        <w:numPr>
          <w:ilvl w:val="0"/>
          <w:numId w:val="19"/>
        </w:numPr>
        <w:bidi/>
        <w:spacing w:line="276" w:lineRule="auto"/>
        <w:rPr>
          <w:rFonts w:ascii="Arial" w:hAnsi="Arial"/>
          <w:b/>
          <w:bCs/>
          <w:color w:val="17365D"/>
          <w:sz w:val="28"/>
          <w:szCs w:val="28"/>
        </w:rPr>
      </w:pPr>
      <w:r w:rsidRPr="00461785">
        <w:rPr>
          <w:rFonts w:ascii="Arial" w:hAnsi="Arial" w:hint="cs"/>
          <w:b/>
          <w:bCs/>
          <w:color w:val="17365D"/>
          <w:sz w:val="28"/>
          <w:szCs w:val="28"/>
          <w:rtl/>
        </w:rPr>
        <w:t>على مستوى العرض</w:t>
      </w:r>
    </w:p>
    <w:p w:rsidR="00A02738" w:rsidRPr="00050E64" w:rsidRDefault="00A02738" w:rsidP="00A02738">
      <w:pPr>
        <w:pStyle w:val="Paragraphedeliste"/>
        <w:bidi/>
        <w:spacing w:line="360" w:lineRule="auto"/>
        <w:ind w:left="141"/>
        <w:rPr>
          <w:rFonts w:ascii="Arial" w:hAnsi="Arial"/>
          <w:b/>
          <w:bCs/>
          <w:color w:val="A11F32"/>
          <w:sz w:val="28"/>
          <w:szCs w:val="28"/>
          <w:rtl/>
          <w:lang w:bidi="ar-MA"/>
        </w:rPr>
      </w:pPr>
      <w:r w:rsidRPr="00050E64">
        <w:rPr>
          <w:rFonts w:ascii="Arial" w:hAnsi="Arial" w:hint="cs"/>
          <w:b/>
          <w:bCs/>
          <w:color w:val="A11F32"/>
          <w:sz w:val="28"/>
          <w:szCs w:val="28"/>
          <w:rtl/>
          <w:lang w:bidi="ar-MA"/>
        </w:rPr>
        <w:t>مراجعة القيمة المضافة للشركات غير المالية نحو الارتفاع ب 13.9</w:t>
      </w:r>
      <w:r w:rsidRPr="00050E64">
        <w:rPr>
          <w:rFonts w:ascii="Arial" w:hAnsi="Arial"/>
          <w:b/>
          <w:bCs/>
          <w:color w:val="A11F32"/>
          <w:sz w:val="28"/>
          <w:szCs w:val="28"/>
          <w:lang w:bidi="ar-MA"/>
        </w:rPr>
        <w:t>%</w:t>
      </w:r>
      <w:r w:rsidRPr="00050E64">
        <w:rPr>
          <w:rFonts w:ascii="Arial" w:hAnsi="Arial" w:hint="cs"/>
          <w:b/>
          <w:bCs/>
          <w:color w:val="A11F32"/>
          <w:sz w:val="28"/>
          <w:szCs w:val="28"/>
          <w:rtl/>
          <w:lang w:bidi="ar-MA"/>
        </w:rPr>
        <w:t xml:space="preserve"> </w:t>
      </w:r>
    </w:p>
    <w:p w:rsidR="00A02738" w:rsidRPr="00CC50B3" w:rsidRDefault="00A02738" w:rsidP="00A02738">
      <w:pPr>
        <w:pStyle w:val="Paragraphedeliste"/>
        <w:bidi/>
        <w:ind w:left="141"/>
        <w:jc w:val="both"/>
        <w:rPr>
          <w:rFonts w:ascii="Calibri" w:hAnsi="Calibri"/>
          <w:sz w:val="28"/>
          <w:szCs w:val="28"/>
          <w:rtl/>
          <w:lang w:bidi="ar-MA"/>
        </w:rPr>
      </w:pPr>
      <w:r w:rsidRPr="00CC50B3">
        <w:rPr>
          <w:rFonts w:ascii="Calibri" w:hAnsi="Calibri"/>
          <w:sz w:val="28"/>
          <w:szCs w:val="28"/>
          <w:rtl/>
          <w:lang w:bidi="ar-MA"/>
        </w:rPr>
        <w:t>ارتفعت القيمة المضافة الاجمالية ب 79.8 مليار درهم أي بزيادة 6.9</w:t>
      </w:r>
      <w:r w:rsidRPr="00CC50B3">
        <w:rPr>
          <w:rFonts w:ascii="Calibri" w:hAnsi="Calibri"/>
          <w:sz w:val="28"/>
          <w:szCs w:val="28"/>
          <w:lang w:bidi="ar-MA"/>
        </w:rPr>
        <w:t>%</w:t>
      </w:r>
      <w:r w:rsidRPr="00CC50B3">
        <w:rPr>
          <w:rFonts w:ascii="Calibri" w:hAnsi="Calibri"/>
          <w:sz w:val="28"/>
          <w:szCs w:val="28"/>
          <w:rtl/>
          <w:lang w:bidi="ar-MA"/>
        </w:rPr>
        <w:t xml:space="preserve"> مقارنة بحسابات أساس 2007</w:t>
      </w:r>
      <w:r w:rsidRPr="00CC50B3">
        <w:rPr>
          <w:rFonts w:ascii="Calibri" w:hAnsi="Calibri"/>
          <w:sz w:val="28"/>
          <w:szCs w:val="28"/>
          <w:lang w:bidi="ar-MA"/>
        </w:rPr>
        <w:t>.</w:t>
      </w:r>
      <w:r w:rsidRPr="00CC50B3">
        <w:rPr>
          <w:rFonts w:ascii="Calibri" w:hAnsi="Calibri"/>
          <w:sz w:val="28"/>
          <w:szCs w:val="28"/>
          <w:rtl/>
          <w:lang w:bidi="ar-MA"/>
        </w:rPr>
        <w:t xml:space="preserve"> وحسب القطاعات المؤسساتية ارتفعت القيمة المضافة للشركات غير المالية ب 13.9</w:t>
      </w:r>
      <w:r w:rsidRPr="00CC50B3">
        <w:rPr>
          <w:rFonts w:ascii="Calibri" w:hAnsi="Calibri"/>
          <w:sz w:val="28"/>
          <w:szCs w:val="28"/>
          <w:lang w:bidi="ar-MA"/>
        </w:rPr>
        <w:t>%</w:t>
      </w:r>
      <w:r w:rsidRPr="00CC50B3">
        <w:rPr>
          <w:rFonts w:ascii="Calibri" w:hAnsi="Calibri"/>
          <w:sz w:val="28"/>
          <w:szCs w:val="28"/>
          <w:rtl/>
          <w:lang w:bidi="ar-MA"/>
        </w:rPr>
        <w:t xml:space="preserve"> مقارنة بالأساس القديم نتيجة المجهود المبدول لتحسين إعداد حسابات هذا القطاع عبر استغلال نتائج البحوث البنيوية الجديدة. كما سجلت القيمة المضافة للأسر ارتفاعا ب 26.8 مليار درهم والتي تفسر خصوصا بالمستوى الجديد للإيجارات الوهمية المحصل عليها من البحث الوطني حول نفقات الأسر. </w:t>
      </w:r>
    </w:p>
    <w:p w:rsidR="00A02738" w:rsidRPr="00CC50B3" w:rsidRDefault="00A02738" w:rsidP="00A02738">
      <w:pPr>
        <w:pStyle w:val="Paragraphedeliste"/>
        <w:bidi/>
        <w:ind w:left="141"/>
        <w:jc w:val="both"/>
        <w:rPr>
          <w:rFonts w:ascii="Calibri" w:hAnsi="Calibri"/>
          <w:sz w:val="16"/>
          <w:szCs w:val="16"/>
          <w:rtl/>
          <w:lang w:bidi="ar-MA"/>
        </w:rPr>
      </w:pPr>
    </w:p>
    <w:p w:rsidR="00A02738" w:rsidRPr="00CC50B3" w:rsidRDefault="00A02738" w:rsidP="00A02738">
      <w:pPr>
        <w:pStyle w:val="Paragraphedeliste"/>
        <w:bidi/>
        <w:ind w:left="141"/>
        <w:jc w:val="both"/>
        <w:rPr>
          <w:rFonts w:ascii="Calibri" w:hAnsi="Calibri"/>
          <w:sz w:val="28"/>
          <w:szCs w:val="28"/>
          <w:rtl/>
          <w:lang w:bidi="ar-MA"/>
        </w:rPr>
      </w:pPr>
      <w:r w:rsidRPr="00CC50B3">
        <w:rPr>
          <w:rFonts w:ascii="Calibri" w:hAnsi="Calibri"/>
          <w:sz w:val="28"/>
          <w:szCs w:val="28"/>
          <w:rtl/>
          <w:lang w:bidi="ar-MA"/>
        </w:rPr>
        <w:t>من جهة أخرى، تمت مراجعة القيم المضافة للإدارات العمومية والشركات المالية والمؤسسات غير الهادفة للربح التي تخدم الأسر بشكل طفيف نحو الارتفاع ب 2.9 مليار درهم و 0.4 و 0.2 مليار درهم على التوالي.</w:t>
      </w:r>
    </w:p>
    <w:p w:rsidR="00A02738" w:rsidRDefault="00A02738" w:rsidP="00A02738">
      <w:pPr>
        <w:pStyle w:val="Paragraphedeliste"/>
        <w:bidi/>
        <w:jc w:val="both"/>
        <w:rPr>
          <w:rFonts w:ascii="Arial" w:hAnsi="Arial"/>
          <w:sz w:val="28"/>
          <w:szCs w:val="28"/>
          <w:rtl/>
          <w:lang w:bidi="ar-MA"/>
        </w:rPr>
      </w:pPr>
    </w:p>
    <w:p w:rsidR="00A02738" w:rsidRPr="00461785" w:rsidRDefault="00A02738" w:rsidP="00A02738">
      <w:pPr>
        <w:bidi/>
        <w:spacing w:line="360" w:lineRule="auto"/>
        <w:jc w:val="center"/>
        <w:rPr>
          <w:b/>
          <w:bCs/>
        </w:rPr>
      </w:pPr>
      <w:r w:rsidRPr="00461785">
        <w:rPr>
          <w:b/>
          <w:bCs/>
          <w:rtl/>
        </w:rPr>
        <w:t>القيم</w:t>
      </w:r>
      <w:r w:rsidRPr="00461785">
        <w:rPr>
          <w:b/>
          <w:bCs/>
        </w:rPr>
        <w:t xml:space="preserve"> </w:t>
      </w:r>
      <w:r w:rsidRPr="00461785">
        <w:rPr>
          <w:b/>
          <w:bCs/>
          <w:rtl/>
        </w:rPr>
        <w:t>المضافة</w:t>
      </w:r>
      <w:r w:rsidRPr="00461785">
        <w:rPr>
          <w:b/>
          <w:bCs/>
        </w:rPr>
        <w:t xml:space="preserve"> </w:t>
      </w:r>
      <w:r w:rsidRPr="00461785">
        <w:rPr>
          <w:b/>
          <w:bCs/>
          <w:rtl/>
        </w:rPr>
        <w:t>لسنة</w:t>
      </w:r>
      <w:r w:rsidRPr="00461785">
        <w:rPr>
          <w:b/>
          <w:bCs/>
        </w:rPr>
        <w:t xml:space="preserve"> 2014 </w:t>
      </w:r>
      <w:r w:rsidRPr="00461785">
        <w:rPr>
          <w:b/>
          <w:bCs/>
          <w:rtl/>
        </w:rPr>
        <w:t>حسب</w:t>
      </w:r>
      <w:r w:rsidRPr="00461785">
        <w:rPr>
          <w:b/>
          <w:bCs/>
        </w:rPr>
        <w:t xml:space="preserve"> </w:t>
      </w:r>
      <w:r w:rsidRPr="00461785">
        <w:rPr>
          <w:b/>
          <w:bCs/>
          <w:rtl/>
        </w:rPr>
        <w:t>القطاعات</w:t>
      </w:r>
      <w:r w:rsidRPr="00461785">
        <w:rPr>
          <w:b/>
          <w:bCs/>
        </w:rPr>
        <w:t xml:space="preserve"> </w:t>
      </w:r>
      <w:r w:rsidRPr="00461785">
        <w:rPr>
          <w:b/>
          <w:bCs/>
          <w:rtl/>
        </w:rPr>
        <w:t>المؤسساتية</w:t>
      </w:r>
      <w:r w:rsidRPr="00461785">
        <w:rPr>
          <w:rFonts w:hint="cs"/>
          <w:b/>
          <w:bCs/>
          <w:rtl/>
        </w:rPr>
        <w:t xml:space="preserve"> </w:t>
      </w:r>
      <w:r w:rsidRPr="00461785">
        <w:rPr>
          <w:b/>
          <w:bCs/>
          <w:rtl/>
        </w:rPr>
        <w:t>(بمليون درهم)</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7"/>
        <w:gridCol w:w="236"/>
        <w:gridCol w:w="946"/>
        <w:gridCol w:w="190"/>
        <w:gridCol w:w="46"/>
        <w:gridCol w:w="190"/>
        <w:gridCol w:w="1114"/>
        <w:gridCol w:w="190"/>
        <w:gridCol w:w="46"/>
        <w:gridCol w:w="190"/>
        <w:gridCol w:w="1114"/>
        <w:gridCol w:w="190"/>
        <w:gridCol w:w="46"/>
        <w:gridCol w:w="190"/>
        <w:gridCol w:w="3263"/>
        <w:gridCol w:w="190"/>
      </w:tblGrid>
      <w:tr w:rsidR="00A02738" w:rsidRPr="000F254E" w:rsidTr="008A1A7B">
        <w:trPr>
          <w:gridAfter w:val="1"/>
          <w:wAfter w:w="190" w:type="dxa"/>
          <w:trHeight w:val="170"/>
          <w:jc w:val="center"/>
        </w:trPr>
        <w:tc>
          <w:tcPr>
            <w:tcW w:w="1247" w:type="dxa"/>
            <w:tcBorders>
              <w:top w:val="single" w:sz="18" w:space="0" w:color="F79646"/>
              <w:left w:val="nil"/>
              <w:bottom w:val="single" w:sz="18" w:space="0" w:color="F79646"/>
              <w:right w:val="nil"/>
            </w:tcBorders>
            <w:vAlign w:val="center"/>
          </w:tcPr>
          <w:p w:rsidR="00A02738" w:rsidRPr="00050E64" w:rsidRDefault="00A02738" w:rsidP="000B1874">
            <w:pPr>
              <w:jc w:val="center"/>
              <w:rPr>
                <w:b/>
                <w:bCs/>
                <w:color w:val="60319F"/>
                <w:rtl/>
              </w:rPr>
            </w:pPr>
            <w:r w:rsidRPr="00050E64">
              <w:rPr>
                <w:b/>
                <w:bCs/>
                <w:color w:val="60319F"/>
                <w:rtl/>
              </w:rPr>
              <w:t>الفرق</w:t>
            </w:r>
            <w:r w:rsidRPr="00050E64">
              <w:rPr>
                <w:b/>
                <w:bCs/>
                <w:color w:val="60319F"/>
              </w:rPr>
              <w:t xml:space="preserve"> </w:t>
            </w:r>
            <w:r w:rsidRPr="00050E64">
              <w:rPr>
                <w:b/>
                <w:bCs/>
                <w:color w:val="60319F"/>
                <w:rtl/>
              </w:rPr>
              <w:t>بالنسبة</w:t>
            </w:r>
            <w:r w:rsidRPr="00050E64">
              <w:rPr>
                <w:b/>
                <w:bCs/>
                <w:color w:val="60319F"/>
              </w:rPr>
              <w:t xml:space="preserve"> </w:t>
            </w:r>
            <w:r w:rsidRPr="00050E64">
              <w:rPr>
                <w:b/>
                <w:bCs/>
                <w:color w:val="60319F"/>
                <w:rtl/>
              </w:rPr>
              <w:t>المئوية</w:t>
            </w:r>
          </w:p>
        </w:tc>
        <w:tc>
          <w:tcPr>
            <w:tcW w:w="236" w:type="dxa"/>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946" w:type="dxa"/>
            <w:tcBorders>
              <w:top w:val="single" w:sz="18" w:space="0" w:color="F79646"/>
              <w:left w:val="nil"/>
              <w:bottom w:val="single" w:sz="18" w:space="0" w:color="F79646"/>
              <w:right w:val="nil"/>
            </w:tcBorders>
            <w:vAlign w:val="center"/>
          </w:tcPr>
          <w:p w:rsidR="00A02738" w:rsidRPr="00050E64" w:rsidRDefault="00DB06F5" w:rsidP="000B1874">
            <w:pPr>
              <w:jc w:val="center"/>
              <w:rPr>
                <w:b/>
                <w:bCs/>
                <w:color w:val="60319F"/>
              </w:rPr>
            </w:pPr>
            <w:hyperlink r:id="rId12" w:history="1">
              <w:r w:rsidR="00A02738" w:rsidRPr="00050E64">
                <w:rPr>
                  <w:rStyle w:val="Lienhypertexte"/>
                  <w:b/>
                  <w:bCs/>
                  <w:color w:val="60319F"/>
                  <w:rtl/>
                </w:rPr>
                <w:t>الفرق</w:t>
              </w:r>
            </w:hyperlink>
          </w:p>
        </w:tc>
        <w:tc>
          <w:tcPr>
            <w:tcW w:w="236" w:type="dxa"/>
            <w:gridSpan w:val="2"/>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1304" w:type="dxa"/>
            <w:gridSpan w:val="2"/>
            <w:tcBorders>
              <w:top w:val="single" w:sz="18" w:space="0" w:color="F79646"/>
              <w:left w:val="nil"/>
              <w:bottom w:val="single" w:sz="18" w:space="0" w:color="F79646"/>
              <w:right w:val="nil"/>
            </w:tcBorders>
            <w:vAlign w:val="center"/>
          </w:tcPr>
          <w:p w:rsidR="00A02738" w:rsidRPr="00050E64" w:rsidRDefault="00A02738" w:rsidP="000B1874">
            <w:pPr>
              <w:bidi/>
              <w:jc w:val="center"/>
              <w:rPr>
                <w:rFonts w:ascii="Arial" w:hAnsi="Arial"/>
                <w:b/>
                <w:bCs/>
                <w:color w:val="60319F"/>
              </w:rPr>
            </w:pPr>
            <w:r w:rsidRPr="00050E64">
              <w:rPr>
                <w:rFonts w:ascii="Arial" w:hAnsi="Arial" w:cs="Arial"/>
                <w:b/>
                <w:bCs/>
                <w:color w:val="60319F"/>
                <w:rtl/>
              </w:rPr>
              <w:t>السنة</w:t>
            </w:r>
            <w:r w:rsidRPr="00050E64">
              <w:rPr>
                <w:rFonts w:ascii="Arial" w:hAnsi="Arial"/>
                <w:b/>
                <w:bCs/>
                <w:color w:val="60319F"/>
              </w:rPr>
              <w:t xml:space="preserve"> </w:t>
            </w:r>
            <w:r w:rsidRPr="00050E64">
              <w:rPr>
                <w:rFonts w:ascii="Arial" w:hAnsi="Arial" w:cs="Arial"/>
                <w:b/>
                <w:bCs/>
                <w:color w:val="60319F"/>
                <w:rtl/>
              </w:rPr>
              <w:t>الأساس</w:t>
            </w:r>
            <w:r w:rsidRPr="00050E64">
              <w:rPr>
                <w:rFonts w:ascii="Arial" w:hAnsi="Arial"/>
                <w:b/>
                <w:bCs/>
                <w:color w:val="60319F"/>
              </w:rPr>
              <w:t xml:space="preserve"> 2007</w:t>
            </w:r>
          </w:p>
        </w:tc>
        <w:tc>
          <w:tcPr>
            <w:tcW w:w="236" w:type="dxa"/>
            <w:gridSpan w:val="2"/>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1304" w:type="dxa"/>
            <w:gridSpan w:val="2"/>
            <w:tcBorders>
              <w:top w:val="single" w:sz="18" w:space="0" w:color="F79646"/>
              <w:left w:val="nil"/>
              <w:bottom w:val="single" w:sz="18" w:space="0" w:color="F79646"/>
              <w:right w:val="nil"/>
            </w:tcBorders>
            <w:vAlign w:val="center"/>
          </w:tcPr>
          <w:p w:rsidR="00A02738" w:rsidRPr="00050E64" w:rsidRDefault="00A02738" w:rsidP="000B1874">
            <w:pPr>
              <w:bidi/>
              <w:jc w:val="center"/>
              <w:rPr>
                <w:rFonts w:ascii="Arial" w:hAnsi="Arial"/>
                <w:b/>
                <w:bCs/>
                <w:color w:val="60319F"/>
              </w:rPr>
            </w:pPr>
            <w:r w:rsidRPr="00050E64">
              <w:rPr>
                <w:rFonts w:ascii="Arial" w:hAnsi="Arial" w:cs="Arial"/>
                <w:b/>
                <w:bCs/>
                <w:color w:val="60319F"/>
                <w:rtl/>
              </w:rPr>
              <w:t>السنة</w:t>
            </w:r>
            <w:r w:rsidRPr="00050E64">
              <w:rPr>
                <w:rFonts w:ascii="Arial" w:hAnsi="Arial"/>
                <w:b/>
                <w:bCs/>
                <w:color w:val="60319F"/>
              </w:rPr>
              <w:t xml:space="preserve"> </w:t>
            </w:r>
            <w:r w:rsidRPr="00050E64">
              <w:rPr>
                <w:rFonts w:ascii="Arial" w:hAnsi="Arial" w:cs="Arial"/>
                <w:b/>
                <w:bCs/>
                <w:color w:val="60319F"/>
                <w:rtl/>
              </w:rPr>
              <w:t>الأساس</w:t>
            </w:r>
            <w:r w:rsidRPr="00050E64">
              <w:rPr>
                <w:rFonts w:ascii="Arial" w:hAnsi="Arial"/>
                <w:b/>
                <w:bCs/>
                <w:color w:val="60319F"/>
              </w:rPr>
              <w:t xml:space="preserve"> 2014</w:t>
            </w:r>
          </w:p>
        </w:tc>
        <w:tc>
          <w:tcPr>
            <w:tcW w:w="236" w:type="dxa"/>
            <w:gridSpan w:val="2"/>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3453" w:type="dxa"/>
            <w:gridSpan w:val="2"/>
            <w:tcBorders>
              <w:top w:val="nil"/>
              <w:left w:val="nil"/>
              <w:bottom w:val="single" w:sz="18" w:space="0" w:color="F79646"/>
              <w:right w:val="nil"/>
            </w:tcBorders>
            <w:vAlign w:val="center"/>
          </w:tcPr>
          <w:p w:rsidR="00A02738" w:rsidRPr="00050E64" w:rsidRDefault="00A02738" w:rsidP="000B1874">
            <w:pPr>
              <w:jc w:val="center"/>
              <w:rPr>
                <w:b/>
                <w:bCs/>
                <w:color w:val="60319F"/>
              </w:rPr>
            </w:pPr>
            <w:r w:rsidRPr="00050E64">
              <w:rPr>
                <w:b/>
                <w:bCs/>
                <w:color w:val="60319F"/>
                <w:rtl/>
              </w:rPr>
              <w:t>القطاعات</w:t>
            </w:r>
            <w:r w:rsidRPr="00050E64">
              <w:rPr>
                <w:b/>
                <w:bCs/>
                <w:color w:val="60319F"/>
              </w:rPr>
              <w:t xml:space="preserve"> </w:t>
            </w:r>
            <w:r w:rsidRPr="00050E64">
              <w:rPr>
                <w:b/>
                <w:bCs/>
                <w:color w:val="60319F"/>
                <w:rtl/>
              </w:rPr>
              <w:t>المؤسساتية</w:t>
            </w:r>
          </w:p>
        </w:tc>
      </w:tr>
      <w:tr w:rsidR="00A02738" w:rsidRPr="000F254E" w:rsidTr="008A1A7B">
        <w:trPr>
          <w:trHeight w:val="283"/>
          <w:jc w:val="center"/>
        </w:trPr>
        <w:tc>
          <w:tcPr>
            <w:tcW w:w="1247" w:type="dxa"/>
            <w:tcBorders>
              <w:top w:val="single" w:sz="18" w:space="0" w:color="F79646"/>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13,9%</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136" w:type="dxa"/>
            <w:gridSpan w:val="2"/>
            <w:tcBorders>
              <w:top w:val="single" w:sz="18" w:space="0" w:color="F79646"/>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49 425</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single" w:sz="18" w:space="0" w:color="F79646"/>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355 113</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single" w:sz="18" w:space="0" w:color="F79646"/>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404 538</w:t>
            </w:r>
          </w:p>
        </w:tc>
        <w:tc>
          <w:tcPr>
            <w:tcW w:w="236" w:type="dxa"/>
            <w:gridSpan w:val="2"/>
            <w:tcBorders>
              <w:top w:val="nil"/>
              <w:left w:val="nil"/>
              <w:bottom w:val="nil"/>
              <w:right w:val="nil"/>
            </w:tcBorders>
          </w:tcPr>
          <w:p w:rsidR="00A02738" w:rsidRPr="008A1A7B" w:rsidRDefault="00A02738" w:rsidP="000B1874">
            <w:pPr>
              <w:bidi/>
              <w:rPr>
                <w:rFonts w:ascii="Calibri" w:hAnsi="Calibri"/>
                <w:b/>
                <w:bCs/>
                <w:color w:val="800080"/>
                <w:rtl/>
              </w:rPr>
            </w:pPr>
          </w:p>
        </w:tc>
        <w:tc>
          <w:tcPr>
            <w:tcW w:w="3453" w:type="dxa"/>
            <w:gridSpan w:val="2"/>
            <w:tcBorders>
              <w:top w:val="single" w:sz="18" w:space="0" w:color="F79646"/>
              <w:left w:val="nil"/>
              <w:bottom w:val="nil"/>
              <w:right w:val="nil"/>
            </w:tcBorders>
          </w:tcPr>
          <w:p w:rsidR="00A02738" w:rsidRPr="00965FEA" w:rsidRDefault="00DB06F5" w:rsidP="00564AA4">
            <w:pPr>
              <w:spacing w:line="320" w:lineRule="exact"/>
              <w:jc w:val="right"/>
              <w:rPr>
                <w:rFonts w:ascii="Calibri" w:hAnsi="Calibri"/>
                <w:b/>
                <w:bCs/>
              </w:rPr>
            </w:pPr>
            <w:hyperlink r:id="rId13" w:history="1">
              <w:r w:rsidR="00A02738" w:rsidRPr="00965FEA">
                <w:rPr>
                  <w:rStyle w:val="Lienhypertexte"/>
                  <w:rFonts w:ascii="Calibri" w:hAnsi="Calibri"/>
                  <w:b/>
                  <w:bCs/>
                  <w:color w:val="auto"/>
                  <w:rtl/>
                </w:rPr>
                <w:t>الشركات غير المالية</w:t>
              </w:r>
            </w:hyperlink>
            <w:r w:rsidR="00A02738" w:rsidRPr="00965FEA">
              <w:rPr>
                <w:rFonts w:ascii="Calibri" w:hAnsi="Calibri"/>
                <w:b/>
                <w:bCs/>
              </w:rPr>
              <w:t> </w:t>
            </w:r>
          </w:p>
        </w:tc>
      </w:tr>
      <w:tr w:rsidR="00A02738" w:rsidRPr="009615B2" w:rsidTr="008A1A7B">
        <w:trPr>
          <w:trHeight w:val="283"/>
          <w:jc w:val="center"/>
        </w:trPr>
        <w:tc>
          <w:tcPr>
            <w:tcW w:w="1247" w:type="dxa"/>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0,9%</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136"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392</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44 003</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44 395</w:t>
            </w:r>
          </w:p>
        </w:tc>
        <w:tc>
          <w:tcPr>
            <w:tcW w:w="236" w:type="dxa"/>
            <w:gridSpan w:val="2"/>
            <w:tcBorders>
              <w:top w:val="nil"/>
              <w:left w:val="nil"/>
              <w:bottom w:val="nil"/>
              <w:right w:val="nil"/>
            </w:tcBorders>
          </w:tcPr>
          <w:p w:rsidR="00A02738" w:rsidRPr="008A1A7B" w:rsidRDefault="00A02738" w:rsidP="000B1874">
            <w:pPr>
              <w:bidi/>
              <w:rPr>
                <w:rFonts w:ascii="Calibri" w:hAnsi="Calibri"/>
                <w:color w:val="000000"/>
                <w:rtl/>
              </w:rPr>
            </w:pPr>
          </w:p>
        </w:tc>
        <w:tc>
          <w:tcPr>
            <w:tcW w:w="3453" w:type="dxa"/>
            <w:gridSpan w:val="2"/>
            <w:tcBorders>
              <w:top w:val="nil"/>
              <w:left w:val="nil"/>
              <w:bottom w:val="nil"/>
              <w:right w:val="nil"/>
            </w:tcBorders>
          </w:tcPr>
          <w:p w:rsidR="00A02738" w:rsidRPr="00965FEA" w:rsidRDefault="00DB06F5" w:rsidP="00564AA4">
            <w:pPr>
              <w:spacing w:line="320" w:lineRule="exact"/>
              <w:jc w:val="right"/>
              <w:rPr>
                <w:rFonts w:ascii="Calibri" w:hAnsi="Calibri"/>
                <w:b/>
                <w:bCs/>
              </w:rPr>
            </w:pPr>
            <w:hyperlink r:id="rId14" w:history="1">
              <w:r w:rsidR="00A02738" w:rsidRPr="00965FEA">
                <w:rPr>
                  <w:rStyle w:val="Lienhypertexte"/>
                  <w:rFonts w:ascii="Calibri" w:hAnsi="Calibri"/>
                  <w:b/>
                  <w:bCs/>
                  <w:color w:val="auto"/>
                  <w:rtl/>
                </w:rPr>
                <w:t>الشركات المالية</w:t>
              </w:r>
            </w:hyperlink>
          </w:p>
        </w:tc>
      </w:tr>
      <w:tr w:rsidR="00A02738" w:rsidRPr="00E8533F" w:rsidTr="008A1A7B">
        <w:trPr>
          <w:trHeight w:val="283"/>
          <w:jc w:val="center"/>
        </w:trPr>
        <w:tc>
          <w:tcPr>
            <w:tcW w:w="1247" w:type="dxa"/>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1,9%</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136"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2937</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154 183</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157 120</w:t>
            </w:r>
          </w:p>
        </w:tc>
        <w:tc>
          <w:tcPr>
            <w:tcW w:w="236" w:type="dxa"/>
            <w:gridSpan w:val="2"/>
            <w:tcBorders>
              <w:top w:val="nil"/>
              <w:left w:val="nil"/>
              <w:bottom w:val="nil"/>
              <w:right w:val="nil"/>
            </w:tcBorders>
          </w:tcPr>
          <w:p w:rsidR="00A02738" w:rsidRPr="008A1A7B" w:rsidRDefault="00A02738" w:rsidP="000B1874">
            <w:pPr>
              <w:bidi/>
              <w:rPr>
                <w:rFonts w:ascii="Calibri" w:hAnsi="Calibri"/>
                <w:color w:val="000000"/>
              </w:rPr>
            </w:pPr>
          </w:p>
        </w:tc>
        <w:tc>
          <w:tcPr>
            <w:tcW w:w="3453" w:type="dxa"/>
            <w:gridSpan w:val="2"/>
            <w:tcBorders>
              <w:top w:val="nil"/>
              <w:left w:val="nil"/>
              <w:bottom w:val="nil"/>
              <w:right w:val="nil"/>
            </w:tcBorders>
          </w:tcPr>
          <w:p w:rsidR="00A02738" w:rsidRPr="00965FEA" w:rsidRDefault="00A02738" w:rsidP="00564AA4">
            <w:pPr>
              <w:bidi/>
              <w:spacing w:line="320" w:lineRule="exact"/>
              <w:rPr>
                <w:rFonts w:ascii="Calibri" w:hAnsi="Calibri"/>
                <w:b/>
                <w:bCs/>
                <w:color w:val="000000"/>
              </w:rPr>
            </w:pPr>
            <w:r w:rsidRPr="00965FEA">
              <w:rPr>
                <w:rFonts w:ascii="Calibri" w:hAnsi="Calibri"/>
                <w:b/>
                <w:bCs/>
                <w:color w:val="000000"/>
                <w:rtl/>
              </w:rPr>
              <w:t>الإدارات العمومية</w:t>
            </w:r>
          </w:p>
        </w:tc>
      </w:tr>
      <w:tr w:rsidR="00A02738" w:rsidRPr="00E8533F" w:rsidTr="008A1A7B">
        <w:trPr>
          <w:trHeight w:val="283"/>
          <w:jc w:val="center"/>
        </w:trPr>
        <w:tc>
          <w:tcPr>
            <w:tcW w:w="1247" w:type="dxa"/>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9,7%</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136"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26 846</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275 883</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302 729</w:t>
            </w:r>
          </w:p>
        </w:tc>
        <w:tc>
          <w:tcPr>
            <w:tcW w:w="236" w:type="dxa"/>
            <w:gridSpan w:val="2"/>
            <w:tcBorders>
              <w:top w:val="nil"/>
              <w:left w:val="nil"/>
              <w:bottom w:val="nil"/>
              <w:right w:val="nil"/>
            </w:tcBorders>
          </w:tcPr>
          <w:p w:rsidR="00A02738" w:rsidRPr="008A1A7B" w:rsidRDefault="00A02738" w:rsidP="000B1874">
            <w:pPr>
              <w:bidi/>
              <w:rPr>
                <w:rFonts w:ascii="Calibri" w:hAnsi="Calibri"/>
                <w:color w:val="000000"/>
              </w:rPr>
            </w:pPr>
          </w:p>
        </w:tc>
        <w:tc>
          <w:tcPr>
            <w:tcW w:w="3453" w:type="dxa"/>
            <w:gridSpan w:val="2"/>
            <w:tcBorders>
              <w:top w:val="nil"/>
              <w:left w:val="nil"/>
              <w:bottom w:val="nil"/>
              <w:right w:val="nil"/>
            </w:tcBorders>
          </w:tcPr>
          <w:p w:rsidR="00A02738" w:rsidRPr="00965FEA" w:rsidRDefault="00A02738" w:rsidP="00564AA4">
            <w:pPr>
              <w:bidi/>
              <w:spacing w:line="320" w:lineRule="exact"/>
              <w:ind w:left="66"/>
              <w:rPr>
                <w:rFonts w:ascii="Calibri" w:hAnsi="Calibri"/>
                <w:b/>
                <w:bCs/>
                <w:color w:val="000000"/>
              </w:rPr>
            </w:pPr>
            <w:r w:rsidRPr="00965FEA">
              <w:rPr>
                <w:rFonts w:ascii="Calibri" w:hAnsi="Calibri"/>
                <w:b/>
                <w:bCs/>
                <w:color w:val="000000"/>
                <w:rtl/>
              </w:rPr>
              <w:t>الأسر</w:t>
            </w:r>
          </w:p>
        </w:tc>
      </w:tr>
      <w:tr w:rsidR="00A02738" w:rsidRPr="00E8533F" w:rsidTr="008A1A7B">
        <w:trPr>
          <w:trHeight w:val="283"/>
          <w:jc w:val="center"/>
        </w:trPr>
        <w:tc>
          <w:tcPr>
            <w:tcW w:w="1247" w:type="dxa"/>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14,9%</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136"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228</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1 526</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nil"/>
              <w:left w:val="nil"/>
              <w:bottom w:val="nil"/>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1 754</w:t>
            </w:r>
          </w:p>
        </w:tc>
        <w:tc>
          <w:tcPr>
            <w:tcW w:w="236" w:type="dxa"/>
            <w:gridSpan w:val="2"/>
            <w:tcBorders>
              <w:top w:val="nil"/>
              <w:left w:val="nil"/>
              <w:bottom w:val="nil"/>
              <w:right w:val="nil"/>
            </w:tcBorders>
          </w:tcPr>
          <w:p w:rsidR="00A02738" w:rsidRPr="008A1A7B" w:rsidRDefault="00A02738" w:rsidP="000B1874">
            <w:pPr>
              <w:bidi/>
              <w:rPr>
                <w:rFonts w:ascii="Calibri" w:hAnsi="Calibri"/>
                <w:color w:val="000000"/>
              </w:rPr>
            </w:pPr>
          </w:p>
        </w:tc>
        <w:tc>
          <w:tcPr>
            <w:tcW w:w="3453" w:type="dxa"/>
            <w:gridSpan w:val="2"/>
            <w:tcBorders>
              <w:top w:val="nil"/>
              <w:left w:val="nil"/>
              <w:bottom w:val="nil"/>
              <w:right w:val="nil"/>
            </w:tcBorders>
          </w:tcPr>
          <w:p w:rsidR="00A02738" w:rsidRPr="00965FEA" w:rsidRDefault="00A02738" w:rsidP="00564AA4">
            <w:pPr>
              <w:bidi/>
              <w:spacing w:line="320" w:lineRule="exact"/>
              <w:rPr>
                <w:rFonts w:ascii="Calibri" w:hAnsi="Calibri"/>
                <w:b/>
                <w:bCs/>
                <w:color w:val="000000"/>
              </w:rPr>
            </w:pPr>
            <w:r w:rsidRPr="00965FEA">
              <w:rPr>
                <w:rFonts w:ascii="Calibri" w:hAnsi="Calibri"/>
                <w:b/>
                <w:bCs/>
                <w:color w:val="000000"/>
                <w:rtl/>
                <w:lang w:bidi="ar-MA"/>
              </w:rPr>
              <w:t>المؤسسات غير الهادفة للربح في خدمة الأسر</w:t>
            </w:r>
          </w:p>
        </w:tc>
      </w:tr>
      <w:tr w:rsidR="00A02738" w:rsidRPr="00E05BFF" w:rsidTr="008A1A7B">
        <w:trPr>
          <w:trHeight w:val="283"/>
          <w:jc w:val="center"/>
        </w:trPr>
        <w:tc>
          <w:tcPr>
            <w:tcW w:w="1247" w:type="dxa"/>
            <w:tcBorders>
              <w:top w:val="nil"/>
              <w:left w:val="nil"/>
              <w:bottom w:val="single" w:sz="18" w:space="0" w:color="F79646"/>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9,6%</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136" w:type="dxa"/>
            <w:gridSpan w:val="2"/>
            <w:tcBorders>
              <w:top w:val="nil"/>
              <w:left w:val="nil"/>
              <w:bottom w:val="single" w:sz="18" w:space="0" w:color="F79646"/>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79 828</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nil"/>
              <w:left w:val="nil"/>
              <w:bottom w:val="single" w:sz="18" w:space="0" w:color="F79646"/>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830 708</w:t>
            </w:r>
          </w:p>
        </w:tc>
        <w:tc>
          <w:tcPr>
            <w:tcW w:w="236" w:type="dxa"/>
            <w:gridSpan w:val="2"/>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gridSpan w:val="2"/>
            <w:tcBorders>
              <w:top w:val="nil"/>
              <w:left w:val="nil"/>
              <w:bottom w:val="single" w:sz="18" w:space="0" w:color="F79646"/>
              <w:right w:val="nil"/>
            </w:tcBorders>
            <w:vAlign w:val="center"/>
          </w:tcPr>
          <w:p w:rsidR="00A02738" w:rsidRPr="008A1A7B" w:rsidRDefault="00A02738" w:rsidP="00564AA4">
            <w:pPr>
              <w:spacing w:line="320" w:lineRule="exact"/>
              <w:jc w:val="center"/>
              <w:rPr>
                <w:rFonts w:ascii="Calibri" w:hAnsi="Calibri" w:cs="Arial"/>
                <w:bCs/>
                <w:sz w:val="20"/>
                <w:szCs w:val="20"/>
              </w:rPr>
            </w:pPr>
            <w:r w:rsidRPr="008A1A7B">
              <w:rPr>
                <w:rFonts w:ascii="Calibri" w:hAnsi="Calibri" w:cs="Arial"/>
                <w:bCs/>
                <w:sz w:val="20"/>
                <w:szCs w:val="20"/>
              </w:rPr>
              <w:t>910 536</w:t>
            </w:r>
          </w:p>
        </w:tc>
        <w:tc>
          <w:tcPr>
            <w:tcW w:w="236" w:type="dxa"/>
            <w:gridSpan w:val="2"/>
            <w:tcBorders>
              <w:top w:val="nil"/>
              <w:left w:val="nil"/>
              <w:bottom w:val="nil"/>
              <w:right w:val="nil"/>
            </w:tcBorders>
          </w:tcPr>
          <w:p w:rsidR="00A02738" w:rsidRPr="008A1A7B" w:rsidRDefault="00A02738" w:rsidP="000B1874">
            <w:pPr>
              <w:bidi/>
              <w:rPr>
                <w:rFonts w:ascii="Calibri" w:hAnsi="Calibri"/>
                <w:color w:val="000000"/>
                <w:rtl/>
              </w:rPr>
            </w:pPr>
          </w:p>
        </w:tc>
        <w:tc>
          <w:tcPr>
            <w:tcW w:w="3453" w:type="dxa"/>
            <w:gridSpan w:val="2"/>
            <w:tcBorders>
              <w:top w:val="nil"/>
              <w:left w:val="nil"/>
              <w:bottom w:val="single" w:sz="18" w:space="0" w:color="F79646"/>
              <w:right w:val="nil"/>
            </w:tcBorders>
          </w:tcPr>
          <w:p w:rsidR="00A02738" w:rsidRPr="00965FEA" w:rsidRDefault="00A02738" w:rsidP="00564AA4">
            <w:pPr>
              <w:bidi/>
              <w:spacing w:line="320" w:lineRule="exact"/>
              <w:rPr>
                <w:rFonts w:ascii="Calibri" w:hAnsi="Calibri"/>
                <w:b/>
                <w:bCs/>
              </w:rPr>
            </w:pPr>
            <w:r w:rsidRPr="00965FEA">
              <w:rPr>
                <w:rFonts w:ascii="Calibri" w:hAnsi="Calibri"/>
                <w:b/>
                <w:bCs/>
                <w:color w:val="000000"/>
                <w:rtl/>
              </w:rPr>
              <w:t>القيمة المضافة الكلية</w:t>
            </w:r>
          </w:p>
        </w:tc>
      </w:tr>
    </w:tbl>
    <w:p w:rsidR="00A02738" w:rsidRPr="00461785" w:rsidRDefault="00A02738" w:rsidP="00A02738">
      <w:pPr>
        <w:bidi/>
        <w:rPr>
          <w:rFonts w:ascii="Arial" w:hAnsi="Arial"/>
          <w:sz w:val="28"/>
          <w:szCs w:val="28"/>
          <w:rtl/>
          <w:lang w:bidi="ar-MA"/>
        </w:rPr>
      </w:pPr>
    </w:p>
    <w:p w:rsidR="00A02738" w:rsidRPr="00481B0D" w:rsidRDefault="00A02738" w:rsidP="00A02738">
      <w:pPr>
        <w:pStyle w:val="Paragraphedeliste"/>
        <w:numPr>
          <w:ilvl w:val="0"/>
          <w:numId w:val="19"/>
        </w:numPr>
        <w:bidi/>
        <w:spacing w:line="276" w:lineRule="auto"/>
        <w:rPr>
          <w:rFonts w:ascii="Arial" w:hAnsi="Arial"/>
          <w:b/>
          <w:bCs/>
          <w:color w:val="17365D"/>
          <w:sz w:val="28"/>
          <w:szCs w:val="28"/>
        </w:rPr>
      </w:pPr>
      <w:r w:rsidRPr="00481B0D">
        <w:rPr>
          <w:rFonts w:ascii="Arial" w:hAnsi="Arial" w:hint="cs"/>
          <w:b/>
          <w:bCs/>
          <w:color w:val="17365D"/>
          <w:sz w:val="28"/>
          <w:szCs w:val="28"/>
          <w:rtl/>
        </w:rPr>
        <w:t>على مستوى الدخل</w:t>
      </w:r>
    </w:p>
    <w:p w:rsidR="00A02738" w:rsidRPr="00050E64" w:rsidRDefault="00A02738" w:rsidP="00A02738">
      <w:pPr>
        <w:pStyle w:val="Paragraphedeliste"/>
        <w:bidi/>
        <w:spacing w:line="360" w:lineRule="auto"/>
        <w:ind w:left="141"/>
        <w:rPr>
          <w:rFonts w:ascii="Arial" w:hAnsi="Arial"/>
          <w:color w:val="A11F32"/>
          <w:sz w:val="28"/>
          <w:szCs w:val="28"/>
          <w:rtl/>
          <w:lang w:bidi="ar-MA"/>
        </w:rPr>
      </w:pPr>
      <w:r w:rsidRPr="00050E64">
        <w:rPr>
          <w:rFonts w:ascii="Arial" w:hAnsi="Arial" w:hint="cs"/>
          <w:b/>
          <w:bCs/>
          <w:color w:val="A11F32"/>
          <w:sz w:val="28"/>
          <w:szCs w:val="28"/>
          <w:rtl/>
          <w:lang w:bidi="ar-MA"/>
        </w:rPr>
        <w:t>مراجعة الأجور نحو الارتفاع ب 14.7</w:t>
      </w:r>
      <w:r w:rsidRPr="00050E64">
        <w:rPr>
          <w:rFonts w:ascii="Arial" w:hAnsi="Arial"/>
          <w:b/>
          <w:bCs/>
          <w:color w:val="A11F32"/>
          <w:sz w:val="28"/>
          <w:szCs w:val="28"/>
          <w:lang w:bidi="ar-MA"/>
        </w:rPr>
        <w:t>%</w:t>
      </w:r>
      <w:r w:rsidRPr="00050E64">
        <w:rPr>
          <w:rFonts w:ascii="Arial" w:hAnsi="Arial" w:hint="cs"/>
          <w:color w:val="A11F32"/>
          <w:sz w:val="28"/>
          <w:szCs w:val="28"/>
          <w:rtl/>
          <w:lang w:bidi="ar-MA"/>
        </w:rPr>
        <w:t xml:space="preserve"> </w:t>
      </w:r>
    </w:p>
    <w:p w:rsidR="00A02738" w:rsidRPr="00CC50B3" w:rsidRDefault="00A02738" w:rsidP="00A02738">
      <w:pPr>
        <w:pStyle w:val="Paragraphedeliste"/>
        <w:bidi/>
        <w:ind w:left="141"/>
        <w:jc w:val="both"/>
        <w:rPr>
          <w:rFonts w:ascii="Calibri" w:hAnsi="Calibri"/>
          <w:sz w:val="28"/>
          <w:szCs w:val="28"/>
          <w:rtl/>
          <w:lang w:bidi="ar-MA"/>
        </w:rPr>
      </w:pPr>
      <w:r w:rsidRPr="00CC50B3">
        <w:rPr>
          <w:rFonts w:ascii="Calibri" w:hAnsi="Calibri"/>
          <w:sz w:val="28"/>
          <w:szCs w:val="28"/>
          <w:rtl/>
          <w:lang w:bidi="ar-MA"/>
        </w:rPr>
        <w:t>نتجت الزيادة في مجموع الدخل الموزع ب 8.2</w:t>
      </w:r>
      <w:r w:rsidRPr="00CC50B3">
        <w:rPr>
          <w:rFonts w:ascii="Calibri" w:hAnsi="Calibri"/>
          <w:sz w:val="28"/>
          <w:szCs w:val="28"/>
          <w:lang w:bidi="ar-MA"/>
        </w:rPr>
        <w:t>%</w:t>
      </w:r>
      <w:r w:rsidRPr="00CC50B3">
        <w:rPr>
          <w:rFonts w:ascii="Calibri" w:hAnsi="Calibri"/>
          <w:sz w:val="28"/>
          <w:szCs w:val="28"/>
          <w:rtl/>
          <w:lang w:bidi="ar-MA"/>
        </w:rPr>
        <w:t xml:space="preserve"> على الخصوص عن الأجور التي سجلت ارتفاعا ب 44.8 مليار درهم بإعادة تقييم بلغت 14.7</w:t>
      </w:r>
      <w:r w:rsidRPr="00CC50B3">
        <w:rPr>
          <w:rFonts w:ascii="Calibri" w:hAnsi="Calibri"/>
          <w:sz w:val="28"/>
          <w:szCs w:val="28"/>
          <w:lang w:bidi="ar-MA"/>
        </w:rPr>
        <w:t>%</w:t>
      </w:r>
      <w:r w:rsidRPr="00CC50B3">
        <w:rPr>
          <w:rFonts w:ascii="Calibri" w:hAnsi="Calibri"/>
          <w:sz w:val="28"/>
          <w:szCs w:val="28"/>
          <w:rtl/>
          <w:lang w:bidi="ar-MA"/>
        </w:rPr>
        <w:t xml:space="preserve"> مقارنة بسنة الأساس 2007، ويرجع هذا إلى استعمال مصادر معلومات جديدة كالبحوث البنيوية والبحث حول القطاع غير المنظم بالإضافة إلى إحصائيات الصندوق الوطني الضمان الاجتماعي.</w:t>
      </w:r>
    </w:p>
    <w:p w:rsidR="00A02738" w:rsidRPr="00CC50B3" w:rsidRDefault="00A02738" w:rsidP="00A02738">
      <w:pPr>
        <w:pStyle w:val="Paragraphedeliste"/>
        <w:bidi/>
        <w:ind w:left="141"/>
        <w:jc w:val="both"/>
        <w:rPr>
          <w:rFonts w:ascii="Calibri" w:hAnsi="Calibri"/>
          <w:sz w:val="28"/>
          <w:szCs w:val="28"/>
          <w:rtl/>
          <w:lang w:bidi="ar-MA"/>
        </w:rPr>
      </w:pPr>
      <w:r w:rsidRPr="00CC50B3">
        <w:rPr>
          <w:rFonts w:ascii="Calibri" w:hAnsi="Calibri"/>
          <w:sz w:val="28"/>
          <w:szCs w:val="28"/>
          <w:rtl/>
          <w:lang w:bidi="ar-MA"/>
        </w:rPr>
        <w:lastRenderedPageBreak/>
        <w:t>من جهة أخرى، تمت مراجعة إجمالي فائض الاستغلال والدخل المختلط نحو الارتفاع بمقدار 37.2 مليار درهم (</w:t>
      </w:r>
      <w:r w:rsidRPr="00CC50B3">
        <w:rPr>
          <w:rFonts w:ascii="Calibri" w:hAnsi="Calibri"/>
          <w:sz w:val="28"/>
          <w:szCs w:val="28"/>
          <w:lang w:bidi="ar-MA"/>
        </w:rPr>
        <w:t>%7.2</w:t>
      </w:r>
      <w:r w:rsidRPr="00CC50B3">
        <w:rPr>
          <w:rFonts w:ascii="Calibri" w:hAnsi="Calibri"/>
          <w:sz w:val="28"/>
          <w:szCs w:val="28"/>
          <w:rtl/>
          <w:lang w:bidi="ar-MA"/>
        </w:rPr>
        <w:t>) بينما تم تعديل صافي الضرائب المقبوضة من طرف الادارات العمومية نحو الانخفاض إلى ما يقرب من 6 مليار درهم أي بانخفاض قدره 5.7</w:t>
      </w:r>
      <w:r w:rsidRPr="00CC50B3">
        <w:rPr>
          <w:rFonts w:ascii="Calibri" w:hAnsi="Calibri"/>
          <w:sz w:val="28"/>
          <w:szCs w:val="28"/>
          <w:lang w:bidi="ar-MA"/>
        </w:rPr>
        <w:t>%</w:t>
      </w:r>
      <w:r w:rsidRPr="00CC50B3">
        <w:rPr>
          <w:rFonts w:ascii="Calibri" w:hAnsi="Calibri"/>
          <w:sz w:val="28"/>
          <w:szCs w:val="28"/>
          <w:rtl/>
          <w:lang w:bidi="ar-MA"/>
        </w:rPr>
        <w:t xml:space="preserve"> مقارنة بالمستوى المسجل بسنة الأساس القديم. </w:t>
      </w:r>
    </w:p>
    <w:p w:rsidR="00A02738" w:rsidRDefault="00A02738" w:rsidP="00A02738">
      <w:pPr>
        <w:pStyle w:val="Paragraphedeliste"/>
        <w:bidi/>
        <w:rPr>
          <w:rFonts w:ascii="Arial" w:hAnsi="Arial"/>
          <w:sz w:val="28"/>
          <w:szCs w:val="28"/>
          <w:rtl/>
          <w:lang w:bidi="ar-MA"/>
        </w:rPr>
      </w:pPr>
    </w:p>
    <w:p w:rsidR="00A02738" w:rsidRDefault="00A02738" w:rsidP="00A02738">
      <w:pPr>
        <w:pStyle w:val="Paragraphedeliste"/>
        <w:bidi/>
        <w:rPr>
          <w:rFonts w:ascii="Arial" w:hAnsi="Arial"/>
          <w:sz w:val="28"/>
          <w:szCs w:val="28"/>
          <w:rtl/>
          <w:lang w:bidi="ar-MA"/>
        </w:rPr>
      </w:pPr>
    </w:p>
    <w:p w:rsidR="00A02738" w:rsidRPr="004B5F0C" w:rsidRDefault="00A02738" w:rsidP="00A02738">
      <w:pPr>
        <w:bidi/>
        <w:spacing w:line="360" w:lineRule="auto"/>
        <w:jc w:val="center"/>
        <w:rPr>
          <w:rFonts w:ascii="Arial" w:hAnsi="Arial"/>
          <w:sz w:val="28"/>
          <w:szCs w:val="28"/>
          <w:rtl/>
          <w:lang w:bidi="ar-MA"/>
        </w:rPr>
      </w:pPr>
      <w:r w:rsidRPr="004B5F0C">
        <w:rPr>
          <w:rFonts w:hint="cs"/>
          <w:b/>
          <w:bCs/>
          <w:rtl/>
        </w:rPr>
        <w:t>الدخول الموزعة سنة 2014 بمليون درهم</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7"/>
        <w:gridCol w:w="236"/>
        <w:gridCol w:w="850"/>
        <w:gridCol w:w="236"/>
        <w:gridCol w:w="1304"/>
        <w:gridCol w:w="236"/>
        <w:gridCol w:w="1304"/>
        <w:gridCol w:w="236"/>
        <w:gridCol w:w="3453"/>
      </w:tblGrid>
      <w:tr w:rsidR="00A02738" w:rsidRPr="000F254E" w:rsidTr="000B1874">
        <w:trPr>
          <w:trHeight w:val="170"/>
          <w:jc w:val="center"/>
        </w:trPr>
        <w:tc>
          <w:tcPr>
            <w:tcW w:w="1247" w:type="dxa"/>
            <w:tcBorders>
              <w:top w:val="single" w:sz="18" w:space="0" w:color="F79646"/>
              <w:left w:val="nil"/>
              <w:bottom w:val="single" w:sz="18" w:space="0" w:color="F79646"/>
              <w:right w:val="nil"/>
            </w:tcBorders>
            <w:vAlign w:val="center"/>
          </w:tcPr>
          <w:p w:rsidR="00A02738" w:rsidRPr="00050E64" w:rsidRDefault="00A02738" w:rsidP="000B1874">
            <w:pPr>
              <w:jc w:val="center"/>
              <w:rPr>
                <w:b/>
                <w:bCs/>
                <w:color w:val="60319F"/>
                <w:rtl/>
              </w:rPr>
            </w:pPr>
            <w:r w:rsidRPr="00050E64">
              <w:rPr>
                <w:b/>
                <w:bCs/>
                <w:color w:val="60319F"/>
                <w:rtl/>
              </w:rPr>
              <w:t>الفرق</w:t>
            </w:r>
            <w:r w:rsidRPr="00050E64">
              <w:rPr>
                <w:b/>
                <w:bCs/>
                <w:color w:val="60319F"/>
              </w:rPr>
              <w:t xml:space="preserve"> </w:t>
            </w:r>
            <w:r w:rsidRPr="00050E64">
              <w:rPr>
                <w:b/>
                <w:bCs/>
                <w:color w:val="60319F"/>
                <w:rtl/>
              </w:rPr>
              <w:t>بالنسبة</w:t>
            </w:r>
            <w:r w:rsidRPr="00050E64">
              <w:rPr>
                <w:b/>
                <w:bCs/>
                <w:color w:val="60319F"/>
              </w:rPr>
              <w:t xml:space="preserve"> </w:t>
            </w:r>
            <w:r w:rsidRPr="00050E64">
              <w:rPr>
                <w:b/>
                <w:bCs/>
                <w:color w:val="60319F"/>
                <w:rtl/>
              </w:rPr>
              <w:t>المئوية</w:t>
            </w:r>
          </w:p>
        </w:tc>
        <w:tc>
          <w:tcPr>
            <w:tcW w:w="236" w:type="dxa"/>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850" w:type="dxa"/>
            <w:tcBorders>
              <w:top w:val="single" w:sz="18" w:space="0" w:color="F79646"/>
              <w:left w:val="nil"/>
              <w:bottom w:val="single" w:sz="18" w:space="0" w:color="F79646"/>
              <w:right w:val="nil"/>
            </w:tcBorders>
            <w:vAlign w:val="center"/>
          </w:tcPr>
          <w:p w:rsidR="00A02738" w:rsidRPr="00050E64" w:rsidRDefault="00DB06F5" w:rsidP="000B1874">
            <w:pPr>
              <w:jc w:val="center"/>
              <w:rPr>
                <w:b/>
                <w:bCs/>
                <w:color w:val="60319F"/>
              </w:rPr>
            </w:pPr>
            <w:hyperlink r:id="rId15" w:history="1">
              <w:r w:rsidR="00A02738" w:rsidRPr="00050E64">
                <w:rPr>
                  <w:rStyle w:val="Lienhypertexte"/>
                  <w:b/>
                  <w:bCs/>
                  <w:color w:val="60319F"/>
                  <w:rtl/>
                </w:rPr>
                <w:t>الفرق</w:t>
              </w:r>
            </w:hyperlink>
          </w:p>
        </w:tc>
        <w:tc>
          <w:tcPr>
            <w:tcW w:w="236" w:type="dxa"/>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1304" w:type="dxa"/>
            <w:tcBorders>
              <w:top w:val="single" w:sz="18" w:space="0" w:color="F79646"/>
              <w:left w:val="nil"/>
              <w:bottom w:val="single" w:sz="18" w:space="0" w:color="F79646"/>
              <w:right w:val="nil"/>
            </w:tcBorders>
            <w:vAlign w:val="center"/>
          </w:tcPr>
          <w:p w:rsidR="00A02738" w:rsidRPr="00050E64" w:rsidRDefault="00A02738" w:rsidP="000B1874">
            <w:pPr>
              <w:bidi/>
              <w:jc w:val="center"/>
              <w:rPr>
                <w:rFonts w:ascii="Arial" w:hAnsi="Arial"/>
                <w:b/>
                <w:bCs/>
                <w:color w:val="60319F"/>
              </w:rPr>
            </w:pPr>
            <w:r w:rsidRPr="00050E64">
              <w:rPr>
                <w:rFonts w:ascii="Arial" w:hAnsi="Arial" w:cs="Arial"/>
                <w:b/>
                <w:bCs/>
                <w:color w:val="60319F"/>
                <w:rtl/>
              </w:rPr>
              <w:t>السنة</w:t>
            </w:r>
            <w:r w:rsidRPr="00050E64">
              <w:rPr>
                <w:rFonts w:ascii="Arial" w:hAnsi="Arial"/>
                <w:b/>
                <w:bCs/>
                <w:color w:val="60319F"/>
              </w:rPr>
              <w:t xml:space="preserve"> </w:t>
            </w:r>
            <w:r w:rsidRPr="00050E64">
              <w:rPr>
                <w:rFonts w:ascii="Arial" w:hAnsi="Arial" w:cs="Arial"/>
                <w:b/>
                <w:bCs/>
                <w:color w:val="60319F"/>
                <w:rtl/>
              </w:rPr>
              <w:t>الأساس</w:t>
            </w:r>
            <w:r w:rsidRPr="00050E64">
              <w:rPr>
                <w:rFonts w:ascii="Arial" w:hAnsi="Arial"/>
                <w:b/>
                <w:bCs/>
                <w:color w:val="60319F"/>
              </w:rPr>
              <w:t xml:space="preserve"> 2007</w:t>
            </w:r>
          </w:p>
        </w:tc>
        <w:tc>
          <w:tcPr>
            <w:tcW w:w="236" w:type="dxa"/>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1304" w:type="dxa"/>
            <w:tcBorders>
              <w:top w:val="single" w:sz="18" w:space="0" w:color="F79646"/>
              <w:left w:val="nil"/>
              <w:bottom w:val="single" w:sz="18" w:space="0" w:color="F79646"/>
              <w:right w:val="nil"/>
            </w:tcBorders>
            <w:vAlign w:val="center"/>
          </w:tcPr>
          <w:p w:rsidR="00A02738" w:rsidRPr="00050E64" w:rsidRDefault="00A02738" w:rsidP="000B1874">
            <w:pPr>
              <w:bidi/>
              <w:jc w:val="center"/>
              <w:rPr>
                <w:rFonts w:ascii="Arial" w:hAnsi="Arial"/>
                <w:b/>
                <w:bCs/>
                <w:color w:val="60319F"/>
              </w:rPr>
            </w:pPr>
            <w:r w:rsidRPr="00050E64">
              <w:rPr>
                <w:rFonts w:ascii="Arial" w:hAnsi="Arial" w:cs="Arial"/>
                <w:b/>
                <w:bCs/>
                <w:color w:val="60319F"/>
                <w:rtl/>
              </w:rPr>
              <w:t>السنة</w:t>
            </w:r>
            <w:r w:rsidRPr="00050E64">
              <w:rPr>
                <w:rFonts w:ascii="Arial" w:hAnsi="Arial"/>
                <w:b/>
                <w:bCs/>
                <w:color w:val="60319F"/>
              </w:rPr>
              <w:t xml:space="preserve"> </w:t>
            </w:r>
            <w:r w:rsidRPr="00050E64">
              <w:rPr>
                <w:rFonts w:ascii="Arial" w:hAnsi="Arial" w:cs="Arial"/>
                <w:b/>
                <w:bCs/>
                <w:color w:val="60319F"/>
                <w:rtl/>
              </w:rPr>
              <w:t>الأساس</w:t>
            </w:r>
            <w:r w:rsidRPr="00050E64">
              <w:rPr>
                <w:rFonts w:ascii="Arial" w:hAnsi="Arial"/>
                <w:b/>
                <w:bCs/>
                <w:color w:val="60319F"/>
              </w:rPr>
              <w:t xml:space="preserve"> 2014</w:t>
            </w:r>
          </w:p>
        </w:tc>
        <w:tc>
          <w:tcPr>
            <w:tcW w:w="236" w:type="dxa"/>
            <w:tcBorders>
              <w:top w:val="nil"/>
              <w:left w:val="nil"/>
              <w:bottom w:val="nil"/>
              <w:right w:val="nil"/>
            </w:tcBorders>
            <w:vAlign w:val="center"/>
          </w:tcPr>
          <w:p w:rsidR="00A02738" w:rsidRPr="009615B2" w:rsidRDefault="00A02738" w:rsidP="000B1874">
            <w:pPr>
              <w:bidi/>
              <w:jc w:val="center"/>
              <w:rPr>
                <w:rFonts w:ascii="Arial" w:hAnsi="Arial"/>
                <w:b/>
                <w:bCs/>
                <w:rtl/>
              </w:rPr>
            </w:pPr>
          </w:p>
        </w:tc>
        <w:tc>
          <w:tcPr>
            <w:tcW w:w="3453" w:type="dxa"/>
            <w:tcBorders>
              <w:top w:val="nil"/>
              <w:left w:val="nil"/>
              <w:bottom w:val="single" w:sz="18" w:space="0" w:color="F79646"/>
              <w:right w:val="nil"/>
            </w:tcBorders>
            <w:vAlign w:val="center"/>
          </w:tcPr>
          <w:p w:rsidR="00A02738" w:rsidRPr="009615B2" w:rsidRDefault="00A02738" w:rsidP="000B1874">
            <w:pPr>
              <w:jc w:val="center"/>
              <w:rPr>
                <w:b/>
                <w:bCs/>
              </w:rPr>
            </w:pPr>
          </w:p>
        </w:tc>
      </w:tr>
      <w:tr w:rsidR="00A02738" w:rsidRPr="000F254E" w:rsidTr="000B1874">
        <w:trPr>
          <w:trHeight w:val="283"/>
          <w:jc w:val="center"/>
        </w:trPr>
        <w:tc>
          <w:tcPr>
            <w:tcW w:w="1247" w:type="dxa"/>
            <w:tcBorders>
              <w:top w:val="single" w:sz="18" w:space="0" w:color="F79646"/>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8,2%</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850" w:type="dxa"/>
            <w:tcBorders>
              <w:top w:val="single" w:sz="18" w:space="0" w:color="F79646"/>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76 078</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single" w:sz="18" w:space="0" w:color="F79646"/>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925 376</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single" w:sz="18" w:space="0" w:color="F79646"/>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1 001 454</w:t>
            </w:r>
          </w:p>
        </w:tc>
        <w:tc>
          <w:tcPr>
            <w:tcW w:w="236" w:type="dxa"/>
            <w:tcBorders>
              <w:top w:val="nil"/>
              <w:left w:val="nil"/>
              <w:bottom w:val="nil"/>
              <w:right w:val="nil"/>
            </w:tcBorders>
          </w:tcPr>
          <w:p w:rsidR="00A02738" w:rsidRPr="00513E68" w:rsidRDefault="00A02738" w:rsidP="000B1874">
            <w:pPr>
              <w:bidi/>
              <w:rPr>
                <w:b/>
                <w:bCs/>
                <w:color w:val="800080"/>
                <w:rtl/>
              </w:rPr>
            </w:pPr>
          </w:p>
        </w:tc>
        <w:tc>
          <w:tcPr>
            <w:tcW w:w="3453" w:type="dxa"/>
            <w:tcBorders>
              <w:top w:val="single" w:sz="18" w:space="0" w:color="F79646"/>
              <w:left w:val="nil"/>
              <w:bottom w:val="nil"/>
              <w:right w:val="nil"/>
            </w:tcBorders>
          </w:tcPr>
          <w:p w:rsidR="00A02738" w:rsidRPr="00965FEA" w:rsidRDefault="00A02738" w:rsidP="000B1874">
            <w:pPr>
              <w:jc w:val="right"/>
              <w:rPr>
                <w:rFonts w:ascii="Calibri" w:hAnsi="Calibri"/>
                <w:b/>
                <w:bCs/>
              </w:rPr>
            </w:pPr>
            <w:r w:rsidRPr="00965FEA">
              <w:rPr>
                <w:rFonts w:ascii="Calibri" w:hAnsi="Calibri"/>
                <w:b/>
                <w:bCs/>
                <w:color w:val="000000"/>
                <w:rtl/>
              </w:rPr>
              <w:t>الناتج الداخلي الإجمالي</w:t>
            </w:r>
            <w:r w:rsidRPr="00965FEA">
              <w:rPr>
                <w:rFonts w:ascii="Calibri" w:hAnsi="Calibri"/>
                <w:b/>
                <w:bCs/>
              </w:rPr>
              <w:t> </w:t>
            </w:r>
          </w:p>
        </w:tc>
      </w:tr>
      <w:tr w:rsidR="00A02738" w:rsidRPr="009615B2" w:rsidTr="000B1874">
        <w:trPr>
          <w:trHeight w:val="283"/>
          <w:jc w:val="center"/>
        </w:trPr>
        <w:tc>
          <w:tcPr>
            <w:tcW w:w="1247"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14,7%</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850"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44 844</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305 248</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350 092</w:t>
            </w:r>
          </w:p>
        </w:tc>
        <w:tc>
          <w:tcPr>
            <w:tcW w:w="236" w:type="dxa"/>
            <w:tcBorders>
              <w:top w:val="nil"/>
              <w:left w:val="nil"/>
              <w:bottom w:val="nil"/>
              <w:right w:val="nil"/>
            </w:tcBorders>
          </w:tcPr>
          <w:p w:rsidR="00A02738" w:rsidRPr="00513E68" w:rsidRDefault="00A02738" w:rsidP="000B1874">
            <w:pPr>
              <w:bidi/>
              <w:rPr>
                <w:color w:val="000000"/>
                <w:rtl/>
              </w:rPr>
            </w:pPr>
          </w:p>
        </w:tc>
        <w:tc>
          <w:tcPr>
            <w:tcW w:w="3453" w:type="dxa"/>
            <w:tcBorders>
              <w:top w:val="nil"/>
              <w:left w:val="nil"/>
              <w:bottom w:val="nil"/>
              <w:right w:val="nil"/>
            </w:tcBorders>
          </w:tcPr>
          <w:p w:rsidR="00A02738" w:rsidRPr="00965FEA" w:rsidRDefault="00DB06F5" w:rsidP="000B1874">
            <w:pPr>
              <w:jc w:val="right"/>
              <w:rPr>
                <w:rFonts w:ascii="Calibri" w:hAnsi="Calibri"/>
                <w:b/>
                <w:bCs/>
              </w:rPr>
            </w:pPr>
            <w:hyperlink r:id="rId16" w:history="1">
              <w:r w:rsidR="00A02738" w:rsidRPr="00965FEA">
                <w:rPr>
                  <w:rFonts w:ascii="Calibri" w:hAnsi="Calibri"/>
                  <w:b/>
                  <w:bCs/>
                  <w:color w:val="0070C0"/>
                  <w:rtl/>
                  <w:lang w:bidi="ar-MA"/>
                </w:rPr>
                <w:t xml:space="preserve"> </w:t>
              </w:r>
              <w:r w:rsidR="00A02738" w:rsidRPr="00965FEA">
                <w:rPr>
                  <w:rFonts w:ascii="Calibri" w:hAnsi="Calibri"/>
                  <w:b/>
                  <w:bCs/>
                  <w:rtl/>
                  <w:lang w:bidi="ar-MA"/>
                </w:rPr>
                <w:t>الأجور</w:t>
              </w:r>
              <w:r w:rsidR="00A02738" w:rsidRPr="00965FEA">
                <w:rPr>
                  <w:rFonts w:ascii="Calibri" w:hAnsi="Calibri"/>
                  <w:b/>
                  <w:bCs/>
                </w:rPr>
                <w:t xml:space="preserve"> </w:t>
              </w:r>
            </w:hyperlink>
          </w:p>
        </w:tc>
      </w:tr>
      <w:tr w:rsidR="00A02738" w:rsidRPr="00E53CEF" w:rsidTr="000B1874">
        <w:trPr>
          <w:trHeight w:val="283"/>
          <w:jc w:val="center"/>
        </w:trPr>
        <w:tc>
          <w:tcPr>
            <w:tcW w:w="1247"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7,2%</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850"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37 225</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515 648</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552 873</w:t>
            </w:r>
          </w:p>
        </w:tc>
        <w:tc>
          <w:tcPr>
            <w:tcW w:w="236" w:type="dxa"/>
            <w:tcBorders>
              <w:top w:val="nil"/>
              <w:left w:val="nil"/>
              <w:bottom w:val="nil"/>
              <w:right w:val="nil"/>
            </w:tcBorders>
          </w:tcPr>
          <w:p w:rsidR="00A02738" w:rsidRPr="00513E68" w:rsidRDefault="00A02738" w:rsidP="000B1874">
            <w:pPr>
              <w:bidi/>
              <w:rPr>
                <w:color w:val="000000"/>
              </w:rPr>
            </w:pPr>
          </w:p>
        </w:tc>
        <w:tc>
          <w:tcPr>
            <w:tcW w:w="3453" w:type="dxa"/>
            <w:tcBorders>
              <w:top w:val="nil"/>
              <w:left w:val="nil"/>
              <w:bottom w:val="nil"/>
              <w:right w:val="nil"/>
            </w:tcBorders>
          </w:tcPr>
          <w:p w:rsidR="00A02738" w:rsidRPr="00965FEA" w:rsidRDefault="00A02738" w:rsidP="000B1874">
            <w:pPr>
              <w:bidi/>
              <w:rPr>
                <w:rFonts w:ascii="Calibri" w:hAnsi="Calibri"/>
                <w:b/>
                <w:bCs/>
              </w:rPr>
            </w:pPr>
            <w:r w:rsidRPr="00965FEA">
              <w:rPr>
                <w:rFonts w:ascii="Calibri" w:hAnsi="Calibri"/>
                <w:b/>
                <w:bCs/>
                <w:rtl/>
                <w:lang w:bidi="ar-MA"/>
              </w:rPr>
              <w:t xml:space="preserve">إجمالي فائض الاستغلال / </w:t>
            </w:r>
            <w:r w:rsidRPr="00965FEA">
              <w:rPr>
                <w:rFonts w:ascii="Calibri" w:hAnsi="Calibri"/>
                <w:b/>
                <w:bCs/>
                <w:color w:val="000000"/>
                <w:rtl/>
                <w:lang w:bidi="ar-MA"/>
              </w:rPr>
              <w:t>الدخل المختلط</w:t>
            </w:r>
          </w:p>
        </w:tc>
      </w:tr>
      <w:tr w:rsidR="00A02738" w:rsidRPr="00E8533F" w:rsidTr="000B1874">
        <w:trPr>
          <w:trHeight w:val="283"/>
          <w:jc w:val="center"/>
        </w:trPr>
        <w:tc>
          <w:tcPr>
            <w:tcW w:w="1247" w:type="dxa"/>
            <w:tcBorders>
              <w:top w:val="nil"/>
              <w:left w:val="nil"/>
              <w:bottom w:val="single" w:sz="18" w:space="0" w:color="F79646"/>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-5,7%</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850" w:type="dxa"/>
            <w:tcBorders>
              <w:top w:val="nil"/>
              <w:left w:val="nil"/>
              <w:bottom w:val="single" w:sz="18" w:space="0" w:color="F79646"/>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-5 991</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single" w:sz="18" w:space="0" w:color="F79646"/>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104 480</w:t>
            </w:r>
          </w:p>
        </w:tc>
        <w:tc>
          <w:tcPr>
            <w:tcW w:w="236" w:type="dxa"/>
            <w:tcBorders>
              <w:top w:val="nil"/>
              <w:left w:val="nil"/>
              <w:bottom w:val="nil"/>
              <w:right w:val="nil"/>
            </w:tcBorders>
            <w:vAlign w:val="center"/>
          </w:tcPr>
          <w:p w:rsidR="00A02738" w:rsidRPr="008A1A7B" w:rsidRDefault="00A02738" w:rsidP="000B1874">
            <w:pPr>
              <w:jc w:val="center"/>
              <w:rPr>
                <w:rFonts w:ascii="Calibri" w:hAnsi="Calibri" w:cs="Arial"/>
                <w:bCs/>
                <w:sz w:val="20"/>
                <w:szCs w:val="20"/>
              </w:rPr>
            </w:pPr>
          </w:p>
        </w:tc>
        <w:tc>
          <w:tcPr>
            <w:tcW w:w="1304" w:type="dxa"/>
            <w:tcBorders>
              <w:top w:val="nil"/>
              <w:left w:val="nil"/>
              <w:bottom w:val="single" w:sz="18" w:space="0" w:color="F79646"/>
              <w:right w:val="nil"/>
            </w:tcBorders>
            <w:vAlign w:val="center"/>
          </w:tcPr>
          <w:p w:rsidR="00A02738" w:rsidRPr="008A1A7B" w:rsidRDefault="00A02738" w:rsidP="000B1874">
            <w:pPr>
              <w:jc w:val="center"/>
              <w:rPr>
                <w:rFonts w:ascii="Calibri" w:hAnsi="Calibri" w:cs="Arial"/>
                <w:bCs/>
                <w:sz w:val="20"/>
                <w:szCs w:val="20"/>
              </w:rPr>
            </w:pPr>
            <w:r w:rsidRPr="008A1A7B">
              <w:rPr>
                <w:rFonts w:ascii="Calibri" w:hAnsi="Calibri" w:cs="Arial"/>
                <w:bCs/>
                <w:sz w:val="20"/>
                <w:szCs w:val="20"/>
              </w:rPr>
              <w:t>98 489</w:t>
            </w:r>
          </w:p>
        </w:tc>
        <w:tc>
          <w:tcPr>
            <w:tcW w:w="236" w:type="dxa"/>
            <w:tcBorders>
              <w:top w:val="nil"/>
              <w:left w:val="nil"/>
              <w:bottom w:val="nil"/>
              <w:right w:val="nil"/>
            </w:tcBorders>
          </w:tcPr>
          <w:p w:rsidR="00A02738" w:rsidRPr="00513E68" w:rsidRDefault="00A02738" w:rsidP="000B1874">
            <w:pPr>
              <w:bidi/>
              <w:rPr>
                <w:color w:val="000000"/>
              </w:rPr>
            </w:pPr>
          </w:p>
        </w:tc>
        <w:tc>
          <w:tcPr>
            <w:tcW w:w="3453" w:type="dxa"/>
            <w:tcBorders>
              <w:top w:val="nil"/>
              <w:left w:val="nil"/>
              <w:bottom w:val="single" w:sz="18" w:space="0" w:color="F79646"/>
              <w:right w:val="nil"/>
            </w:tcBorders>
          </w:tcPr>
          <w:p w:rsidR="00A02738" w:rsidRPr="00965FEA" w:rsidRDefault="00A02738" w:rsidP="000B1874">
            <w:pPr>
              <w:bidi/>
              <w:ind w:left="66"/>
              <w:rPr>
                <w:rFonts w:ascii="Calibri" w:hAnsi="Calibri"/>
                <w:b/>
                <w:bCs/>
                <w:color w:val="000000"/>
              </w:rPr>
            </w:pPr>
            <w:r w:rsidRPr="00965FEA">
              <w:rPr>
                <w:rFonts w:ascii="Calibri" w:hAnsi="Calibri" w:cs="Arial"/>
                <w:b/>
                <w:bCs/>
                <w:rtl/>
                <w:lang w:bidi="ar-MA"/>
              </w:rPr>
              <w:t>صافي الضرائب</w:t>
            </w:r>
            <w:r w:rsidR="00CC50B3" w:rsidRPr="00965FEA">
              <w:rPr>
                <w:rFonts w:ascii="Calibri" w:hAnsi="Calibri" w:cs="Arial"/>
                <w:b/>
                <w:bCs/>
                <w:lang w:bidi="ar-MA"/>
              </w:rPr>
              <w:t xml:space="preserve"> </w:t>
            </w:r>
            <w:r w:rsidR="00CC50B3" w:rsidRPr="00965FEA">
              <w:rPr>
                <w:rFonts w:ascii="Calibri" w:hAnsi="Calibri" w:cs="Arial" w:hint="cs"/>
                <w:b/>
                <w:bCs/>
                <w:rtl/>
                <w:lang w:bidi="ar-MA"/>
              </w:rPr>
              <w:t xml:space="preserve"> من الإعانات</w:t>
            </w:r>
            <w:r w:rsidRPr="00965FEA">
              <w:rPr>
                <w:rFonts w:ascii="Calibri" w:hAnsi="Calibri" w:cs="Arial"/>
                <w:b/>
                <w:bCs/>
                <w:rtl/>
                <w:lang w:bidi="ar-MA"/>
              </w:rPr>
              <w:t xml:space="preserve"> على الإنتاج والواردات</w:t>
            </w:r>
          </w:p>
        </w:tc>
      </w:tr>
    </w:tbl>
    <w:p w:rsidR="00A02738" w:rsidRDefault="00A02738" w:rsidP="00A02738">
      <w:pPr>
        <w:pStyle w:val="Paragraphedeliste"/>
        <w:bidi/>
        <w:jc w:val="center"/>
        <w:rPr>
          <w:rFonts w:ascii="Arial" w:hAnsi="Arial"/>
          <w:sz w:val="28"/>
          <w:szCs w:val="28"/>
          <w:rtl/>
          <w:lang w:bidi="ar-MA"/>
        </w:rPr>
      </w:pPr>
    </w:p>
    <w:p w:rsidR="00A02738" w:rsidRDefault="00A02738" w:rsidP="00A02738">
      <w:pPr>
        <w:pStyle w:val="Paragraphedeliste"/>
        <w:bidi/>
        <w:rPr>
          <w:rFonts w:ascii="Arial" w:hAnsi="Arial"/>
          <w:sz w:val="28"/>
          <w:szCs w:val="28"/>
          <w:rtl/>
          <w:lang w:bidi="ar-MA"/>
        </w:rPr>
      </w:pPr>
    </w:p>
    <w:p w:rsidR="00A02738" w:rsidRPr="004B5F0C" w:rsidRDefault="00A02738" w:rsidP="00FD64FB">
      <w:pPr>
        <w:bidi/>
        <w:spacing w:after="360"/>
        <w:rPr>
          <w:rFonts w:ascii="Arial" w:hAnsi="Arial"/>
          <w:b/>
          <w:bCs/>
          <w:color w:val="002060"/>
          <w:sz w:val="30"/>
          <w:szCs w:val="30"/>
          <w:rtl/>
        </w:rPr>
      </w:pPr>
      <w:r w:rsidRPr="004B5F0C">
        <w:rPr>
          <w:rFonts w:ascii="Arial" w:hAnsi="Arial" w:hint="cs"/>
          <w:b/>
          <w:bCs/>
          <w:color w:val="002060"/>
          <w:sz w:val="30"/>
          <w:szCs w:val="30"/>
          <w:rtl/>
        </w:rPr>
        <w:t>أثر الانتقال إلى أساس 2014 على أهم مؤشرات الاقتصاد الوطني</w:t>
      </w:r>
    </w:p>
    <w:p w:rsidR="00A02738" w:rsidRPr="00050E64" w:rsidRDefault="00A02738" w:rsidP="00A02738">
      <w:pPr>
        <w:pStyle w:val="Paragraphedeliste"/>
        <w:bidi/>
        <w:spacing w:line="360" w:lineRule="auto"/>
        <w:ind w:left="141"/>
        <w:rPr>
          <w:rFonts w:ascii="Arial" w:hAnsi="Arial"/>
          <w:color w:val="A11F32"/>
          <w:sz w:val="28"/>
          <w:szCs w:val="28"/>
          <w:rtl/>
        </w:rPr>
      </w:pPr>
      <w:r w:rsidRPr="00050E64">
        <w:rPr>
          <w:rFonts w:ascii="Arial" w:hAnsi="Arial" w:hint="cs"/>
          <w:b/>
          <w:bCs/>
          <w:color w:val="A11F32"/>
          <w:sz w:val="28"/>
          <w:szCs w:val="28"/>
          <w:rtl/>
          <w:lang w:bidi="ar-MA"/>
        </w:rPr>
        <w:t>على مستوى النمو الاقتصادي</w:t>
      </w:r>
    </w:p>
    <w:p w:rsidR="00A02738" w:rsidRPr="00CC50B3" w:rsidRDefault="00A02738" w:rsidP="00A02738">
      <w:pPr>
        <w:pStyle w:val="Paragraphedeliste"/>
        <w:bidi/>
        <w:ind w:left="141"/>
        <w:jc w:val="both"/>
        <w:rPr>
          <w:rStyle w:val="jlqj4b"/>
          <w:rFonts w:ascii="Calibri" w:hAnsi="Calibri"/>
          <w:rtl/>
        </w:rPr>
      </w:pPr>
      <w:r w:rsidRPr="00CC50B3">
        <w:rPr>
          <w:rFonts w:ascii="Calibri" w:hAnsi="Calibri"/>
          <w:sz w:val="28"/>
          <w:szCs w:val="28"/>
          <w:rtl/>
          <w:lang w:bidi="ar-MA"/>
        </w:rPr>
        <w:t>أدى الانتقال إلى سنة الأساس الجديدة 2014 إلى إعادة تقييم نحو الانخفاض لمستويات النمو الاقتصادي بالحجم على الفترة 2015-2019 بأكملها ، باستثناء سنتي 2017 و 2019 اللتان تم تعديل معدل النمو فيهما بشكل طفيف نحو الارتفاع بمقار 0.9 و 0.3 نقطة</w:t>
      </w:r>
      <w:r w:rsidRPr="00CC50B3">
        <w:rPr>
          <w:rStyle w:val="jlqj4b"/>
          <w:rFonts w:ascii="Calibri" w:hAnsi="Calibri"/>
        </w:rPr>
        <w:t>.</w:t>
      </w:r>
    </w:p>
    <w:p w:rsidR="00A02738" w:rsidRPr="00CC50B3" w:rsidRDefault="00A02738" w:rsidP="00A02738">
      <w:pPr>
        <w:pStyle w:val="Paragraphedeliste"/>
        <w:bidi/>
        <w:ind w:left="141"/>
        <w:jc w:val="both"/>
        <w:rPr>
          <w:rFonts w:ascii="Calibri" w:hAnsi="Calibri"/>
          <w:sz w:val="28"/>
          <w:szCs w:val="28"/>
          <w:lang w:bidi="ar-MA"/>
        </w:rPr>
      </w:pPr>
      <w:r w:rsidRPr="00CC50B3">
        <w:rPr>
          <w:rFonts w:ascii="Calibri" w:hAnsi="Calibri"/>
          <w:sz w:val="28"/>
          <w:szCs w:val="28"/>
          <w:rtl/>
          <w:lang w:bidi="ar-MA"/>
        </w:rPr>
        <w:t>تم إعادة تقييم متوسط ​​النمو السنوي للناتج الداخلي الإجمالي بالحجم نحو الارتفاع بمقدار 0.1 نقطة مئوية خلال الفترة 2015-2019 حيث ارتفع من 3.1</w:t>
      </w:r>
      <w:r w:rsidRPr="00CC50B3">
        <w:rPr>
          <w:rFonts w:ascii="Calibri" w:hAnsi="Calibri"/>
          <w:sz w:val="28"/>
          <w:szCs w:val="28"/>
          <w:lang w:bidi="ar-MA"/>
        </w:rPr>
        <w:t>%</w:t>
      </w:r>
      <w:r w:rsidRPr="00CC50B3">
        <w:rPr>
          <w:rFonts w:ascii="Calibri" w:hAnsi="Calibri"/>
          <w:sz w:val="28"/>
          <w:szCs w:val="28"/>
          <w:rtl/>
          <w:lang w:bidi="ar-MA"/>
        </w:rPr>
        <w:t xml:space="preserve"> في أساس 2007 إلى 3.2</w:t>
      </w:r>
      <w:r w:rsidRPr="00CC50B3">
        <w:rPr>
          <w:rFonts w:ascii="Calibri" w:hAnsi="Calibri"/>
          <w:sz w:val="28"/>
          <w:szCs w:val="28"/>
          <w:lang w:bidi="ar-MA"/>
        </w:rPr>
        <w:t>%</w:t>
      </w:r>
      <w:r w:rsidRPr="00CC50B3">
        <w:rPr>
          <w:rFonts w:ascii="Calibri" w:hAnsi="Calibri"/>
          <w:sz w:val="28"/>
          <w:szCs w:val="28"/>
          <w:rtl/>
          <w:lang w:bidi="ar-MA"/>
        </w:rPr>
        <w:t xml:space="preserve"> في أساس 2014</w:t>
      </w:r>
      <w:r w:rsidRPr="00CC50B3">
        <w:rPr>
          <w:rFonts w:ascii="Calibri" w:hAnsi="Calibri"/>
          <w:sz w:val="28"/>
          <w:szCs w:val="28"/>
          <w:lang w:bidi="ar-MA"/>
        </w:rPr>
        <w:t>.</w:t>
      </w:r>
    </w:p>
    <w:p w:rsidR="00986857" w:rsidRDefault="00986857" w:rsidP="00986857">
      <w:pPr>
        <w:pStyle w:val="Paragraphedeliste"/>
        <w:bidi/>
        <w:ind w:left="141"/>
        <w:jc w:val="both"/>
        <w:rPr>
          <w:rFonts w:ascii="Arial" w:hAnsi="Arial"/>
          <w:sz w:val="28"/>
          <w:szCs w:val="28"/>
          <w:rtl/>
          <w:lang w:bidi="ar-MA"/>
        </w:rPr>
      </w:pPr>
    </w:p>
    <w:p w:rsidR="00986857" w:rsidRPr="00986857" w:rsidRDefault="00986857" w:rsidP="00986857">
      <w:pPr>
        <w:pStyle w:val="Paragraphedeliste"/>
        <w:bidi/>
        <w:ind w:left="141"/>
        <w:jc w:val="center"/>
        <w:rPr>
          <w:rFonts w:ascii="Arial" w:hAnsi="Arial"/>
          <w:b/>
          <w:bCs/>
          <w:sz w:val="28"/>
          <w:szCs w:val="28"/>
          <w:rtl/>
          <w:lang w:bidi="ar-MA"/>
        </w:rPr>
      </w:pPr>
      <w:r w:rsidRPr="00986857">
        <w:rPr>
          <w:rFonts w:ascii="Arial" w:hAnsi="Arial" w:hint="cs"/>
          <w:b/>
          <w:bCs/>
          <w:sz w:val="28"/>
          <w:szCs w:val="28"/>
          <w:rtl/>
          <w:lang w:bidi="ar-MA"/>
        </w:rPr>
        <w:t>معدل النمو (ب</w:t>
      </w:r>
      <w:r w:rsidRPr="00986857">
        <w:rPr>
          <w:rFonts w:ascii="Arial" w:hAnsi="Arial"/>
          <w:b/>
          <w:bCs/>
          <w:sz w:val="28"/>
          <w:szCs w:val="28"/>
          <w:lang w:bidi="ar-MA"/>
        </w:rPr>
        <w:t>%</w:t>
      </w:r>
      <w:r w:rsidRPr="00986857">
        <w:rPr>
          <w:rFonts w:ascii="Arial" w:hAnsi="Arial" w:hint="cs"/>
          <w:b/>
          <w:bCs/>
          <w:sz w:val="28"/>
          <w:szCs w:val="28"/>
          <w:rtl/>
          <w:lang w:bidi="ar-MA"/>
        </w:rPr>
        <w:t>)</w:t>
      </w:r>
    </w:p>
    <w:tbl>
      <w:tblPr>
        <w:tblW w:w="6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4"/>
        <w:gridCol w:w="243"/>
        <w:gridCol w:w="1343"/>
        <w:gridCol w:w="243"/>
        <w:gridCol w:w="1343"/>
        <w:gridCol w:w="243"/>
        <w:gridCol w:w="1724"/>
      </w:tblGrid>
      <w:tr w:rsidR="00A02738" w:rsidRPr="000F254E" w:rsidTr="008A1A7B">
        <w:trPr>
          <w:trHeight w:val="176"/>
          <w:jc w:val="center"/>
        </w:trPr>
        <w:tc>
          <w:tcPr>
            <w:tcW w:w="1284" w:type="dxa"/>
            <w:tcBorders>
              <w:top w:val="single" w:sz="18" w:space="0" w:color="F79646"/>
              <w:left w:val="nil"/>
              <w:bottom w:val="single" w:sz="18" w:space="0" w:color="F79646"/>
              <w:right w:val="nil"/>
            </w:tcBorders>
            <w:vAlign w:val="center"/>
          </w:tcPr>
          <w:p w:rsidR="00A02738" w:rsidRPr="00050E64" w:rsidRDefault="00A02738" w:rsidP="000B1874">
            <w:pPr>
              <w:jc w:val="center"/>
              <w:rPr>
                <w:b/>
                <w:bCs/>
                <w:color w:val="60319F"/>
                <w:rtl/>
              </w:rPr>
            </w:pPr>
            <w:r w:rsidRPr="00050E64">
              <w:rPr>
                <w:b/>
                <w:bCs/>
                <w:color w:val="60319F"/>
                <w:rtl/>
              </w:rPr>
              <w:t>الفرق</w:t>
            </w:r>
            <w:r w:rsidRPr="00050E64">
              <w:rPr>
                <w:b/>
                <w:bCs/>
                <w:color w:val="60319F"/>
              </w:rPr>
              <w:t xml:space="preserve"> </w:t>
            </w:r>
            <w:r w:rsidRPr="00050E64">
              <w:rPr>
                <w:b/>
                <w:bCs/>
                <w:color w:val="60319F"/>
                <w:rtl/>
              </w:rPr>
              <w:t>بالنقط</w:t>
            </w:r>
          </w:p>
        </w:tc>
        <w:tc>
          <w:tcPr>
            <w:tcW w:w="243" w:type="dxa"/>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1343" w:type="dxa"/>
            <w:tcBorders>
              <w:top w:val="single" w:sz="18" w:space="0" w:color="F79646"/>
              <w:left w:val="nil"/>
              <w:bottom w:val="single" w:sz="18" w:space="0" w:color="F79646"/>
              <w:right w:val="nil"/>
            </w:tcBorders>
            <w:vAlign w:val="center"/>
          </w:tcPr>
          <w:p w:rsidR="00A02738" w:rsidRPr="00050E64" w:rsidRDefault="00A02738" w:rsidP="000B1874">
            <w:pPr>
              <w:bidi/>
              <w:jc w:val="center"/>
              <w:rPr>
                <w:rFonts w:ascii="Arial" w:hAnsi="Arial"/>
                <w:b/>
                <w:bCs/>
                <w:color w:val="60319F"/>
              </w:rPr>
            </w:pPr>
            <w:r w:rsidRPr="00050E64">
              <w:rPr>
                <w:rFonts w:ascii="Arial" w:hAnsi="Arial" w:cs="Arial"/>
                <w:b/>
                <w:bCs/>
                <w:color w:val="60319F"/>
                <w:rtl/>
              </w:rPr>
              <w:t>السنة</w:t>
            </w:r>
            <w:r w:rsidRPr="00050E64">
              <w:rPr>
                <w:rFonts w:ascii="Arial" w:hAnsi="Arial"/>
                <w:b/>
                <w:bCs/>
                <w:color w:val="60319F"/>
              </w:rPr>
              <w:t xml:space="preserve"> </w:t>
            </w:r>
            <w:r w:rsidRPr="00050E64">
              <w:rPr>
                <w:rFonts w:ascii="Arial" w:hAnsi="Arial" w:cs="Arial"/>
                <w:b/>
                <w:bCs/>
                <w:color w:val="60319F"/>
                <w:rtl/>
              </w:rPr>
              <w:t>الأساس</w:t>
            </w:r>
            <w:r w:rsidRPr="00050E64">
              <w:rPr>
                <w:rFonts w:ascii="Arial" w:hAnsi="Arial"/>
                <w:b/>
                <w:bCs/>
                <w:color w:val="60319F"/>
              </w:rPr>
              <w:t xml:space="preserve"> 2007</w:t>
            </w:r>
          </w:p>
        </w:tc>
        <w:tc>
          <w:tcPr>
            <w:tcW w:w="243" w:type="dxa"/>
            <w:tcBorders>
              <w:top w:val="nil"/>
              <w:left w:val="nil"/>
              <w:bottom w:val="nil"/>
              <w:right w:val="nil"/>
            </w:tcBorders>
            <w:vAlign w:val="center"/>
          </w:tcPr>
          <w:p w:rsidR="00A02738" w:rsidRPr="00050E64" w:rsidRDefault="00A02738" w:rsidP="000B1874">
            <w:pPr>
              <w:bidi/>
              <w:jc w:val="center"/>
              <w:rPr>
                <w:rFonts w:ascii="Arial" w:hAnsi="Arial"/>
                <w:b/>
                <w:bCs/>
                <w:color w:val="60319F"/>
                <w:rtl/>
              </w:rPr>
            </w:pPr>
          </w:p>
        </w:tc>
        <w:tc>
          <w:tcPr>
            <w:tcW w:w="1343" w:type="dxa"/>
            <w:tcBorders>
              <w:top w:val="single" w:sz="18" w:space="0" w:color="F79646"/>
              <w:left w:val="nil"/>
              <w:bottom w:val="single" w:sz="18" w:space="0" w:color="F79646"/>
              <w:right w:val="nil"/>
            </w:tcBorders>
            <w:vAlign w:val="center"/>
          </w:tcPr>
          <w:p w:rsidR="00A02738" w:rsidRPr="00050E64" w:rsidRDefault="00A02738" w:rsidP="000B1874">
            <w:pPr>
              <w:bidi/>
              <w:jc w:val="center"/>
              <w:rPr>
                <w:rFonts w:ascii="Arial" w:hAnsi="Arial"/>
                <w:b/>
                <w:bCs/>
                <w:color w:val="60319F"/>
              </w:rPr>
            </w:pPr>
            <w:r w:rsidRPr="00050E64">
              <w:rPr>
                <w:rFonts w:ascii="Arial" w:hAnsi="Arial" w:cs="Arial"/>
                <w:b/>
                <w:bCs/>
                <w:color w:val="60319F"/>
                <w:rtl/>
              </w:rPr>
              <w:t>السنة</w:t>
            </w:r>
            <w:r w:rsidRPr="00050E64">
              <w:rPr>
                <w:rFonts w:ascii="Arial" w:hAnsi="Arial"/>
                <w:b/>
                <w:bCs/>
                <w:color w:val="60319F"/>
              </w:rPr>
              <w:t xml:space="preserve"> </w:t>
            </w:r>
            <w:r w:rsidRPr="00050E64">
              <w:rPr>
                <w:rFonts w:ascii="Arial" w:hAnsi="Arial" w:cs="Arial"/>
                <w:b/>
                <w:bCs/>
                <w:color w:val="60319F"/>
                <w:rtl/>
              </w:rPr>
              <w:t>الأساس</w:t>
            </w:r>
            <w:r w:rsidRPr="00050E64">
              <w:rPr>
                <w:rFonts w:ascii="Arial" w:hAnsi="Arial"/>
                <w:b/>
                <w:bCs/>
                <w:color w:val="60319F"/>
              </w:rPr>
              <w:t xml:space="preserve"> 2014</w:t>
            </w:r>
          </w:p>
        </w:tc>
        <w:tc>
          <w:tcPr>
            <w:tcW w:w="243" w:type="dxa"/>
            <w:tcBorders>
              <w:top w:val="nil"/>
              <w:left w:val="nil"/>
              <w:bottom w:val="nil"/>
              <w:right w:val="nil"/>
            </w:tcBorders>
            <w:vAlign w:val="center"/>
          </w:tcPr>
          <w:p w:rsidR="00A02738" w:rsidRPr="009615B2" w:rsidRDefault="00A02738" w:rsidP="000B1874">
            <w:pPr>
              <w:bidi/>
              <w:jc w:val="center"/>
              <w:rPr>
                <w:rFonts w:ascii="Arial" w:hAnsi="Arial"/>
                <w:b/>
                <w:bCs/>
                <w:rtl/>
              </w:rPr>
            </w:pPr>
          </w:p>
        </w:tc>
        <w:tc>
          <w:tcPr>
            <w:tcW w:w="1724" w:type="dxa"/>
            <w:tcBorders>
              <w:top w:val="nil"/>
              <w:left w:val="nil"/>
              <w:bottom w:val="single" w:sz="18" w:space="0" w:color="F79646"/>
              <w:right w:val="nil"/>
            </w:tcBorders>
            <w:vAlign w:val="center"/>
          </w:tcPr>
          <w:p w:rsidR="00A02738" w:rsidRPr="009615B2" w:rsidRDefault="00A02738" w:rsidP="000B1874">
            <w:pPr>
              <w:jc w:val="center"/>
              <w:rPr>
                <w:b/>
                <w:bCs/>
              </w:rPr>
            </w:pPr>
          </w:p>
        </w:tc>
      </w:tr>
      <w:tr w:rsidR="00A02738" w:rsidRPr="000F254E" w:rsidTr="008A1A7B">
        <w:trPr>
          <w:trHeight w:val="292"/>
          <w:jc w:val="center"/>
        </w:trPr>
        <w:tc>
          <w:tcPr>
            <w:tcW w:w="1284" w:type="dxa"/>
            <w:tcBorders>
              <w:top w:val="single" w:sz="18" w:space="0" w:color="F79646"/>
              <w:left w:val="nil"/>
              <w:bottom w:val="nil"/>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-0,2</w:t>
            </w:r>
          </w:p>
        </w:tc>
        <w:tc>
          <w:tcPr>
            <w:tcW w:w="2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p>
        </w:tc>
        <w:tc>
          <w:tcPr>
            <w:tcW w:w="1343" w:type="dxa"/>
            <w:tcBorders>
              <w:top w:val="single" w:sz="18" w:space="0" w:color="F79646"/>
              <w:left w:val="nil"/>
              <w:bottom w:val="nil"/>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4,5</w:t>
            </w:r>
          </w:p>
        </w:tc>
        <w:tc>
          <w:tcPr>
            <w:tcW w:w="2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p>
        </w:tc>
        <w:tc>
          <w:tcPr>
            <w:tcW w:w="1343" w:type="dxa"/>
            <w:tcBorders>
              <w:top w:val="single" w:sz="18" w:space="0" w:color="F79646"/>
              <w:left w:val="nil"/>
              <w:bottom w:val="nil"/>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4,3</w:t>
            </w:r>
          </w:p>
        </w:tc>
        <w:tc>
          <w:tcPr>
            <w:tcW w:w="243" w:type="dxa"/>
            <w:tcBorders>
              <w:top w:val="nil"/>
              <w:left w:val="nil"/>
              <w:bottom w:val="nil"/>
              <w:right w:val="nil"/>
            </w:tcBorders>
            <w:vAlign w:val="center"/>
          </w:tcPr>
          <w:p w:rsidR="00A02738" w:rsidRPr="008A1A7B" w:rsidRDefault="00A02738" w:rsidP="000B1874">
            <w:pPr>
              <w:bidi/>
              <w:jc w:val="center"/>
              <w:rPr>
                <w:rFonts w:ascii="Calibri" w:hAnsi="Calibri"/>
                <w:b/>
                <w:bCs/>
                <w:color w:val="800080"/>
                <w:sz w:val="20"/>
                <w:szCs w:val="20"/>
                <w:rtl/>
              </w:rPr>
            </w:pPr>
          </w:p>
        </w:tc>
        <w:tc>
          <w:tcPr>
            <w:tcW w:w="1724" w:type="dxa"/>
            <w:tcBorders>
              <w:top w:val="single" w:sz="18" w:space="0" w:color="F79646"/>
              <w:left w:val="nil"/>
              <w:bottom w:val="nil"/>
              <w:right w:val="nil"/>
            </w:tcBorders>
            <w:vAlign w:val="center"/>
          </w:tcPr>
          <w:p w:rsidR="00A02738" w:rsidRPr="008A1A7B" w:rsidRDefault="00A02738" w:rsidP="00CC50B3">
            <w:pPr>
              <w:rPr>
                <w:rFonts w:ascii="Calibri" w:hAnsi="Calibri"/>
                <w:sz w:val="20"/>
                <w:szCs w:val="20"/>
              </w:rPr>
            </w:pPr>
            <w:r w:rsidRPr="008A1A7B">
              <w:rPr>
                <w:rFonts w:ascii="Calibri" w:hAnsi="Calibri"/>
                <w:sz w:val="20"/>
                <w:szCs w:val="20"/>
              </w:rPr>
              <w:t>2015</w:t>
            </w:r>
          </w:p>
        </w:tc>
      </w:tr>
      <w:tr w:rsidR="00A02738" w:rsidRPr="009615B2" w:rsidTr="008A1A7B">
        <w:trPr>
          <w:trHeight w:val="292"/>
          <w:jc w:val="center"/>
        </w:trPr>
        <w:tc>
          <w:tcPr>
            <w:tcW w:w="1284" w:type="dxa"/>
            <w:tcBorders>
              <w:top w:val="nil"/>
              <w:left w:val="nil"/>
              <w:bottom w:val="nil"/>
              <w:right w:val="nil"/>
            </w:tcBorders>
            <w:vAlign w:val="center"/>
          </w:tcPr>
          <w:p w:rsidR="00A02738" w:rsidRPr="00CC50B3" w:rsidRDefault="00A02738" w:rsidP="00CC50B3">
            <w:pPr>
              <w:jc w:val="center"/>
              <w:rPr>
                <w:rFonts w:ascii="Calibri" w:hAnsi="Calibri"/>
                <w:b/>
                <w:sz w:val="20"/>
                <w:szCs w:val="20"/>
              </w:rPr>
            </w:pPr>
            <w:r w:rsidRPr="008A1A7B">
              <w:rPr>
                <w:rFonts w:ascii="Calibri" w:hAnsi="Calibri"/>
                <w:bCs/>
                <w:sz w:val="20"/>
                <w:szCs w:val="20"/>
              </w:rPr>
              <w:t>-0,</w:t>
            </w:r>
            <w:r w:rsidR="00CC50B3" w:rsidRPr="00CC50B3">
              <w:rPr>
                <w:rFonts w:ascii="Calibri" w:hAnsi="Calibri" w:hint="cs"/>
                <w:b/>
                <w:sz w:val="20"/>
                <w:szCs w:val="20"/>
                <w:rtl/>
              </w:rPr>
              <w:t>6</w:t>
            </w:r>
          </w:p>
        </w:tc>
        <w:tc>
          <w:tcPr>
            <w:tcW w:w="2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p>
        </w:tc>
        <w:tc>
          <w:tcPr>
            <w:tcW w:w="13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1,1</w:t>
            </w:r>
          </w:p>
        </w:tc>
        <w:tc>
          <w:tcPr>
            <w:tcW w:w="2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p>
        </w:tc>
        <w:tc>
          <w:tcPr>
            <w:tcW w:w="13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0,5</w:t>
            </w:r>
          </w:p>
        </w:tc>
        <w:tc>
          <w:tcPr>
            <w:tcW w:w="243" w:type="dxa"/>
            <w:tcBorders>
              <w:top w:val="nil"/>
              <w:left w:val="nil"/>
              <w:bottom w:val="nil"/>
              <w:right w:val="nil"/>
            </w:tcBorders>
            <w:vAlign w:val="center"/>
          </w:tcPr>
          <w:p w:rsidR="00A02738" w:rsidRPr="008A1A7B" w:rsidRDefault="00A02738" w:rsidP="000B1874">
            <w:pPr>
              <w:bidi/>
              <w:jc w:val="center"/>
              <w:rPr>
                <w:rFonts w:ascii="Calibri" w:hAnsi="Calibri"/>
                <w:color w:val="000000"/>
                <w:sz w:val="20"/>
                <w:szCs w:val="20"/>
                <w:rtl/>
              </w:rPr>
            </w:pPr>
          </w:p>
        </w:tc>
        <w:tc>
          <w:tcPr>
            <w:tcW w:w="1724" w:type="dxa"/>
            <w:tcBorders>
              <w:top w:val="nil"/>
              <w:left w:val="nil"/>
              <w:bottom w:val="nil"/>
              <w:right w:val="nil"/>
            </w:tcBorders>
            <w:vAlign w:val="center"/>
          </w:tcPr>
          <w:p w:rsidR="00A02738" w:rsidRPr="008A1A7B" w:rsidRDefault="00A02738" w:rsidP="00CC50B3">
            <w:pPr>
              <w:rPr>
                <w:rFonts w:ascii="Calibri" w:hAnsi="Calibri"/>
                <w:sz w:val="20"/>
                <w:szCs w:val="20"/>
              </w:rPr>
            </w:pPr>
            <w:r w:rsidRPr="008A1A7B">
              <w:rPr>
                <w:rFonts w:ascii="Calibri" w:hAnsi="Calibri"/>
                <w:sz w:val="20"/>
                <w:szCs w:val="20"/>
              </w:rPr>
              <w:t>2016</w:t>
            </w:r>
          </w:p>
        </w:tc>
      </w:tr>
      <w:tr w:rsidR="00A02738" w:rsidRPr="00E53CEF" w:rsidTr="008A1A7B">
        <w:trPr>
          <w:trHeight w:val="292"/>
          <w:jc w:val="center"/>
        </w:trPr>
        <w:tc>
          <w:tcPr>
            <w:tcW w:w="1284" w:type="dxa"/>
            <w:tcBorders>
              <w:top w:val="nil"/>
              <w:left w:val="nil"/>
              <w:bottom w:val="nil"/>
              <w:right w:val="nil"/>
            </w:tcBorders>
            <w:vAlign w:val="center"/>
          </w:tcPr>
          <w:p w:rsidR="00A02738" w:rsidRPr="008A1A7B" w:rsidRDefault="00A02738" w:rsidP="00965FEA">
            <w:pPr>
              <w:jc w:val="center"/>
              <w:rPr>
                <w:rFonts w:ascii="Calibri" w:hAnsi="Calibri"/>
                <w:bCs/>
                <w:sz w:val="20"/>
                <w:szCs w:val="20"/>
              </w:rPr>
            </w:pPr>
            <w:r w:rsidRPr="008A1A7B">
              <w:rPr>
                <w:rFonts w:ascii="Calibri" w:hAnsi="Calibri"/>
                <w:bCs/>
                <w:sz w:val="20"/>
                <w:szCs w:val="20"/>
              </w:rPr>
              <w:t>0,</w:t>
            </w:r>
            <w:r w:rsidR="00965FEA">
              <w:rPr>
                <w:rFonts w:ascii="Calibri" w:hAnsi="Calibri"/>
                <w:bCs/>
                <w:sz w:val="20"/>
                <w:szCs w:val="20"/>
              </w:rPr>
              <w:t>9</w:t>
            </w:r>
          </w:p>
        </w:tc>
        <w:tc>
          <w:tcPr>
            <w:tcW w:w="2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p>
        </w:tc>
        <w:tc>
          <w:tcPr>
            <w:tcW w:w="13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4,2</w:t>
            </w:r>
          </w:p>
        </w:tc>
        <w:tc>
          <w:tcPr>
            <w:tcW w:w="2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p>
        </w:tc>
        <w:tc>
          <w:tcPr>
            <w:tcW w:w="13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5,1</w:t>
            </w:r>
          </w:p>
        </w:tc>
        <w:tc>
          <w:tcPr>
            <w:tcW w:w="243" w:type="dxa"/>
            <w:tcBorders>
              <w:top w:val="nil"/>
              <w:left w:val="nil"/>
              <w:bottom w:val="nil"/>
              <w:right w:val="nil"/>
            </w:tcBorders>
            <w:vAlign w:val="center"/>
          </w:tcPr>
          <w:p w:rsidR="00A02738" w:rsidRPr="008A1A7B" w:rsidRDefault="00A02738" w:rsidP="000B1874">
            <w:pPr>
              <w:bidi/>
              <w:jc w:val="center"/>
              <w:rPr>
                <w:rFonts w:ascii="Calibri" w:hAnsi="Calibri"/>
                <w:color w:val="000000"/>
                <w:sz w:val="20"/>
                <w:szCs w:val="20"/>
              </w:rPr>
            </w:pPr>
          </w:p>
        </w:tc>
        <w:tc>
          <w:tcPr>
            <w:tcW w:w="1724" w:type="dxa"/>
            <w:tcBorders>
              <w:top w:val="nil"/>
              <w:left w:val="nil"/>
              <w:bottom w:val="nil"/>
              <w:right w:val="nil"/>
            </w:tcBorders>
            <w:vAlign w:val="center"/>
          </w:tcPr>
          <w:p w:rsidR="00A02738" w:rsidRPr="008A1A7B" w:rsidRDefault="00A02738" w:rsidP="00CC50B3">
            <w:pPr>
              <w:bidi/>
              <w:jc w:val="right"/>
              <w:rPr>
                <w:rFonts w:ascii="Calibri" w:hAnsi="Calibri"/>
                <w:sz w:val="20"/>
                <w:szCs w:val="20"/>
              </w:rPr>
            </w:pPr>
            <w:r w:rsidRPr="008A1A7B">
              <w:rPr>
                <w:rFonts w:ascii="Calibri" w:hAnsi="Calibri"/>
                <w:sz w:val="20"/>
                <w:szCs w:val="20"/>
                <w:rtl/>
              </w:rPr>
              <w:t>2017</w:t>
            </w:r>
          </w:p>
        </w:tc>
      </w:tr>
      <w:tr w:rsidR="00A02738" w:rsidRPr="00E53CEF" w:rsidTr="008A1A7B">
        <w:trPr>
          <w:trHeight w:val="292"/>
          <w:jc w:val="center"/>
        </w:trPr>
        <w:tc>
          <w:tcPr>
            <w:tcW w:w="1284" w:type="dxa"/>
            <w:tcBorders>
              <w:top w:val="nil"/>
              <w:left w:val="nil"/>
              <w:bottom w:val="nil"/>
              <w:right w:val="nil"/>
            </w:tcBorders>
            <w:vAlign w:val="center"/>
          </w:tcPr>
          <w:p w:rsidR="00A02738" w:rsidRPr="008A1A7B" w:rsidRDefault="00965FEA" w:rsidP="000B1874">
            <w:pPr>
              <w:jc w:val="center"/>
              <w:rPr>
                <w:rFonts w:ascii="Calibri" w:hAnsi="Calibri"/>
                <w:bCs/>
                <w:sz w:val="20"/>
                <w:szCs w:val="20"/>
              </w:rPr>
            </w:pPr>
            <w:r>
              <w:rPr>
                <w:rFonts w:ascii="Calibri" w:hAnsi="Calibri"/>
                <w:bCs/>
                <w:sz w:val="20"/>
                <w:szCs w:val="20"/>
              </w:rPr>
              <w:t>0</w:t>
            </w:r>
          </w:p>
        </w:tc>
        <w:tc>
          <w:tcPr>
            <w:tcW w:w="2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p>
        </w:tc>
        <w:tc>
          <w:tcPr>
            <w:tcW w:w="13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3,1</w:t>
            </w:r>
          </w:p>
        </w:tc>
        <w:tc>
          <w:tcPr>
            <w:tcW w:w="2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p>
        </w:tc>
        <w:tc>
          <w:tcPr>
            <w:tcW w:w="13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3,1</w:t>
            </w:r>
          </w:p>
        </w:tc>
        <w:tc>
          <w:tcPr>
            <w:tcW w:w="243" w:type="dxa"/>
            <w:tcBorders>
              <w:top w:val="nil"/>
              <w:left w:val="nil"/>
              <w:bottom w:val="nil"/>
              <w:right w:val="nil"/>
            </w:tcBorders>
            <w:vAlign w:val="center"/>
          </w:tcPr>
          <w:p w:rsidR="00A02738" w:rsidRPr="008A1A7B" w:rsidRDefault="00A02738" w:rsidP="000B1874">
            <w:pPr>
              <w:bidi/>
              <w:jc w:val="center"/>
              <w:rPr>
                <w:rFonts w:ascii="Calibri" w:hAnsi="Calibri"/>
                <w:color w:val="000000"/>
                <w:sz w:val="20"/>
                <w:szCs w:val="20"/>
              </w:rPr>
            </w:pPr>
          </w:p>
        </w:tc>
        <w:tc>
          <w:tcPr>
            <w:tcW w:w="1724" w:type="dxa"/>
            <w:tcBorders>
              <w:top w:val="nil"/>
              <w:left w:val="nil"/>
              <w:bottom w:val="nil"/>
              <w:right w:val="nil"/>
            </w:tcBorders>
            <w:vAlign w:val="center"/>
          </w:tcPr>
          <w:p w:rsidR="00A02738" w:rsidRPr="008A1A7B" w:rsidRDefault="00A02738" w:rsidP="00CC50B3">
            <w:pPr>
              <w:bidi/>
              <w:jc w:val="right"/>
              <w:rPr>
                <w:rFonts w:ascii="Calibri" w:hAnsi="Calibri"/>
                <w:sz w:val="20"/>
                <w:szCs w:val="20"/>
                <w:rtl/>
              </w:rPr>
            </w:pPr>
            <w:r w:rsidRPr="008A1A7B">
              <w:rPr>
                <w:rFonts w:ascii="Calibri" w:hAnsi="Calibri"/>
                <w:sz w:val="20"/>
                <w:szCs w:val="20"/>
                <w:rtl/>
              </w:rPr>
              <w:t>2018</w:t>
            </w:r>
          </w:p>
        </w:tc>
      </w:tr>
      <w:tr w:rsidR="00A02738" w:rsidRPr="00E8533F" w:rsidTr="008A1A7B">
        <w:trPr>
          <w:trHeight w:val="292"/>
          <w:jc w:val="center"/>
        </w:trPr>
        <w:tc>
          <w:tcPr>
            <w:tcW w:w="1284" w:type="dxa"/>
            <w:tcBorders>
              <w:top w:val="nil"/>
              <w:left w:val="nil"/>
              <w:bottom w:val="single" w:sz="18" w:space="0" w:color="F79646"/>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0,3</w:t>
            </w:r>
          </w:p>
        </w:tc>
        <w:tc>
          <w:tcPr>
            <w:tcW w:w="2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p>
        </w:tc>
        <w:tc>
          <w:tcPr>
            <w:tcW w:w="1343" w:type="dxa"/>
            <w:tcBorders>
              <w:top w:val="nil"/>
              <w:left w:val="nil"/>
              <w:bottom w:val="single" w:sz="18" w:space="0" w:color="F79646"/>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2,6</w:t>
            </w:r>
          </w:p>
        </w:tc>
        <w:tc>
          <w:tcPr>
            <w:tcW w:w="243" w:type="dxa"/>
            <w:tcBorders>
              <w:top w:val="nil"/>
              <w:left w:val="nil"/>
              <w:bottom w:val="nil"/>
              <w:right w:val="nil"/>
            </w:tcBorders>
            <w:vAlign w:val="center"/>
          </w:tcPr>
          <w:p w:rsidR="00A02738" w:rsidRPr="008A1A7B" w:rsidRDefault="00A02738" w:rsidP="000B1874">
            <w:pPr>
              <w:jc w:val="center"/>
              <w:rPr>
                <w:rFonts w:ascii="Calibri" w:hAnsi="Calibri"/>
                <w:bCs/>
                <w:sz w:val="20"/>
                <w:szCs w:val="20"/>
              </w:rPr>
            </w:pPr>
          </w:p>
        </w:tc>
        <w:tc>
          <w:tcPr>
            <w:tcW w:w="1343" w:type="dxa"/>
            <w:tcBorders>
              <w:top w:val="nil"/>
              <w:left w:val="nil"/>
              <w:bottom w:val="single" w:sz="18" w:space="0" w:color="F79646"/>
              <w:right w:val="nil"/>
            </w:tcBorders>
            <w:vAlign w:val="center"/>
          </w:tcPr>
          <w:p w:rsidR="00A02738" w:rsidRPr="008A1A7B" w:rsidRDefault="00A02738" w:rsidP="000B1874">
            <w:pPr>
              <w:jc w:val="center"/>
              <w:rPr>
                <w:rFonts w:ascii="Calibri" w:hAnsi="Calibri"/>
                <w:bCs/>
                <w:sz w:val="20"/>
                <w:szCs w:val="20"/>
              </w:rPr>
            </w:pPr>
            <w:r w:rsidRPr="008A1A7B">
              <w:rPr>
                <w:rFonts w:ascii="Calibri" w:hAnsi="Calibri"/>
                <w:bCs/>
                <w:sz w:val="20"/>
                <w:szCs w:val="20"/>
              </w:rPr>
              <w:t>2,9</w:t>
            </w:r>
          </w:p>
        </w:tc>
        <w:tc>
          <w:tcPr>
            <w:tcW w:w="243" w:type="dxa"/>
            <w:tcBorders>
              <w:top w:val="nil"/>
              <w:left w:val="nil"/>
              <w:bottom w:val="nil"/>
              <w:right w:val="nil"/>
            </w:tcBorders>
            <w:vAlign w:val="center"/>
          </w:tcPr>
          <w:p w:rsidR="00A02738" w:rsidRPr="008A1A7B" w:rsidRDefault="00A02738" w:rsidP="000B1874">
            <w:pPr>
              <w:bidi/>
              <w:jc w:val="center"/>
              <w:rPr>
                <w:rFonts w:ascii="Calibri" w:hAnsi="Calibri"/>
                <w:color w:val="000000"/>
                <w:sz w:val="20"/>
                <w:szCs w:val="20"/>
              </w:rPr>
            </w:pPr>
          </w:p>
        </w:tc>
        <w:tc>
          <w:tcPr>
            <w:tcW w:w="1724" w:type="dxa"/>
            <w:tcBorders>
              <w:top w:val="nil"/>
              <w:left w:val="nil"/>
              <w:bottom w:val="single" w:sz="18" w:space="0" w:color="F79646"/>
              <w:right w:val="nil"/>
            </w:tcBorders>
            <w:vAlign w:val="center"/>
          </w:tcPr>
          <w:p w:rsidR="00A02738" w:rsidRPr="008A1A7B" w:rsidRDefault="00A02738" w:rsidP="00CC50B3">
            <w:pPr>
              <w:tabs>
                <w:tab w:val="right" w:pos="313"/>
              </w:tabs>
              <w:bidi/>
              <w:ind w:left="66"/>
              <w:jc w:val="right"/>
              <w:rPr>
                <w:rFonts w:ascii="Calibri" w:hAnsi="Calibri"/>
                <w:color w:val="000000"/>
                <w:sz w:val="20"/>
                <w:szCs w:val="20"/>
              </w:rPr>
            </w:pPr>
            <w:r w:rsidRPr="008A1A7B">
              <w:rPr>
                <w:rFonts w:ascii="Calibri" w:hAnsi="Calibri"/>
                <w:color w:val="000000"/>
                <w:sz w:val="20"/>
                <w:szCs w:val="20"/>
                <w:rtl/>
              </w:rPr>
              <w:t>2019</w:t>
            </w:r>
          </w:p>
        </w:tc>
      </w:tr>
    </w:tbl>
    <w:p w:rsidR="00A02738" w:rsidRDefault="00A02738" w:rsidP="00A02738">
      <w:pPr>
        <w:pStyle w:val="Paragraphedeliste"/>
        <w:bidi/>
        <w:rPr>
          <w:rFonts w:ascii="Arial" w:hAnsi="Arial"/>
          <w:sz w:val="28"/>
          <w:szCs w:val="28"/>
          <w:rtl/>
        </w:rPr>
      </w:pPr>
    </w:p>
    <w:p w:rsidR="00A02738" w:rsidRDefault="00A02738" w:rsidP="00A02738">
      <w:pPr>
        <w:pStyle w:val="Paragraphedeliste"/>
        <w:bidi/>
        <w:ind w:left="141"/>
        <w:jc w:val="both"/>
        <w:rPr>
          <w:rFonts w:ascii="Calibri" w:hAnsi="Calibri"/>
          <w:sz w:val="28"/>
          <w:szCs w:val="28"/>
          <w:lang w:bidi="ar-MA"/>
        </w:rPr>
      </w:pPr>
      <w:r w:rsidRPr="00CC50B3">
        <w:rPr>
          <w:rFonts w:ascii="Calibri" w:hAnsi="Calibri"/>
          <w:sz w:val="28"/>
          <w:szCs w:val="28"/>
          <w:rtl/>
        </w:rPr>
        <w:t>إجمالا، سجل نمو استعمالات الناتج الداخلي الإجمالي بين سنتي 2014 و 2019 مراجعات متباينة: حيث تمت مراجعة نمو نفقات الاستهلاك النهائي للأسر بنسبة 0.5-</w:t>
      </w:r>
      <w:r w:rsidRPr="00CC50B3">
        <w:rPr>
          <w:rFonts w:ascii="Calibri" w:hAnsi="Calibri"/>
          <w:sz w:val="28"/>
          <w:szCs w:val="28"/>
        </w:rPr>
        <w:t>%</w:t>
      </w:r>
      <w:r w:rsidRPr="00CC50B3">
        <w:rPr>
          <w:rFonts w:ascii="Calibri" w:hAnsi="Calibri"/>
          <w:sz w:val="28"/>
          <w:szCs w:val="28"/>
          <w:rtl/>
          <w:lang w:bidi="ar-MA"/>
        </w:rPr>
        <w:t xml:space="preserve"> </w:t>
      </w:r>
      <w:r w:rsidRPr="00CC50B3">
        <w:rPr>
          <w:rFonts w:ascii="Calibri" w:hAnsi="Calibri"/>
          <w:sz w:val="28"/>
          <w:szCs w:val="28"/>
          <w:rtl/>
        </w:rPr>
        <w:t>، وتم تعديل تلك المتعلقة بالإدارات العمومية نحو الارتفاع بمقدار 0.4</w:t>
      </w:r>
      <w:r w:rsidRPr="00CC50B3">
        <w:rPr>
          <w:rFonts w:ascii="Calibri" w:hAnsi="Calibri"/>
          <w:sz w:val="28"/>
          <w:szCs w:val="28"/>
        </w:rPr>
        <w:t>%</w:t>
      </w:r>
      <w:r w:rsidRPr="00CC50B3">
        <w:rPr>
          <w:rFonts w:ascii="Calibri" w:hAnsi="Calibri"/>
          <w:sz w:val="28"/>
          <w:szCs w:val="28"/>
          <w:rtl/>
          <w:lang w:bidi="ar-MA"/>
        </w:rPr>
        <w:t xml:space="preserve"> .</w:t>
      </w:r>
    </w:p>
    <w:p w:rsidR="00A02738" w:rsidRPr="00CC50B3" w:rsidRDefault="00A02738" w:rsidP="00A02738">
      <w:pPr>
        <w:pStyle w:val="Paragraphedeliste"/>
        <w:bidi/>
        <w:ind w:left="141"/>
        <w:jc w:val="both"/>
        <w:rPr>
          <w:rFonts w:ascii="Calibri" w:hAnsi="Calibri"/>
          <w:sz w:val="28"/>
          <w:szCs w:val="28"/>
          <w:rtl/>
        </w:rPr>
      </w:pPr>
      <w:r w:rsidRPr="00CC50B3">
        <w:rPr>
          <w:rFonts w:ascii="Calibri" w:hAnsi="Calibri"/>
          <w:sz w:val="28"/>
          <w:szCs w:val="28"/>
          <w:rtl/>
        </w:rPr>
        <w:t>بالإضافة إلى ذلك، تم إعادة تقييم نمو إجمالي تكوين رأس المال الثابت بنسبة 2.1</w:t>
      </w:r>
      <w:r w:rsidRPr="00CC50B3">
        <w:rPr>
          <w:rFonts w:ascii="Calibri" w:hAnsi="Calibri"/>
          <w:sz w:val="28"/>
          <w:szCs w:val="28"/>
        </w:rPr>
        <w:t>%</w:t>
      </w:r>
      <w:r w:rsidRPr="00CC50B3">
        <w:rPr>
          <w:rFonts w:ascii="Calibri" w:hAnsi="Calibri"/>
          <w:sz w:val="28"/>
          <w:szCs w:val="28"/>
          <w:rtl/>
          <w:lang w:bidi="ar-MA"/>
        </w:rPr>
        <w:t xml:space="preserve"> </w:t>
      </w:r>
      <w:r w:rsidRPr="00CC50B3">
        <w:rPr>
          <w:rFonts w:ascii="Calibri" w:hAnsi="Calibri"/>
          <w:sz w:val="28"/>
          <w:szCs w:val="28"/>
          <w:rtl/>
        </w:rPr>
        <w:t>كمتوسط ​​سنوي</w:t>
      </w:r>
      <w:r w:rsidRPr="00CC50B3">
        <w:rPr>
          <w:rFonts w:ascii="Calibri" w:hAnsi="Calibri"/>
          <w:sz w:val="28"/>
          <w:szCs w:val="28"/>
        </w:rPr>
        <w:t>.</w:t>
      </w:r>
    </w:p>
    <w:p w:rsidR="00060BF7" w:rsidRDefault="00060BF7" w:rsidP="00060BF7">
      <w:pPr>
        <w:pStyle w:val="Paragraphedeliste"/>
        <w:bidi/>
        <w:ind w:left="141"/>
        <w:jc w:val="both"/>
        <w:rPr>
          <w:rFonts w:ascii="Arial" w:hAnsi="Arial"/>
          <w:sz w:val="28"/>
          <w:szCs w:val="28"/>
          <w:rtl/>
        </w:rPr>
      </w:pPr>
    </w:p>
    <w:p w:rsidR="00A02738" w:rsidRPr="00CC50B3" w:rsidRDefault="00A02738" w:rsidP="00965FEA">
      <w:pPr>
        <w:pStyle w:val="Paragraphedeliste"/>
        <w:bidi/>
        <w:ind w:left="141"/>
        <w:jc w:val="both"/>
        <w:rPr>
          <w:rFonts w:ascii="Calibri" w:hAnsi="Calibri"/>
          <w:sz w:val="28"/>
          <w:szCs w:val="28"/>
          <w:rtl/>
        </w:rPr>
      </w:pPr>
      <w:r w:rsidRPr="00CC50B3">
        <w:rPr>
          <w:rFonts w:ascii="Calibri" w:hAnsi="Calibri"/>
          <w:sz w:val="28"/>
          <w:szCs w:val="28"/>
          <w:rtl/>
        </w:rPr>
        <w:lastRenderedPageBreak/>
        <w:t>على مستوى المبادلات الخارجية، تم إعادة تقييم نمو</w:t>
      </w:r>
      <w:r w:rsidR="00965FEA">
        <w:rPr>
          <w:rFonts w:ascii="Calibri" w:hAnsi="Calibri" w:hint="cs"/>
          <w:sz w:val="28"/>
          <w:szCs w:val="28"/>
          <w:rtl/>
          <w:lang w:bidi="ar-MA"/>
        </w:rPr>
        <w:t xml:space="preserve"> كل من</w:t>
      </w:r>
      <w:r w:rsidRPr="00CC50B3">
        <w:rPr>
          <w:rFonts w:ascii="Calibri" w:hAnsi="Calibri"/>
          <w:sz w:val="28"/>
          <w:szCs w:val="28"/>
          <w:rtl/>
        </w:rPr>
        <w:t xml:space="preserve"> الواردات</w:t>
      </w:r>
      <w:r w:rsidR="00060BF7" w:rsidRPr="00CC50B3">
        <w:rPr>
          <w:rFonts w:ascii="Calibri" w:hAnsi="Calibri"/>
          <w:sz w:val="28"/>
          <w:szCs w:val="28"/>
          <w:rtl/>
        </w:rPr>
        <w:t xml:space="preserve"> والصادرات</w:t>
      </w:r>
      <w:r w:rsidRPr="00CC50B3">
        <w:rPr>
          <w:rFonts w:ascii="Calibri" w:hAnsi="Calibri"/>
          <w:sz w:val="28"/>
          <w:szCs w:val="28"/>
          <w:rtl/>
        </w:rPr>
        <w:t xml:space="preserve"> بن</w:t>
      </w:r>
      <w:r w:rsidR="00965FEA">
        <w:rPr>
          <w:rFonts w:ascii="Calibri" w:hAnsi="Calibri" w:hint="cs"/>
          <w:sz w:val="28"/>
          <w:szCs w:val="28"/>
          <w:rtl/>
        </w:rPr>
        <w:t>فس المعدل</w:t>
      </w:r>
      <w:r w:rsidRPr="00CC50B3">
        <w:rPr>
          <w:rFonts w:ascii="Calibri" w:hAnsi="Calibri"/>
          <w:sz w:val="28"/>
          <w:szCs w:val="28"/>
          <w:rtl/>
        </w:rPr>
        <w:t xml:space="preserve"> </w:t>
      </w:r>
      <w:r w:rsidR="00965FEA">
        <w:rPr>
          <w:rFonts w:ascii="Calibri" w:hAnsi="Calibri"/>
          <w:sz w:val="28"/>
          <w:szCs w:val="28"/>
        </w:rPr>
        <w:t>)</w:t>
      </w:r>
      <w:r w:rsidRPr="00CC50B3">
        <w:rPr>
          <w:rFonts w:ascii="Calibri" w:hAnsi="Calibri"/>
          <w:sz w:val="28"/>
          <w:szCs w:val="28"/>
          <w:rtl/>
        </w:rPr>
        <w:t>0.8-</w:t>
      </w:r>
      <w:r w:rsidR="00965FEA">
        <w:rPr>
          <w:rFonts w:ascii="Calibri" w:hAnsi="Calibri"/>
          <w:sz w:val="28"/>
          <w:szCs w:val="28"/>
        </w:rPr>
        <w:t xml:space="preserve"> </w:t>
      </w:r>
      <w:r w:rsidRPr="00CC50B3">
        <w:rPr>
          <w:rFonts w:ascii="Calibri" w:hAnsi="Calibri"/>
          <w:sz w:val="28"/>
          <w:szCs w:val="28"/>
        </w:rPr>
        <w:t>%</w:t>
      </w:r>
      <w:r w:rsidR="00965FEA">
        <w:rPr>
          <w:rFonts w:ascii="Calibri" w:hAnsi="Calibri"/>
          <w:sz w:val="28"/>
          <w:szCs w:val="28"/>
        </w:rPr>
        <w:t>(</w:t>
      </w:r>
      <w:r w:rsidRPr="00CC50B3">
        <w:rPr>
          <w:rFonts w:ascii="Calibri" w:hAnsi="Calibri"/>
          <w:sz w:val="28"/>
          <w:szCs w:val="28"/>
          <w:rtl/>
          <w:lang w:bidi="ar-MA"/>
        </w:rPr>
        <w:t xml:space="preserve"> </w:t>
      </w:r>
      <w:r w:rsidRPr="00CC50B3">
        <w:rPr>
          <w:rFonts w:ascii="Calibri" w:hAnsi="Calibri"/>
          <w:sz w:val="28"/>
          <w:szCs w:val="28"/>
          <w:rtl/>
        </w:rPr>
        <w:t>كمتوسط ​​سنوي، وهو ما لم يؤثر على نمو العجز التجاري بين الأساسين</w:t>
      </w:r>
      <w:r w:rsidRPr="00CC50B3">
        <w:rPr>
          <w:rFonts w:ascii="Calibri" w:hAnsi="Calibri"/>
          <w:sz w:val="28"/>
          <w:szCs w:val="28"/>
        </w:rPr>
        <w:t>.</w:t>
      </w:r>
    </w:p>
    <w:p w:rsidR="00A02738" w:rsidRPr="00CC50B3" w:rsidRDefault="00A02738" w:rsidP="00A02738">
      <w:pPr>
        <w:pStyle w:val="Paragraphedeliste"/>
        <w:bidi/>
        <w:jc w:val="both"/>
        <w:rPr>
          <w:rFonts w:ascii="Calibri" w:hAnsi="Calibri"/>
          <w:sz w:val="28"/>
          <w:szCs w:val="28"/>
          <w:rtl/>
        </w:rPr>
      </w:pPr>
    </w:p>
    <w:p w:rsidR="00A02738" w:rsidRPr="00050E64" w:rsidRDefault="00A02738" w:rsidP="00A02738">
      <w:pPr>
        <w:pStyle w:val="Paragraphedeliste"/>
        <w:bidi/>
        <w:spacing w:line="360" w:lineRule="auto"/>
        <w:ind w:left="141"/>
        <w:rPr>
          <w:rFonts w:ascii="Arial" w:hAnsi="Arial"/>
          <w:color w:val="A11F32"/>
          <w:sz w:val="28"/>
          <w:szCs w:val="28"/>
          <w:rtl/>
        </w:rPr>
      </w:pPr>
      <w:r w:rsidRPr="00050E64">
        <w:rPr>
          <w:rFonts w:ascii="Arial" w:hAnsi="Arial" w:hint="cs"/>
          <w:b/>
          <w:bCs/>
          <w:color w:val="A11F32"/>
          <w:sz w:val="28"/>
          <w:szCs w:val="28"/>
          <w:rtl/>
          <w:lang w:bidi="ar-MA"/>
        </w:rPr>
        <w:t>نسب الاقتصاد الكلي</w:t>
      </w:r>
    </w:p>
    <w:p w:rsidR="00A02738" w:rsidRPr="00CC50B3" w:rsidRDefault="00A02738" w:rsidP="00A02738">
      <w:pPr>
        <w:pStyle w:val="Paragraphedeliste"/>
        <w:bidi/>
        <w:ind w:left="141"/>
        <w:jc w:val="both"/>
        <w:rPr>
          <w:rFonts w:ascii="Calibri" w:hAnsi="Calibri"/>
          <w:sz w:val="28"/>
          <w:szCs w:val="28"/>
          <w:rtl/>
        </w:rPr>
      </w:pPr>
      <w:r w:rsidRPr="00CC50B3">
        <w:rPr>
          <w:rFonts w:ascii="Calibri" w:hAnsi="Calibri"/>
          <w:sz w:val="28"/>
          <w:szCs w:val="28"/>
          <w:rtl/>
        </w:rPr>
        <w:t>تمت إعادة تقييم الناتج الداخلي الإجمالي بالقيمة بنسبة 8.1</w:t>
      </w:r>
      <w:r w:rsidRPr="00CC50B3">
        <w:rPr>
          <w:rFonts w:ascii="Calibri" w:hAnsi="Calibri"/>
          <w:sz w:val="28"/>
          <w:szCs w:val="28"/>
        </w:rPr>
        <w:t>%</w:t>
      </w:r>
      <w:r w:rsidRPr="00CC50B3">
        <w:rPr>
          <w:rFonts w:ascii="Calibri" w:hAnsi="Calibri"/>
          <w:sz w:val="28"/>
          <w:szCs w:val="28"/>
          <w:rtl/>
          <w:lang w:bidi="ar-MA"/>
        </w:rPr>
        <w:t xml:space="preserve"> </w:t>
      </w:r>
      <w:r w:rsidRPr="00CC50B3">
        <w:rPr>
          <w:rFonts w:ascii="Calibri" w:hAnsi="Calibri"/>
          <w:sz w:val="28"/>
          <w:szCs w:val="28"/>
          <w:rtl/>
        </w:rPr>
        <w:t>خلال الفترة 2014-2019 بأكملها</w:t>
      </w:r>
      <w:r w:rsidRPr="00CC50B3">
        <w:rPr>
          <w:rFonts w:ascii="Calibri" w:hAnsi="Calibri"/>
          <w:sz w:val="28"/>
          <w:szCs w:val="28"/>
        </w:rPr>
        <w:t>.</w:t>
      </w:r>
      <w:r w:rsidRPr="00CC50B3">
        <w:rPr>
          <w:rFonts w:ascii="Calibri" w:hAnsi="Calibri"/>
          <w:sz w:val="28"/>
          <w:szCs w:val="28"/>
          <w:rtl/>
        </w:rPr>
        <w:t xml:space="preserve"> </w:t>
      </w:r>
      <w:r w:rsidRPr="00CC50B3">
        <w:rPr>
          <w:rFonts w:ascii="Calibri" w:hAnsi="Calibri"/>
          <w:sz w:val="28"/>
          <w:szCs w:val="28"/>
          <w:rtl/>
          <w:lang w:bidi="ar-MA"/>
        </w:rPr>
        <w:t xml:space="preserve">ونسبة إلى السكان </w:t>
      </w:r>
      <w:r w:rsidRPr="00CC50B3">
        <w:rPr>
          <w:rFonts w:ascii="Calibri" w:hAnsi="Calibri"/>
          <w:sz w:val="28"/>
          <w:szCs w:val="28"/>
          <w:rtl/>
        </w:rPr>
        <w:t>، انتقل الناتج الداخلي الإجمالي حسب الفرد من 29656 درهمًا سنة 2014 إلى 34840 درهمًا سنة 2019. وبلغ في المتوسط 32453 درهمًا سنويًا، أي بزيادة قدرها 2436 درهمًا للفرد مقارنة بأساس 2007</w:t>
      </w:r>
      <w:r w:rsidRPr="00CC50B3">
        <w:rPr>
          <w:rFonts w:ascii="Calibri" w:hAnsi="Calibri"/>
          <w:sz w:val="28"/>
          <w:szCs w:val="28"/>
        </w:rPr>
        <w:t>.</w:t>
      </w:r>
    </w:p>
    <w:p w:rsidR="00A02738" w:rsidRPr="00CC50B3" w:rsidRDefault="00A02738" w:rsidP="00330B8E">
      <w:pPr>
        <w:pStyle w:val="Paragraphedeliste"/>
        <w:bidi/>
        <w:ind w:left="141"/>
        <w:jc w:val="both"/>
        <w:rPr>
          <w:rFonts w:ascii="Calibri" w:hAnsi="Calibri"/>
          <w:sz w:val="28"/>
          <w:szCs w:val="28"/>
          <w:rtl/>
          <w:lang w:bidi="ar-MA"/>
        </w:rPr>
      </w:pPr>
      <w:r w:rsidRPr="00CC50B3">
        <w:rPr>
          <w:rFonts w:ascii="Calibri" w:hAnsi="Calibri"/>
          <w:sz w:val="28"/>
          <w:szCs w:val="28"/>
          <w:rtl/>
        </w:rPr>
        <w:t xml:space="preserve">وفي المتوسط، </w:t>
      </w:r>
      <w:r w:rsidR="00330B8E">
        <w:rPr>
          <w:rFonts w:ascii="Calibri" w:hAnsi="Calibri" w:hint="cs"/>
          <w:sz w:val="28"/>
          <w:szCs w:val="28"/>
          <w:rtl/>
        </w:rPr>
        <w:t>عزز</w:t>
      </w:r>
      <w:r w:rsidRPr="00CC50B3">
        <w:rPr>
          <w:rFonts w:ascii="Calibri" w:hAnsi="Calibri"/>
          <w:sz w:val="28"/>
          <w:szCs w:val="28"/>
          <w:rtl/>
        </w:rPr>
        <w:t xml:space="preserve"> إجمالي الاستثمار</w:t>
      </w:r>
      <w:r w:rsidR="00330B8E">
        <w:rPr>
          <w:rFonts w:ascii="Calibri" w:hAnsi="Calibri" w:hint="cs"/>
          <w:sz w:val="28"/>
          <w:szCs w:val="28"/>
          <w:rtl/>
        </w:rPr>
        <w:t xml:space="preserve"> حصته في </w:t>
      </w:r>
      <w:r w:rsidR="00330B8E" w:rsidRPr="00CC50B3">
        <w:rPr>
          <w:rFonts w:ascii="Calibri" w:hAnsi="Calibri"/>
          <w:sz w:val="28"/>
          <w:szCs w:val="28"/>
          <w:rtl/>
        </w:rPr>
        <w:t>الناتج الداخلي الإجمالي</w:t>
      </w:r>
      <w:r w:rsidR="00330B8E">
        <w:rPr>
          <w:rFonts w:ascii="Calibri" w:hAnsi="Calibri" w:hint="cs"/>
          <w:sz w:val="28"/>
          <w:szCs w:val="28"/>
          <w:rtl/>
        </w:rPr>
        <w:t xml:space="preserve"> عند حوالي</w:t>
      </w:r>
      <w:r w:rsidR="00330B8E" w:rsidRPr="00CC50B3">
        <w:rPr>
          <w:rFonts w:ascii="Calibri" w:hAnsi="Calibri"/>
          <w:sz w:val="28"/>
          <w:szCs w:val="28"/>
          <w:rtl/>
        </w:rPr>
        <w:t xml:space="preserve"> </w:t>
      </w:r>
      <w:r w:rsidRPr="00CC50B3">
        <w:rPr>
          <w:rFonts w:ascii="Calibri" w:hAnsi="Calibri"/>
          <w:sz w:val="28"/>
          <w:szCs w:val="28"/>
          <w:rtl/>
        </w:rPr>
        <w:t>31</w:t>
      </w:r>
      <w:r w:rsidR="00330B8E">
        <w:rPr>
          <w:rFonts w:ascii="Calibri" w:hAnsi="Calibri" w:hint="cs"/>
          <w:sz w:val="28"/>
          <w:szCs w:val="28"/>
          <w:rtl/>
        </w:rPr>
        <w:t>.2</w:t>
      </w:r>
      <w:r w:rsidRPr="00CC50B3">
        <w:rPr>
          <w:rFonts w:ascii="Calibri" w:hAnsi="Calibri"/>
          <w:sz w:val="28"/>
          <w:szCs w:val="28"/>
        </w:rPr>
        <w:t>%</w:t>
      </w:r>
      <w:r w:rsidRPr="00CC50B3">
        <w:rPr>
          <w:rFonts w:ascii="Calibri" w:hAnsi="Calibri"/>
          <w:sz w:val="28"/>
          <w:szCs w:val="28"/>
          <w:rtl/>
        </w:rPr>
        <w:t xml:space="preserve"> سنويا</w:t>
      </w:r>
      <w:r w:rsidR="00330B8E">
        <w:rPr>
          <w:rFonts w:ascii="Calibri" w:hAnsi="Calibri" w:hint="cs"/>
          <w:sz w:val="28"/>
          <w:szCs w:val="28"/>
          <w:rtl/>
        </w:rPr>
        <w:t xml:space="preserve">. </w:t>
      </w:r>
      <w:r w:rsidRPr="00CC50B3">
        <w:rPr>
          <w:rFonts w:ascii="Calibri" w:hAnsi="Calibri"/>
          <w:sz w:val="28"/>
          <w:szCs w:val="28"/>
          <w:rtl/>
        </w:rPr>
        <w:t xml:space="preserve"> </w:t>
      </w:r>
      <w:r w:rsidR="00330B8E">
        <w:rPr>
          <w:rFonts w:ascii="Calibri" w:hAnsi="Calibri" w:hint="cs"/>
          <w:sz w:val="28"/>
          <w:szCs w:val="28"/>
          <w:rtl/>
        </w:rPr>
        <w:t>و</w:t>
      </w:r>
      <w:r w:rsidRPr="00CC50B3">
        <w:rPr>
          <w:rFonts w:ascii="Calibri" w:hAnsi="Calibri"/>
          <w:sz w:val="28"/>
          <w:szCs w:val="28"/>
          <w:rtl/>
        </w:rPr>
        <w:t>خلال الفترة</w:t>
      </w:r>
      <w:r w:rsidR="00330B8E">
        <w:rPr>
          <w:rFonts w:ascii="Calibri" w:hAnsi="Calibri" w:hint="cs"/>
          <w:sz w:val="28"/>
          <w:szCs w:val="28"/>
          <w:rtl/>
        </w:rPr>
        <w:t xml:space="preserve"> 2014-2019، ساهمت الشركات غير المالية في الاستثمار ب 56.1</w:t>
      </w:r>
      <w:r w:rsidR="00330B8E">
        <w:rPr>
          <w:rFonts w:ascii="Calibri" w:hAnsi="Calibri"/>
          <w:sz w:val="28"/>
          <w:szCs w:val="28"/>
        </w:rPr>
        <w:t>%</w:t>
      </w:r>
      <w:r w:rsidR="00330B8E">
        <w:rPr>
          <w:rFonts w:ascii="Calibri" w:hAnsi="Calibri" w:hint="cs"/>
          <w:sz w:val="28"/>
          <w:szCs w:val="28"/>
          <w:rtl/>
        </w:rPr>
        <w:t xml:space="preserve"> والأسر والمؤسسات غير الهادفة للربح في خدمة الأسر ب 25.8</w:t>
      </w:r>
      <w:r w:rsidR="00330B8E">
        <w:rPr>
          <w:rFonts w:ascii="Calibri" w:hAnsi="Calibri"/>
          <w:sz w:val="28"/>
          <w:szCs w:val="28"/>
        </w:rPr>
        <w:t>%</w:t>
      </w:r>
      <w:r w:rsidR="00330B8E">
        <w:rPr>
          <w:rFonts w:ascii="Calibri" w:hAnsi="Calibri" w:hint="cs"/>
          <w:sz w:val="28"/>
          <w:szCs w:val="28"/>
          <w:rtl/>
        </w:rPr>
        <w:t xml:space="preserve"> (خاصة السكن)</w:t>
      </w:r>
      <w:r w:rsidRPr="00CC50B3">
        <w:rPr>
          <w:rFonts w:ascii="Calibri" w:hAnsi="Calibri"/>
          <w:sz w:val="28"/>
          <w:szCs w:val="28"/>
          <w:rtl/>
        </w:rPr>
        <w:t xml:space="preserve"> </w:t>
      </w:r>
      <w:r w:rsidR="00330B8E">
        <w:rPr>
          <w:rFonts w:ascii="Calibri" w:hAnsi="Calibri" w:hint="cs"/>
          <w:sz w:val="28"/>
          <w:szCs w:val="28"/>
          <w:rtl/>
        </w:rPr>
        <w:t>والإدارات العمومية ب 16.7</w:t>
      </w:r>
      <w:r w:rsidR="00330B8E">
        <w:rPr>
          <w:rFonts w:ascii="Calibri" w:hAnsi="Calibri"/>
          <w:sz w:val="28"/>
          <w:szCs w:val="28"/>
        </w:rPr>
        <w:t>%</w:t>
      </w:r>
      <w:r w:rsidR="00330B8E">
        <w:rPr>
          <w:rFonts w:ascii="Calibri" w:hAnsi="Calibri" w:hint="cs"/>
          <w:sz w:val="28"/>
          <w:szCs w:val="28"/>
          <w:rtl/>
        </w:rPr>
        <w:t xml:space="preserve"> والشركات المالية ب 1.4</w:t>
      </w:r>
      <w:r w:rsidR="00330B8E">
        <w:rPr>
          <w:rFonts w:ascii="Calibri" w:hAnsi="Calibri"/>
          <w:sz w:val="28"/>
          <w:szCs w:val="28"/>
        </w:rPr>
        <w:t>%</w:t>
      </w:r>
      <w:r w:rsidR="00330B8E">
        <w:rPr>
          <w:rFonts w:ascii="Calibri" w:hAnsi="Calibri" w:hint="cs"/>
          <w:sz w:val="28"/>
          <w:szCs w:val="28"/>
          <w:rtl/>
        </w:rPr>
        <w:t>.</w:t>
      </w:r>
      <w:r w:rsidR="00330B8E">
        <w:rPr>
          <w:rFonts w:ascii="Calibri" w:hAnsi="Calibri" w:hint="cs"/>
          <w:sz w:val="28"/>
          <w:szCs w:val="28"/>
          <w:rtl/>
          <w:lang w:bidi="ar-MA"/>
        </w:rPr>
        <w:t xml:space="preserve"> </w:t>
      </w:r>
    </w:p>
    <w:p w:rsidR="00453FB2" w:rsidRPr="00A00613" w:rsidRDefault="00453FB2" w:rsidP="00A02738">
      <w:pPr>
        <w:jc w:val="right"/>
        <w:rPr>
          <w:rtl/>
          <w:lang w:bidi="ar-MA"/>
        </w:rPr>
      </w:pPr>
    </w:p>
    <w:sectPr w:rsidR="00453FB2" w:rsidRPr="00A00613" w:rsidSect="004951DF">
      <w:footerReference w:type="default" r:id="rId17"/>
      <w:pgSz w:w="12240" w:h="15840"/>
      <w:pgMar w:top="1418" w:right="1531" w:bottom="1418" w:left="136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5F3" w:rsidRDefault="001865F3" w:rsidP="00611FF6">
      <w:r>
        <w:separator/>
      </w:r>
    </w:p>
  </w:endnote>
  <w:endnote w:type="continuationSeparator" w:id="0">
    <w:p w:rsidR="001865F3" w:rsidRDefault="001865F3" w:rsidP="00611F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A2" w:rsidRDefault="00DB06F5">
    <w:pPr>
      <w:pStyle w:val="Pieddepage"/>
      <w:jc w:val="center"/>
    </w:pPr>
    <w:fldSimple w:instr=" PAGE   \* MERGEFORMAT ">
      <w:r w:rsidR="00575FFE">
        <w:rPr>
          <w:noProof/>
        </w:rPr>
        <w:t>4</w:t>
      </w:r>
    </w:fldSimple>
  </w:p>
  <w:p w:rsidR="00375AA2" w:rsidRDefault="00375A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5F3" w:rsidRDefault="001865F3" w:rsidP="00611FF6">
      <w:r>
        <w:separator/>
      </w:r>
    </w:p>
  </w:footnote>
  <w:footnote w:type="continuationSeparator" w:id="0">
    <w:p w:rsidR="001865F3" w:rsidRDefault="001865F3" w:rsidP="00611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5BBB"/>
    <w:multiLevelType w:val="hybridMultilevel"/>
    <w:tmpl w:val="AA3E7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194AF1"/>
    <w:multiLevelType w:val="hybridMultilevel"/>
    <w:tmpl w:val="6652B41C"/>
    <w:lvl w:ilvl="0" w:tplc="040C0001">
      <w:start w:val="1"/>
      <w:numFmt w:val="bullet"/>
      <w:lvlText w:val=""/>
      <w:lvlJc w:val="left"/>
      <w:pPr>
        <w:tabs>
          <w:tab w:val="num" w:pos="814"/>
        </w:tabs>
        <w:ind w:left="814"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114118A2"/>
    <w:multiLevelType w:val="hybridMultilevel"/>
    <w:tmpl w:val="08F28194"/>
    <w:lvl w:ilvl="0" w:tplc="040C0001">
      <w:start w:val="1"/>
      <w:numFmt w:val="bullet"/>
      <w:lvlText w:val=""/>
      <w:lvlJc w:val="left"/>
      <w:pPr>
        <w:ind w:left="958" w:hanging="360"/>
      </w:pPr>
      <w:rPr>
        <w:rFonts w:ascii="Symbol" w:hAnsi="Symbol"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3">
    <w:nsid w:val="155043CB"/>
    <w:multiLevelType w:val="hybridMultilevel"/>
    <w:tmpl w:val="228A687E"/>
    <w:lvl w:ilvl="0" w:tplc="040C0001">
      <w:start w:val="1"/>
      <w:numFmt w:val="bullet"/>
      <w:lvlText w:val=""/>
      <w:lvlJc w:val="left"/>
      <w:pPr>
        <w:tabs>
          <w:tab w:val="num" w:pos="814"/>
        </w:tabs>
        <w:ind w:left="814" w:hanging="360"/>
      </w:pPr>
      <w:rPr>
        <w:rFonts w:ascii="Symbol" w:hAnsi="Symbol"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4">
    <w:nsid w:val="1A4D3D7D"/>
    <w:multiLevelType w:val="hybridMultilevel"/>
    <w:tmpl w:val="473421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19F560A"/>
    <w:multiLevelType w:val="hybridMultilevel"/>
    <w:tmpl w:val="022CB2DE"/>
    <w:lvl w:ilvl="0" w:tplc="E6B8E75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3E5741EA"/>
    <w:multiLevelType w:val="hybridMultilevel"/>
    <w:tmpl w:val="E3027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E316F1"/>
    <w:multiLevelType w:val="multilevel"/>
    <w:tmpl w:val="898A1984"/>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hint="default"/>
      </w:rPr>
    </w:lvl>
    <w:lvl w:ilvl="8">
      <w:start w:val="1"/>
      <w:numFmt w:val="bullet"/>
      <w:lvlText w:val=""/>
      <w:lvlJc w:val="left"/>
      <w:pPr>
        <w:ind w:left="6574" w:hanging="360"/>
      </w:pPr>
      <w:rPr>
        <w:rFonts w:ascii="Wingdings" w:hAnsi="Wingdings" w:hint="default"/>
      </w:rPr>
    </w:lvl>
  </w:abstractNum>
  <w:abstractNum w:abstractNumId="8">
    <w:nsid w:val="424A46C5"/>
    <w:multiLevelType w:val="hybridMultilevel"/>
    <w:tmpl w:val="898A1984"/>
    <w:lvl w:ilvl="0" w:tplc="040C0001">
      <w:start w:val="1"/>
      <w:numFmt w:val="bullet"/>
      <w:lvlText w:val=""/>
      <w:lvlJc w:val="left"/>
      <w:pPr>
        <w:ind w:left="814" w:hanging="360"/>
      </w:pPr>
      <w:rPr>
        <w:rFonts w:ascii="Symbol" w:hAnsi="Symbol"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9">
    <w:nsid w:val="4977277F"/>
    <w:multiLevelType w:val="hybridMultilevel"/>
    <w:tmpl w:val="AD4016A0"/>
    <w:lvl w:ilvl="0" w:tplc="FD9A964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nsid w:val="4B2F1B5E"/>
    <w:multiLevelType w:val="hybridMultilevel"/>
    <w:tmpl w:val="2AE4B876"/>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hint="default"/>
      </w:rPr>
    </w:lvl>
    <w:lvl w:ilvl="5" w:tplc="040C0005">
      <w:start w:val="1"/>
      <w:numFmt w:val="bullet"/>
      <w:lvlText w:val=""/>
      <w:lvlJc w:val="left"/>
      <w:pPr>
        <w:tabs>
          <w:tab w:val="num" w:pos="5040"/>
        </w:tabs>
        <w:ind w:left="5040" w:hanging="360"/>
      </w:pPr>
      <w:rPr>
        <w:rFonts w:ascii="Wingdings" w:hAnsi="Wingdings" w:hint="default"/>
      </w:rPr>
    </w:lvl>
    <w:lvl w:ilvl="6" w:tplc="040C0001">
      <w:start w:val="1"/>
      <w:numFmt w:val="bullet"/>
      <w:lvlText w:val=""/>
      <w:lvlJc w:val="left"/>
      <w:pPr>
        <w:tabs>
          <w:tab w:val="num" w:pos="5760"/>
        </w:tabs>
        <w:ind w:left="5760" w:hanging="360"/>
      </w:pPr>
      <w:rPr>
        <w:rFonts w:ascii="Symbol" w:hAnsi="Symbol" w:hint="default"/>
      </w:rPr>
    </w:lvl>
    <w:lvl w:ilvl="7" w:tplc="040C0003">
      <w:start w:val="1"/>
      <w:numFmt w:val="bullet"/>
      <w:lvlText w:val="o"/>
      <w:lvlJc w:val="left"/>
      <w:pPr>
        <w:tabs>
          <w:tab w:val="num" w:pos="6480"/>
        </w:tabs>
        <w:ind w:left="6480" w:hanging="360"/>
      </w:pPr>
      <w:rPr>
        <w:rFonts w:ascii="Courier New" w:hAnsi="Courier New" w:hint="default"/>
      </w:rPr>
    </w:lvl>
    <w:lvl w:ilvl="8" w:tplc="040C0005">
      <w:start w:val="1"/>
      <w:numFmt w:val="bullet"/>
      <w:lvlText w:val=""/>
      <w:lvlJc w:val="left"/>
      <w:pPr>
        <w:tabs>
          <w:tab w:val="num" w:pos="7200"/>
        </w:tabs>
        <w:ind w:left="7200" w:hanging="360"/>
      </w:pPr>
      <w:rPr>
        <w:rFonts w:ascii="Wingdings" w:hAnsi="Wingdings" w:hint="default"/>
      </w:rPr>
    </w:lvl>
  </w:abstractNum>
  <w:abstractNum w:abstractNumId="11">
    <w:nsid w:val="51515430"/>
    <w:multiLevelType w:val="hybridMultilevel"/>
    <w:tmpl w:val="FD4E3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F454E6"/>
    <w:multiLevelType w:val="hybridMultilevel"/>
    <w:tmpl w:val="5606847E"/>
    <w:lvl w:ilvl="0" w:tplc="F678E6FE">
      <w:numFmt w:val="bullet"/>
      <w:lvlText w:val="-"/>
      <w:lvlJc w:val="left"/>
      <w:pPr>
        <w:ind w:left="1020" w:hanging="360"/>
      </w:pPr>
      <w:rPr>
        <w:rFonts w:ascii="Times New Roman" w:eastAsia="Times New Roman" w:hAnsi="Times New Roman" w:cs="Times New Roman"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13">
    <w:nsid w:val="525966EA"/>
    <w:multiLevelType w:val="hybridMultilevel"/>
    <w:tmpl w:val="E9D64AA8"/>
    <w:lvl w:ilvl="0" w:tplc="FFFFFFFF">
      <w:numFmt w:val="bullet"/>
      <w:lvlText w:val="-"/>
      <w:lvlJc w:val="left"/>
      <w:pPr>
        <w:tabs>
          <w:tab w:val="num" w:pos="814"/>
        </w:tabs>
        <w:ind w:left="814" w:hanging="360"/>
      </w:pPr>
      <w:rPr>
        <w:rFonts w:ascii="Times New Roman" w:eastAsia="Times New Roman" w:hAnsi="Times New Roman" w:cs="Times New Roman"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14">
    <w:nsid w:val="554B58AF"/>
    <w:multiLevelType w:val="hybridMultilevel"/>
    <w:tmpl w:val="CEF408B6"/>
    <w:lvl w:ilvl="0" w:tplc="F678E6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EF6DA7"/>
    <w:multiLevelType w:val="hybridMultilevel"/>
    <w:tmpl w:val="C8AE4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1148BB"/>
    <w:multiLevelType w:val="hybridMultilevel"/>
    <w:tmpl w:val="96F0F4C0"/>
    <w:lvl w:ilvl="0" w:tplc="47DAF6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A21206F"/>
    <w:multiLevelType w:val="hybridMultilevel"/>
    <w:tmpl w:val="F9221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927675"/>
    <w:multiLevelType w:val="hybridMultilevel"/>
    <w:tmpl w:val="5666FA50"/>
    <w:lvl w:ilvl="0" w:tplc="4F7255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7"/>
  </w:num>
  <w:num w:numId="5">
    <w:abstractNumId w:val="13"/>
  </w:num>
  <w:num w:numId="6">
    <w:abstractNumId w:val="4"/>
  </w:num>
  <w:num w:numId="7">
    <w:abstractNumId w:val="2"/>
  </w:num>
  <w:num w:numId="8">
    <w:abstractNumId w:val="17"/>
  </w:num>
  <w:num w:numId="9">
    <w:abstractNumId w:val="9"/>
  </w:num>
  <w:num w:numId="10">
    <w:abstractNumId w:val="6"/>
  </w:num>
  <w:num w:numId="11">
    <w:abstractNumId w:val="3"/>
  </w:num>
  <w:num w:numId="12">
    <w:abstractNumId w:val="12"/>
  </w:num>
  <w:num w:numId="13">
    <w:abstractNumId w:val="14"/>
  </w:num>
  <w:num w:numId="14">
    <w:abstractNumId w:val="15"/>
  </w:num>
  <w:num w:numId="15">
    <w:abstractNumId w:val="0"/>
  </w:num>
  <w:num w:numId="16">
    <w:abstractNumId w:val="11"/>
  </w:num>
  <w:num w:numId="17">
    <w:abstractNumId w:val="16"/>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4607DF"/>
    <w:rsid w:val="000000E4"/>
    <w:rsid w:val="0000382C"/>
    <w:rsid w:val="00007F0A"/>
    <w:rsid w:val="000119D2"/>
    <w:rsid w:val="0001570D"/>
    <w:rsid w:val="00034A3F"/>
    <w:rsid w:val="000372D7"/>
    <w:rsid w:val="00044FC6"/>
    <w:rsid w:val="0004751D"/>
    <w:rsid w:val="00051206"/>
    <w:rsid w:val="000532E5"/>
    <w:rsid w:val="000535AB"/>
    <w:rsid w:val="0005395B"/>
    <w:rsid w:val="00053BAE"/>
    <w:rsid w:val="000604C4"/>
    <w:rsid w:val="00060BF7"/>
    <w:rsid w:val="0006664F"/>
    <w:rsid w:val="0007102C"/>
    <w:rsid w:val="00071DEC"/>
    <w:rsid w:val="00072E38"/>
    <w:rsid w:val="0007573E"/>
    <w:rsid w:val="000764F4"/>
    <w:rsid w:val="00085217"/>
    <w:rsid w:val="000854C9"/>
    <w:rsid w:val="0008668A"/>
    <w:rsid w:val="000911F6"/>
    <w:rsid w:val="00091B25"/>
    <w:rsid w:val="0009383B"/>
    <w:rsid w:val="000946A7"/>
    <w:rsid w:val="00094877"/>
    <w:rsid w:val="000B0B65"/>
    <w:rsid w:val="000B1874"/>
    <w:rsid w:val="000B4B3E"/>
    <w:rsid w:val="000B58FC"/>
    <w:rsid w:val="000C09AF"/>
    <w:rsid w:val="000C23CB"/>
    <w:rsid w:val="000C4103"/>
    <w:rsid w:val="000C4F8C"/>
    <w:rsid w:val="000C67FC"/>
    <w:rsid w:val="000D05B3"/>
    <w:rsid w:val="000D0D37"/>
    <w:rsid w:val="000D0DFC"/>
    <w:rsid w:val="000D29AB"/>
    <w:rsid w:val="000D2F9D"/>
    <w:rsid w:val="000D3117"/>
    <w:rsid w:val="000D55DE"/>
    <w:rsid w:val="000D63C8"/>
    <w:rsid w:val="000E1B0A"/>
    <w:rsid w:val="000F257A"/>
    <w:rsid w:val="000F3D3D"/>
    <w:rsid w:val="000F47EB"/>
    <w:rsid w:val="000F4FE7"/>
    <w:rsid w:val="000F66DB"/>
    <w:rsid w:val="000F75DC"/>
    <w:rsid w:val="001020E2"/>
    <w:rsid w:val="00103B4D"/>
    <w:rsid w:val="0010418D"/>
    <w:rsid w:val="00104EBD"/>
    <w:rsid w:val="00104F4D"/>
    <w:rsid w:val="0010588B"/>
    <w:rsid w:val="00110694"/>
    <w:rsid w:val="00111F64"/>
    <w:rsid w:val="0011388D"/>
    <w:rsid w:val="00113957"/>
    <w:rsid w:val="00114A0F"/>
    <w:rsid w:val="00115CC3"/>
    <w:rsid w:val="001168A5"/>
    <w:rsid w:val="0012088A"/>
    <w:rsid w:val="00122F58"/>
    <w:rsid w:val="00126998"/>
    <w:rsid w:val="00132293"/>
    <w:rsid w:val="00141776"/>
    <w:rsid w:val="0014203D"/>
    <w:rsid w:val="0014305B"/>
    <w:rsid w:val="00150AB0"/>
    <w:rsid w:val="00152E9E"/>
    <w:rsid w:val="00154D24"/>
    <w:rsid w:val="00156878"/>
    <w:rsid w:val="00157105"/>
    <w:rsid w:val="001610B6"/>
    <w:rsid w:val="00163195"/>
    <w:rsid w:val="001652A3"/>
    <w:rsid w:val="001653BE"/>
    <w:rsid w:val="00165DA1"/>
    <w:rsid w:val="0017160F"/>
    <w:rsid w:val="00172297"/>
    <w:rsid w:val="001727AC"/>
    <w:rsid w:val="00173A75"/>
    <w:rsid w:val="001776B8"/>
    <w:rsid w:val="00181103"/>
    <w:rsid w:val="0018215F"/>
    <w:rsid w:val="001865F3"/>
    <w:rsid w:val="00186AA0"/>
    <w:rsid w:val="001903EF"/>
    <w:rsid w:val="00192CA2"/>
    <w:rsid w:val="001940E6"/>
    <w:rsid w:val="001978BE"/>
    <w:rsid w:val="001A0192"/>
    <w:rsid w:val="001A0777"/>
    <w:rsid w:val="001A1C09"/>
    <w:rsid w:val="001A2615"/>
    <w:rsid w:val="001A4A33"/>
    <w:rsid w:val="001A5C14"/>
    <w:rsid w:val="001A7149"/>
    <w:rsid w:val="001B4853"/>
    <w:rsid w:val="001B7045"/>
    <w:rsid w:val="001B76D9"/>
    <w:rsid w:val="001B7A37"/>
    <w:rsid w:val="001C01C0"/>
    <w:rsid w:val="001C23DA"/>
    <w:rsid w:val="001C5FC5"/>
    <w:rsid w:val="001D1198"/>
    <w:rsid w:val="001D36CE"/>
    <w:rsid w:val="001E14D4"/>
    <w:rsid w:val="001E282C"/>
    <w:rsid w:val="001E4F14"/>
    <w:rsid w:val="001F19CD"/>
    <w:rsid w:val="001F1BDB"/>
    <w:rsid w:val="001F2EE8"/>
    <w:rsid w:val="001F5825"/>
    <w:rsid w:val="00204F31"/>
    <w:rsid w:val="002105CD"/>
    <w:rsid w:val="002138C2"/>
    <w:rsid w:val="00214222"/>
    <w:rsid w:val="0021605E"/>
    <w:rsid w:val="002209A0"/>
    <w:rsid w:val="00221EC2"/>
    <w:rsid w:val="0022654F"/>
    <w:rsid w:val="002271A9"/>
    <w:rsid w:val="00230684"/>
    <w:rsid w:val="002333D9"/>
    <w:rsid w:val="00234C9E"/>
    <w:rsid w:val="002434D0"/>
    <w:rsid w:val="002460AB"/>
    <w:rsid w:val="00246AF9"/>
    <w:rsid w:val="00251709"/>
    <w:rsid w:val="00252408"/>
    <w:rsid w:val="00253F11"/>
    <w:rsid w:val="0026107B"/>
    <w:rsid w:val="00261BD6"/>
    <w:rsid w:val="00264581"/>
    <w:rsid w:val="002649A4"/>
    <w:rsid w:val="00267118"/>
    <w:rsid w:val="002679E2"/>
    <w:rsid w:val="002718E6"/>
    <w:rsid w:val="002735A2"/>
    <w:rsid w:val="002818B4"/>
    <w:rsid w:val="002819F1"/>
    <w:rsid w:val="0028536F"/>
    <w:rsid w:val="0028577D"/>
    <w:rsid w:val="0028642B"/>
    <w:rsid w:val="002874DC"/>
    <w:rsid w:val="00291E32"/>
    <w:rsid w:val="00292B0C"/>
    <w:rsid w:val="002969D9"/>
    <w:rsid w:val="00296A0C"/>
    <w:rsid w:val="00296F87"/>
    <w:rsid w:val="002A02B9"/>
    <w:rsid w:val="002A2143"/>
    <w:rsid w:val="002A3547"/>
    <w:rsid w:val="002A3D4E"/>
    <w:rsid w:val="002A42FF"/>
    <w:rsid w:val="002A5269"/>
    <w:rsid w:val="002A55A5"/>
    <w:rsid w:val="002A5D52"/>
    <w:rsid w:val="002A628B"/>
    <w:rsid w:val="002A67AB"/>
    <w:rsid w:val="002A75DE"/>
    <w:rsid w:val="002B3895"/>
    <w:rsid w:val="002B479C"/>
    <w:rsid w:val="002B4871"/>
    <w:rsid w:val="002B61F1"/>
    <w:rsid w:val="002B6FC8"/>
    <w:rsid w:val="002B7460"/>
    <w:rsid w:val="002C1ACC"/>
    <w:rsid w:val="002C271E"/>
    <w:rsid w:val="002C3FFB"/>
    <w:rsid w:val="002C60F4"/>
    <w:rsid w:val="002C702F"/>
    <w:rsid w:val="002C7B0E"/>
    <w:rsid w:val="002D51DB"/>
    <w:rsid w:val="002E0783"/>
    <w:rsid w:val="002E1150"/>
    <w:rsid w:val="002E32E7"/>
    <w:rsid w:val="002E5B65"/>
    <w:rsid w:val="002E72E6"/>
    <w:rsid w:val="002E7900"/>
    <w:rsid w:val="002F06D0"/>
    <w:rsid w:val="002F2F51"/>
    <w:rsid w:val="002F3F44"/>
    <w:rsid w:val="002F54D1"/>
    <w:rsid w:val="002F7E77"/>
    <w:rsid w:val="003035A5"/>
    <w:rsid w:val="00304E3D"/>
    <w:rsid w:val="00306849"/>
    <w:rsid w:val="0031004E"/>
    <w:rsid w:val="00310172"/>
    <w:rsid w:val="0031028E"/>
    <w:rsid w:val="00310AC3"/>
    <w:rsid w:val="003112F3"/>
    <w:rsid w:val="0031228E"/>
    <w:rsid w:val="00312FB7"/>
    <w:rsid w:val="003156C9"/>
    <w:rsid w:val="00315D02"/>
    <w:rsid w:val="003175CA"/>
    <w:rsid w:val="00323BC1"/>
    <w:rsid w:val="00325671"/>
    <w:rsid w:val="00325CB0"/>
    <w:rsid w:val="00326654"/>
    <w:rsid w:val="0032680B"/>
    <w:rsid w:val="00330451"/>
    <w:rsid w:val="00330B8E"/>
    <w:rsid w:val="00331839"/>
    <w:rsid w:val="00331ECC"/>
    <w:rsid w:val="00333907"/>
    <w:rsid w:val="00334BA3"/>
    <w:rsid w:val="00340A9D"/>
    <w:rsid w:val="00350227"/>
    <w:rsid w:val="00353212"/>
    <w:rsid w:val="00353373"/>
    <w:rsid w:val="00354B44"/>
    <w:rsid w:val="00355B15"/>
    <w:rsid w:val="003614BB"/>
    <w:rsid w:val="00364480"/>
    <w:rsid w:val="00365E93"/>
    <w:rsid w:val="003725F0"/>
    <w:rsid w:val="00375AA2"/>
    <w:rsid w:val="00375D45"/>
    <w:rsid w:val="00377E82"/>
    <w:rsid w:val="003811C4"/>
    <w:rsid w:val="00381C63"/>
    <w:rsid w:val="00382982"/>
    <w:rsid w:val="003833AF"/>
    <w:rsid w:val="003844C1"/>
    <w:rsid w:val="00385F5C"/>
    <w:rsid w:val="00387214"/>
    <w:rsid w:val="00391333"/>
    <w:rsid w:val="0039250E"/>
    <w:rsid w:val="00394904"/>
    <w:rsid w:val="003959E8"/>
    <w:rsid w:val="003A298E"/>
    <w:rsid w:val="003A72BC"/>
    <w:rsid w:val="003A7A7D"/>
    <w:rsid w:val="003B198C"/>
    <w:rsid w:val="003B1A46"/>
    <w:rsid w:val="003B1D13"/>
    <w:rsid w:val="003B2DFA"/>
    <w:rsid w:val="003B489D"/>
    <w:rsid w:val="003B5F6C"/>
    <w:rsid w:val="003B70DB"/>
    <w:rsid w:val="003C0365"/>
    <w:rsid w:val="003C270C"/>
    <w:rsid w:val="003D0511"/>
    <w:rsid w:val="003D07B7"/>
    <w:rsid w:val="003D096F"/>
    <w:rsid w:val="003D144A"/>
    <w:rsid w:val="003E141C"/>
    <w:rsid w:val="003E1434"/>
    <w:rsid w:val="003E2158"/>
    <w:rsid w:val="003E50E8"/>
    <w:rsid w:val="003E5B3C"/>
    <w:rsid w:val="003E6827"/>
    <w:rsid w:val="003F2D76"/>
    <w:rsid w:val="003F38D4"/>
    <w:rsid w:val="003F6E61"/>
    <w:rsid w:val="003F73D5"/>
    <w:rsid w:val="00406475"/>
    <w:rsid w:val="00411FF2"/>
    <w:rsid w:val="004125AD"/>
    <w:rsid w:val="0041341A"/>
    <w:rsid w:val="00413FD5"/>
    <w:rsid w:val="00414945"/>
    <w:rsid w:val="00414ADC"/>
    <w:rsid w:val="00423D2B"/>
    <w:rsid w:val="004240A6"/>
    <w:rsid w:val="00424C0E"/>
    <w:rsid w:val="0042550F"/>
    <w:rsid w:val="00426CB7"/>
    <w:rsid w:val="004305E5"/>
    <w:rsid w:val="004352DF"/>
    <w:rsid w:val="00445A67"/>
    <w:rsid w:val="00452038"/>
    <w:rsid w:val="00452366"/>
    <w:rsid w:val="00453819"/>
    <w:rsid w:val="00453FB2"/>
    <w:rsid w:val="00454B87"/>
    <w:rsid w:val="00457DE2"/>
    <w:rsid w:val="004607DF"/>
    <w:rsid w:val="00462DA0"/>
    <w:rsid w:val="00467BEF"/>
    <w:rsid w:val="00483696"/>
    <w:rsid w:val="00485AEC"/>
    <w:rsid w:val="0049194E"/>
    <w:rsid w:val="00493A27"/>
    <w:rsid w:val="004951DF"/>
    <w:rsid w:val="004A647A"/>
    <w:rsid w:val="004B234D"/>
    <w:rsid w:val="004B36F3"/>
    <w:rsid w:val="004B3B96"/>
    <w:rsid w:val="004C5C11"/>
    <w:rsid w:val="004D46A7"/>
    <w:rsid w:val="004D509B"/>
    <w:rsid w:val="004D525A"/>
    <w:rsid w:val="004E2BA5"/>
    <w:rsid w:val="004F09F4"/>
    <w:rsid w:val="004F3811"/>
    <w:rsid w:val="004F4AE5"/>
    <w:rsid w:val="004F5216"/>
    <w:rsid w:val="004F7798"/>
    <w:rsid w:val="00500683"/>
    <w:rsid w:val="005013C0"/>
    <w:rsid w:val="00501518"/>
    <w:rsid w:val="00504680"/>
    <w:rsid w:val="00507D84"/>
    <w:rsid w:val="0051297F"/>
    <w:rsid w:val="00512A01"/>
    <w:rsid w:val="005171DC"/>
    <w:rsid w:val="00517558"/>
    <w:rsid w:val="00522DBA"/>
    <w:rsid w:val="005232D1"/>
    <w:rsid w:val="00524EC4"/>
    <w:rsid w:val="0052535A"/>
    <w:rsid w:val="005277D3"/>
    <w:rsid w:val="0053161E"/>
    <w:rsid w:val="0053489A"/>
    <w:rsid w:val="0053627F"/>
    <w:rsid w:val="00543CAF"/>
    <w:rsid w:val="0054460B"/>
    <w:rsid w:val="00544E8F"/>
    <w:rsid w:val="005453AA"/>
    <w:rsid w:val="005460FF"/>
    <w:rsid w:val="0054625E"/>
    <w:rsid w:val="005506AA"/>
    <w:rsid w:val="00552317"/>
    <w:rsid w:val="0056071E"/>
    <w:rsid w:val="00560D21"/>
    <w:rsid w:val="0056297F"/>
    <w:rsid w:val="00564A15"/>
    <w:rsid w:val="00564AA4"/>
    <w:rsid w:val="0057077B"/>
    <w:rsid w:val="00570811"/>
    <w:rsid w:val="00572489"/>
    <w:rsid w:val="0057462D"/>
    <w:rsid w:val="00575FFE"/>
    <w:rsid w:val="00581388"/>
    <w:rsid w:val="00583738"/>
    <w:rsid w:val="00583AF0"/>
    <w:rsid w:val="005850D7"/>
    <w:rsid w:val="00591734"/>
    <w:rsid w:val="00591A34"/>
    <w:rsid w:val="00593DBB"/>
    <w:rsid w:val="00594AEB"/>
    <w:rsid w:val="005966E2"/>
    <w:rsid w:val="0059758A"/>
    <w:rsid w:val="005A0094"/>
    <w:rsid w:val="005A141D"/>
    <w:rsid w:val="005A1757"/>
    <w:rsid w:val="005A1FB4"/>
    <w:rsid w:val="005A5125"/>
    <w:rsid w:val="005A5A14"/>
    <w:rsid w:val="005A75DE"/>
    <w:rsid w:val="005B016B"/>
    <w:rsid w:val="005B40E7"/>
    <w:rsid w:val="005B4E44"/>
    <w:rsid w:val="005B51F1"/>
    <w:rsid w:val="005B52BA"/>
    <w:rsid w:val="005B53CC"/>
    <w:rsid w:val="005B5E05"/>
    <w:rsid w:val="005B69D1"/>
    <w:rsid w:val="005C6194"/>
    <w:rsid w:val="005D139A"/>
    <w:rsid w:val="005D1F4C"/>
    <w:rsid w:val="005D2309"/>
    <w:rsid w:val="005D4183"/>
    <w:rsid w:val="005D47CE"/>
    <w:rsid w:val="005D7DE5"/>
    <w:rsid w:val="005E3DDE"/>
    <w:rsid w:val="005E5F5A"/>
    <w:rsid w:val="005F3D36"/>
    <w:rsid w:val="005F4141"/>
    <w:rsid w:val="005F4449"/>
    <w:rsid w:val="00601E93"/>
    <w:rsid w:val="00602FC3"/>
    <w:rsid w:val="0060573F"/>
    <w:rsid w:val="00610DF7"/>
    <w:rsid w:val="00611FF6"/>
    <w:rsid w:val="0061260D"/>
    <w:rsid w:val="00612887"/>
    <w:rsid w:val="0061745B"/>
    <w:rsid w:val="00617CED"/>
    <w:rsid w:val="00624CC3"/>
    <w:rsid w:val="00627A37"/>
    <w:rsid w:val="00627F7F"/>
    <w:rsid w:val="00630ACF"/>
    <w:rsid w:val="00630E5D"/>
    <w:rsid w:val="006324FB"/>
    <w:rsid w:val="00632851"/>
    <w:rsid w:val="00643C0E"/>
    <w:rsid w:val="00643E53"/>
    <w:rsid w:val="0064731F"/>
    <w:rsid w:val="00651B4A"/>
    <w:rsid w:val="006551CD"/>
    <w:rsid w:val="00655475"/>
    <w:rsid w:val="00655A5D"/>
    <w:rsid w:val="00655B5C"/>
    <w:rsid w:val="006569C0"/>
    <w:rsid w:val="00662CA5"/>
    <w:rsid w:val="00663958"/>
    <w:rsid w:val="00663D95"/>
    <w:rsid w:val="006709D1"/>
    <w:rsid w:val="00670F45"/>
    <w:rsid w:val="006730A2"/>
    <w:rsid w:val="00684363"/>
    <w:rsid w:val="0068542A"/>
    <w:rsid w:val="006857BA"/>
    <w:rsid w:val="00686ACA"/>
    <w:rsid w:val="00686D88"/>
    <w:rsid w:val="006903E0"/>
    <w:rsid w:val="00690DEE"/>
    <w:rsid w:val="00693671"/>
    <w:rsid w:val="00694A74"/>
    <w:rsid w:val="00697060"/>
    <w:rsid w:val="006973E9"/>
    <w:rsid w:val="006A015F"/>
    <w:rsid w:val="006A0D03"/>
    <w:rsid w:val="006B244E"/>
    <w:rsid w:val="006B4A70"/>
    <w:rsid w:val="006B5299"/>
    <w:rsid w:val="006C14FB"/>
    <w:rsid w:val="006C17FF"/>
    <w:rsid w:val="006C2A4C"/>
    <w:rsid w:val="006C3457"/>
    <w:rsid w:val="006C4535"/>
    <w:rsid w:val="006C5CE1"/>
    <w:rsid w:val="006D1632"/>
    <w:rsid w:val="006D1BD0"/>
    <w:rsid w:val="006D2CA1"/>
    <w:rsid w:val="006D35F7"/>
    <w:rsid w:val="006D3DE3"/>
    <w:rsid w:val="006D5A87"/>
    <w:rsid w:val="006D5C62"/>
    <w:rsid w:val="006E1326"/>
    <w:rsid w:val="006E1D21"/>
    <w:rsid w:val="006E31A1"/>
    <w:rsid w:val="006E5E3F"/>
    <w:rsid w:val="006E62FC"/>
    <w:rsid w:val="006E6A5E"/>
    <w:rsid w:val="006F01ED"/>
    <w:rsid w:val="006F3112"/>
    <w:rsid w:val="006F3E27"/>
    <w:rsid w:val="006F5946"/>
    <w:rsid w:val="006F7E04"/>
    <w:rsid w:val="0070208D"/>
    <w:rsid w:val="00704845"/>
    <w:rsid w:val="007052E2"/>
    <w:rsid w:val="007117CA"/>
    <w:rsid w:val="00711921"/>
    <w:rsid w:val="00712000"/>
    <w:rsid w:val="00713C23"/>
    <w:rsid w:val="00714AB2"/>
    <w:rsid w:val="00715BDF"/>
    <w:rsid w:val="007169B0"/>
    <w:rsid w:val="00717974"/>
    <w:rsid w:val="007201E6"/>
    <w:rsid w:val="0072537A"/>
    <w:rsid w:val="007307C2"/>
    <w:rsid w:val="00735A2F"/>
    <w:rsid w:val="0075273A"/>
    <w:rsid w:val="007554F7"/>
    <w:rsid w:val="00761185"/>
    <w:rsid w:val="00766767"/>
    <w:rsid w:val="00770CB5"/>
    <w:rsid w:val="007738D7"/>
    <w:rsid w:val="00774061"/>
    <w:rsid w:val="007801D3"/>
    <w:rsid w:val="00782F49"/>
    <w:rsid w:val="0078408F"/>
    <w:rsid w:val="00790FC8"/>
    <w:rsid w:val="00792438"/>
    <w:rsid w:val="0079618F"/>
    <w:rsid w:val="007A02EF"/>
    <w:rsid w:val="007A3D1B"/>
    <w:rsid w:val="007A3E4A"/>
    <w:rsid w:val="007A478A"/>
    <w:rsid w:val="007A49A7"/>
    <w:rsid w:val="007A7EB6"/>
    <w:rsid w:val="007B15A7"/>
    <w:rsid w:val="007B3948"/>
    <w:rsid w:val="007B5302"/>
    <w:rsid w:val="007C2518"/>
    <w:rsid w:val="007C55CB"/>
    <w:rsid w:val="007D105C"/>
    <w:rsid w:val="007D5451"/>
    <w:rsid w:val="007D7B3D"/>
    <w:rsid w:val="007D7BF0"/>
    <w:rsid w:val="007E2D2A"/>
    <w:rsid w:val="007E7367"/>
    <w:rsid w:val="00803D77"/>
    <w:rsid w:val="00804A53"/>
    <w:rsid w:val="00805940"/>
    <w:rsid w:val="00805CB4"/>
    <w:rsid w:val="00807057"/>
    <w:rsid w:val="00807C7B"/>
    <w:rsid w:val="00810202"/>
    <w:rsid w:val="008114CC"/>
    <w:rsid w:val="00812412"/>
    <w:rsid w:val="00812CE6"/>
    <w:rsid w:val="008131FD"/>
    <w:rsid w:val="00814EF6"/>
    <w:rsid w:val="008160A2"/>
    <w:rsid w:val="00816D3F"/>
    <w:rsid w:val="008214E7"/>
    <w:rsid w:val="00830413"/>
    <w:rsid w:val="008330A0"/>
    <w:rsid w:val="00835A04"/>
    <w:rsid w:val="008401FC"/>
    <w:rsid w:val="00840246"/>
    <w:rsid w:val="00840D85"/>
    <w:rsid w:val="00841582"/>
    <w:rsid w:val="00841758"/>
    <w:rsid w:val="00842771"/>
    <w:rsid w:val="008429B5"/>
    <w:rsid w:val="00842C92"/>
    <w:rsid w:val="008431EA"/>
    <w:rsid w:val="008437D7"/>
    <w:rsid w:val="0084468A"/>
    <w:rsid w:val="00851117"/>
    <w:rsid w:val="008517B4"/>
    <w:rsid w:val="00851D45"/>
    <w:rsid w:val="008527AF"/>
    <w:rsid w:val="008552FA"/>
    <w:rsid w:val="00855C2B"/>
    <w:rsid w:val="00856A05"/>
    <w:rsid w:val="00856F76"/>
    <w:rsid w:val="00857A80"/>
    <w:rsid w:val="00860B1F"/>
    <w:rsid w:val="0086299B"/>
    <w:rsid w:val="00862CEA"/>
    <w:rsid w:val="0086308A"/>
    <w:rsid w:val="00864220"/>
    <w:rsid w:val="00870C10"/>
    <w:rsid w:val="00873EF8"/>
    <w:rsid w:val="00882655"/>
    <w:rsid w:val="008826BE"/>
    <w:rsid w:val="008827D4"/>
    <w:rsid w:val="00882E3D"/>
    <w:rsid w:val="00884C62"/>
    <w:rsid w:val="00892C76"/>
    <w:rsid w:val="008938AB"/>
    <w:rsid w:val="008A0B6A"/>
    <w:rsid w:val="008A1A7B"/>
    <w:rsid w:val="008A1CEF"/>
    <w:rsid w:val="008A4FD3"/>
    <w:rsid w:val="008B0D42"/>
    <w:rsid w:val="008B19F0"/>
    <w:rsid w:val="008B6F16"/>
    <w:rsid w:val="008B72B0"/>
    <w:rsid w:val="008C292C"/>
    <w:rsid w:val="008C31EA"/>
    <w:rsid w:val="008C637A"/>
    <w:rsid w:val="008C7E7E"/>
    <w:rsid w:val="008D111A"/>
    <w:rsid w:val="008D128A"/>
    <w:rsid w:val="008E167C"/>
    <w:rsid w:val="008E1A8F"/>
    <w:rsid w:val="008E4785"/>
    <w:rsid w:val="008E5F0A"/>
    <w:rsid w:val="008E5F24"/>
    <w:rsid w:val="008F03B0"/>
    <w:rsid w:val="008F222D"/>
    <w:rsid w:val="0090051C"/>
    <w:rsid w:val="00900B41"/>
    <w:rsid w:val="00902870"/>
    <w:rsid w:val="00907003"/>
    <w:rsid w:val="00911090"/>
    <w:rsid w:val="00912AF8"/>
    <w:rsid w:val="00915A71"/>
    <w:rsid w:val="009160F6"/>
    <w:rsid w:val="00916EBA"/>
    <w:rsid w:val="00922153"/>
    <w:rsid w:val="00922A7A"/>
    <w:rsid w:val="0092705D"/>
    <w:rsid w:val="009304F3"/>
    <w:rsid w:val="00931202"/>
    <w:rsid w:val="00933CA5"/>
    <w:rsid w:val="00936D5A"/>
    <w:rsid w:val="00943A2F"/>
    <w:rsid w:val="00944ADD"/>
    <w:rsid w:val="00945096"/>
    <w:rsid w:val="009527A6"/>
    <w:rsid w:val="00952CB3"/>
    <w:rsid w:val="0095406B"/>
    <w:rsid w:val="0095454E"/>
    <w:rsid w:val="00954C71"/>
    <w:rsid w:val="00954E4B"/>
    <w:rsid w:val="00954F5A"/>
    <w:rsid w:val="00955941"/>
    <w:rsid w:val="00955F2E"/>
    <w:rsid w:val="0095635D"/>
    <w:rsid w:val="0096185D"/>
    <w:rsid w:val="00961DB9"/>
    <w:rsid w:val="00964F63"/>
    <w:rsid w:val="00965FDB"/>
    <w:rsid w:val="00965FEA"/>
    <w:rsid w:val="00966434"/>
    <w:rsid w:val="0096689A"/>
    <w:rsid w:val="009733A9"/>
    <w:rsid w:val="009744F8"/>
    <w:rsid w:val="00976663"/>
    <w:rsid w:val="00976C97"/>
    <w:rsid w:val="009776A2"/>
    <w:rsid w:val="00980405"/>
    <w:rsid w:val="009804F4"/>
    <w:rsid w:val="00981C01"/>
    <w:rsid w:val="00981F00"/>
    <w:rsid w:val="00983CD7"/>
    <w:rsid w:val="00984975"/>
    <w:rsid w:val="00986857"/>
    <w:rsid w:val="00986867"/>
    <w:rsid w:val="00990C65"/>
    <w:rsid w:val="00993477"/>
    <w:rsid w:val="00995E1E"/>
    <w:rsid w:val="0099779E"/>
    <w:rsid w:val="00997FB9"/>
    <w:rsid w:val="009A03A8"/>
    <w:rsid w:val="009A0D68"/>
    <w:rsid w:val="009A16BE"/>
    <w:rsid w:val="009A1922"/>
    <w:rsid w:val="009A4117"/>
    <w:rsid w:val="009A6AD0"/>
    <w:rsid w:val="009A6E05"/>
    <w:rsid w:val="009B0B15"/>
    <w:rsid w:val="009B1256"/>
    <w:rsid w:val="009B188D"/>
    <w:rsid w:val="009B3A98"/>
    <w:rsid w:val="009C31D5"/>
    <w:rsid w:val="009C670F"/>
    <w:rsid w:val="009C7940"/>
    <w:rsid w:val="009D02F6"/>
    <w:rsid w:val="009D3DC5"/>
    <w:rsid w:val="009D69D7"/>
    <w:rsid w:val="009E36CC"/>
    <w:rsid w:val="009E3FDE"/>
    <w:rsid w:val="009E4E06"/>
    <w:rsid w:val="009E7638"/>
    <w:rsid w:val="009E7BD9"/>
    <w:rsid w:val="009F3C04"/>
    <w:rsid w:val="009F4BA5"/>
    <w:rsid w:val="009F53CD"/>
    <w:rsid w:val="009F5B7F"/>
    <w:rsid w:val="009F5E14"/>
    <w:rsid w:val="009F62EE"/>
    <w:rsid w:val="00A00613"/>
    <w:rsid w:val="00A00EA5"/>
    <w:rsid w:val="00A01C87"/>
    <w:rsid w:val="00A02738"/>
    <w:rsid w:val="00A02B93"/>
    <w:rsid w:val="00A045CE"/>
    <w:rsid w:val="00A04EE4"/>
    <w:rsid w:val="00A06624"/>
    <w:rsid w:val="00A06634"/>
    <w:rsid w:val="00A10BB9"/>
    <w:rsid w:val="00A11E02"/>
    <w:rsid w:val="00A1223E"/>
    <w:rsid w:val="00A14A61"/>
    <w:rsid w:val="00A1530E"/>
    <w:rsid w:val="00A16746"/>
    <w:rsid w:val="00A22A70"/>
    <w:rsid w:val="00A2533E"/>
    <w:rsid w:val="00A3101E"/>
    <w:rsid w:val="00A31489"/>
    <w:rsid w:val="00A316D6"/>
    <w:rsid w:val="00A32969"/>
    <w:rsid w:val="00A32AD0"/>
    <w:rsid w:val="00A35941"/>
    <w:rsid w:val="00A35A9B"/>
    <w:rsid w:val="00A3667F"/>
    <w:rsid w:val="00A37978"/>
    <w:rsid w:val="00A37C72"/>
    <w:rsid w:val="00A403A3"/>
    <w:rsid w:val="00A40F5A"/>
    <w:rsid w:val="00A419CA"/>
    <w:rsid w:val="00A41E7A"/>
    <w:rsid w:val="00A46488"/>
    <w:rsid w:val="00A464C8"/>
    <w:rsid w:val="00A47AA8"/>
    <w:rsid w:val="00A47F5E"/>
    <w:rsid w:val="00A52295"/>
    <w:rsid w:val="00A53F63"/>
    <w:rsid w:val="00A559EF"/>
    <w:rsid w:val="00A564EC"/>
    <w:rsid w:val="00A6162B"/>
    <w:rsid w:val="00A6369B"/>
    <w:rsid w:val="00A6499F"/>
    <w:rsid w:val="00A64B61"/>
    <w:rsid w:val="00A66BCE"/>
    <w:rsid w:val="00A671AA"/>
    <w:rsid w:val="00A67412"/>
    <w:rsid w:val="00A71820"/>
    <w:rsid w:val="00A72BDE"/>
    <w:rsid w:val="00A72F34"/>
    <w:rsid w:val="00A746C8"/>
    <w:rsid w:val="00A748CC"/>
    <w:rsid w:val="00A91B31"/>
    <w:rsid w:val="00A93EEC"/>
    <w:rsid w:val="00A96C5A"/>
    <w:rsid w:val="00AA2940"/>
    <w:rsid w:val="00AA537F"/>
    <w:rsid w:val="00AB0640"/>
    <w:rsid w:val="00AB09DB"/>
    <w:rsid w:val="00AB0E92"/>
    <w:rsid w:val="00AB2AE1"/>
    <w:rsid w:val="00AB3BAC"/>
    <w:rsid w:val="00AB47DD"/>
    <w:rsid w:val="00AB47E1"/>
    <w:rsid w:val="00AB4BE9"/>
    <w:rsid w:val="00AB5733"/>
    <w:rsid w:val="00AB7058"/>
    <w:rsid w:val="00AC0648"/>
    <w:rsid w:val="00AC3410"/>
    <w:rsid w:val="00AC50E1"/>
    <w:rsid w:val="00AC5511"/>
    <w:rsid w:val="00AC7BB7"/>
    <w:rsid w:val="00AE3542"/>
    <w:rsid w:val="00AE531E"/>
    <w:rsid w:val="00AE5A6D"/>
    <w:rsid w:val="00AE6A7E"/>
    <w:rsid w:val="00AE7A99"/>
    <w:rsid w:val="00AF0E66"/>
    <w:rsid w:val="00AF15ED"/>
    <w:rsid w:val="00B005DD"/>
    <w:rsid w:val="00B005FE"/>
    <w:rsid w:val="00B00A66"/>
    <w:rsid w:val="00B0435B"/>
    <w:rsid w:val="00B112F5"/>
    <w:rsid w:val="00B11AE0"/>
    <w:rsid w:val="00B12D2F"/>
    <w:rsid w:val="00B1446A"/>
    <w:rsid w:val="00B15B9E"/>
    <w:rsid w:val="00B16B86"/>
    <w:rsid w:val="00B245F3"/>
    <w:rsid w:val="00B3138A"/>
    <w:rsid w:val="00B32235"/>
    <w:rsid w:val="00B36F6A"/>
    <w:rsid w:val="00B42A15"/>
    <w:rsid w:val="00B43A33"/>
    <w:rsid w:val="00B462B3"/>
    <w:rsid w:val="00B463A1"/>
    <w:rsid w:val="00B52534"/>
    <w:rsid w:val="00B53052"/>
    <w:rsid w:val="00B5555D"/>
    <w:rsid w:val="00B558F5"/>
    <w:rsid w:val="00B5600B"/>
    <w:rsid w:val="00B57AC9"/>
    <w:rsid w:val="00B6038F"/>
    <w:rsid w:val="00B61B9E"/>
    <w:rsid w:val="00B6467E"/>
    <w:rsid w:val="00B717A8"/>
    <w:rsid w:val="00B719B0"/>
    <w:rsid w:val="00B73087"/>
    <w:rsid w:val="00B75039"/>
    <w:rsid w:val="00B75B1D"/>
    <w:rsid w:val="00B827A1"/>
    <w:rsid w:val="00B85FFD"/>
    <w:rsid w:val="00B8745B"/>
    <w:rsid w:val="00B87AE4"/>
    <w:rsid w:val="00B9256A"/>
    <w:rsid w:val="00B93674"/>
    <w:rsid w:val="00B93A97"/>
    <w:rsid w:val="00B979F5"/>
    <w:rsid w:val="00BA1798"/>
    <w:rsid w:val="00BA525B"/>
    <w:rsid w:val="00BA70D1"/>
    <w:rsid w:val="00BB00E2"/>
    <w:rsid w:val="00BB123B"/>
    <w:rsid w:val="00BB243F"/>
    <w:rsid w:val="00BB3DB1"/>
    <w:rsid w:val="00BC0D2C"/>
    <w:rsid w:val="00BC20D1"/>
    <w:rsid w:val="00BC40FE"/>
    <w:rsid w:val="00BC4918"/>
    <w:rsid w:val="00BC5D59"/>
    <w:rsid w:val="00BD034B"/>
    <w:rsid w:val="00BD3EEA"/>
    <w:rsid w:val="00BD52F6"/>
    <w:rsid w:val="00BD75D2"/>
    <w:rsid w:val="00BE1E1E"/>
    <w:rsid w:val="00BE35F1"/>
    <w:rsid w:val="00BE3EE9"/>
    <w:rsid w:val="00BE45AF"/>
    <w:rsid w:val="00BE4D50"/>
    <w:rsid w:val="00BE5F58"/>
    <w:rsid w:val="00BE677F"/>
    <w:rsid w:val="00BF04E0"/>
    <w:rsid w:val="00BF32FD"/>
    <w:rsid w:val="00BF5729"/>
    <w:rsid w:val="00BF7A71"/>
    <w:rsid w:val="00C00522"/>
    <w:rsid w:val="00C008BF"/>
    <w:rsid w:val="00C00CB2"/>
    <w:rsid w:val="00C00CD1"/>
    <w:rsid w:val="00C078B0"/>
    <w:rsid w:val="00C07E35"/>
    <w:rsid w:val="00C10571"/>
    <w:rsid w:val="00C11221"/>
    <w:rsid w:val="00C13D2E"/>
    <w:rsid w:val="00C155C3"/>
    <w:rsid w:val="00C15997"/>
    <w:rsid w:val="00C16036"/>
    <w:rsid w:val="00C169AE"/>
    <w:rsid w:val="00C174AC"/>
    <w:rsid w:val="00C179AA"/>
    <w:rsid w:val="00C20029"/>
    <w:rsid w:val="00C23297"/>
    <w:rsid w:val="00C27A25"/>
    <w:rsid w:val="00C303C0"/>
    <w:rsid w:val="00C321B3"/>
    <w:rsid w:val="00C322F1"/>
    <w:rsid w:val="00C33376"/>
    <w:rsid w:val="00C3716C"/>
    <w:rsid w:val="00C37289"/>
    <w:rsid w:val="00C37BF4"/>
    <w:rsid w:val="00C41FEB"/>
    <w:rsid w:val="00C43283"/>
    <w:rsid w:val="00C504BD"/>
    <w:rsid w:val="00C54F65"/>
    <w:rsid w:val="00C55878"/>
    <w:rsid w:val="00C61956"/>
    <w:rsid w:val="00C6365B"/>
    <w:rsid w:val="00C64FC5"/>
    <w:rsid w:val="00C665D8"/>
    <w:rsid w:val="00C666B6"/>
    <w:rsid w:val="00C70B0C"/>
    <w:rsid w:val="00C734D8"/>
    <w:rsid w:val="00C73B3F"/>
    <w:rsid w:val="00C75B2A"/>
    <w:rsid w:val="00C761E5"/>
    <w:rsid w:val="00C76AFA"/>
    <w:rsid w:val="00C76BA2"/>
    <w:rsid w:val="00C801A4"/>
    <w:rsid w:val="00C81ACF"/>
    <w:rsid w:val="00C84479"/>
    <w:rsid w:val="00C86008"/>
    <w:rsid w:val="00C87413"/>
    <w:rsid w:val="00C903EC"/>
    <w:rsid w:val="00C91943"/>
    <w:rsid w:val="00C94B24"/>
    <w:rsid w:val="00C959DB"/>
    <w:rsid w:val="00C95F2B"/>
    <w:rsid w:val="00C97BC6"/>
    <w:rsid w:val="00CA0711"/>
    <w:rsid w:val="00CA3FF4"/>
    <w:rsid w:val="00CA67A6"/>
    <w:rsid w:val="00CA6DC0"/>
    <w:rsid w:val="00CB09B6"/>
    <w:rsid w:val="00CB0C11"/>
    <w:rsid w:val="00CB0C60"/>
    <w:rsid w:val="00CB315A"/>
    <w:rsid w:val="00CB6F79"/>
    <w:rsid w:val="00CC38F4"/>
    <w:rsid w:val="00CC50B3"/>
    <w:rsid w:val="00CC51B6"/>
    <w:rsid w:val="00CD23CB"/>
    <w:rsid w:val="00CD3048"/>
    <w:rsid w:val="00CD5BCB"/>
    <w:rsid w:val="00CD6928"/>
    <w:rsid w:val="00CD7347"/>
    <w:rsid w:val="00CD7581"/>
    <w:rsid w:val="00CE1CA2"/>
    <w:rsid w:val="00CE2139"/>
    <w:rsid w:val="00CE245C"/>
    <w:rsid w:val="00CE4EBD"/>
    <w:rsid w:val="00CE7BED"/>
    <w:rsid w:val="00CF098D"/>
    <w:rsid w:val="00CF3FFC"/>
    <w:rsid w:val="00D00FA4"/>
    <w:rsid w:val="00D02236"/>
    <w:rsid w:val="00D02655"/>
    <w:rsid w:val="00D03540"/>
    <w:rsid w:val="00D03EC3"/>
    <w:rsid w:val="00D04A2F"/>
    <w:rsid w:val="00D05E13"/>
    <w:rsid w:val="00D13135"/>
    <w:rsid w:val="00D177AC"/>
    <w:rsid w:val="00D2128F"/>
    <w:rsid w:val="00D2288B"/>
    <w:rsid w:val="00D24703"/>
    <w:rsid w:val="00D26CB3"/>
    <w:rsid w:val="00D31447"/>
    <w:rsid w:val="00D34A6C"/>
    <w:rsid w:val="00D37390"/>
    <w:rsid w:val="00D405F5"/>
    <w:rsid w:val="00D40FBC"/>
    <w:rsid w:val="00D41B59"/>
    <w:rsid w:val="00D42665"/>
    <w:rsid w:val="00D43371"/>
    <w:rsid w:val="00D43D00"/>
    <w:rsid w:val="00D43D53"/>
    <w:rsid w:val="00D464F3"/>
    <w:rsid w:val="00D52027"/>
    <w:rsid w:val="00D52D7E"/>
    <w:rsid w:val="00D61633"/>
    <w:rsid w:val="00D6216D"/>
    <w:rsid w:val="00D66084"/>
    <w:rsid w:val="00D66CAF"/>
    <w:rsid w:val="00D702FF"/>
    <w:rsid w:val="00D70381"/>
    <w:rsid w:val="00D70876"/>
    <w:rsid w:val="00D734D1"/>
    <w:rsid w:val="00D73C9C"/>
    <w:rsid w:val="00D80C32"/>
    <w:rsid w:val="00D825FB"/>
    <w:rsid w:val="00D8422D"/>
    <w:rsid w:val="00D84479"/>
    <w:rsid w:val="00D84BB3"/>
    <w:rsid w:val="00D8622E"/>
    <w:rsid w:val="00D8789E"/>
    <w:rsid w:val="00D91246"/>
    <w:rsid w:val="00D94CAC"/>
    <w:rsid w:val="00D94CCC"/>
    <w:rsid w:val="00D97ACE"/>
    <w:rsid w:val="00DA0838"/>
    <w:rsid w:val="00DA2BB2"/>
    <w:rsid w:val="00DA3B73"/>
    <w:rsid w:val="00DA5957"/>
    <w:rsid w:val="00DB06F5"/>
    <w:rsid w:val="00DB164A"/>
    <w:rsid w:val="00DB1C94"/>
    <w:rsid w:val="00DB3668"/>
    <w:rsid w:val="00DB425B"/>
    <w:rsid w:val="00DB5324"/>
    <w:rsid w:val="00DC19CA"/>
    <w:rsid w:val="00DC3B74"/>
    <w:rsid w:val="00DC5729"/>
    <w:rsid w:val="00DC5E86"/>
    <w:rsid w:val="00DC7160"/>
    <w:rsid w:val="00DD068E"/>
    <w:rsid w:val="00DD18AB"/>
    <w:rsid w:val="00DD2554"/>
    <w:rsid w:val="00DD2F2B"/>
    <w:rsid w:val="00DD375A"/>
    <w:rsid w:val="00DD410A"/>
    <w:rsid w:val="00DD561A"/>
    <w:rsid w:val="00DD6E8C"/>
    <w:rsid w:val="00DD7781"/>
    <w:rsid w:val="00DE0BEB"/>
    <w:rsid w:val="00DE1D65"/>
    <w:rsid w:val="00DE2212"/>
    <w:rsid w:val="00DE49FE"/>
    <w:rsid w:val="00DE7CA8"/>
    <w:rsid w:val="00DF08A0"/>
    <w:rsid w:val="00DF0D90"/>
    <w:rsid w:val="00DF33E5"/>
    <w:rsid w:val="00DF677F"/>
    <w:rsid w:val="00DF6F33"/>
    <w:rsid w:val="00DF74AC"/>
    <w:rsid w:val="00E024F4"/>
    <w:rsid w:val="00E027DA"/>
    <w:rsid w:val="00E02EC7"/>
    <w:rsid w:val="00E03985"/>
    <w:rsid w:val="00E04DC7"/>
    <w:rsid w:val="00E04DFA"/>
    <w:rsid w:val="00E05BA4"/>
    <w:rsid w:val="00E063E4"/>
    <w:rsid w:val="00E11938"/>
    <w:rsid w:val="00E22751"/>
    <w:rsid w:val="00E236DF"/>
    <w:rsid w:val="00E24FA9"/>
    <w:rsid w:val="00E2657D"/>
    <w:rsid w:val="00E30AE6"/>
    <w:rsid w:val="00E318F1"/>
    <w:rsid w:val="00E35436"/>
    <w:rsid w:val="00E37DB3"/>
    <w:rsid w:val="00E407D8"/>
    <w:rsid w:val="00E4366F"/>
    <w:rsid w:val="00E45B73"/>
    <w:rsid w:val="00E53568"/>
    <w:rsid w:val="00E53C9E"/>
    <w:rsid w:val="00E60E05"/>
    <w:rsid w:val="00E61C04"/>
    <w:rsid w:val="00E65F36"/>
    <w:rsid w:val="00E6636B"/>
    <w:rsid w:val="00E70667"/>
    <w:rsid w:val="00E71D29"/>
    <w:rsid w:val="00E73031"/>
    <w:rsid w:val="00E7366D"/>
    <w:rsid w:val="00E76242"/>
    <w:rsid w:val="00E80038"/>
    <w:rsid w:val="00E8018B"/>
    <w:rsid w:val="00E815A2"/>
    <w:rsid w:val="00E81DE0"/>
    <w:rsid w:val="00E86210"/>
    <w:rsid w:val="00E862FE"/>
    <w:rsid w:val="00E9167F"/>
    <w:rsid w:val="00E97455"/>
    <w:rsid w:val="00EA0607"/>
    <w:rsid w:val="00EA13FF"/>
    <w:rsid w:val="00EA1D95"/>
    <w:rsid w:val="00EA21E8"/>
    <w:rsid w:val="00EA42C5"/>
    <w:rsid w:val="00EA4C72"/>
    <w:rsid w:val="00EA5C24"/>
    <w:rsid w:val="00EA6570"/>
    <w:rsid w:val="00EB0698"/>
    <w:rsid w:val="00EB1E5B"/>
    <w:rsid w:val="00EB2467"/>
    <w:rsid w:val="00EB28C9"/>
    <w:rsid w:val="00EB5557"/>
    <w:rsid w:val="00EB69E8"/>
    <w:rsid w:val="00EC1EE0"/>
    <w:rsid w:val="00EC63E3"/>
    <w:rsid w:val="00ED0F87"/>
    <w:rsid w:val="00ED5757"/>
    <w:rsid w:val="00EE3AD8"/>
    <w:rsid w:val="00EE4D05"/>
    <w:rsid w:val="00EE7190"/>
    <w:rsid w:val="00EE782D"/>
    <w:rsid w:val="00EF33AD"/>
    <w:rsid w:val="00EF3CCA"/>
    <w:rsid w:val="00EF3D52"/>
    <w:rsid w:val="00EF5363"/>
    <w:rsid w:val="00EF5D2A"/>
    <w:rsid w:val="00F00F4A"/>
    <w:rsid w:val="00F04A8A"/>
    <w:rsid w:val="00F061FC"/>
    <w:rsid w:val="00F06C4C"/>
    <w:rsid w:val="00F0778F"/>
    <w:rsid w:val="00F07865"/>
    <w:rsid w:val="00F10EA4"/>
    <w:rsid w:val="00F12A8D"/>
    <w:rsid w:val="00F144B4"/>
    <w:rsid w:val="00F15AC5"/>
    <w:rsid w:val="00F26BD9"/>
    <w:rsid w:val="00F2700B"/>
    <w:rsid w:val="00F32A78"/>
    <w:rsid w:val="00F347A2"/>
    <w:rsid w:val="00F349BD"/>
    <w:rsid w:val="00F36B93"/>
    <w:rsid w:val="00F40AA5"/>
    <w:rsid w:val="00F434D8"/>
    <w:rsid w:val="00F461D5"/>
    <w:rsid w:val="00F47A68"/>
    <w:rsid w:val="00F6025E"/>
    <w:rsid w:val="00F61069"/>
    <w:rsid w:val="00F610B1"/>
    <w:rsid w:val="00F640A6"/>
    <w:rsid w:val="00F641D5"/>
    <w:rsid w:val="00F7016B"/>
    <w:rsid w:val="00F71B74"/>
    <w:rsid w:val="00F71C66"/>
    <w:rsid w:val="00F74100"/>
    <w:rsid w:val="00F75472"/>
    <w:rsid w:val="00F7785F"/>
    <w:rsid w:val="00F81841"/>
    <w:rsid w:val="00F91365"/>
    <w:rsid w:val="00F915B6"/>
    <w:rsid w:val="00F94379"/>
    <w:rsid w:val="00FA311B"/>
    <w:rsid w:val="00FA4232"/>
    <w:rsid w:val="00FB1934"/>
    <w:rsid w:val="00FB31E1"/>
    <w:rsid w:val="00FB48C6"/>
    <w:rsid w:val="00FC4057"/>
    <w:rsid w:val="00FC4650"/>
    <w:rsid w:val="00FC489D"/>
    <w:rsid w:val="00FC4AD8"/>
    <w:rsid w:val="00FC4D28"/>
    <w:rsid w:val="00FC5D50"/>
    <w:rsid w:val="00FC6C3B"/>
    <w:rsid w:val="00FD1C51"/>
    <w:rsid w:val="00FD2161"/>
    <w:rsid w:val="00FD44E9"/>
    <w:rsid w:val="00FD64FB"/>
    <w:rsid w:val="00FD6541"/>
    <w:rsid w:val="00FD7335"/>
    <w:rsid w:val="00FD7EC1"/>
    <w:rsid w:val="00FE0987"/>
    <w:rsid w:val="00FE6154"/>
    <w:rsid w:val="00FE6B35"/>
    <w:rsid w:val="00FF018B"/>
    <w:rsid w:val="00FF34DD"/>
    <w:rsid w:val="00FF7515"/>
    <w:rsid w:val="00FF7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B1"/>
    <w:rPr>
      <w:rFonts w:ascii="Times New Roman" w:eastAsia="Times New Roman" w:hAnsi="Times New Roman" w:cs="Times New Roman"/>
      <w:sz w:val="24"/>
      <w:szCs w:val="24"/>
    </w:rPr>
  </w:style>
  <w:style w:type="paragraph" w:styleId="Titre3">
    <w:name w:val="heading 3"/>
    <w:basedOn w:val="Normal"/>
    <w:link w:val="Titre3Car"/>
    <w:uiPriority w:val="9"/>
    <w:qFormat/>
    <w:locked/>
    <w:rsid w:val="00A1530E"/>
    <w:pPr>
      <w:spacing w:before="100" w:beforeAutospacing="1" w:after="100" w:afterAutospacing="1"/>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sid w:val="00A13F4D"/>
    <w:rPr>
      <w:rFonts w:ascii="Cambria" w:eastAsia="Times New Roman" w:hAnsi="Cambria" w:cs="Times New Roman"/>
      <w:b/>
      <w:bCs/>
      <w:sz w:val="26"/>
      <w:szCs w:val="26"/>
    </w:rPr>
  </w:style>
  <w:style w:type="paragraph" w:styleId="Titre">
    <w:name w:val="Title"/>
    <w:basedOn w:val="Normal"/>
    <w:link w:val="TitreCar"/>
    <w:uiPriority w:val="99"/>
    <w:qFormat/>
    <w:rsid w:val="00F610B1"/>
    <w:pPr>
      <w:jc w:val="center"/>
    </w:pPr>
    <w:rPr>
      <w:rFonts w:eastAsia="Calibri"/>
      <w:b/>
      <w:bCs/>
      <w:sz w:val="28"/>
      <w:szCs w:val="28"/>
    </w:rPr>
  </w:style>
  <w:style w:type="character" w:customStyle="1" w:styleId="TitleChar">
    <w:name w:val="Title Char"/>
    <w:uiPriority w:val="99"/>
    <w:locked/>
    <w:rsid w:val="00BE35F1"/>
    <w:rPr>
      <w:rFonts w:cs="Times New Roman"/>
      <w:b/>
      <w:bCs/>
      <w:sz w:val="28"/>
      <w:szCs w:val="28"/>
      <w:lang w:val="fr-FR" w:eastAsia="fr-FR" w:bidi="ar-SA"/>
    </w:rPr>
  </w:style>
  <w:style w:type="character" w:customStyle="1" w:styleId="TitreCar">
    <w:name w:val="Titre Car"/>
    <w:link w:val="Titre"/>
    <w:uiPriority w:val="99"/>
    <w:locked/>
    <w:rsid w:val="00F610B1"/>
    <w:rPr>
      <w:rFonts w:ascii="Times New Roman" w:hAnsi="Times New Roman" w:cs="Times New Roman"/>
      <w:b/>
      <w:bCs/>
      <w:sz w:val="28"/>
      <w:szCs w:val="28"/>
      <w:lang w:eastAsia="fr-FR"/>
    </w:rPr>
  </w:style>
  <w:style w:type="paragraph" w:styleId="Pieddepage">
    <w:name w:val="footer"/>
    <w:basedOn w:val="Normal"/>
    <w:link w:val="PieddepageCar"/>
    <w:uiPriority w:val="99"/>
    <w:rsid w:val="00F610B1"/>
    <w:pPr>
      <w:tabs>
        <w:tab w:val="center" w:pos="4536"/>
        <w:tab w:val="right" w:pos="9072"/>
      </w:tabs>
    </w:pPr>
    <w:rPr>
      <w:rFonts w:eastAsia="Calibri"/>
    </w:rPr>
  </w:style>
  <w:style w:type="character" w:customStyle="1" w:styleId="PieddepageCar">
    <w:name w:val="Pied de page Car"/>
    <w:link w:val="Pieddepage"/>
    <w:uiPriority w:val="99"/>
    <w:locked/>
    <w:rsid w:val="00F610B1"/>
    <w:rPr>
      <w:rFonts w:ascii="Times New Roman" w:hAnsi="Times New Roman" w:cs="Times New Roman"/>
      <w:sz w:val="24"/>
      <w:szCs w:val="24"/>
      <w:lang w:eastAsia="fr-FR"/>
    </w:rPr>
  </w:style>
  <w:style w:type="paragraph" w:customStyle="1" w:styleId="ListParagraph1">
    <w:name w:val="List Paragraph1"/>
    <w:basedOn w:val="Normal"/>
    <w:uiPriority w:val="99"/>
    <w:rsid w:val="00F610B1"/>
    <w:pPr>
      <w:ind w:left="720"/>
    </w:pPr>
  </w:style>
  <w:style w:type="paragraph" w:styleId="Textedebulles">
    <w:name w:val="Balloon Text"/>
    <w:basedOn w:val="Normal"/>
    <w:link w:val="TextedebullesCar"/>
    <w:uiPriority w:val="99"/>
    <w:semiHidden/>
    <w:rsid w:val="00F915B6"/>
    <w:rPr>
      <w:rFonts w:eastAsia="Calibri"/>
      <w:sz w:val="2"/>
      <w:szCs w:val="20"/>
    </w:rPr>
  </w:style>
  <w:style w:type="character" w:customStyle="1" w:styleId="TextedebullesCar">
    <w:name w:val="Texte de bulles Car"/>
    <w:link w:val="Textedebulles"/>
    <w:uiPriority w:val="99"/>
    <w:semiHidden/>
    <w:locked/>
    <w:rsid w:val="0052535A"/>
    <w:rPr>
      <w:rFonts w:ascii="Times New Roman" w:hAnsi="Times New Roman" w:cs="Times New Roman"/>
      <w:sz w:val="2"/>
    </w:rPr>
  </w:style>
  <w:style w:type="paragraph" w:styleId="En-tte">
    <w:name w:val="header"/>
    <w:basedOn w:val="Normal"/>
    <w:link w:val="En-tteCar"/>
    <w:uiPriority w:val="99"/>
    <w:semiHidden/>
    <w:rsid w:val="00FB1934"/>
    <w:pPr>
      <w:tabs>
        <w:tab w:val="center" w:pos="4536"/>
        <w:tab w:val="right" w:pos="9072"/>
      </w:tabs>
    </w:pPr>
    <w:rPr>
      <w:rFonts w:eastAsia="Calibri"/>
    </w:rPr>
  </w:style>
  <w:style w:type="character" w:customStyle="1" w:styleId="En-tteCar">
    <w:name w:val="En-tête Car"/>
    <w:link w:val="En-tte"/>
    <w:uiPriority w:val="99"/>
    <w:semiHidden/>
    <w:locked/>
    <w:rsid w:val="00FB1934"/>
    <w:rPr>
      <w:rFonts w:ascii="Times New Roman" w:hAnsi="Times New Roman" w:cs="Times New Roman"/>
      <w:sz w:val="24"/>
      <w:szCs w:val="24"/>
    </w:rPr>
  </w:style>
  <w:style w:type="paragraph" w:styleId="Paragraphedeliste">
    <w:name w:val="List Paragraph"/>
    <w:basedOn w:val="Normal"/>
    <w:uiPriority w:val="34"/>
    <w:qFormat/>
    <w:rsid w:val="00A3101E"/>
    <w:pPr>
      <w:ind w:left="720"/>
      <w:contextualSpacing/>
    </w:pPr>
  </w:style>
  <w:style w:type="character" w:styleId="lev">
    <w:name w:val="Strong"/>
    <w:uiPriority w:val="22"/>
    <w:qFormat/>
    <w:locked/>
    <w:rsid w:val="00882E3D"/>
    <w:rPr>
      <w:b/>
      <w:bCs/>
    </w:rPr>
  </w:style>
  <w:style w:type="character" w:customStyle="1" w:styleId="jlqj4b">
    <w:name w:val="jlqj4b"/>
    <w:basedOn w:val="Policepardfaut"/>
    <w:rsid w:val="00A02738"/>
  </w:style>
  <w:style w:type="character" w:styleId="Lienhypertexte">
    <w:name w:val="Hyperlink"/>
    <w:basedOn w:val="Policepardfaut"/>
    <w:uiPriority w:val="99"/>
    <w:unhideWhenUsed/>
    <w:rsid w:val="00A02738"/>
    <w:rPr>
      <w:color w:val="0000FF"/>
      <w:u w:val="single"/>
    </w:rPr>
  </w:style>
  <w:style w:type="character" w:customStyle="1" w:styleId="q4iawc">
    <w:name w:val="q4iawc"/>
    <w:basedOn w:val="Policepardfaut"/>
    <w:rsid w:val="0053627F"/>
  </w:style>
</w:styles>
</file>

<file path=word/webSettings.xml><?xml version="1.0" encoding="utf-8"?>
<w:webSettings xmlns:r="http://schemas.openxmlformats.org/officeDocument/2006/relationships" xmlns:w="http://schemas.openxmlformats.org/wordprocessingml/2006/main">
  <w:divs>
    <w:div w:id="61416231">
      <w:bodyDiv w:val="1"/>
      <w:marLeft w:val="0"/>
      <w:marRight w:val="0"/>
      <w:marTop w:val="0"/>
      <w:marBottom w:val="0"/>
      <w:divBdr>
        <w:top w:val="none" w:sz="0" w:space="0" w:color="auto"/>
        <w:left w:val="none" w:sz="0" w:space="0" w:color="auto"/>
        <w:bottom w:val="none" w:sz="0" w:space="0" w:color="auto"/>
        <w:right w:val="none" w:sz="0" w:space="0" w:color="auto"/>
      </w:divBdr>
      <w:divsChild>
        <w:div w:id="189882455">
          <w:marLeft w:val="0"/>
          <w:marRight w:val="0"/>
          <w:marTop w:val="0"/>
          <w:marBottom w:val="0"/>
          <w:divBdr>
            <w:top w:val="none" w:sz="0" w:space="0" w:color="auto"/>
            <w:left w:val="none" w:sz="0" w:space="0" w:color="auto"/>
            <w:bottom w:val="none" w:sz="0" w:space="0" w:color="auto"/>
            <w:right w:val="none" w:sz="0" w:space="0" w:color="auto"/>
          </w:divBdr>
        </w:div>
        <w:div w:id="622810090">
          <w:marLeft w:val="0"/>
          <w:marRight w:val="0"/>
          <w:marTop w:val="0"/>
          <w:marBottom w:val="0"/>
          <w:divBdr>
            <w:top w:val="none" w:sz="0" w:space="0" w:color="auto"/>
            <w:left w:val="none" w:sz="0" w:space="0" w:color="auto"/>
            <w:bottom w:val="none" w:sz="0" w:space="0" w:color="auto"/>
            <w:right w:val="none" w:sz="0" w:space="0" w:color="auto"/>
          </w:divBdr>
        </w:div>
        <w:div w:id="1331568428">
          <w:marLeft w:val="0"/>
          <w:marRight w:val="0"/>
          <w:marTop w:val="0"/>
          <w:marBottom w:val="0"/>
          <w:divBdr>
            <w:top w:val="none" w:sz="0" w:space="0" w:color="auto"/>
            <w:left w:val="none" w:sz="0" w:space="0" w:color="auto"/>
            <w:bottom w:val="none" w:sz="0" w:space="0" w:color="auto"/>
            <w:right w:val="none" w:sz="0" w:space="0" w:color="auto"/>
          </w:divBdr>
        </w:div>
        <w:div w:id="1835603840">
          <w:marLeft w:val="0"/>
          <w:marRight w:val="0"/>
          <w:marTop w:val="0"/>
          <w:marBottom w:val="0"/>
          <w:divBdr>
            <w:top w:val="none" w:sz="0" w:space="0" w:color="auto"/>
            <w:left w:val="none" w:sz="0" w:space="0" w:color="auto"/>
            <w:bottom w:val="none" w:sz="0" w:space="0" w:color="auto"/>
            <w:right w:val="none" w:sz="0" w:space="0" w:color="auto"/>
          </w:divBdr>
        </w:div>
        <w:div w:id="1875187988">
          <w:marLeft w:val="0"/>
          <w:marRight w:val="0"/>
          <w:marTop w:val="0"/>
          <w:marBottom w:val="0"/>
          <w:divBdr>
            <w:top w:val="none" w:sz="0" w:space="0" w:color="auto"/>
            <w:left w:val="none" w:sz="0" w:space="0" w:color="auto"/>
            <w:bottom w:val="none" w:sz="0" w:space="0" w:color="auto"/>
            <w:right w:val="none" w:sz="0" w:space="0" w:color="auto"/>
          </w:divBdr>
        </w:div>
      </w:divsChild>
    </w:div>
    <w:div w:id="679434801">
      <w:marLeft w:val="0"/>
      <w:marRight w:val="0"/>
      <w:marTop w:val="0"/>
      <w:marBottom w:val="0"/>
      <w:divBdr>
        <w:top w:val="none" w:sz="0" w:space="0" w:color="auto"/>
        <w:left w:val="none" w:sz="0" w:space="0" w:color="auto"/>
        <w:bottom w:val="none" w:sz="0" w:space="0" w:color="auto"/>
        <w:right w:val="none" w:sz="0" w:space="0" w:color="auto"/>
      </w:divBdr>
    </w:div>
    <w:div w:id="679434802">
      <w:marLeft w:val="0"/>
      <w:marRight w:val="0"/>
      <w:marTop w:val="0"/>
      <w:marBottom w:val="0"/>
      <w:divBdr>
        <w:top w:val="none" w:sz="0" w:space="0" w:color="auto"/>
        <w:left w:val="none" w:sz="0" w:space="0" w:color="auto"/>
        <w:bottom w:val="none" w:sz="0" w:space="0" w:color="auto"/>
        <w:right w:val="none" w:sz="0" w:space="0" w:color="auto"/>
      </w:divBdr>
      <w:divsChild>
        <w:div w:id="679434805">
          <w:marLeft w:val="0"/>
          <w:marRight w:val="0"/>
          <w:marTop w:val="0"/>
          <w:marBottom w:val="0"/>
          <w:divBdr>
            <w:top w:val="none" w:sz="0" w:space="0" w:color="auto"/>
            <w:left w:val="none" w:sz="0" w:space="0" w:color="auto"/>
            <w:bottom w:val="none" w:sz="0" w:space="0" w:color="auto"/>
            <w:right w:val="none" w:sz="0" w:space="0" w:color="auto"/>
          </w:divBdr>
        </w:div>
      </w:divsChild>
    </w:div>
    <w:div w:id="679434803">
      <w:marLeft w:val="0"/>
      <w:marRight w:val="0"/>
      <w:marTop w:val="0"/>
      <w:marBottom w:val="0"/>
      <w:divBdr>
        <w:top w:val="none" w:sz="0" w:space="0" w:color="auto"/>
        <w:left w:val="none" w:sz="0" w:space="0" w:color="auto"/>
        <w:bottom w:val="none" w:sz="0" w:space="0" w:color="auto"/>
        <w:right w:val="none" w:sz="0" w:space="0" w:color="auto"/>
      </w:divBdr>
    </w:div>
    <w:div w:id="679434806">
      <w:marLeft w:val="0"/>
      <w:marRight w:val="0"/>
      <w:marTop w:val="0"/>
      <w:marBottom w:val="0"/>
      <w:divBdr>
        <w:top w:val="none" w:sz="0" w:space="0" w:color="auto"/>
        <w:left w:val="none" w:sz="0" w:space="0" w:color="auto"/>
        <w:bottom w:val="none" w:sz="0" w:space="0" w:color="auto"/>
        <w:right w:val="none" w:sz="0" w:space="0" w:color="auto"/>
      </w:divBdr>
    </w:div>
    <w:div w:id="679434807">
      <w:marLeft w:val="0"/>
      <w:marRight w:val="0"/>
      <w:marTop w:val="0"/>
      <w:marBottom w:val="0"/>
      <w:divBdr>
        <w:top w:val="none" w:sz="0" w:space="0" w:color="auto"/>
        <w:left w:val="none" w:sz="0" w:space="0" w:color="auto"/>
        <w:bottom w:val="none" w:sz="0" w:space="0" w:color="auto"/>
        <w:right w:val="none" w:sz="0" w:space="0" w:color="auto"/>
      </w:divBdr>
    </w:div>
    <w:div w:id="679434808">
      <w:marLeft w:val="0"/>
      <w:marRight w:val="0"/>
      <w:marTop w:val="0"/>
      <w:marBottom w:val="0"/>
      <w:divBdr>
        <w:top w:val="none" w:sz="0" w:space="0" w:color="auto"/>
        <w:left w:val="none" w:sz="0" w:space="0" w:color="auto"/>
        <w:bottom w:val="none" w:sz="0" w:space="0" w:color="auto"/>
        <w:right w:val="none" w:sz="0" w:space="0" w:color="auto"/>
      </w:divBdr>
      <w:divsChild>
        <w:div w:id="679434804">
          <w:marLeft w:val="0"/>
          <w:marRight w:val="0"/>
          <w:marTop w:val="0"/>
          <w:marBottom w:val="0"/>
          <w:divBdr>
            <w:top w:val="none" w:sz="0" w:space="0" w:color="auto"/>
            <w:left w:val="none" w:sz="0" w:space="0" w:color="auto"/>
            <w:bottom w:val="none" w:sz="0" w:space="0" w:color="auto"/>
            <w:right w:val="none" w:sz="0" w:space="0" w:color="auto"/>
          </w:divBdr>
        </w:div>
      </w:divsChild>
    </w:div>
    <w:div w:id="704595194">
      <w:bodyDiv w:val="1"/>
      <w:marLeft w:val="0"/>
      <w:marRight w:val="0"/>
      <w:marTop w:val="0"/>
      <w:marBottom w:val="0"/>
      <w:divBdr>
        <w:top w:val="none" w:sz="0" w:space="0" w:color="auto"/>
        <w:left w:val="none" w:sz="0" w:space="0" w:color="auto"/>
        <w:bottom w:val="none" w:sz="0" w:space="0" w:color="auto"/>
        <w:right w:val="none" w:sz="0" w:space="0" w:color="auto"/>
      </w:divBdr>
    </w:div>
    <w:div w:id="1036584114">
      <w:bodyDiv w:val="1"/>
      <w:marLeft w:val="0"/>
      <w:marRight w:val="0"/>
      <w:marTop w:val="0"/>
      <w:marBottom w:val="0"/>
      <w:divBdr>
        <w:top w:val="none" w:sz="0" w:space="0" w:color="auto"/>
        <w:left w:val="none" w:sz="0" w:space="0" w:color="auto"/>
        <w:bottom w:val="none" w:sz="0" w:space="0" w:color="auto"/>
        <w:right w:val="none" w:sz="0" w:space="0" w:color="auto"/>
      </w:divBdr>
    </w:div>
    <w:div w:id="1274558939">
      <w:bodyDiv w:val="1"/>
      <w:marLeft w:val="0"/>
      <w:marRight w:val="0"/>
      <w:marTop w:val="0"/>
      <w:marBottom w:val="0"/>
      <w:divBdr>
        <w:top w:val="none" w:sz="0" w:space="0" w:color="auto"/>
        <w:left w:val="none" w:sz="0" w:space="0" w:color="auto"/>
        <w:bottom w:val="none" w:sz="0" w:space="0" w:color="auto"/>
        <w:right w:val="none" w:sz="0" w:space="0" w:color="auto"/>
      </w:divBdr>
    </w:div>
    <w:div w:id="194407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ext.reverso.net/traduction/arabe-francais/%D8%A7%D9%84%D8%B4%D8%B1%D9%83%D8%A7%D8%AA+%D8%BA%D9%8A%D8%B1+%D8%A7%D9%84%D9%85%D8%A7%D9%84%D9%8A%D8%A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xt.reverso.net/traduction/arabe-francais/%D8%A7%D9%84%D9%81%D8%B1%D9%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ntext.reverso.net/traduction/arabe-francais/%D8%A7%D9%84%D8%B4%D8%B1%D9%83%D8%A7%D8%AA+%D8%A7%D9%84%D9%85%D8%A7%D9%84%D9%8A%D8%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xt.reverso.net/traduction/arabe-francais/%D8%A7%D9%84%D9%82%D8%B7%D8%A7%D8%B9+%D8%A7%D9%84%D8%AB%D8%A7%D9%84%D8%AB%D9%8A" TargetMode="External"/><Relationship Id="rId5" Type="http://schemas.openxmlformats.org/officeDocument/2006/relationships/webSettings" Target="webSettings.xml"/><Relationship Id="rId15" Type="http://schemas.openxmlformats.org/officeDocument/2006/relationships/hyperlink" Target="https://context.reverso.net/traduction/arabe-francais/%D8%A7%D9%84%D9%81%D8%B1%D9%82" TargetMode="External"/><Relationship Id="rId10" Type="http://schemas.openxmlformats.org/officeDocument/2006/relationships/hyperlink" Target="https://context.reverso.net/traduction/arabe-francais/%D8%A7%D9%84%D9%82%D8%B7%D8%A7%D8%B9+%D8%A7%D9%84%D8%AB%D8%A7%D9%86%D9%88%D9%8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ontext.reverso.net/traduction/arabe-francais/%D8%A7%D9%84%D8%B4%D8%B1%D9%83%D8%A7%D8%AA+%D8%A7%D9%84%D9%85%D8%A7%D9%84%D9%8A%D8%A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OneDrive\cnt_juin2021\comptes_nat_t1_2021_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3EE3-243C-4D6D-A81B-2B10ABF9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comptes_nat_t1_2021_fr</Template>
  <TotalTime>3</TotalTime>
  <Pages>1</Pages>
  <Words>1656</Words>
  <Characters>9108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10743</CharactersWithSpaces>
  <SharedDoc>false</SharedDoc>
  <HLinks>
    <vt:vector size="42" baseType="variant">
      <vt:variant>
        <vt:i4>2097274</vt:i4>
      </vt:variant>
      <vt:variant>
        <vt:i4>18</vt:i4>
      </vt:variant>
      <vt:variant>
        <vt:i4>0</vt:i4>
      </vt:variant>
      <vt:variant>
        <vt:i4>5</vt:i4>
      </vt:variant>
      <vt:variant>
        <vt:lpwstr>https://context.reverso.net/traduction/arabe-francais/%D8%A7%D9%84%D8%B4%D8%B1%D9%83%D8%A7%D8%AA+%D8%A7%D9%84%D9%85%D8%A7%D9%84%D9%8A%D8%A9</vt:lpwstr>
      </vt:variant>
      <vt:variant>
        <vt:lpwstr/>
      </vt:variant>
      <vt:variant>
        <vt:i4>917535</vt:i4>
      </vt:variant>
      <vt:variant>
        <vt:i4>15</vt:i4>
      </vt:variant>
      <vt:variant>
        <vt:i4>0</vt:i4>
      </vt:variant>
      <vt:variant>
        <vt:i4>5</vt:i4>
      </vt:variant>
      <vt:variant>
        <vt:lpwstr>https://context.reverso.net/traduction/arabe-francais/%D8%A7%D9%84%D9%81%D8%B1%D9%82</vt:lpwstr>
      </vt:variant>
      <vt:variant>
        <vt:lpwstr/>
      </vt:variant>
      <vt:variant>
        <vt:i4>2097274</vt:i4>
      </vt:variant>
      <vt:variant>
        <vt:i4>12</vt:i4>
      </vt:variant>
      <vt:variant>
        <vt:i4>0</vt:i4>
      </vt:variant>
      <vt:variant>
        <vt:i4>5</vt:i4>
      </vt:variant>
      <vt:variant>
        <vt:lpwstr>https://context.reverso.net/traduction/arabe-francais/%D8%A7%D9%84%D8%B4%D8%B1%D9%83%D8%A7%D8%AA+%D8%A7%D9%84%D9%85%D8%A7%D9%84%D9%8A%D8%A9</vt:lpwstr>
      </vt:variant>
      <vt:variant>
        <vt:lpwstr/>
      </vt:variant>
      <vt:variant>
        <vt:i4>8323171</vt:i4>
      </vt:variant>
      <vt:variant>
        <vt:i4>9</vt:i4>
      </vt:variant>
      <vt:variant>
        <vt:i4>0</vt:i4>
      </vt:variant>
      <vt:variant>
        <vt:i4>5</vt:i4>
      </vt:variant>
      <vt:variant>
        <vt:lpwstr>https://context.reverso.net/traduction/arabe-francais/%D8%A7%D9%84%D8%B4%D8%B1%D9%83%D8%A7%D8%AA+%D8%BA%D9%8A%D8%B1+%D8%A7%D9%84%D9%85%D8%A7%D9%84%D9%8A%D8%A9</vt:lpwstr>
      </vt:variant>
      <vt:variant>
        <vt:lpwstr/>
      </vt:variant>
      <vt:variant>
        <vt:i4>917535</vt:i4>
      </vt:variant>
      <vt:variant>
        <vt:i4>6</vt:i4>
      </vt:variant>
      <vt:variant>
        <vt:i4>0</vt:i4>
      </vt:variant>
      <vt:variant>
        <vt:i4>5</vt:i4>
      </vt:variant>
      <vt:variant>
        <vt:lpwstr>https://context.reverso.net/traduction/arabe-francais/%D8%A7%D9%84%D9%81%D8%B1%D9%82</vt:lpwstr>
      </vt:variant>
      <vt:variant>
        <vt:lpwstr/>
      </vt:variant>
      <vt:variant>
        <vt:i4>5374034</vt:i4>
      </vt:variant>
      <vt:variant>
        <vt:i4>3</vt:i4>
      </vt:variant>
      <vt:variant>
        <vt:i4>0</vt:i4>
      </vt:variant>
      <vt:variant>
        <vt:i4>5</vt:i4>
      </vt:variant>
      <vt:variant>
        <vt:lpwstr>https://context.reverso.net/traduction/arabe-francais/%D8%A7%D9%84%D9%82%D8%B7%D8%A7%D8%B9+%D8%A7%D9%84%D8%AB%D8%A7%D9%84%D8%AB%D9%8A</vt:lpwstr>
      </vt:variant>
      <vt:variant>
        <vt:lpwstr/>
      </vt:variant>
      <vt:variant>
        <vt:i4>655370</vt:i4>
      </vt:variant>
      <vt:variant>
        <vt:i4>0</vt:i4>
      </vt:variant>
      <vt:variant>
        <vt:i4>0</vt:i4>
      </vt:variant>
      <vt:variant>
        <vt:i4>5</vt:i4>
      </vt:variant>
      <vt:variant>
        <vt:lpwstr>https://context.reverso.net/traduction/arabe-francais/%D8%A7%D9%84%D9%82%D8%B7%D8%A7%D8%B9+%D8%A7%D9%84%D8%AB%D8%A7%D9%86%D9%88%D9%8A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HCP</cp:lastModifiedBy>
  <cp:revision>5</cp:revision>
  <cp:lastPrinted>2022-03-29T11:54:00Z</cp:lastPrinted>
  <dcterms:created xsi:type="dcterms:W3CDTF">2022-04-19T00:31:00Z</dcterms:created>
  <dcterms:modified xsi:type="dcterms:W3CDTF">2022-04-19T00:34:00Z</dcterms:modified>
</cp:coreProperties>
</file>