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011" w:rsidRDefault="00AE2011" w:rsidP="00AE2011">
      <w:pPr>
        <w:spacing w:before="240" w:after="240" w:line="312" w:lineRule="auto"/>
        <w:ind w:left="-180"/>
        <w:jc w:val="center"/>
        <w:rPr>
          <w:rFonts w:ascii="Book Antiqua" w:eastAsia="Book Antiqua" w:hAnsi="Book Antiqua" w:cs="Book Antiqua"/>
          <w:b/>
          <w:color w:val="4472C4"/>
          <w:sz w:val="28"/>
          <w:szCs w:val="28"/>
        </w:rPr>
      </w:pPr>
    </w:p>
    <w:p w:rsidR="00381E37" w:rsidRDefault="00381E37" w:rsidP="00AE2011">
      <w:pPr>
        <w:spacing w:before="240" w:after="240" w:line="312" w:lineRule="auto"/>
        <w:ind w:left="-180"/>
        <w:jc w:val="center"/>
        <w:rPr>
          <w:rFonts w:ascii="Book Antiqua" w:eastAsia="Book Antiqua" w:hAnsi="Book Antiqua" w:cs="Book Antiqua"/>
          <w:b/>
          <w:color w:val="4472C4"/>
          <w:sz w:val="28"/>
          <w:szCs w:val="28"/>
        </w:rPr>
      </w:pPr>
    </w:p>
    <w:p w:rsidR="00381E37" w:rsidRDefault="00381E37" w:rsidP="00AE2011">
      <w:pPr>
        <w:spacing w:before="240" w:after="240" w:line="312" w:lineRule="auto"/>
        <w:ind w:left="-180"/>
        <w:jc w:val="center"/>
        <w:rPr>
          <w:rFonts w:ascii="Book Antiqua" w:eastAsia="Book Antiqua" w:hAnsi="Book Antiqua" w:cs="Book Antiqua"/>
          <w:b/>
          <w:color w:val="4472C4"/>
          <w:sz w:val="28"/>
          <w:szCs w:val="28"/>
        </w:rPr>
      </w:pPr>
    </w:p>
    <w:p w:rsidR="00AD230E" w:rsidRDefault="00E537B1" w:rsidP="00AE2011">
      <w:pPr>
        <w:spacing w:before="240" w:after="240" w:line="312" w:lineRule="auto"/>
        <w:ind w:left="-180"/>
        <w:jc w:val="center"/>
        <w:rPr>
          <w:rFonts w:ascii="Book Antiqua" w:eastAsia="Book Antiqua" w:hAnsi="Book Antiqua" w:cs="Book Antiqua"/>
          <w:b/>
          <w:color w:val="0070C0"/>
          <w:sz w:val="28"/>
          <w:szCs w:val="28"/>
        </w:rPr>
      </w:pPr>
      <w:r w:rsidRPr="003D03B0">
        <w:rPr>
          <w:rFonts w:ascii="Book Antiqua" w:eastAsia="Book Antiqua" w:hAnsi="Book Antiqua" w:cs="Book Antiqua"/>
          <w:b/>
          <w:color w:val="0070C0"/>
          <w:sz w:val="28"/>
          <w:szCs w:val="28"/>
        </w:rPr>
        <w:t xml:space="preserve">NOTE D’INFORMATION DU HAUT-COMMISSARIAT AU PLAN RELATIVE A LA SITUATION DU MARCHÉ DU TRAVAIL AU </w:t>
      </w:r>
      <w:r w:rsidR="00BE6DCB">
        <w:rPr>
          <w:rFonts w:ascii="Book Antiqua" w:eastAsia="Book Antiqua" w:hAnsi="Book Antiqua" w:cs="Book Antiqua"/>
          <w:b/>
          <w:color w:val="0070C0"/>
          <w:sz w:val="28"/>
          <w:szCs w:val="28"/>
        </w:rPr>
        <w:t>PREMIER TRIMESTRE DE 202</w:t>
      </w:r>
      <w:r w:rsidR="002B3344">
        <w:rPr>
          <w:rFonts w:ascii="Book Antiqua" w:eastAsia="Book Antiqua" w:hAnsi="Book Antiqua" w:cs="Book Antiqua"/>
          <w:b/>
          <w:color w:val="0070C0"/>
          <w:sz w:val="28"/>
          <w:szCs w:val="28"/>
        </w:rPr>
        <w:t>2</w:t>
      </w:r>
    </w:p>
    <w:p w:rsidR="008B6DE8" w:rsidRPr="003D03B0" w:rsidRDefault="00850ED5" w:rsidP="00AE2011">
      <w:pPr>
        <w:spacing w:before="240" w:after="240" w:line="312" w:lineRule="auto"/>
        <w:ind w:left="-180"/>
        <w:jc w:val="center"/>
        <w:rPr>
          <w:rFonts w:ascii="Book Antiqua" w:eastAsia="Book Antiqua" w:hAnsi="Book Antiqua" w:cs="Book Antiqua"/>
          <w:b/>
          <w:color w:val="0070C0"/>
          <w:sz w:val="28"/>
          <w:szCs w:val="28"/>
        </w:rPr>
      </w:pPr>
      <w:r>
        <w:rPr>
          <w:rFonts w:ascii="Book Antiqua" w:eastAsia="Book Antiqua" w:hAnsi="Book Antiqua" w:cs="Book Antiqua"/>
          <w:b/>
          <w:color w:val="0070C0"/>
          <w:sz w:val="28"/>
          <w:szCs w:val="28"/>
        </w:rPr>
        <w:t xml:space="preserve">        </w:t>
      </w:r>
    </w:p>
    <w:p w:rsidR="007B0E8A" w:rsidRPr="005678CB" w:rsidRDefault="00322D6D" w:rsidP="00B5537D">
      <w:pPr>
        <w:spacing w:before="120" w:after="120" w:line="312" w:lineRule="auto"/>
        <w:jc w:val="both"/>
        <w:rPr>
          <w:rFonts w:ascii="Book Antiqua" w:eastAsia="Book Antiqua" w:hAnsi="Book Antiqua" w:cs="Book Antiqua"/>
          <w:color w:val="1F497D" w:themeColor="text2"/>
          <w:sz w:val="24"/>
          <w:szCs w:val="24"/>
        </w:rPr>
      </w:pPr>
      <w:r w:rsidRPr="005678CB">
        <w:rPr>
          <w:rFonts w:ascii="Book Antiqua" w:eastAsia="Book Antiqua" w:hAnsi="Book Antiqua" w:cs="Book Antiqua"/>
          <w:color w:val="1F497D" w:themeColor="text2"/>
          <w:sz w:val="24"/>
          <w:szCs w:val="24"/>
        </w:rPr>
        <w:t>Entre le premier trimestre de 202</w:t>
      </w:r>
      <w:r w:rsidR="00496A39" w:rsidRPr="005678CB">
        <w:rPr>
          <w:rFonts w:ascii="Book Antiqua" w:eastAsia="Book Antiqua" w:hAnsi="Book Antiqua" w:cs="Book Antiqua"/>
          <w:color w:val="1F497D" w:themeColor="text2"/>
          <w:sz w:val="24"/>
          <w:szCs w:val="24"/>
        </w:rPr>
        <w:t>1</w:t>
      </w:r>
      <w:r w:rsidRPr="005678CB">
        <w:rPr>
          <w:rFonts w:ascii="Book Antiqua" w:eastAsia="Book Antiqua" w:hAnsi="Book Antiqua" w:cs="Book Antiqua"/>
          <w:color w:val="1F497D" w:themeColor="text2"/>
          <w:sz w:val="24"/>
          <w:szCs w:val="24"/>
        </w:rPr>
        <w:t xml:space="preserve"> et celui de 202</w:t>
      </w:r>
      <w:r w:rsidR="00496A39" w:rsidRPr="005678CB">
        <w:rPr>
          <w:rFonts w:ascii="Book Antiqua" w:eastAsia="Book Antiqua" w:hAnsi="Book Antiqua" w:cs="Book Antiqua"/>
          <w:color w:val="1F497D" w:themeColor="text2"/>
          <w:sz w:val="24"/>
          <w:szCs w:val="24"/>
        </w:rPr>
        <w:t>2</w:t>
      </w:r>
      <w:r w:rsidRPr="005678CB">
        <w:rPr>
          <w:rFonts w:ascii="Book Antiqua" w:eastAsia="Book Antiqua" w:hAnsi="Book Antiqua" w:cs="Book Antiqua"/>
          <w:color w:val="1F497D" w:themeColor="text2"/>
          <w:sz w:val="24"/>
          <w:szCs w:val="24"/>
        </w:rPr>
        <w:t xml:space="preserve">, </w:t>
      </w:r>
      <w:r w:rsidR="00E05CC1" w:rsidRPr="005678CB">
        <w:rPr>
          <w:rFonts w:ascii="Book Antiqua" w:eastAsia="Book Antiqua" w:hAnsi="Book Antiqua" w:cs="Book Antiqua"/>
          <w:color w:val="1F497D" w:themeColor="text2"/>
          <w:sz w:val="24"/>
          <w:szCs w:val="24"/>
        </w:rPr>
        <w:t>l’économie nationale a perdu 58</w:t>
      </w:r>
      <w:r w:rsidR="00314915" w:rsidRPr="005678CB">
        <w:rPr>
          <w:rFonts w:ascii="Book Antiqua" w:eastAsia="Book Antiqua" w:hAnsi="Book Antiqua" w:cs="Book Antiqua"/>
          <w:color w:val="1F497D" w:themeColor="text2"/>
          <w:sz w:val="24"/>
          <w:szCs w:val="24"/>
        </w:rPr>
        <w:t>.</w:t>
      </w:r>
      <w:r w:rsidR="00E05CC1" w:rsidRPr="005678CB">
        <w:rPr>
          <w:rFonts w:ascii="Book Antiqua" w:eastAsia="Book Antiqua" w:hAnsi="Book Antiqua" w:cs="Book Antiqua"/>
          <w:color w:val="1F497D" w:themeColor="text2"/>
          <w:sz w:val="24"/>
          <w:szCs w:val="24"/>
        </w:rPr>
        <w:t>000 postes d’emploi au niveau national</w:t>
      </w:r>
      <w:r w:rsidR="00314915" w:rsidRPr="005678CB">
        <w:rPr>
          <w:rFonts w:ascii="Book Antiqua" w:eastAsia="Book Antiqua" w:hAnsi="Book Antiqua" w:cs="Book Antiqua"/>
          <w:color w:val="1F497D" w:themeColor="text2"/>
          <w:sz w:val="24"/>
          <w:szCs w:val="24"/>
        </w:rPr>
        <w:t>,</w:t>
      </w:r>
      <w:r w:rsidR="00E05CC1" w:rsidRPr="005678CB">
        <w:rPr>
          <w:rFonts w:ascii="Book Antiqua" w:eastAsia="Book Antiqua" w:hAnsi="Book Antiqua" w:cs="Book Antiqua"/>
          <w:color w:val="1F497D" w:themeColor="text2"/>
          <w:sz w:val="24"/>
          <w:szCs w:val="24"/>
        </w:rPr>
        <w:t xml:space="preserve"> résultat d’une </w:t>
      </w:r>
      <w:r w:rsidR="00311D7D" w:rsidRPr="005678CB">
        <w:rPr>
          <w:rFonts w:ascii="Book Antiqua" w:eastAsia="Book Antiqua" w:hAnsi="Book Antiqua" w:cs="Book Antiqua"/>
          <w:color w:val="1F497D" w:themeColor="text2"/>
          <w:sz w:val="24"/>
          <w:szCs w:val="24"/>
        </w:rPr>
        <w:t xml:space="preserve">création de </w:t>
      </w:r>
      <w:r w:rsidR="00496A39" w:rsidRPr="005678CB">
        <w:rPr>
          <w:rFonts w:ascii="Book Antiqua" w:eastAsia="Book Antiqua" w:hAnsi="Book Antiqua" w:cs="Book Antiqua"/>
          <w:color w:val="1F497D" w:themeColor="text2"/>
          <w:sz w:val="24"/>
          <w:szCs w:val="24"/>
        </w:rPr>
        <w:t>90</w:t>
      </w:r>
      <w:r w:rsidR="00311D7D" w:rsidRPr="005678CB">
        <w:rPr>
          <w:rFonts w:ascii="Book Antiqua" w:eastAsia="Book Antiqua" w:hAnsi="Book Antiqua" w:cs="Book Antiqua"/>
          <w:color w:val="1F497D" w:themeColor="text2"/>
          <w:sz w:val="24"/>
          <w:szCs w:val="24"/>
        </w:rPr>
        <w:t xml:space="preserve">.000 postes en milieu urbain et </w:t>
      </w:r>
      <w:r w:rsidR="00907851" w:rsidRPr="005678CB">
        <w:rPr>
          <w:rFonts w:ascii="Book Antiqua" w:eastAsia="Book Antiqua" w:hAnsi="Book Antiqua" w:cs="Book Antiqua"/>
          <w:color w:val="1F497D" w:themeColor="text2"/>
          <w:sz w:val="24"/>
          <w:szCs w:val="24"/>
        </w:rPr>
        <w:t>d’</w:t>
      </w:r>
      <w:r w:rsidR="00311D7D" w:rsidRPr="005678CB">
        <w:rPr>
          <w:rFonts w:ascii="Book Antiqua" w:eastAsia="Book Antiqua" w:hAnsi="Book Antiqua" w:cs="Book Antiqua"/>
          <w:color w:val="1F497D" w:themeColor="text2"/>
          <w:sz w:val="24"/>
          <w:szCs w:val="24"/>
        </w:rPr>
        <w:t xml:space="preserve">une perte de </w:t>
      </w:r>
      <w:r w:rsidR="00496A39" w:rsidRPr="005678CB">
        <w:rPr>
          <w:rFonts w:ascii="Book Antiqua" w:eastAsia="Book Antiqua" w:hAnsi="Book Antiqua" w:cs="Book Antiqua"/>
          <w:color w:val="1F497D" w:themeColor="text2"/>
          <w:sz w:val="24"/>
          <w:szCs w:val="24"/>
        </w:rPr>
        <w:t>148</w:t>
      </w:r>
      <w:r w:rsidR="00311D7D" w:rsidRPr="005678CB">
        <w:rPr>
          <w:rFonts w:ascii="Book Antiqua" w:eastAsia="Book Antiqua" w:hAnsi="Book Antiqua" w:cs="Book Antiqua"/>
          <w:color w:val="1F497D" w:themeColor="text2"/>
          <w:sz w:val="24"/>
          <w:szCs w:val="24"/>
        </w:rPr>
        <w:t>.000 en milieu rural</w:t>
      </w:r>
      <w:r w:rsidR="00314915" w:rsidRPr="00850ED5">
        <w:rPr>
          <w:rFonts w:ascii="Book Antiqua" w:eastAsia="Book Antiqua" w:hAnsi="Book Antiqua" w:cs="Book Antiqua"/>
          <w:color w:val="1F497D" w:themeColor="text2"/>
          <w:sz w:val="24"/>
          <w:szCs w:val="24"/>
        </w:rPr>
        <w:t xml:space="preserve">, </w:t>
      </w:r>
      <w:r w:rsidR="00B5537D" w:rsidRPr="00850ED5">
        <w:rPr>
          <w:rFonts w:ascii="Book Antiqua" w:eastAsia="Book Antiqua" w:hAnsi="Book Antiqua" w:cs="Book Antiqua"/>
          <w:color w:val="1F497D" w:themeColor="text2"/>
          <w:sz w:val="24"/>
          <w:szCs w:val="24"/>
        </w:rPr>
        <w:t xml:space="preserve"> après</w:t>
      </w:r>
      <w:r w:rsidR="00314915" w:rsidRPr="005678CB">
        <w:rPr>
          <w:rFonts w:ascii="Book Antiqua" w:eastAsia="Book Antiqua" w:hAnsi="Book Antiqua" w:cs="Book Antiqua"/>
          <w:color w:val="1F497D" w:themeColor="text2"/>
          <w:sz w:val="24"/>
          <w:szCs w:val="24"/>
        </w:rPr>
        <w:t xml:space="preserve"> une perte de 202.000 postes une année auparavant. </w:t>
      </w:r>
    </w:p>
    <w:p w:rsidR="00AC0498" w:rsidRPr="005678CB" w:rsidRDefault="00B5537D" w:rsidP="00B5537D">
      <w:pPr>
        <w:spacing w:before="120" w:after="120" w:line="312" w:lineRule="auto"/>
        <w:jc w:val="both"/>
        <w:rPr>
          <w:rFonts w:ascii="Book Antiqua" w:eastAsia="Book Antiqua" w:hAnsi="Book Antiqua" w:cs="Book Antiqua"/>
          <w:color w:val="1F497D" w:themeColor="text2"/>
          <w:sz w:val="24"/>
          <w:szCs w:val="24"/>
        </w:rPr>
      </w:pPr>
      <w:r w:rsidRPr="00850ED5">
        <w:rPr>
          <w:rFonts w:ascii="Book Antiqua" w:eastAsia="Book Antiqua" w:hAnsi="Book Antiqua" w:cs="Book Antiqua"/>
          <w:color w:val="1F497D" w:themeColor="text2"/>
          <w:sz w:val="24"/>
          <w:szCs w:val="24"/>
        </w:rPr>
        <w:t xml:space="preserve">Ces emplois perdus résultent  du solde d’une </w:t>
      </w:r>
      <w:r w:rsidR="00314915" w:rsidRPr="00850ED5">
        <w:rPr>
          <w:rFonts w:ascii="Book Antiqua" w:eastAsia="Book Antiqua" w:hAnsi="Book Antiqua" w:cs="Book Antiqua"/>
          <w:color w:val="1F497D" w:themeColor="text2"/>
          <w:sz w:val="24"/>
          <w:szCs w:val="24"/>
        </w:rPr>
        <w:t xml:space="preserve">création de 40.000 emplois rémunérés et </w:t>
      </w:r>
      <w:r w:rsidRPr="00850ED5">
        <w:rPr>
          <w:rFonts w:ascii="Book Antiqua" w:eastAsia="Book Antiqua" w:hAnsi="Book Antiqua" w:cs="Book Antiqua"/>
          <w:color w:val="1F497D" w:themeColor="text2"/>
          <w:sz w:val="24"/>
          <w:szCs w:val="24"/>
        </w:rPr>
        <w:t xml:space="preserve">d’une </w:t>
      </w:r>
      <w:r w:rsidR="00314915" w:rsidRPr="00850ED5">
        <w:rPr>
          <w:rFonts w:ascii="Book Antiqua" w:eastAsia="Book Antiqua" w:hAnsi="Book Antiqua" w:cs="Book Antiqua"/>
          <w:color w:val="1F497D" w:themeColor="text2"/>
          <w:sz w:val="24"/>
          <w:szCs w:val="24"/>
        </w:rPr>
        <w:t>perte de</w:t>
      </w:r>
      <w:r w:rsidR="00B7522D" w:rsidRPr="00850ED5">
        <w:rPr>
          <w:rFonts w:ascii="Book Antiqua" w:eastAsia="Book Antiqua" w:hAnsi="Book Antiqua" w:cs="Book Antiqua"/>
          <w:color w:val="1F497D" w:themeColor="text2"/>
          <w:sz w:val="24"/>
          <w:szCs w:val="24"/>
        </w:rPr>
        <w:t xml:space="preserve"> </w:t>
      </w:r>
      <w:r w:rsidR="00314915" w:rsidRPr="00850ED5">
        <w:rPr>
          <w:rFonts w:ascii="Book Antiqua" w:eastAsia="Book Antiqua" w:hAnsi="Book Antiqua" w:cs="Book Antiqua"/>
          <w:color w:val="1F497D" w:themeColor="text2"/>
          <w:sz w:val="24"/>
          <w:szCs w:val="24"/>
        </w:rPr>
        <w:t xml:space="preserve">98.000 </w:t>
      </w:r>
      <w:r w:rsidR="007B0E8A" w:rsidRPr="00850ED5">
        <w:rPr>
          <w:rFonts w:ascii="Book Antiqua" w:eastAsia="Book Antiqua" w:hAnsi="Book Antiqua" w:cs="Book Antiqua"/>
          <w:color w:val="1F497D" w:themeColor="text2"/>
          <w:sz w:val="24"/>
          <w:szCs w:val="24"/>
        </w:rPr>
        <w:t>emplois non rémunérés</w:t>
      </w:r>
      <w:r w:rsidR="007B0E8A" w:rsidRPr="005678CB">
        <w:rPr>
          <w:rFonts w:ascii="Book Antiqua" w:eastAsia="Book Antiqua" w:hAnsi="Book Antiqua" w:cs="Book Antiqua"/>
          <w:color w:val="1F497D" w:themeColor="text2"/>
          <w:sz w:val="24"/>
          <w:szCs w:val="24"/>
        </w:rPr>
        <w:t xml:space="preserve">. </w:t>
      </w:r>
      <w:r w:rsidR="00314915" w:rsidRPr="005678CB">
        <w:rPr>
          <w:rFonts w:ascii="Book Antiqua" w:eastAsia="Book Antiqua" w:hAnsi="Book Antiqua" w:cs="Book Antiqua"/>
          <w:color w:val="1F497D" w:themeColor="text2"/>
          <w:sz w:val="24"/>
          <w:szCs w:val="24"/>
        </w:rPr>
        <w:t>L</w:t>
      </w:r>
      <w:r w:rsidR="00AC0498" w:rsidRPr="005678CB">
        <w:rPr>
          <w:rFonts w:ascii="Book Antiqua" w:eastAsia="Book Antiqua" w:hAnsi="Book Antiqua" w:cs="Book Antiqua"/>
          <w:color w:val="1F497D" w:themeColor="text2"/>
          <w:sz w:val="24"/>
          <w:szCs w:val="24"/>
        </w:rPr>
        <w:t xml:space="preserve">e secteur des "services" </w:t>
      </w:r>
      <w:r w:rsidR="00AC0498" w:rsidRPr="00850ED5">
        <w:rPr>
          <w:rFonts w:ascii="Book Antiqua" w:eastAsia="Book Antiqua" w:hAnsi="Book Antiqua" w:cs="Book Antiqua"/>
          <w:color w:val="1F497D" w:themeColor="text2"/>
          <w:sz w:val="24"/>
          <w:szCs w:val="24"/>
        </w:rPr>
        <w:t>a</w:t>
      </w:r>
      <w:r w:rsidRPr="00850ED5">
        <w:rPr>
          <w:rFonts w:ascii="Book Antiqua" w:eastAsia="Book Antiqua" w:hAnsi="Book Antiqua" w:cs="Book Antiqua"/>
          <w:color w:val="1F497D" w:themeColor="text2"/>
          <w:sz w:val="24"/>
          <w:szCs w:val="24"/>
        </w:rPr>
        <w:t xml:space="preserve"> ainsi</w:t>
      </w:r>
      <w:r w:rsidR="00AC0498" w:rsidRPr="005678CB">
        <w:rPr>
          <w:rFonts w:ascii="Book Antiqua" w:eastAsia="Book Antiqua" w:hAnsi="Book Antiqua" w:cs="Book Antiqua"/>
          <w:color w:val="1F497D" w:themeColor="text2"/>
          <w:sz w:val="24"/>
          <w:szCs w:val="24"/>
        </w:rPr>
        <w:t xml:space="preserve"> créé 85.000 emplois, celui des " BTP" 29.000 et </w:t>
      </w:r>
      <w:r w:rsidR="00B03305" w:rsidRPr="005678CB">
        <w:rPr>
          <w:rFonts w:ascii="Book Antiqua" w:eastAsia="Book Antiqua" w:hAnsi="Book Antiqua" w:cs="Book Antiqua"/>
          <w:color w:val="1F497D" w:themeColor="text2"/>
          <w:sz w:val="24"/>
          <w:szCs w:val="24"/>
        </w:rPr>
        <w:t xml:space="preserve">de </w:t>
      </w:r>
      <w:r w:rsidR="00AC0498" w:rsidRPr="005678CB">
        <w:rPr>
          <w:rFonts w:ascii="Book Antiqua" w:eastAsia="Book Antiqua" w:hAnsi="Book Antiqua" w:cs="Book Antiqua"/>
          <w:color w:val="1F497D" w:themeColor="text2"/>
          <w:sz w:val="24"/>
          <w:szCs w:val="24"/>
        </w:rPr>
        <w:t>l’</w:t>
      </w:r>
      <w:r w:rsidR="00A90485" w:rsidRPr="005678CB">
        <w:rPr>
          <w:rFonts w:ascii="Book Antiqua" w:eastAsia="Book Antiqua" w:hAnsi="Book Antiqua" w:cs="Book Antiqua"/>
          <w:color w:val="1F497D" w:themeColor="text2"/>
          <w:sz w:val="24"/>
          <w:szCs w:val="24"/>
        </w:rPr>
        <w:t>"industrie</w:t>
      </w:r>
      <w:r w:rsidR="00AC0498" w:rsidRPr="005678CB">
        <w:rPr>
          <w:rFonts w:ascii="Book Antiqua" w:eastAsia="Book Antiqua" w:hAnsi="Book Antiqua" w:cs="Book Antiqua"/>
          <w:color w:val="1F497D" w:themeColor="text2"/>
          <w:sz w:val="24"/>
          <w:szCs w:val="24"/>
        </w:rPr>
        <w:t>" 13.000, alors que l’"agriculture, forêt et pêche" a perdu 183.000 emplois.</w:t>
      </w:r>
    </w:p>
    <w:p w:rsidR="003B0CC2" w:rsidRPr="005678CB" w:rsidRDefault="008B6DE8" w:rsidP="00F23DD2">
      <w:pPr>
        <w:pBdr>
          <w:top w:val="nil"/>
          <w:left w:val="nil"/>
          <w:bottom w:val="nil"/>
          <w:right w:val="nil"/>
          <w:between w:val="nil"/>
        </w:pBdr>
        <w:spacing w:before="240" w:after="240" w:line="312" w:lineRule="auto"/>
        <w:jc w:val="both"/>
        <w:rPr>
          <w:rFonts w:ascii="Book Antiqua" w:eastAsia="Book Antiqua" w:hAnsi="Book Antiqua" w:cs="Book Antiqua"/>
          <w:color w:val="1F497D" w:themeColor="text2"/>
          <w:sz w:val="24"/>
          <w:szCs w:val="24"/>
        </w:rPr>
      </w:pPr>
      <w:r w:rsidRPr="005678CB">
        <w:rPr>
          <w:rFonts w:ascii="Book Antiqua" w:eastAsia="Book Antiqua" w:hAnsi="Book Antiqua" w:cs="Book Antiqua"/>
          <w:color w:val="1F497D" w:themeColor="text2"/>
          <w:sz w:val="24"/>
          <w:szCs w:val="24"/>
        </w:rPr>
        <w:t>A</w:t>
      </w:r>
      <w:r w:rsidR="007233C1" w:rsidRPr="005678CB">
        <w:rPr>
          <w:rFonts w:ascii="Book Antiqua" w:eastAsia="Book Antiqua" w:hAnsi="Book Antiqua" w:cs="Book Antiqua"/>
          <w:color w:val="1F497D" w:themeColor="text2"/>
          <w:sz w:val="24"/>
          <w:szCs w:val="24"/>
        </w:rPr>
        <w:t xml:space="preserve">vec une </w:t>
      </w:r>
      <w:r w:rsidR="0049372D" w:rsidRPr="005678CB">
        <w:rPr>
          <w:rFonts w:ascii="Book Antiqua" w:eastAsia="Book Antiqua" w:hAnsi="Book Antiqua" w:cs="Book Antiqua"/>
          <w:color w:val="1F497D" w:themeColor="text2"/>
          <w:sz w:val="24"/>
          <w:szCs w:val="24"/>
        </w:rPr>
        <w:t>baisse</w:t>
      </w:r>
      <w:r w:rsidR="007233C1" w:rsidRPr="005678CB">
        <w:rPr>
          <w:rFonts w:ascii="Book Antiqua" w:eastAsia="Book Antiqua" w:hAnsi="Book Antiqua" w:cs="Book Antiqua"/>
          <w:color w:val="1F497D" w:themeColor="text2"/>
          <w:sz w:val="24"/>
          <w:szCs w:val="24"/>
        </w:rPr>
        <w:t xml:space="preserve"> de</w:t>
      </w:r>
      <w:r w:rsidR="00F23DD2" w:rsidRPr="005678CB">
        <w:rPr>
          <w:rFonts w:ascii="Book Antiqua" w:eastAsia="Book Antiqua" w:hAnsi="Book Antiqua" w:cs="Book Antiqua"/>
          <w:color w:val="1F497D" w:themeColor="text2"/>
          <w:sz w:val="24"/>
          <w:szCs w:val="24"/>
        </w:rPr>
        <w:t>68</w:t>
      </w:r>
      <w:r w:rsidR="00BF4A7E" w:rsidRPr="005678CB">
        <w:rPr>
          <w:rFonts w:ascii="Book Antiqua" w:eastAsia="Book Antiqua" w:hAnsi="Book Antiqua" w:cs="Book Antiqua"/>
          <w:color w:val="1F497D" w:themeColor="text2"/>
          <w:sz w:val="24"/>
          <w:szCs w:val="24"/>
        </w:rPr>
        <w:t>.000</w:t>
      </w:r>
      <w:r w:rsidRPr="005678CB">
        <w:rPr>
          <w:rFonts w:ascii="Book Antiqua" w:eastAsia="Book Antiqua" w:hAnsi="Book Antiqua" w:cs="Book Antiqua"/>
          <w:color w:val="1F497D" w:themeColor="text2"/>
          <w:sz w:val="24"/>
          <w:szCs w:val="24"/>
        </w:rPr>
        <w:t xml:space="preserve"> chômeurs</w:t>
      </w:r>
      <w:r w:rsidR="00BF4A7E" w:rsidRPr="005678CB">
        <w:rPr>
          <w:rFonts w:ascii="Book Antiqua" w:eastAsia="Book Antiqua" w:hAnsi="Book Antiqua" w:cs="Book Antiqua"/>
          <w:color w:val="1F497D" w:themeColor="text2"/>
          <w:sz w:val="24"/>
          <w:szCs w:val="24"/>
        </w:rPr>
        <w:t xml:space="preserve">, dont </w:t>
      </w:r>
      <w:r w:rsidR="00F23DD2" w:rsidRPr="005678CB">
        <w:rPr>
          <w:rFonts w:ascii="Book Antiqua" w:eastAsia="Book Antiqua" w:hAnsi="Book Antiqua" w:cs="Book Antiqua"/>
          <w:color w:val="1F497D" w:themeColor="text2"/>
          <w:sz w:val="24"/>
          <w:szCs w:val="24"/>
        </w:rPr>
        <w:t>52</w:t>
      </w:r>
      <w:r w:rsidR="003B0CC2" w:rsidRPr="005678CB">
        <w:rPr>
          <w:rFonts w:ascii="Book Antiqua" w:eastAsia="Book Antiqua" w:hAnsi="Book Antiqua" w:cs="Book Antiqua"/>
          <w:color w:val="1F497D" w:themeColor="text2"/>
          <w:sz w:val="24"/>
          <w:szCs w:val="24"/>
        </w:rPr>
        <w:t>.000 en milieu ur</w:t>
      </w:r>
      <w:r w:rsidR="00BF4A7E" w:rsidRPr="005678CB">
        <w:rPr>
          <w:rFonts w:ascii="Book Antiqua" w:eastAsia="Book Antiqua" w:hAnsi="Book Antiqua" w:cs="Book Antiqua"/>
          <w:color w:val="1F497D" w:themeColor="text2"/>
          <w:sz w:val="24"/>
          <w:szCs w:val="24"/>
        </w:rPr>
        <w:t xml:space="preserve">bain et </w:t>
      </w:r>
      <w:r w:rsidR="00EE35D9" w:rsidRPr="005678CB">
        <w:rPr>
          <w:rFonts w:ascii="Book Antiqua" w:eastAsia="Book Antiqua" w:hAnsi="Book Antiqua" w:cs="Book Antiqua"/>
          <w:color w:val="1F497D" w:themeColor="text2"/>
          <w:sz w:val="24"/>
          <w:szCs w:val="24"/>
        </w:rPr>
        <w:t xml:space="preserve">de </w:t>
      </w:r>
      <w:r w:rsidR="00F23DD2" w:rsidRPr="005678CB">
        <w:rPr>
          <w:rFonts w:ascii="Book Antiqua" w:eastAsia="Book Antiqua" w:hAnsi="Book Antiqua" w:cs="Book Antiqua"/>
          <w:color w:val="1F497D" w:themeColor="text2"/>
          <w:sz w:val="24"/>
          <w:szCs w:val="24"/>
        </w:rPr>
        <w:t>16</w:t>
      </w:r>
      <w:r w:rsidR="007E563F" w:rsidRPr="005678CB">
        <w:rPr>
          <w:rFonts w:ascii="Book Antiqua" w:eastAsia="Book Antiqua" w:hAnsi="Book Antiqua" w:cs="Book Antiqua"/>
          <w:color w:val="1F497D" w:themeColor="text2"/>
          <w:sz w:val="24"/>
          <w:szCs w:val="24"/>
        </w:rPr>
        <w:t>.000 en milieu rural, l</w:t>
      </w:r>
      <w:r w:rsidR="003B0CC2" w:rsidRPr="005678CB">
        <w:rPr>
          <w:rFonts w:ascii="Book Antiqua" w:eastAsia="Book Antiqua" w:hAnsi="Book Antiqua" w:cs="Book Antiqua"/>
          <w:color w:val="1F497D" w:themeColor="text2"/>
          <w:sz w:val="24"/>
          <w:szCs w:val="24"/>
        </w:rPr>
        <w:t xml:space="preserve">e volume </w:t>
      </w:r>
      <w:r w:rsidR="00BF4A7E" w:rsidRPr="005678CB">
        <w:rPr>
          <w:rFonts w:ascii="Book Antiqua" w:eastAsia="Book Antiqua" w:hAnsi="Book Antiqua" w:cs="Book Antiqua"/>
          <w:color w:val="1F497D" w:themeColor="text2"/>
          <w:sz w:val="24"/>
          <w:szCs w:val="24"/>
        </w:rPr>
        <w:t>du chômage a atteint 1.</w:t>
      </w:r>
      <w:r w:rsidR="00F23DD2" w:rsidRPr="005678CB">
        <w:rPr>
          <w:rFonts w:ascii="Book Antiqua" w:eastAsia="Book Antiqua" w:hAnsi="Book Antiqua" w:cs="Book Antiqua"/>
          <w:color w:val="1F497D" w:themeColor="text2"/>
          <w:sz w:val="24"/>
          <w:szCs w:val="24"/>
        </w:rPr>
        <w:t>466</w:t>
      </w:r>
      <w:r w:rsidR="003B0CC2" w:rsidRPr="005678CB">
        <w:rPr>
          <w:rFonts w:ascii="Book Antiqua" w:eastAsia="Book Antiqua" w:hAnsi="Book Antiqua" w:cs="Book Antiqua"/>
          <w:color w:val="1F497D" w:themeColor="text2"/>
          <w:sz w:val="24"/>
          <w:szCs w:val="24"/>
        </w:rPr>
        <w:t>.0</w:t>
      </w:r>
      <w:r w:rsidR="00BF4A7E" w:rsidRPr="005678CB">
        <w:rPr>
          <w:rFonts w:ascii="Book Antiqua" w:eastAsia="Book Antiqua" w:hAnsi="Book Antiqua" w:cs="Book Antiqua"/>
          <w:color w:val="1F497D" w:themeColor="text2"/>
          <w:sz w:val="24"/>
          <w:szCs w:val="24"/>
        </w:rPr>
        <w:t>0</w:t>
      </w:r>
      <w:r w:rsidR="00766FBB" w:rsidRPr="005678CB">
        <w:rPr>
          <w:rFonts w:ascii="Book Antiqua" w:eastAsia="Book Antiqua" w:hAnsi="Book Antiqua" w:cs="Book Antiqua"/>
          <w:color w:val="1F497D" w:themeColor="text2"/>
          <w:sz w:val="24"/>
          <w:szCs w:val="24"/>
        </w:rPr>
        <w:t>0 personnes au niveau national.</w:t>
      </w:r>
    </w:p>
    <w:p w:rsidR="004F43F8" w:rsidRPr="005678CB" w:rsidRDefault="005678CB" w:rsidP="00BA5D45">
      <w:pPr>
        <w:spacing w:before="240" w:after="240" w:line="312" w:lineRule="auto"/>
        <w:jc w:val="both"/>
        <w:rPr>
          <w:rFonts w:ascii="Book Antiqua" w:eastAsia="Book Antiqua" w:hAnsi="Book Antiqua" w:cs="Book Antiqua"/>
          <w:color w:val="1F497D" w:themeColor="text2"/>
          <w:sz w:val="24"/>
          <w:szCs w:val="24"/>
        </w:rPr>
      </w:pPr>
      <w:r>
        <w:rPr>
          <w:rFonts w:ascii="Book Antiqua" w:eastAsia="Book Antiqua" w:hAnsi="Book Antiqua" w:cs="Book Antiqua"/>
          <w:color w:val="1F497D" w:themeColor="text2"/>
          <w:sz w:val="24"/>
          <w:szCs w:val="24"/>
        </w:rPr>
        <w:t>Dans ce contexte, l</w:t>
      </w:r>
      <w:r w:rsidR="003B0CC2" w:rsidRPr="005678CB">
        <w:rPr>
          <w:rFonts w:ascii="Book Antiqua" w:eastAsia="Book Antiqua" w:hAnsi="Book Antiqua" w:cs="Book Antiqua"/>
          <w:color w:val="1F497D" w:themeColor="text2"/>
          <w:sz w:val="24"/>
          <w:szCs w:val="24"/>
        </w:rPr>
        <w:t>e taux d</w:t>
      </w:r>
      <w:r w:rsidR="004F43F8" w:rsidRPr="005678CB">
        <w:rPr>
          <w:rFonts w:ascii="Book Antiqua" w:eastAsia="Book Antiqua" w:hAnsi="Book Antiqua" w:cs="Book Antiqua"/>
          <w:color w:val="1F497D" w:themeColor="text2"/>
          <w:sz w:val="24"/>
          <w:szCs w:val="24"/>
        </w:rPr>
        <w:t>e chômage est</w:t>
      </w:r>
      <w:r w:rsidR="00F87F56">
        <w:rPr>
          <w:rFonts w:ascii="Book Antiqua" w:eastAsia="Book Antiqua" w:hAnsi="Book Antiqua" w:cstheme="minorBidi" w:hint="cs"/>
          <w:color w:val="1F497D" w:themeColor="text2"/>
          <w:sz w:val="24"/>
          <w:szCs w:val="24"/>
          <w:rtl/>
          <w:lang w:bidi="tzm-Arab-MA"/>
        </w:rPr>
        <w:t xml:space="preserve"> </w:t>
      </w:r>
      <w:r w:rsidR="004F43F8" w:rsidRPr="005678CB">
        <w:rPr>
          <w:rFonts w:ascii="Book Antiqua" w:eastAsia="Book Antiqua" w:hAnsi="Book Antiqua" w:cs="Book Antiqua"/>
          <w:color w:val="1F497D" w:themeColor="text2"/>
          <w:sz w:val="24"/>
          <w:szCs w:val="24"/>
        </w:rPr>
        <w:t xml:space="preserve"> passé</w:t>
      </w:r>
      <w:r w:rsidR="00F87F56">
        <w:rPr>
          <w:rFonts w:ascii="Book Antiqua" w:eastAsia="Book Antiqua" w:hAnsi="Book Antiqua" w:cstheme="minorBidi" w:hint="cs"/>
          <w:color w:val="1F497D" w:themeColor="text2"/>
          <w:sz w:val="24"/>
          <w:szCs w:val="24"/>
          <w:rtl/>
          <w:lang w:bidi="tzm-Arab-MA"/>
        </w:rPr>
        <w:t xml:space="preserve"> </w:t>
      </w:r>
      <w:r w:rsidR="004F43F8" w:rsidRPr="005678CB">
        <w:rPr>
          <w:rFonts w:ascii="Book Antiqua" w:eastAsia="Book Antiqua" w:hAnsi="Book Antiqua" w:cs="Book Antiqua"/>
          <w:color w:val="1F497D" w:themeColor="text2"/>
          <w:sz w:val="24"/>
          <w:szCs w:val="24"/>
        </w:rPr>
        <w:t xml:space="preserve">de </w:t>
      </w:r>
      <w:r w:rsidR="00F23DD2" w:rsidRPr="005678CB">
        <w:rPr>
          <w:rFonts w:ascii="Book Antiqua" w:eastAsia="Book Antiqua" w:hAnsi="Book Antiqua" w:cs="Book Antiqua"/>
          <w:color w:val="1F497D" w:themeColor="text2"/>
          <w:sz w:val="24"/>
          <w:szCs w:val="24"/>
        </w:rPr>
        <w:t>12,5</w:t>
      </w:r>
      <w:r w:rsidR="004F43F8" w:rsidRPr="005678CB">
        <w:rPr>
          <w:rFonts w:ascii="Book Antiqua" w:eastAsia="Book Antiqua" w:hAnsi="Book Antiqua" w:cs="Book Antiqua"/>
          <w:color w:val="1F497D" w:themeColor="text2"/>
          <w:sz w:val="24"/>
          <w:szCs w:val="24"/>
        </w:rPr>
        <w:t>% à 12,</w:t>
      </w:r>
      <w:r w:rsidR="00F23DD2" w:rsidRPr="005678CB">
        <w:rPr>
          <w:rFonts w:ascii="Book Antiqua" w:eastAsia="Book Antiqua" w:hAnsi="Book Antiqua" w:cs="Book Antiqua"/>
          <w:color w:val="1F497D" w:themeColor="text2"/>
          <w:sz w:val="24"/>
          <w:szCs w:val="24"/>
        </w:rPr>
        <w:t>1</w:t>
      </w:r>
      <w:r w:rsidR="004F43F8" w:rsidRPr="005678CB">
        <w:rPr>
          <w:rFonts w:ascii="Book Antiqua" w:eastAsia="Book Antiqua" w:hAnsi="Book Antiqua" w:cs="Book Antiqua"/>
          <w:color w:val="1F497D" w:themeColor="text2"/>
          <w:sz w:val="24"/>
          <w:szCs w:val="24"/>
        </w:rPr>
        <w:t xml:space="preserve">% au niveau national, de </w:t>
      </w:r>
      <w:r w:rsidR="00F23DD2" w:rsidRPr="005678CB">
        <w:rPr>
          <w:rFonts w:ascii="Book Antiqua" w:eastAsia="Book Antiqua" w:hAnsi="Book Antiqua" w:cs="Book Antiqua"/>
          <w:color w:val="1F497D" w:themeColor="text2"/>
          <w:sz w:val="24"/>
          <w:szCs w:val="24"/>
        </w:rPr>
        <w:t>17,1</w:t>
      </w:r>
      <w:r w:rsidR="004F43F8" w:rsidRPr="005678CB">
        <w:rPr>
          <w:rFonts w:ascii="Book Antiqua" w:eastAsia="Book Antiqua" w:hAnsi="Book Antiqua" w:cs="Book Antiqua"/>
          <w:color w:val="1F497D" w:themeColor="text2"/>
          <w:sz w:val="24"/>
          <w:szCs w:val="24"/>
        </w:rPr>
        <w:t>% à 1</w:t>
      </w:r>
      <w:r w:rsidR="00F23DD2" w:rsidRPr="005678CB">
        <w:rPr>
          <w:rFonts w:ascii="Book Antiqua" w:eastAsia="Book Antiqua" w:hAnsi="Book Antiqua" w:cs="Book Antiqua"/>
          <w:color w:val="1F497D" w:themeColor="text2"/>
          <w:sz w:val="24"/>
          <w:szCs w:val="24"/>
        </w:rPr>
        <w:t>6</w:t>
      </w:r>
      <w:r w:rsidR="004F43F8" w:rsidRPr="005678CB">
        <w:rPr>
          <w:rFonts w:ascii="Book Antiqua" w:eastAsia="Book Antiqua" w:hAnsi="Book Antiqua" w:cs="Book Antiqua"/>
          <w:color w:val="1F497D" w:themeColor="text2"/>
          <w:sz w:val="24"/>
          <w:szCs w:val="24"/>
        </w:rPr>
        <w:t>,</w:t>
      </w:r>
      <w:r w:rsidR="00F23DD2" w:rsidRPr="005678CB">
        <w:rPr>
          <w:rFonts w:ascii="Book Antiqua" w:eastAsia="Book Antiqua" w:hAnsi="Book Antiqua" w:cs="Book Antiqua"/>
          <w:color w:val="1F497D" w:themeColor="text2"/>
          <w:sz w:val="24"/>
          <w:szCs w:val="24"/>
        </w:rPr>
        <w:t>3</w:t>
      </w:r>
      <w:r w:rsidR="004F43F8" w:rsidRPr="005678CB">
        <w:rPr>
          <w:rFonts w:ascii="Book Antiqua" w:eastAsia="Book Antiqua" w:hAnsi="Book Antiqua" w:cs="Book Antiqua"/>
          <w:color w:val="1F497D" w:themeColor="text2"/>
          <w:sz w:val="24"/>
          <w:szCs w:val="24"/>
        </w:rPr>
        <w:t xml:space="preserve">% en milieu urbain et de </w:t>
      </w:r>
      <w:r w:rsidR="00F23DD2" w:rsidRPr="005678CB">
        <w:rPr>
          <w:rFonts w:ascii="Book Antiqua" w:eastAsia="Book Antiqua" w:hAnsi="Book Antiqua" w:cs="Book Antiqua"/>
          <w:color w:val="1F497D" w:themeColor="text2"/>
          <w:sz w:val="24"/>
          <w:szCs w:val="24"/>
        </w:rPr>
        <w:t>5,3</w:t>
      </w:r>
      <w:r w:rsidR="004F43F8" w:rsidRPr="005678CB">
        <w:rPr>
          <w:rFonts w:ascii="Book Antiqua" w:eastAsia="Book Antiqua" w:hAnsi="Book Antiqua" w:cs="Book Antiqua"/>
          <w:color w:val="1F497D" w:themeColor="text2"/>
          <w:sz w:val="24"/>
          <w:szCs w:val="24"/>
        </w:rPr>
        <w:t>% à 5,</w:t>
      </w:r>
      <w:r w:rsidR="00F23DD2" w:rsidRPr="005678CB">
        <w:rPr>
          <w:rFonts w:ascii="Book Antiqua" w:eastAsia="Book Antiqua" w:hAnsi="Book Antiqua" w:cs="Book Antiqua"/>
          <w:color w:val="1F497D" w:themeColor="text2"/>
          <w:sz w:val="24"/>
          <w:szCs w:val="24"/>
        </w:rPr>
        <w:t>1</w:t>
      </w:r>
      <w:r w:rsidR="003B0CC2" w:rsidRPr="005678CB">
        <w:rPr>
          <w:rFonts w:ascii="Book Antiqua" w:eastAsia="Book Antiqua" w:hAnsi="Book Antiqua" w:cs="Book Antiqua"/>
          <w:color w:val="1F497D" w:themeColor="text2"/>
          <w:sz w:val="24"/>
          <w:szCs w:val="24"/>
        </w:rPr>
        <w:t xml:space="preserve">% </w:t>
      </w:r>
      <w:r w:rsidR="006D72D4" w:rsidRPr="005678CB">
        <w:rPr>
          <w:rFonts w:ascii="Book Antiqua" w:eastAsia="Book Antiqua" w:hAnsi="Book Antiqua" w:cs="Book Antiqua"/>
          <w:color w:val="1F497D" w:themeColor="text2"/>
          <w:sz w:val="24"/>
          <w:szCs w:val="24"/>
        </w:rPr>
        <w:t>en milieu rural.</w:t>
      </w:r>
      <w:r w:rsidR="00F87F56">
        <w:rPr>
          <w:rFonts w:ascii="Book Antiqua" w:eastAsia="Book Antiqua" w:hAnsi="Book Antiqua" w:cstheme="minorBidi" w:hint="cs"/>
          <w:color w:val="1F497D" w:themeColor="text2"/>
          <w:sz w:val="24"/>
          <w:szCs w:val="24"/>
          <w:rtl/>
          <w:lang w:bidi="tzm-Arab-MA"/>
        </w:rPr>
        <w:t xml:space="preserve"> </w:t>
      </w:r>
      <w:r w:rsidR="003D1D48" w:rsidRPr="005678CB">
        <w:rPr>
          <w:rFonts w:ascii="Book Antiqua" w:eastAsia="Book Antiqua" w:hAnsi="Book Antiqua" w:cs="Book Antiqua"/>
          <w:color w:val="1F497D" w:themeColor="text2"/>
          <w:sz w:val="24"/>
          <w:szCs w:val="24"/>
        </w:rPr>
        <w:t>Il a enregistré une haus</w:t>
      </w:r>
      <w:r w:rsidR="004F43F8" w:rsidRPr="005678CB">
        <w:rPr>
          <w:rFonts w:ascii="Book Antiqua" w:eastAsia="Book Antiqua" w:hAnsi="Book Antiqua" w:cs="Book Antiqua"/>
          <w:color w:val="1F497D" w:themeColor="text2"/>
          <w:sz w:val="24"/>
          <w:szCs w:val="24"/>
        </w:rPr>
        <w:t xml:space="preserve">se parmi </w:t>
      </w:r>
      <w:r w:rsidR="00F23DD2" w:rsidRPr="005678CB">
        <w:rPr>
          <w:rFonts w:ascii="Book Antiqua" w:eastAsia="Book Antiqua" w:hAnsi="Book Antiqua" w:cs="Book Antiqua"/>
          <w:color w:val="1F497D" w:themeColor="text2"/>
          <w:sz w:val="24"/>
          <w:szCs w:val="24"/>
        </w:rPr>
        <w:t xml:space="preserve">les jeunes </w:t>
      </w:r>
      <w:r w:rsidR="00F87F56">
        <w:rPr>
          <w:rFonts w:ascii="Book Antiqua" w:eastAsia="Book Antiqua" w:hAnsi="Book Antiqua" w:cstheme="minorBidi" w:hint="cs"/>
          <w:color w:val="1F497D" w:themeColor="text2"/>
          <w:sz w:val="24"/>
          <w:szCs w:val="24"/>
          <w:rtl/>
          <w:lang w:bidi="tzm-Arab-MA"/>
        </w:rPr>
        <w:t xml:space="preserve"> </w:t>
      </w:r>
      <w:r w:rsidR="00F23DD2" w:rsidRPr="005678CB">
        <w:rPr>
          <w:rFonts w:ascii="Book Antiqua" w:eastAsia="Book Antiqua" w:hAnsi="Book Antiqua" w:cs="Book Antiqua"/>
          <w:color w:val="1F497D" w:themeColor="text2"/>
          <w:sz w:val="24"/>
          <w:szCs w:val="24"/>
        </w:rPr>
        <w:t xml:space="preserve">âgés de 15 à 24 ans </w:t>
      </w:r>
      <w:r w:rsidR="004F43F8" w:rsidRPr="005678CB">
        <w:rPr>
          <w:rFonts w:ascii="Book Antiqua" w:eastAsia="Book Antiqua" w:hAnsi="Book Antiqua" w:cs="Book Antiqua"/>
          <w:color w:val="1F497D" w:themeColor="text2"/>
          <w:sz w:val="24"/>
          <w:szCs w:val="24"/>
        </w:rPr>
        <w:t xml:space="preserve">de </w:t>
      </w:r>
      <w:r w:rsidR="00BA5D45" w:rsidRPr="005678CB">
        <w:rPr>
          <w:rFonts w:ascii="Book Antiqua" w:eastAsia="Book Antiqua" w:hAnsi="Book Antiqua" w:cs="Book Antiqua"/>
          <w:color w:val="1F497D" w:themeColor="text2"/>
          <w:sz w:val="24"/>
          <w:szCs w:val="24"/>
        </w:rPr>
        <w:t>32</w:t>
      </w:r>
      <w:r w:rsidR="004F43F8" w:rsidRPr="005678CB">
        <w:rPr>
          <w:rFonts w:ascii="Book Antiqua" w:eastAsia="Book Antiqua" w:hAnsi="Book Antiqua" w:cs="Book Antiqua"/>
          <w:color w:val="1F497D" w:themeColor="text2"/>
          <w:sz w:val="24"/>
          <w:szCs w:val="24"/>
        </w:rPr>
        <w:t>,</w:t>
      </w:r>
      <w:r w:rsidR="00BA5D45" w:rsidRPr="005678CB">
        <w:rPr>
          <w:rFonts w:ascii="Book Antiqua" w:eastAsia="Book Antiqua" w:hAnsi="Book Antiqua" w:cs="Book Antiqua"/>
          <w:color w:val="1F497D" w:themeColor="text2"/>
          <w:sz w:val="24"/>
          <w:szCs w:val="24"/>
        </w:rPr>
        <w:t>5</w:t>
      </w:r>
      <w:r w:rsidR="004F43F8" w:rsidRPr="005678CB">
        <w:rPr>
          <w:rFonts w:ascii="Book Antiqua" w:eastAsia="Book Antiqua" w:hAnsi="Book Antiqua" w:cs="Book Antiqua"/>
          <w:color w:val="1F497D" w:themeColor="text2"/>
          <w:sz w:val="24"/>
          <w:szCs w:val="24"/>
        </w:rPr>
        <w:t xml:space="preserve">% à </w:t>
      </w:r>
      <w:r w:rsidR="00BA5D45" w:rsidRPr="005678CB">
        <w:rPr>
          <w:rFonts w:ascii="Book Antiqua" w:eastAsia="Book Antiqua" w:hAnsi="Book Antiqua" w:cs="Book Antiqua"/>
          <w:color w:val="1F497D" w:themeColor="text2"/>
          <w:sz w:val="24"/>
          <w:szCs w:val="24"/>
        </w:rPr>
        <w:t>33</w:t>
      </w:r>
      <w:r w:rsidR="004F43F8" w:rsidRPr="005678CB">
        <w:rPr>
          <w:rFonts w:ascii="Book Antiqua" w:eastAsia="Book Antiqua" w:hAnsi="Book Antiqua" w:cs="Book Antiqua"/>
          <w:color w:val="1F497D" w:themeColor="text2"/>
          <w:sz w:val="24"/>
          <w:szCs w:val="24"/>
        </w:rPr>
        <w:t>,</w:t>
      </w:r>
      <w:r w:rsidR="00BA5D45" w:rsidRPr="005678CB">
        <w:rPr>
          <w:rFonts w:ascii="Book Antiqua" w:eastAsia="Book Antiqua" w:hAnsi="Book Antiqua" w:cs="Book Antiqua"/>
          <w:color w:val="1F497D" w:themeColor="text2"/>
          <w:sz w:val="24"/>
          <w:szCs w:val="24"/>
        </w:rPr>
        <w:t>4</w:t>
      </w:r>
      <w:r w:rsidR="00E61199" w:rsidRPr="005678CB">
        <w:rPr>
          <w:rFonts w:ascii="Book Antiqua" w:eastAsia="Book Antiqua" w:hAnsi="Book Antiqua" w:cs="Book Antiqua"/>
          <w:color w:val="1F497D" w:themeColor="text2"/>
          <w:sz w:val="24"/>
          <w:szCs w:val="24"/>
        </w:rPr>
        <w:t>%</w:t>
      </w:r>
      <w:r w:rsidR="00BA5D45" w:rsidRPr="005678CB">
        <w:rPr>
          <w:rFonts w:ascii="Book Antiqua" w:eastAsia="Book Antiqua" w:hAnsi="Book Antiqua" w:cs="Book Antiqua"/>
          <w:color w:val="1F497D" w:themeColor="text2"/>
          <w:sz w:val="24"/>
          <w:szCs w:val="24"/>
        </w:rPr>
        <w:t>, a</w:t>
      </w:r>
      <w:r w:rsidR="00F23DD2" w:rsidRPr="005678CB">
        <w:rPr>
          <w:rFonts w:ascii="Book Antiqua" w:eastAsia="Book Antiqua" w:hAnsi="Book Antiqua" w:cs="Book Antiqua"/>
          <w:color w:val="1F497D" w:themeColor="text2"/>
          <w:sz w:val="24"/>
          <w:szCs w:val="24"/>
        </w:rPr>
        <w:t xml:space="preserve">lors qu’il a baissé pour </w:t>
      </w:r>
      <w:r w:rsidR="00F551F4" w:rsidRPr="005678CB">
        <w:rPr>
          <w:rFonts w:ascii="Book Antiqua" w:eastAsia="Book Antiqua" w:hAnsi="Book Antiqua" w:cs="Book Antiqua"/>
          <w:color w:val="1F497D" w:themeColor="text2"/>
          <w:sz w:val="24"/>
          <w:szCs w:val="24"/>
        </w:rPr>
        <w:t xml:space="preserve">les </w:t>
      </w:r>
      <w:r w:rsidR="00F23DD2" w:rsidRPr="005678CB">
        <w:rPr>
          <w:rFonts w:ascii="Book Antiqua" w:eastAsia="Book Antiqua" w:hAnsi="Book Antiqua" w:cs="Book Antiqua"/>
          <w:color w:val="1F497D" w:themeColor="text2"/>
          <w:sz w:val="24"/>
          <w:szCs w:val="24"/>
        </w:rPr>
        <w:t xml:space="preserve">autres </w:t>
      </w:r>
      <w:r w:rsidR="001179AA" w:rsidRPr="005678CB">
        <w:rPr>
          <w:rFonts w:ascii="Book Antiqua" w:eastAsia="Book Antiqua" w:hAnsi="Book Antiqua" w:cs="Book Antiqua"/>
          <w:color w:val="1F497D" w:themeColor="text2"/>
          <w:sz w:val="24"/>
          <w:szCs w:val="24"/>
        </w:rPr>
        <w:t>catégories de la population.</w:t>
      </w:r>
    </w:p>
    <w:p w:rsidR="003D1D48" w:rsidRPr="005678CB" w:rsidRDefault="00E537B1" w:rsidP="005E395E">
      <w:pPr>
        <w:spacing w:before="240" w:after="240" w:line="312" w:lineRule="auto"/>
        <w:jc w:val="both"/>
        <w:rPr>
          <w:rFonts w:ascii="Book Antiqua" w:eastAsia="Book Antiqua" w:hAnsi="Book Antiqua" w:cs="Book Antiqua"/>
          <w:color w:val="1F497D" w:themeColor="text2"/>
          <w:sz w:val="24"/>
          <w:szCs w:val="24"/>
        </w:rPr>
      </w:pPr>
      <w:r w:rsidRPr="005678CB">
        <w:rPr>
          <w:rFonts w:ascii="Book Antiqua" w:eastAsia="Book Antiqua" w:hAnsi="Book Antiqua" w:cs="Book Antiqua"/>
          <w:color w:val="1F497D" w:themeColor="text2"/>
          <w:sz w:val="24"/>
          <w:szCs w:val="24"/>
        </w:rPr>
        <w:t>La population active occupée en</w:t>
      </w:r>
      <w:r w:rsidR="00F87F56">
        <w:rPr>
          <w:rFonts w:ascii="Book Antiqua" w:eastAsia="Book Antiqua" w:hAnsi="Book Antiqua" w:cstheme="minorBidi" w:hint="cs"/>
          <w:color w:val="1F497D" w:themeColor="text2"/>
          <w:sz w:val="24"/>
          <w:szCs w:val="24"/>
          <w:rtl/>
          <w:lang w:bidi="tzm-Arab-MA"/>
        </w:rPr>
        <w:t xml:space="preserve"> </w:t>
      </w:r>
      <w:r w:rsidRPr="005678CB">
        <w:rPr>
          <w:rFonts w:ascii="Book Antiqua" w:eastAsia="Book Antiqua" w:hAnsi="Book Antiqua" w:cs="Book Antiqua"/>
          <w:color w:val="1F497D" w:themeColor="text2"/>
          <w:sz w:val="24"/>
          <w:szCs w:val="24"/>
        </w:rPr>
        <w:t xml:space="preserve"> situation de</w:t>
      </w:r>
      <w:r w:rsidR="00F87F56">
        <w:rPr>
          <w:rFonts w:ascii="Book Antiqua" w:eastAsia="Book Antiqua" w:hAnsi="Book Antiqua" w:cstheme="minorBidi" w:hint="cs"/>
          <w:color w:val="1F497D" w:themeColor="text2"/>
          <w:sz w:val="24"/>
          <w:szCs w:val="24"/>
          <w:rtl/>
          <w:lang w:bidi="tzm-Arab-MA"/>
        </w:rPr>
        <w:t xml:space="preserve"> </w:t>
      </w:r>
      <w:r w:rsidRPr="005678CB">
        <w:rPr>
          <w:rFonts w:ascii="Book Antiqua" w:eastAsia="Book Antiqua" w:hAnsi="Book Antiqua" w:cs="Book Antiqua"/>
          <w:color w:val="1F497D" w:themeColor="text2"/>
          <w:sz w:val="24"/>
          <w:szCs w:val="24"/>
        </w:rPr>
        <w:t xml:space="preserve">sous-emploi a atteint </w:t>
      </w:r>
      <w:r w:rsidR="004F43F8" w:rsidRPr="005678CB">
        <w:rPr>
          <w:rFonts w:ascii="Book Antiqua" w:eastAsia="Book Antiqua" w:hAnsi="Book Antiqua" w:cs="Book Antiqua"/>
          <w:color w:val="1F497D" w:themeColor="text2"/>
          <w:sz w:val="24"/>
          <w:szCs w:val="24"/>
        </w:rPr>
        <w:t>98</w:t>
      </w:r>
      <w:r w:rsidR="001179AA" w:rsidRPr="005678CB">
        <w:rPr>
          <w:rFonts w:ascii="Book Antiqua" w:eastAsia="Book Antiqua" w:hAnsi="Book Antiqua" w:cs="Book Antiqua"/>
          <w:color w:val="1F497D" w:themeColor="text2"/>
          <w:sz w:val="24"/>
          <w:szCs w:val="24"/>
        </w:rPr>
        <w:t>7</w:t>
      </w:r>
      <w:r w:rsidR="004F43F8" w:rsidRPr="005678CB">
        <w:rPr>
          <w:rFonts w:ascii="Book Antiqua" w:eastAsia="Book Antiqua" w:hAnsi="Book Antiqua" w:cs="Book Antiqua"/>
          <w:color w:val="1F497D" w:themeColor="text2"/>
          <w:sz w:val="24"/>
          <w:szCs w:val="24"/>
        </w:rPr>
        <w:t>.</w:t>
      </w:r>
      <w:r w:rsidRPr="005678CB">
        <w:rPr>
          <w:rFonts w:ascii="Book Antiqua" w:eastAsia="Book Antiqua" w:hAnsi="Book Antiqua" w:cs="Book Antiqua"/>
          <w:color w:val="1F497D" w:themeColor="text2"/>
          <w:sz w:val="24"/>
          <w:szCs w:val="24"/>
        </w:rPr>
        <w:t>000</w:t>
      </w:r>
      <w:r w:rsidR="00F87F56">
        <w:rPr>
          <w:rFonts w:ascii="Book Antiqua" w:eastAsia="Book Antiqua" w:hAnsi="Book Antiqua" w:cstheme="minorBidi" w:hint="cs"/>
          <w:color w:val="1F497D" w:themeColor="text2"/>
          <w:sz w:val="24"/>
          <w:szCs w:val="24"/>
          <w:rtl/>
          <w:lang w:bidi="tzm-Arab-MA"/>
        </w:rPr>
        <w:t xml:space="preserve"> </w:t>
      </w:r>
      <w:r w:rsidRPr="005678CB">
        <w:rPr>
          <w:rFonts w:ascii="Book Antiqua" w:eastAsia="Book Antiqua" w:hAnsi="Book Antiqua" w:cs="Book Antiqua"/>
          <w:color w:val="1F497D" w:themeColor="text2"/>
          <w:sz w:val="24"/>
          <w:szCs w:val="24"/>
        </w:rPr>
        <w:t>personnes. Le ta</w:t>
      </w:r>
      <w:r w:rsidR="00F36718" w:rsidRPr="005678CB">
        <w:rPr>
          <w:rFonts w:ascii="Book Antiqua" w:eastAsia="Book Antiqua" w:hAnsi="Book Antiqua" w:cs="Book Antiqua"/>
          <w:color w:val="1F497D" w:themeColor="text2"/>
          <w:sz w:val="24"/>
          <w:szCs w:val="24"/>
        </w:rPr>
        <w:t xml:space="preserve">ux de sous-emploi </w:t>
      </w:r>
      <w:r w:rsidR="00F87F56">
        <w:rPr>
          <w:rFonts w:ascii="Book Antiqua" w:eastAsia="Book Antiqua" w:hAnsi="Book Antiqua" w:cstheme="minorBidi" w:hint="cs"/>
          <w:color w:val="1F497D" w:themeColor="text2"/>
          <w:sz w:val="24"/>
          <w:szCs w:val="24"/>
          <w:rtl/>
          <w:lang w:bidi="tzm-Arab-MA"/>
        </w:rPr>
        <w:t xml:space="preserve"> </w:t>
      </w:r>
      <w:r w:rsidR="001179AA" w:rsidRPr="005678CB">
        <w:rPr>
          <w:rFonts w:ascii="Book Antiqua" w:eastAsia="Book Antiqua" w:hAnsi="Book Antiqua" w:cs="Book Antiqua"/>
          <w:color w:val="1F497D" w:themeColor="text2"/>
          <w:sz w:val="24"/>
          <w:szCs w:val="24"/>
        </w:rPr>
        <w:t xml:space="preserve">a </w:t>
      </w:r>
      <w:r w:rsidR="00F87F56">
        <w:rPr>
          <w:rFonts w:ascii="Book Antiqua" w:eastAsia="Book Antiqua" w:hAnsi="Book Antiqua" w:cstheme="minorBidi" w:hint="cs"/>
          <w:color w:val="1F497D" w:themeColor="text2"/>
          <w:sz w:val="24"/>
          <w:szCs w:val="24"/>
          <w:rtl/>
          <w:lang w:bidi="tzm-Arab-MA"/>
        </w:rPr>
        <w:t xml:space="preserve"> </w:t>
      </w:r>
      <w:r w:rsidR="001179AA" w:rsidRPr="005678CB">
        <w:rPr>
          <w:rFonts w:ascii="Book Antiqua" w:eastAsia="Book Antiqua" w:hAnsi="Book Antiqua" w:cs="Book Antiqua"/>
          <w:color w:val="1F497D" w:themeColor="text2"/>
          <w:sz w:val="24"/>
          <w:szCs w:val="24"/>
        </w:rPr>
        <w:t xml:space="preserve">stagné à </w:t>
      </w:r>
      <w:r w:rsidR="00F36718" w:rsidRPr="005678CB">
        <w:rPr>
          <w:rFonts w:ascii="Book Antiqua" w:eastAsia="Book Antiqua" w:hAnsi="Book Antiqua" w:cs="Book Antiqua"/>
          <w:color w:val="1F497D" w:themeColor="text2"/>
          <w:sz w:val="24"/>
          <w:szCs w:val="24"/>
        </w:rPr>
        <w:t>9,2%, au niveau</w:t>
      </w:r>
      <w:r w:rsidR="00F87F56">
        <w:rPr>
          <w:rFonts w:ascii="Book Antiqua" w:eastAsia="Book Antiqua" w:hAnsi="Book Antiqua" w:cstheme="minorBidi" w:hint="cs"/>
          <w:color w:val="1F497D" w:themeColor="text2"/>
          <w:sz w:val="24"/>
          <w:szCs w:val="24"/>
          <w:rtl/>
          <w:lang w:bidi="tzm-Arab-MA"/>
        </w:rPr>
        <w:t xml:space="preserve"> </w:t>
      </w:r>
      <w:r w:rsidR="001179AA" w:rsidRPr="005678CB">
        <w:rPr>
          <w:rFonts w:ascii="Book Antiqua" w:eastAsia="Book Antiqua" w:hAnsi="Book Antiqua" w:cs="Book Antiqua"/>
          <w:color w:val="1F497D" w:themeColor="text2"/>
          <w:sz w:val="24"/>
          <w:szCs w:val="24"/>
        </w:rPr>
        <w:t xml:space="preserve">national. Il a baissé </w:t>
      </w:r>
      <w:r w:rsidR="00F36718" w:rsidRPr="005678CB">
        <w:rPr>
          <w:rFonts w:ascii="Book Antiqua" w:eastAsia="Book Antiqua" w:hAnsi="Book Antiqua" w:cs="Book Antiqua"/>
          <w:color w:val="1F497D" w:themeColor="text2"/>
          <w:sz w:val="24"/>
          <w:szCs w:val="24"/>
        </w:rPr>
        <w:t>de 8,</w:t>
      </w:r>
      <w:r w:rsidR="001179AA" w:rsidRPr="005678CB">
        <w:rPr>
          <w:rFonts w:ascii="Book Antiqua" w:eastAsia="Book Antiqua" w:hAnsi="Book Antiqua" w:cs="Book Antiqua"/>
          <w:color w:val="1F497D" w:themeColor="text2"/>
          <w:sz w:val="24"/>
          <w:szCs w:val="24"/>
        </w:rPr>
        <w:t>9</w:t>
      </w:r>
      <w:r w:rsidR="00F36718" w:rsidRPr="005678CB">
        <w:rPr>
          <w:rFonts w:ascii="Book Antiqua" w:eastAsia="Book Antiqua" w:hAnsi="Book Antiqua" w:cs="Book Antiqua"/>
          <w:color w:val="1F497D" w:themeColor="text2"/>
          <w:sz w:val="24"/>
          <w:szCs w:val="24"/>
        </w:rPr>
        <w:t>% à 8,</w:t>
      </w:r>
      <w:r w:rsidR="001179AA" w:rsidRPr="005678CB">
        <w:rPr>
          <w:rFonts w:ascii="Book Antiqua" w:eastAsia="Book Antiqua" w:hAnsi="Book Antiqua" w:cs="Book Antiqua"/>
          <w:color w:val="1F497D" w:themeColor="text2"/>
          <w:sz w:val="24"/>
          <w:szCs w:val="24"/>
        </w:rPr>
        <w:t>3</w:t>
      </w:r>
      <w:r w:rsidR="00F36718" w:rsidRPr="005678CB">
        <w:rPr>
          <w:rFonts w:ascii="Book Antiqua" w:eastAsia="Book Antiqua" w:hAnsi="Book Antiqua" w:cs="Book Antiqua"/>
          <w:color w:val="1F497D" w:themeColor="text2"/>
          <w:sz w:val="24"/>
          <w:szCs w:val="24"/>
        </w:rPr>
        <w:t>%</w:t>
      </w:r>
      <w:r w:rsidR="00F87F56">
        <w:rPr>
          <w:rFonts w:ascii="Book Antiqua" w:eastAsia="Book Antiqua" w:hAnsi="Book Antiqua" w:cstheme="minorBidi" w:hint="cs"/>
          <w:color w:val="1F497D" w:themeColor="text2"/>
          <w:sz w:val="24"/>
          <w:szCs w:val="24"/>
          <w:rtl/>
          <w:lang w:bidi="tzm-Arab-MA"/>
        </w:rPr>
        <w:t xml:space="preserve"> </w:t>
      </w:r>
      <w:r w:rsidR="00F36718" w:rsidRPr="005678CB">
        <w:rPr>
          <w:rFonts w:ascii="Book Antiqua" w:eastAsia="Book Antiqua" w:hAnsi="Book Antiqua" w:cs="Book Antiqua"/>
          <w:color w:val="1F497D" w:themeColor="text2"/>
          <w:sz w:val="24"/>
          <w:szCs w:val="24"/>
        </w:rPr>
        <w:t xml:space="preserve">en milieu urbain et </w:t>
      </w:r>
      <w:r w:rsidR="001179AA" w:rsidRPr="005678CB">
        <w:rPr>
          <w:rFonts w:ascii="Book Antiqua" w:eastAsia="Book Antiqua" w:hAnsi="Book Antiqua" w:cs="Book Antiqua"/>
          <w:color w:val="1F497D" w:themeColor="text2"/>
          <w:sz w:val="24"/>
          <w:szCs w:val="24"/>
        </w:rPr>
        <w:t xml:space="preserve">il a augmenté </w:t>
      </w:r>
      <w:r w:rsidR="00F36718" w:rsidRPr="005678CB">
        <w:rPr>
          <w:rFonts w:ascii="Book Antiqua" w:eastAsia="Book Antiqua" w:hAnsi="Book Antiqua" w:cs="Book Antiqua"/>
          <w:color w:val="1F497D" w:themeColor="text2"/>
          <w:sz w:val="24"/>
          <w:szCs w:val="24"/>
        </w:rPr>
        <w:t xml:space="preserve">de </w:t>
      </w:r>
      <w:r w:rsidR="001179AA" w:rsidRPr="005678CB">
        <w:rPr>
          <w:rFonts w:ascii="Book Antiqua" w:eastAsia="Book Antiqua" w:hAnsi="Book Antiqua" w:cs="Book Antiqua"/>
          <w:color w:val="1F497D" w:themeColor="text2"/>
          <w:sz w:val="24"/>
          <w:szCs w:val="24"/>
        </w:rPr>
        <w:t>9,6</w:t>
      </w:r>
      <w:r w:rsidR="00F36718" w:rsidRPr="005678CB">
        <w:rPr>
          <w:rFonts w:ascii="Book Antiqua" w:eastAsia="Book Antiqua" w:hAnsi="Book Antiqua" w:cs="Book Antiqua"/>
          <w:color w:val="1F497D" w:themeColor="text2"/>
          <w:sz w:val="24"/>
          <w:szCs w:val="24"/>
        </w:rPr>
        <w:t xml:space="preserve">% à </w:t>
      </w:r>
      <w:r w:rsidR="001179AA" w:rsidRPr="005678CB">
        <w:rPr>
          <w:rFonts w:ascii="Book Antiqua" w:eastAsia="Book Antiqua" w:hAnsi="Book Antiqua" w:cs="Book Antiqua"/>
          <w:color w:val="1F497D" w:themeColor="text2"/>
          <w:sz w:val="24"/>
          <w:szCs w:val="24"/>
        </w:rPr>
        <w:t>10</w:t>
      </w:r>
      <w:r w:rsidR="00F36718" w:rsidRPr="005678CB">
        <w:rPr>
          <w:rFonts w:ascii="Book Antiqua" w:eastAsia="Book Antiqua" w:hAnsi="Book Antiqua" w:cs="Book Antiqua"/>
          <w:color w:val="1F497D" w:themeColor="text2"/>
          <w:sz w:val="24"/>
          <w:szCs w:val="24"/>
        </w:rPr>
        <w:t>,6</w:t>
      </w:r>
      <w:r w:rsidRPr="005678CB">
        <w:rPr>
          <w:rFonts w:ascii="Book Antiqua" w:eastAsia="Book Antiqua" w:hAnsi="Book Antiqua" w:cs="Book Antiqua"/>
          <w:color w:val="1F497D" w:themeColor="text2"/>
          <w:sz w:val="24"/>
          <w:szCs w:val="24"/>
        </w:rPr>
        <w:t>% en milieu rural.</w:t>
      </w:r>
    </w:p>
    <w:p w:rsidR="00882371" w:rsidRPr="003D03B0" w:rsidRDefault="003D1D48" w:rsidP="003848CA">
      <w:pPr>
        <w:rPr>
          <w:rFonts w:ascii="Book Antiqua" w:eastAsia="Book Antiqua" w:hAnsi="Book Antiqua" w:cs="Book Antiqua"/>
          <w:b/>
          <w:bCs/>
          <w:color w:val="0070C0"/>
          <w:sz w:val="26"/>
          <w:szCs w:val="26"/>
        </w:rPr>
      </w:pPr>
      <w:r w:rsidRPr="00BA18D5">
        <w:rPr>
          <w:rFonts w:ascii="Book Antiqua" w:eastAsia="Book Antiqua" w:hAnsi="Book Antiqua" w:cs="Book Antiqua"/>
          <w:b/>
          <w:bCs/>
          <w:color w:val="0070C0"/>
          <w:sz w:val="26"/>
          <w:szCs w:val="26"/>
        </w:rPr>
        <w:br w:type="page"/>
      </w:r>
      <w:r w:rsidR="003C56CF" w:rsidRPr="003C56CF">
        <w:rPr>
          <w:rFonts w:ascii="Book Antiqua" w:eastAsia="Book Antiqua" w:hAnsi="Book Antiqua" w:cs="Book Antiqua"/>
          <w:b/>
          <w:bCs/>
          <w:color w:val="0070C0"/>
          <w:sz w:val="28"/>
          <w:szCs w:val="28"/>
        </w:rPr>
        <w:lastRenderedPageBreak/>
        <w:t xml:space="preserve">I.  </w:t>
      </w:r>
      <w:r w:rsidR="00882371" w:rsidRPr="003C56CF">
        <w:rPr>
          <w:rFonts w:ascii="Book Antiqua" w:eastAsia="Book Antiqua" w:hAnsi="Book Antiqua" w:cs="Book Antiqua"/>
          <w:b/>
          <w:bCs/>
          <w:color w:val="0070C0"/>
          <w:sz w:val="28"/>
          <w:szCs w:val="28"/>
        </w:rPr>
        <w:t>Activité et emploi</w:t>
      </w:r>
    </w:p>
    <w:p w:rsidR="00AD230E" w:rsidRPr="003D03B0" w:rsidRDefault="00E537B1" w:rsidP="00882371">
      <w:pPr>
        <w:spacing w:before="240" w:after="240" w:line="312" w:lineRule="auto"/>
        <w:rPr>
          <w:rFonts w:ascii="Book Antiqua" w:eastAsia="Book Antiqua" w:hAnsi="Book Antiqua" w:cs="Book Antiqua"/>
          <w:b/>
          <w:bCs/>
          <w:i/>
          <w:iCs/>
          <w:color w:val="0070C0"/>
          <w:sz w:val="26"/>
          <w:szCs w:val="26"/>
        </w:rPr>
      </w:pPr>
      <w:r w:rsidRPr="003D03B0">
        <w:rPr>
          <w:rFonts w:ascii="Book Antiqua" w:eastAsia="Book Antiqua" w:hAnsi="Book Antiqua" w:cs="Book Antiqua"/>
          <w:b/>
          <w:bCs/>
          <w:i/>
          <w:iCs/>
          <w:color w:val="0070C0"/>
          <w:sz w:val="26"/>
          <w:szCs w:val="26"/>
        </w:rPr>
        <w:t>Baisse d</w:t>
      </w:r>
      <w:r w:rsidR="0054373C" w:rsidRPr="003D03B0">
        <w:rPr>
          <w:rFonts w:ascii="Book Antiqua" w:eastAsia="Book Antiqua" w:hAnsi="Book Antiqua" w:cs="Book Antiqua"/>
          <w:b/>
          <w:bCs/>
          <w:i/>
          <w:iCs/>
          <w:color w:val="0070C0"/>
          <w:sz w:val="26"/>
          <w:szCs w:val="26"/>
        </w:rPr>
        <w:t>e</w:t>
      </w:r>
      <w:r w:rsidR="00B7522D">
        <w:rPr>
          <w:rFonts w:ascii="Book Antiqua" w:eastAsia="Book Antiqua" w:hAnsi="Book Antiqua" w:cs="Book Antiqua"/>
          <w:b/>
          <w:bCs/>
          <w:i/>
          <w:iCs/>
          <w:color w:val="0070C0"/>
          <w:sz w:val="26"/>
          <w:szCs w:val="26"/>
        </w:rPr>
        <w:t xml:space="preserve"> </w:t>
      </w:r>
      <w:r w:rsidR="0054373C" w:rsidRPr="003D03B0">
        <w:rPr>
          <w:rFonts w:ascii="Book Antiqua" w:eastAsia="Book Antiqua" w:hAnsi="Book Antiqua" w:cs="Book Antiqua"/>
          <w:b/>
          <w:bCs/>
          <w:i/>
          <w:iCs/>
          <w:color w:val="0070C0"/>
          <w:sz w:val="26"/>
          <w:szCs w:val="26"/>
        </w:rPr>
        <w:t>l</w:t>
      </w:r>
      <w:r w:rsidRPr="003D03B0">
        <w:rPr>
          <w:rFonts w:ascii="Book Antiqua" w:eastAsia="Book Antiqua" w:hAnsi="Book Antiqua" w:cs="Book Antiqua"/>
          <w:b/>
          <w:bCs/>
          <w:i/>
          <w:iCs/>
          <w:color w:val="0070C0"/>
          <w:sz w:val="26"/>
          <w:szCs w:val="26"/>
        </w:rPr>
        <w:t xml:space="preserve">’activité et </w:t>
      </w:r>
      <w:r w:rsidR="00E276F1" w:rsidRPr="003D03B0">
        <w:rPr>
          <w:rFonts w:ascii="Book Antiqua" w:eastAsia="Book Antiqua" w:hAnsi="Book Antiqua" w:cs="Book Antiqua"/>
          <w:b/>
          <w:bCs/>
          <w:i/>
          <w:iCs/>
          <w:color w:val="0070C0"/>
          <w:sz w:val="26"/>
          <w:szCs w:val="26"/>
        </w:rPr>
        <w:t>de l’emploi</w:t>
      </w:r>
    </w:p>
    <w:p w:rsidR="007B3685" w:rsidRDefault="00E537B1" w:rsidP="00C513B1">
      <w:pPr>
        <w:spacing w:before="240" w:after="240" w:line="312" w:lineRule="auto"/>
        <w:jc w:val="both"/>
        <w:rPr>
          <w:rFonts w:ascii="Book Antiqua" w:hAnsi="Book Antiqua" w:cstheme="majorBidi"/>
          <w:sz w:val="24"/>
          <w:szCs w:val="24"/>
        </w:rPr>
      </w:pPr>
      <w:r w:rsidRPr="008B6DE8">
        <w:rPr>
          <w:rFonts w:ascii="Book Antiqua" w:eastAsia="Book Antiqua" w:hAnsi="Book Antiqua" w:cs="Book Antiqua"/>
          <w:sz w:val="24"/>
          <w:szCs w:val="24"/>
        </w:rPr>
        <w:t>Entr</w:t>
      </w:r>
      <w:r w:rsidR="00156B42" w:rsidRPr="008B6DE8">
        <w:rPr>
          <w:rFonts w:ascii="Book Antiqua" w:eastAsia="Book Antiqua" w:hAnsi="Book Antiqua" w:cs="Book Antiqua"/>
          <w:sz w:val="24"/>
          <w:szCs w:val="24"/>
        </w:rPr>
        <w:t>e le premier</w:t>
      </w:r>
      <w:r w:rsidR="002A5048" w:rsidRPr="008B6DE8">
        <w:rPr>
          <w:rFonts w:ascii="Book Antiqua" w:eastAsia="Book Antiqua" w:hAnsi="Book Antiqua" w:cs="Book Antiqua"/>
          <w:sz w:val="24"/>
          <w:szCs w:val="24"/>
        </w:rPr>
        <w:t xml:space="preserve"> trimestre de 202</w:t>
      </w:r>
      <w:r w:rsidR="00C513B1" w:rsidRPr="008B6DE8">
        <w:rPr>
          <w:rFonts w:ascii="Book Antiqua" w:eastAsia="Book Antiqua" w:hAnsi="Book Antiqua" w:cs="Book Antiqua"/>
          <w:sz w:val="24"/>
          <w:szCs w:val="24"/>
        </w:rPr>
        <w:t>1</w:t>
      </w:r>
      <w:r w:rsidR="002A5048" w:rsidRPr="008B6DE8">
        <w:rPr>
          <w:rFonts w:ascii="Book Antiqua" w:eastAsia="Book Antiqua" w:hAnsi="Book Antiqua" w:cs="Book Antiqua"/>
          <w:sz w:val="24"/>
          <w:szCs w:val="24"/>
        </w:rPr>
        <w:t xml:space="preserve"> et la même période de 202</w:t>
      </w:r>
      <w:r w:rsidR="00C513B1" w:rsidRPr="008B6DE8">
        <w:rPr>
          <w:rFonts w:ascii="Book Antiqua" w:eastAsia="Book Antiqua" w:hAnsi="Book Antiqua" w:cs="Book Antiqua"/>
          <w:sz w:val="24"/>
          <w:szCs w:val="24"/>
        </w:rPr>
        <w:t>2</w:t>
      </w:r>
      <w:r w:rsidRPr="008B6DE8">
        <w:rPr>
          <w:rFonts w:ascii="Book Antiqua" w:eastAsia="Book Antiqua" w:hAnsi="Book Antiqua" w:cs="Book Antiqua"/>
          <w:sz w:val="24"/>
          <w:szCs w:val="24"/>
        </w:rPr>
        <w:t>,</w:t>
      </w:r>
      <w:r w:rsidRPr="001726BC">
        <w:rPr>
          <w:rFonts w:ascii="Book Antiqua" w:eastAsia="Book Antiqua" w:hAnsi="Book Antiqua" w:cs="Book Antiqua"/>
          <w:sz w:val="24"/>
          <w:szCs w:val="24"/>
        </w:rPr>
        <w:t xml:space="preserve"> le taux d’activité a bai</w:t>
      </w:r>
      <w:r w:rsidR="002A5048" w:rsidRPr="001726BC">
        <w:rPr>
          <w:rFonts w:ascii="Book Antiqua" w:eastAsia="Book Antiqua" w:hAnsi="Book Antiqua" w:cs="Book Antiqua"/>
          <w:sz w:val="24"/>
          <w:szCs w:val="24"/>
        </w:rPr>
        <w:t xml:space="preserve">ssé, au niveau national, </w:t>
      </w:r>
      <w:r w:rsidR="0044569E">
        <w:rPr>
          <w:rFonts w:ascii="Book Antiqua" w:eastAsia="Book Antiqua" w:hAnsi="Book Antiqua" w:cs="Book Antiqua"/>
          <w:sz w:val="24"/>
          <w:szCs w:val="24"/>
        </w:rPr>
        <w:t>d’un point</w:t>
      </w:r>
      <w:r w:rsidR="00F55E70">
        <w:rPr>
          <w:rFonts w:ascii="Book Antiqua" w:eastAsia="Book Antiqua" w:hAnsi="Book Antiqua" w:cs="Book Antiqua"/>
          <w:sz w:val="24"/>
          <w:szCs w:val="24"/>
        </w:rPr>
        <w:t>,</w:t>
      </w:r>
      <w:r w:rsidR="0044569E">
        <w:rPr>
          <w:rFonts w:ascii="Book Antiqua" w:eastAsia="Book Antiqua" w:hAnsi="Book Antiqua" w:cs="Book Antiqua"/>
          <w:sz w:val="24"/>
          <w:szCs w:val="24"/>
        </w:rPr>
        <w:t xml:space="preserve"> passant </w:t>
      </w:r>
      <w:r w:rsidR="002A5048" w:rsidRPr="001726BC">
        <w:rPr>
          <w:rFonts w:ascii="Book Antiqua" w:eastAsia="Book Antiqua" w:hAnsi="Book Antiqua" w:cs="Book Antiqua"/>
          <w:sz w:val="24"/>
          <w:szCs w:val="24"/>
        </w:rPr>
        <w:t xml:space="preserve">de </w:t>
      </w:r>
      <w:r w:rsidR="00702AFD" w:rsidRPr="001726BC">
        <w:rPr>
          <w:rFonts w:ascii="Book Antiqua" w:eastAsia="Book Antiqua" w:hAnsi="Book Antiqua" w:cs="Book Antiqua"/>
          <w:sz w:val="24"/>
          <w:szCs w:val="24"/>
        </w:rPr>
        <w:t>45,5</w:t>
      </w:r>
      <w:r w:rsidR="002A5048" w:rsidRPr="001726BC">
        <w:rPr>
          <w:rFonts w:ascii="Book Antiqua" w:eastAsia="Book Antiqua" w:hAnsi="Book Antiqua" w:cs="Book Antiqua"/>
          <w:sz w:val="24"/>
          <w:szCs w:val="24"/>
        </w:rPr>
        <w:t>% à 4</w:t>
      </w:r>
      <w:r w:rsidR="00702AFD">
        <w:rPr>
          <w:rFonts w:ascii="Book Antiqua" w:eastAsia="Book Antiqua" w:hAnsi="Book Antiqua" w:cs="Book Antiqua"/>
          <w:sz w:val="24"/>
          <w:szCs w:val="24"/>
        </w:rPr>
        <w:t>4</w:t>
      </w:r>
      <w:r w:rsidRPr="001726BC">
        <w:rPr>
          <w:rFonts w:ascii="Book Antiqua" w:eastAsia="Book Antiqua" w:hAnsi="Book Antiqua" w:cs="Book Antiqua"/>
          <w:sz w:val="24"/>
          <w:szCs w:val="24"/>
        </w:rPr>
        <w:t>,5%.</w:t>
      </w:r>
      <w:r w:rsidR="00F87F56">
        <w:rPr>
          <w:rFonts w:ascii="Book Antiqua" w:eastAsia="Book Antiqua" w:hAnsi="Book Antiqua" w:cstheme="minorBidi" w:hint="cs"/>
          <w:sz w:val="24"/>
          <w:szCs w:val="24"/>
          <w:rtl/>
          <w:lang w:bidi="tzm-Arab-MA"/>
        </w:rPr>
        <w:t xml:space="preserve"> </w:t>
      </w:r>
      <w:r w:rsidR="001A6530">
        <w:rPr>
          <w:rFonts w:ascii="Book Antiqua" w:hAnsi="Book Antiqua" w:cstheme="majorBidi"/>
          <w:sz w:val="24"/>
          <w:szCs w:val="24"/>
        </w:rPr>
        <w:t xml:space="preserve">Cette </w:t>
      </w:r>
      <w:r w:rsidR="0044569E" w:rsidRPr="00172EDC">
        <w:rPr>
          <w:rFonts w:ascii="Book Antiqua" w:hAnsi="Book Antiqua" w:cstheme="majorBidi"/>
          <w:sz w:val="24"/>
          <w:szCs w:val="24"/>
        </w:rPr>
        <w:t xml:space="preserve">baisse </w:t>
      </w:r>
      <w:r w:rsidR="0044569E">
        <w:rPr>
          <w:rFonts w:ascii="Book Antiqua" w:hAnsi="Book Antiqua" w:cstheme="majorBidi"/>
          <w:sz w:val="24"/>
          <w:szCs w:val="24"/>
        </w:rPr>
        <w:t>résulte</w:t>
      </w:r>
      <w:r w:rsidR="00F87F56">
        <w:rPr>
          <w:rFonts w:ascii="Book Antiqua" w:hAnsi="Book Antiqua" w:cstheme="majorBidi" w:hint="cs"/>
          <w:sz w:val="24"/>
          <w:szCs w:val="24"/>
          <w:rtl/>
          <w:lang w:bidi="tzm-Arab-MA"/>
        </w:rPr>
        <w:t xml:space="preserve"> </w:t>
      </w:r>
      <w:r w:rsidR="007B3685">
        <w:rPr>
          <w:rFonts w:ascii="Book Antiqua" w:hAnsi="Book Antiqua" w:cstheme="majorBidi"/>
          <w:sz w:val="24"/>
          <w:szCs w:val="24"/>
        </w:rPr>
        <w:t>du</w:t>
      </w:r>
      <w:r w:rsidR="007B3685" w:rsidRPr="00172EDC">
        <w:rPr>
          <w:rFonts w:ascii="Book Antiqua" w:hAnsi="Book Antiqua" w:cstheme="majorBidi"/>
          <w:sz w:val="24"/>
          <w:szCs w:val="24"/>
        </w:rPr>
        <w:t xml:space="preserve"> recul de la population active de</w:t>
      </w:r>
      <w:r w:rsidR="007B3685">
        <w:rPr>
          <w:rFonts w:ascii="Book Antiqua" w:hAnsi="Book Antiqua" w:cstheme="majorBidi"/>
          <w:sz w:val="24"/>
          <w:szCs w:val="24"/>
        </w:rPr>
        <w:t xml:space="preserve"> 1</w:t>
      </w:r>
      <w:r w:rsidR="007B3685" w:rsidRPr="00172EDC">
        <w:rPr>
          <w:rFonts w:ascii="Book Antiqua" w:hAnsi="Book Antiqua" w:cstheme="majorBidi"/>
          <w:sz w:val="24"/>
          <w:szCs w:val="24"/>
        </w:rPr>
        <w:t>%</w:t>
      </w:r>
      <w:r w:rsidR="007B3685">
        <w:rPr>
          <w:rFonts w:ascii="Book Antiqua" w:hAnsi="Book Antiqua" w:cstheme="majorBidi"/>
          <w:sz w:val="24"/>
          <w:szCs w:val="24"/>
        </w:rPr>
        <w:t xml:space="preserve"> et de </w:t>
      </w:r>
      <w:r w:rsidR="0044569E" w:rsidRPr="00172EDC">
        <w:rPr>
          <w:rFonts w:ascii="Book Antiqua" w:hAnsi="Book Antiqua" w:cstheme="majorBidi"/>
          <w:sz w:val="24"/>
          <w:szCs w:val="24"/>
        </w:rPr>
        <w:t>l’accroissement de la popula</w:t>
      </w:r>
      <w:r w:rsidR="0044569E">
        <w:rPr>
          <w:rFonts w:ascii="Book Antiqua" w:hAnsi="Book Antiqua" w:cstheme="majorBidi"/>
          <w:sz w:val="24"/>
          <w:szCs w:val="24"/>
        </w:rPr>
        <w:t xml:space="preserve">tion en âge d'activité (15 ans et </w:t>
      </w:r>
      <w:r w:rsidR="0044569E" w:rsidRPr="00172EDC">
        <w:rPr>
          <w:rFonts w:ascii="Book Antiqua" w:hAnsi="Book Antiqua" w:cstheme="majorBidi"/>
          <w:sz w:val="24"/>
          <w:szCs w:val="24"/>
        </w:rPr>
        <w:t xml:space="preserve">plus) de </w:t>
      </w:r>
      <w:r w:rsidR="0044569E" w:rsidRPr="00FE541A">
        <w:rPr>
          <w:rFonts w:ascii="Book Antiqua" w:hAnsi="Book Antiqua" w:cstheme="majorBidi"/>
          <w:sz w:val="24"/>
          <w:szCs w:val="24"/>
        </w:rPr>
        <w:t>1,</w:t>
      </w:r>
      <w:r w:rsidR="006041A8" w:rsidRPr="00FE541A">
        <w:rPr>
          <w:rFonts w:ascii="Book Antiqua" w:hAnsi="Book Antiqua" w:cstheme="majorBidi"/>
          <w:sz w:val="24"/>
          <w:szCs w:val="24"/>
        </w:rPr>
        <w:t>4</w:t>
      </w:r>
      <w:r w:rsidR="007B3685">
        <w:rPr>
          <w:rFonts w:ascii="Book Antiqua" w:hAnsi="Book Antiqua" w:cstheme="majorBidi"/>
          <w:sz w:val="24"/>
          <w:szCs w:val="24"/>
        </w:rPr>
        <w:t>%</w:t>
      </w:r>
      <w:r w:rsidR="0044569E" w:rsidRPr="00172EDC">
        <w:rPr>
          <w:rFonts w:ascii="Book Antiqua" w:hAnsi="Book Antiqua" w:cstheme="majorBidi"/>
          <w:sz w:val="24"/>
          <w:szCs w:val="24"/>
        </w:rPr>
        <w:t>.</w:t>
      </w:r>
    </w:p>
    <w:p w:rsidR="005E6622" w:rsidRDefault="001A6530" w:rsidP="00C513B1">
      <w:pPr>
        <w:spacing w:before="240" w:after="240" w:line="312" w:lineRule="auto"/>
        <w:jc w:val="both"/>
        <w:rPr>
          <w:rFonts w:ascii="Book Antiqua" w:hAnsi="Book Antiqua" w:cstheme="majorBidi"/>
          <w:sz w:val="24"/>
          <w:szCs w:val="24"/>
        </w:rPr>
      </w:pPr>
      <w:r>
        <w:rPr>
          <w:rFonts w:ascii="Book Antiqua" w:hAnsi="Book Antiqua" w:cstheme="majorBidi"/>
          <w:sz w:val="24"/>
          <w:szCs w:val="24"/>
        </w:rPr>
        <w:t xml:space="preserve">La </w:t>
      </w:r>
      <w:r w:rsidRPr="00172EDC">
        <w:rPr>
          <w:rFonts w:ascii="Book Antiqua" w:hAnsi="Book Antiqua" w:cstheme="majorBidi"/>
          <w:sz w:val="24"/>
          <w:szCs w:val="24"/>
        </w:rPr>
        <w:t xml:space="preserve">baisse </w:t>
      </w:r>
      <w:r>
        <w:rPr>
          <w:rFonts w:ascii="Book Antiqua" w:hAnsi="Book Antiqua" w:cstheme="majorBidi"/>
          <w:sz w:val="24"/>
          <w:szCs w:val="24"/>
        </w:rPr>
        <w:t xml:space="preserve">du taux d’activité </w:t>
      </w:r>
      <w:r w:rsidRPr="00172EDC">
        <w:rPr>
          <w:rFonts w:ascii="Book Antiqua" w:hAnsi="Book Antiqua" w:cstheme="majorBidi"/>
          <w:sz w:val="24"/>
          <w:szCs w:val="24"/>
        </w:rPr>
        <w:t>est plus prononcée en milieu rural</w:t>
      </w:r>
      <w:r>
        <w:rPr>
          <w:rFonts w:ascii="Book Antiqua" w:hAnsi="Book Antiqua" w:cstheme="majorBidi"/>
          <w:sz w:val="24"/>
          <w:szCs w:val="24"/>
        </w:rPr>
        <w:t xml:space="preserve"> (-1,8 point), passant de </w:t>
      </w:r>
      <w:r w:rsidR="00702AFD" w:rsidRPr="001726BC">
        <w:rPr>
          <w:rFonts w:ascii="Book Antiqua" w:eastAsia="Book Antiqua" w:hAnsi="Book Antiqua" w:cs="Book Antiqua"/>
          <w:sz w:val="24"/>
          <w:szCs w:val="24"/>
        </w:rPr>
        <w:t>51,1</w:t>
      </w:r>
      <w:r w:rsidR="002A5048" w:rsidRPr="001726BC">
        <w:rPr>
          <w:rFonts w:ascii="Book Antiqua" w:eastAsia="Book Antiqua" w:hAnsi="Book Antiqua" w:cs="Book Antiqua"/>
          <w:sz w:val="24"/>
          <w:szCs w:val="24"/>
        </w:rPr>
        <w:t xml:space="preserve">% à </w:t>
      </w:r>
      <w:r w:rsidR="00702AFD">
        <w:rPr>
          <w:rFonts w:ascii="Book Antiqua" w:eastAsia="Book Antiqua" w:hAnsi="Book Antiqua" w:cs="Book Antiqua"/>
          <w:sz w:val="24"/>
          <w:szCs w:val="24"/>
        </w:rPr>
        <w:t>49</w:t>
      </w:r>
      <w:r w:rsidR="002A5048" w:rsidRPr="001726BC">
        <w:rPr>
          <w:rFonts w:ascii="Book Antiqua" w:eastAsia="Book Antiqua" w:hAnsi="Book Antiqua" w:cs="Book Antiqua"/>
          <w:sz w:val="24"/>
          <w:szCs w:val="24"/>
        </w:rPr>
        <w:t>,</w:t>
      </w:r>
      <w:r w:rsidR="00702AFD">
        <w:rPr>
          <w:rFonts w:ascii="Book Antiqua" w:eastAsia="Book Antiqua" w:hAnsi="Book Antiqua" w:cs="Book Antiqua"/>
          <w:sz w:val="24"/>
          <w:szCs w:val="24"/>
        </w:rPr>
        <w:t>3</w:t>
      </w:r>
      <w:r w:rsidR="002A5048" w:rsidRPr="001726BC">
        <w:rPr>
          <w:rFonts w:ascii="Book Antiqua" w:eastAsia="Book Antiqua" w:hAnsi="Book Antiqua" w:cs="Book Antiqua"/>
          <w:sz w:val="24"/>
          <w:szCs w:val="24"/>
        </w:rPr>
        <w:t xml:space="preserve">% </w:t>
      </w:r>
      <w:r w:rsidRPr="00172EDC">
        <w:rPr>
          <w:rFonts w:ascii="Book Antiqua" w:hAnsi="Book Antiqua" w:cstheme="majorBidi"/>
          <w:sz w:val="24"/>
          <w:szCs w:val="24"/>
        </w:rPr>
        <w:t xml:space="preserve">qu’en milieu urbain </w:t>
      </w:r>
      <w:r>
        <w:rPr>
          <w:rFonts w:ascii="Book Antiqua" w:hAnsi="Book Antiqua" w:cstheme="majorBidi"/>
          <w:sz w:val="24"/>
          <w:szCs w:val="24"/>
        </w:rPr>
        <w:t xml:space="preserve">(-0,7 point), </w:t>
      </w:r>
      <w:r w:rsidR="00F55E70">
        <w:rPr>
          <w:rFonts w:ascii="Book Antiqua" w:hAnsi="Book Antiqua" w:cstheme="majorBidi"/>
          <w:sz w:val="24"/>
          <w:szCs w:val="24"/>
        </w:rPr>
        <w:t xml:space="preserve">de </w:t>
      </w:r>
      <w:r w:rsidR="00702AFD" w:rsidRPr="001726BC">
        <w:rPr>
          <w:rFonts w:ascii="Book Antiqua" w:eastAsia="Book Antiqua" w:hAnsi="Book Antiqua" w:cs="Book Antiqua"/>
          <w:sz w:val="24"/>
          <w:szCs w:val="24"/>
        </w:rPr>
        <w:t>42,6</w:t>
      </w:r>
      <w:r w:rsidR="00E537B1" w:rsidRPr="001726BC">
        <w:rPr>
          <w:rFonts w:ascii="Book Antiqua" w:eastAsia="Book Antiqua" w:hAnsi="Book Antiqua" w:cs="Book Antiqua"/>
          <w:sz w:val="24"/>
          <w:szCs w:val="24"/>
        </w:rPr>
        <w:t>% à 4</w:t>
      </w:r>
      <w:r w:rsidR="00702AFD">
        <w:rPr>
          <w:rFonts w:ascii="Book Antiqua" w:eastAsia="Book Antiqua" w:hAnsi="Book Antiqua" w:cs="Book Antiqua"/>
          <w:sz w:val="24"/>
          <w:szCs w:val="24"/>
        </w:rPr>
        <w:t>1</w:t>
      </w:r>
      <w:r w:rsidR="002A5048" w:rsidRPr="001726BC">
        <w:rPr>
          <w:rFonts w:ascii="Book Antiqua" w:eastAsia="Book Antiqua" w:hAnsi="Book Antiqua" w:cs="Book Antiqua"/>
          <w:sz w:val="24"/>
          <w:szCs w:val="24"/>
        </w:rPr>
        <w:t>,</w:t>
      </w:r>
      <w:r w:rsidR="00702AFD">
        <w:rPr>
          <w:rFonts w:ascii="Book Antiqua" w:eastAsia="Book Antiqua" w:hAnsi="Book Antiqua" w:cs="Book Antiqua"/>
          <w:sz w:val="24"/>
          <w:szCs w:val="24"/>
        </w:rPr>
        <w:t>9</w:t>
      </w:r>
      <w:r w:rsidR="00E537B1" w:rsidRPr="001726BC">
        <w:rPr>
          <w:rFonts w:ascii="Book Antiqua" w:eastAsia="Book Antiqua" w:hAnsi="Book Antiqua" w:cs="Book Antiqua"/>
          <w:sz w:val="24"/>
          <w:szCs w:val="24"/>
        </w:rPr>
        <w:t xml:space="preserve">%. </w:t>
      </w:r>
      <w:r w:rsidRPr="00172EDC">
        <w:rPr>
          <w:rFonts w:ascii="Book Antiqua" w:hAnsi="Book Antiqua" w:cstheme="majorBidi"/>
          <w:sz w:val="24"/>
          <w:szCs w:val="24"/>
        </w:rPr>
        <w:t>Le</w:t>
      </w:r>
      <w:r w:rsidR="00521E97">
        <w:rPr>
          <w:rFonts w:ascii="Book Antiqua" w:hAnsi="Book Antiqua" w:cstheme="majorBidi"/>
          <w:sz w:val="24"/>
          <w:szCs w:val="24"/>
        </w:rPr>
        <w:t>s</w:t>
      </w:r>
      <w:r w:rsidRPr="00172EDC">
        <w:rPr>
          <w:rFonts w:ascii="Book Antiqua" w:hAnsi="Book Antiqua" w:cstheme="majorBidi"/>
          <w:sz w:val="24"/>
          <w:szCs w:val="24"/>
        </w:rPr>
        <w:t xml:space="preserve"> taux d’activité des femmes</w:t>
      </w:r>
      <w:r>
        <w:rPr>
          <w:rFonts w:ascii="Book Antiqua" w:hAnsi="Book Antiqua" w:cstheme="majorBidi"/>
          <w:sz w:val="24"/>
          <w:szCs w:val="24"/>
        </w:rPr>
        <w:t xml:space="preserve"> et des hommes ont </w:t>
      </w:r>
      <w:r w:rsidRPr="00172EDC">
        <w:rPr>
          <w:rFonts w:ascii="Book Antiqua" w:hAnsi="Book Antiqua" w:cstheme="majorBidi"/>
          <w:sz w:val="24"/>
          <w:szCs w:val="24"/>
        </w:rPr>
        <w:t>baissé de 1,</w:t>
      </w:r>
      <w:r w:rsidR="00521E97">
        <w:rPr>
          <w:rFonts w:ascii="Book Antiqua" w:hAnsi="Book Antiqua" w:cstheme="majorBidi"/>
          <w:sz w:val="24"/>
          <w:szCs w:val="24"/>
        </w:rPr>
        <w:t>2</w:t>
      </w:r>
      <w:r w:rsidRPr="00172EDC">
        <w:rPr>
          <w:rFonts w:ascii="Book Antiqua" w:hAnsi="Book Antiqua" w:cstheme="majorBidi"/>
          <w:sz w:val="24"/>
          <w:szCs w:val="24"/>
        </w:rPr>
        <w:t xml:space="preserve"> point </w:t>
      </w:r>
      <w:r w:rsidR="00521E97">
        <w:rPr>
          <w:rFonts w:ascii="Book Antiqua" w:hAnsi="Book Antiqua" w:cstheme="majorBidi"/>
          <w:sz w:val="24"/>
          <w:szCs w:val="24"/>
        </w:rPr>
        <w:t xml:space="preserve">et de 1,1 point </w:t>
      </w:r>
      <w:r w:rsidRPr="00172EDC">
        <w:rPr>
          <w:rFonts w:ascii="Book Antiqua" w:hAnsi="Book Antiqua" w:cstheme="majorBidi"/>
          <w:sz w:val="24"/>
          <w:szCs w:val="24"/>
        </w:rPr>
        <w:t xml:space="preserve">pour s’établir à </w:t>
      </w:r>
      <w:r>
        <w:rPr>
          <w:rFonts w:ascii="Book Antiqua" w:hAnsi="Book Antiqua" w:cstheme="majorBidi"/>
          <w:sz w:val="24"/>
          <w:szCs w:val="24"/>
        </w:rPr>
        <w:t>20</w:t>
      </w:r>
      <w:r w:rsidRPr="00172EDC">
        <w:rPr>
          <w:rFonts w:ascii="Book Antiqua" w:hAnsi="Book Antiqua" w:cstheme="majorBidi"/>
          <w:sz w:val="24"/>
          <w:szCs w:val="24"/>
        </w:rPr>
        <w:t>%</w:t>
      </w:r>
      <w:r>
        <w:rPr>
          <w:rFonts w:ascii="Book Antiqua" w:hAnsi="Book Antiqua" w:cstheme="majorBidi"/>
          <w:sz w:val="24"/>
          <w:szCs w:val="24"/>
        </w:rPr>
        <w:t xml:space="preserve"> et 69,6%</w:t>
      </w:r>
      <w:r w:rsidR="00521E97">
        <w:rPr>
          <w:rFonts w:ascii="Book Antiqua" w:hAnsi="Book Antiqua" w:cstheme="majorBidi"/>
          <w:sz w:val="24"/>
          <w:szCs w:val="24"/>
        </w:rPr>
        <w:t>,</w:t>
      </w:r>
      <w:r w:rsidR="00F87F56">
        <w:rPr>
          <w:rFonts w:ascii="Book Antiqua" w:hAnsi="Book Antiqua" w:cstheme="majorBidi" w:hint="cs"/>
          <w:sz w:val="24"/>
          <w:szCs w:val="24"/>
          <w:rtl/>
          <w:lang w:bidi="tzm-Arab-MA"/>
        </w:rPr>
        <w:t xml:space="preserve"> </w:t>
      </w:r>
      <w:r>
        <w:rPr>
          <w:rFonts w:ascii="Book Antiqua" w:hAnsi="Book Antiqua" w:cstheme="majorBidi"/>
          <w:sz w:val="24"/>
          <w:szCs w:val="24"/>
        </w:rPr>
        <w:t>respectivement.</w:t>
      </w:r>
    </w:p>
    <w:p w:rsidR="00E70765" w:rsidRPr="00A5269F" w:rsidRDefault="00E537B1" w:rsidP="00F55E70">
      <w:pPr>
        <w:spacing w:before="240" w:after="240" w:line="312" w:lineRule="auto"/>
        <w:jc w:val="both"/>
        <w:rPr>
          <w:rFonts w:ascii="Book Antiqua" w:eastAsia="Book Antiqua" w:hAnsi="Book Antiqua" w:cs="Book Antiqua"/>
          <w:sz w:val="24"/>
          <w:szCs w:val="24"/>
        </w:rPr>
      </w:pPr>
      <w:r w:rsidRPr="00A5269F">
        <w:rPr>
          <w:rFonts w:ascii="Book Antiqua" w:eastAsia="Book Antiqua" w:hAnsi="Book Antiqua" w:cs="Book Antiqua"/>
          <w:sz w:val="24"/>
          <w:szCs w:val="24"/>
        </w:rPr>
        <w:t>De son côté, l</w:t>
      </w:r>
      <w:r w:rsidR="002A5048" w:rsidRPr="00A5269F">
        <w:rPr>
          <w:rFonts w:ascii="Book Antiqua" w:eastAsia="Book Antiqua" w:hAnsi="Book Antiqua" w:cs="Book Antiqua"/>
          <w:sz w:val="24"/>
          <w:szCs w:val="24"/>
        </w:rPr>
        <w:t xml:space="preserve">e taux d’emploi </w:t>
      </w:r>
      <w:r w:rsidR="00F87F56">
        <w:rPr>
          <w:rFonts w:ascii="Book Antiqua" w:eastAsia="Book Antiqua" w:hAnsi="Book Antiqua" w:cstheme="minorBidi" w:hint="cs"/>
          <w:sz w:val="24"/>
          <w:szCs w:val="24"/>
          <w:rtl/>
          <w:lang w:bidi="tzm-Arab-MA"/>
        </w:rPr>
        <w:t xml:space="preserve"> </w:t>
      </w:r>
      <w:r w:rsidR="002A5048" w:rsidRPr="00A5269F">
        <w:rPr>
          <w:rFonts w:ascii="Book Antiqua" w:eastAsia="Book Antiqua" w:hAnsi="Book Antiqua" w:cs="Book Antiqua"/>
          <w:sz w:val="24"/>
          <w:szCs w:val="24"/>
        </w:rPr>
        <w:t xml:space="preserve">a baissé de </w:t>
      </w:r>
      <w:r w:rsidR="00F55E70" w:rsidRPr="00A5269F">
        <w:rPr>
          <w:rFonts w:ascii="Book Antiqua" w:eastAsia="Book Antiqua" w:hAnsi="Book Antiqua" w:cs="Book Antiqua"/>
          <w:sz w:val="24"/>
          <w:szCs w:val="24"/>
        </w:rPr>
        <w:t>39,9</w:t>
      </w:r>
      <w:r w:rsidR="002A5048" w:rsidRPr="00A5269F">
        <w:rPr>
          <w:rFonts w:ascii="Book Antiqua" w:eastAsia="Book Antiqua" w:hAnsi="Book Antiqua" w:cs="Book Antiqua"/>
          <w:sz w:val="24"/>
          <w:szCs w:val="24"/>
        </w:rPr>
        <w:t>% à 39</w:t>
      </w:r>
      <w:r w:rsidRPr="00A5269F">
        <w:rPr>
          <w:rFonts w:ascii="Book Antiqua" w:eastAsia="Book Antiqua" w:hAnsi="Book Antiqua" w:cs="Book Antiqua"/>
          <w:sz w:val="24"/>
          <w:szCs w:val="24"/>
        </w:rPr>
        <w:t>,</w:t>
      </w:r>
      <w:r w:rsidR="00F55E70">
        <w:rPr>
          <w:rFonts w:ascii="Book Antiqua" w:eastAsia="Book Antiqua" w:hAnsi="Book Antiqua" w:cs="Book Antiqua"/>
          <w:sz w:val="24"/>
          <w:szCs w:val="24"/>
        </w:rPr>
        <w:t>1</w:t>
      </w:r>
      <w:r w:rsidRPr="00A5269F">
        <w:rPr>
          <w:rFonts w:ascii="Book Antiqua" w:eastAsia="Book Antiqua" w:hAnsi="Book Antiqua" w:cs="Book Antiqua"/>
          <w:sz w:val="24"/>
          <w:szCs w:val="24"/>
        </w:rPr>
        <w:t xml:space="preserve">% au niveau national. Ce taux a connu une </w:t>
      </w:r>
      <w:r w:rsidR="002A5048" w:rsidRPr="00A5269F">
        <w:rPr>
          <w:rFonts w:ascii="Book Antiqua" w:eastAsia="Book Antiqua" w:hAnsi="Book Antiqua" w:cs="Book Antiqua"/>
          <w:sz w:val="24"/>
          <w:szCs w:val="24"/>
        </w:rPr>
        <w:t>légère baisse de 0,</w:t>
      </w:r>
      <w:r w:rsidR="00F55E70">
        <w:rPr>
          <w:rFonts w:ascii="Book Antiqua" w:eastAsia="Book Antiqua" w:hAnsi="Book Antiqua" w:cs="Book Antiqua"/>
          <w:sz w:val="24"/>
          <w:szCs w:val="24"/>
        </w:rPr>
        <w:t>2</w:t>
      </w:r>
      <w:r w:rsidR="00F87F56">
        <w:rPr>
          <w:rFonts w:ascii="Book Antiqua" w:eastAsia="Book Antiqua" w:hAnsi="Book Antiqua" w:cstheme="minorBidi" w:hint="cs"/>
          <w:sz w:val="24"/>
          <w:szCs w:val="24"/>
          <w:rtl/>
          <w:lang w:bidi="tzm-Arab-MA"/>
        </w:rPr>
        <w:t xml:space="preserve"> </w:t>
      </w:r>
      <w:r w:rsidRPr="00A5269F">
        <w:rPr>
          <w:rFonts w:ascii="Book Antiqua" w:eastAsia="Book Antiqua" w:hAnsi="Book Antiqua" w:cs="Book Antiqua"/>
          <w:sz w:val="24"/>
          <w:szCs w:val="24"/>
        </w:rPr>
        <w:t>point</w:t>
      </w:r>
      <w:r w:rsidR="002A5048" w:rsidRPr="00A5269F">
        <w:rPr>
          <w:rFonts w:ascii="Book Antiqua" w:eastAsia="Book Antiqua" w:hAnsi="Book Antiqua" w:cs="Book Antiqua"/>
          <w:sz w:val="24"/>
          <w:szCs w:val="24"/>
        </w:rPr>
        <w:t xml:space="preserve"> en milieu urbain</w:t>
      </w:r>
      <w:r w:rsidR="00D35E94">
        <w:rPr>
          <w:rFonts w:ascii="Book Antiqua" w:eastAsia="Book Antiqua" w:hAnsi="Book Antiqua" w:cs="Book Antiqua"/>
          <w:sz w:val="24"/>
          <w:szCs w:val="24"/>
        </w:rPr>
        <w:t xml:space="preserve"> (de 35,</w:t>
      </w:r>
      <w:r w:rsidR="00F55E70">
        <w:rPr>
          <w:rFonts w:ascii="Book Antiqua" w:eastAsia="Book Antiqua" w:hAnsi="Book Antiqua" w:cs="Book Antiqua"/>
          <w:sz w:val="24"/>
          <w:szCs w:val="24"/>
        </w:rPr>
        <w:t>3</w:t>
      </w:r>
      <w:r w:rsidR="00D35E94">
        <w:rPr>
          <w:rFonts w:ascii="Book Antiqua" w:eastAsia="Book Antiqua" w:hAnsi="Book Antiqua" w:cs="Book Antiqua"/>
          <w:sz w:val="24"/>
          <w:szCs w:val="24"/>
        </w:rPr>
        <w:t>% à 35,</w:t>
      </w:r>
      <w:r w:rsidR="00F55E70">
        <w:rPr>
          <w:rFonts w:ascii="Book Antiqua" w:eastAsia="Book Antiqua" w:hAnsi="Book Antiqua" w:cs="Book Antiqua"/>
          <w:sz w:val="24"/>
          <w:szCs w:val="24"/>
        </w:rPr>
        <w:t>1</w:t>
      </w:r>
      <w:r w:rsidR="00D35E94">
        <w:rPr>
          <w:rFonts w:ascii="Book Antiqua" w:eastAsia="Book Antiqua" w:hAnsi="Book Antiqua" w:cs="Book Antiqua"/>
          <w:sz w:val="24"/>
          <w:szCs w:val="24"/>
        </w:rPr>
        <w:t>%)</w:t>
      </w:r>
      <w:r w:rsidR="00233EC0">
        <w:rPr>
          <w:rFonts w:ascii="Book Antiqua" w:eastAsia="Book Antiqua" w:hAnsi="Book Antiqua" w:cs="Times New Roman"/>
          <w:sz w:val="24"/>
          <w:szCs w:val="24"/>
        </w:rPr>
        <w:t>, alors qu’il a perdu</w:t>
      </w:r>
      <w:r w:rsidR="00F87F56">
        <w:rPr>
          <w:rFonts w:ascii="Book Antiqua" w:eastAsia="Book Antiqua" w:hAnsi="Book Antiqua" w:cs="Times New Roman" w:hint="cs"/>
          <w:sz w:val="24"/>
          <w:szCs w:val="24"/>
          <w:rtl/>
          <w:lang w:bidi="tzm-Arab-MA"/>
        </w:rPr>
        <w:t xml:space="preserve"> </w:t>
      </w:r>
      <w:r w:rsidR="00F55E70">
        <w:rPr>
          <w:rFonts w:ascii="Book Antiqua" w:eastAsia="Book Antiqua" w:hAnsi="Book Antiqua" w:cs="Book Antiqua"/>
          <w:sz w:val="24"/>
          <w:szCs w:val="24"/>
        </w:rPr>
        <w:t>1</w:t>
      </w:r>
      <w:r w:rsidR="002A5048" w:rsidRPr="00A5269F">
        <w:rPr>
          <w:rFonts w:ascii="Book Antiqua" w:eastAsia="Book Antiqua" w:hAnsi="Book Antiqua" w:cs="Book Antiqua"/>
          <w:sz w:val="24"/>
          <w:szCs w:val="24"/>
        </w:rPr>
        <w:t>,</w:t>
      </w:r>
      <w:r w:rsidR="00F55E70">
        <w:rPr>
          <w:rFonts w:ascii="Book Antiqua" w:eastAsia="Book Antiqua" w:hAnsi="Book Antiqua" w:cs="Book Antiqua"/>
          <w:sz w:val="24"/>
          <w:szCs w:val="24"/>
        </w:rPr>
        <w:t>6</w:t>
      </w:r>
      <w:r w:rsidRPr="00A5269F">
        <w:rPr>
          <w:rFonts w:ascii="Book Antiqua" w:eastAsia="Book Antiqua" w:hAnsi="Book Antiqua" w:cs="Book Antiqua"/>
          <w:sz w:val="24"/>
          <w:szCs w:val="24"/>
        </w:rPr>
        <w:t>point en milieu rural</w:t>
      </w:r>
      <w:r w:rsidR="00D35E94">
        <w:rPr>
          <w:rFonts w:ascii="Book Antiqua" w:eastAsia="Book Antiqua" w:hAnsi="Book Antiqua" w:cs="Book Antiqua"/>
          <w:sz w:val="24"/>
          <w:szCs w:val="24"/>
        </w:rPr>
        <w:t xml:space="preserve"> (de </w:t>
      </w:r>
      <w:r w:rsidR="00F55E70">
        <w:rPr>
          <w:rFonts w:ascii="Book Antiqua" w:eastAsia="Book Antiqua" w:hAnsi="Book Antiqua" w:cs="Book Antiqua"/>
          <w:sz w:val="24"/>
          <w:szCs w:val="24"/>
        </w:rPr>
        <w:t>48,4</w:t>
      </w:r>
      <w:r w:rsidR="00D35E94">
        <w:rPr>
          <w:rFonts w:ascii="Book Antiqua" w:eastAsia="Book Antiqua" w:hAnsi="Book Antiqua" w:cs="Book Antiqua"/>
          <w:sz w:val="24"/>
          <w:szCs w:val="24"/>
        </w:rPr>
        <w:t>% à 4</w:t>
      </w:r>
      <w:r w:rsidR="00F55E70">
        <w:rPr>
          <w:rFonts w:ascii="Book Antiqua" w:eastAsia="Book Antiqua" w:hAnsi="Book Antiqua" w:cs="Book Antiqua"/>
          <w:sz w:val="24"/>
          <w:szCs w:val="24"/>
        </w:rPr>
        <w:t>6</w:t>
      </w:r>
      <w:r w:rsidR="00D35E94">
        <w:rPr>
          <w:rFonts w:ascii="Book Antiqua" w:eastAsia="Book Antiqua" w:hAnsi="Book Antiqua" w:cs="Book Antiqua"/>
          <w:sz w:val="24"/>
          <w:szCs w:val="24"/>
        </w:rPr>
        <w:t>,</w:t>
      </w:r>
      <w:r w:rsidR="00F55E70">
        <w:rPr>
          <w:rFonts w:ascii="Book Antiqua" w:eastAsia="Book Antiqua" w:hAnsi="Book Antiqua" w:cs="Book Antiqua"/>
          <w:sz w:val="24"/>
          <w:szCs w:val="24"/>
        </w:rPr>
        <w:t>8</w:t>
      </w:r>
      <w:r w:rsidR="00D35E94">
        <w:rPr>
          <w:rFonts w:ascii="Book Antiqua" w:eastAsia="Book Antiqua" w:hAnsi="Book Antiqua" w:cs="Book Antiqua"/>
          <w:sz w:val="24"/>
          <w:szCs w:val="24"/>
        </w:rPr>
        <w:t>%)</w:t>
      </w:r>
      <w:r w:rsidRPr="00A5269F">
        <w:rPr>
          <w:rFonts w:ascii="Book Antiqua" w:eastAsia="Book Antiqua" w:hAnsi="Book Antiqua" w:cs="Book Antiqua"/>
          <w:sz w:val="24"/>
          <w:szCs w:val="24"/>
        </w:rPr>
        <w:t xml:space="preserve">. </w:t>
      </w:r>
      <w:r w:rsidR="00F55E70" w:rsidRPr="00745A50">
        <w:rPr>
          <w:rFonts w:ascii="Book Antiqua" w:hAnsi="Book Antiqua" w:cs="Times New Roman"/>
          <w:sz w:val="24"/>
          <w:szCs w:val="24"/>
        </w:rPr>
        <w:t>Il a recul</w:t>
      </w:r>
      <w:r w:rsidR="00F55E70">
        <w:rPr>
          <w:rFonts w:ascii="Book Antiqua" w:hAnsi="Book Antiqua" w:cs="Times New Roman"/>
          <w:sz w:val="24"/>
          <w:szCs w:val="24"/>
        </w:rPr>
        <w:t xml:space="preserve">é </w:t>
      </w:r>
      <w:r w:rsidR="00F55E70" w:rsidRPr="00745A50">
        <w:rPr>
          <w:rFonts w:ascii="Book Antiqua" w:hAnsi="Book Antiqua" w:cs="Times New Roman"/>
          <w:sz w:val="24"/>
          <w:szCs w:val="24"/>
        </w:rPr>
        <w:t>de 6</w:t>
      </w:r>
      <w:r w:rsidR="00F55E70">
        <w:rPr>
          <w:rFonts w:ascii="Book Antiqua" w:hAnsi="Book Antiqua" w:cs="Times New Roman"/>
          <w:sz w:val="24"/>
          <w:szCs w:val="24"/>
        </w:rPr>
        <w:t>2</w:t>
      </w:r>
      <w:r w:rsidR="00F55E70" w:rsidRPr="00745A50">
        <w:rPr>
          <w:rFonts w:ascii="Book Antiqua" w:hAnsi="Book Antiqua" w:cs="Times New Roman"/>
          <w:sz w:val="24"/>
          <w:szCs w:val="24"/>
        </w:rPr>
        <w:t>,</w:t>
      </w:r>
      <w:r w:rsidR="00F55E70">
        <w:rPr>
          <w:rFonts w:ascii="Book Antiqua" w:hAnsi="Book Antiqua" w:cs="Times New Roman"/>
          <w:sz w:val="24"/>
          <w:szCs w:val="24"/>
        </w:rPr>
        <w:t>9</w:t>
      </w:r>
      <w:r w:rsidR="00F55E70" w:rsidRPr="00745A50">
        <w:rPr>
          <w:rFonts w:ascii="Book Antiqua" w:hAnsi="Book Antiqua" w:cs="Times New Roman"/>
          <w:sz w:val="24"/>
          <w:szCs w:val="24"/>
        </w:rPr>
        <w:t>% à 6</w:t>
      </w:r>
      <w:r w:rsidR="00F55E70">
        <w:rPr>
          <w:rFonts w:ascii="Book Antiqua" w:hAnsi="Book Antiqua" w:cs="Times New Roman"/>
          <w:sz w:val="24"/>
          <w:szCs w:val="24"/>
        </w:rPr>
        <w:t>2</w:t>
      </w:r>
      <w:r w:rsidR="00F55E70" w:rsidRPr="00745A50">
        <w:rPr>
          <w:rFonts w:ascii="Book Antiqua" w:hAnsi="Book Antiqua" w:cs="Times New Roman"/>
          <w:sz w:val="24"/>
          <w:szCs w:val="24"/>
        </w:rPr>
        <w:t>,</w:t>
      </w:r>
      <w:r w:rsidR="00F55E70">
        <w:rPr>
          <w:rFonts w:ascii="Book Antiqua" w:hAnsi="Book Antiqua" w:cs="Times New Roman"/>
          <w:sz w:val="24"/>
          <w:szCs w:val="24"/>
        </w:rPr>
        <w:t>3</w:t>
      </w:r>
      <w:r w:rsidR="00F55E70" w:rsidRPr="00745A50">
        <w:rPr>
          <w:rFonts w:ascii="Book Antiqua" w:hAnsi="Book Antiqua" w:cs="Times New Roman"/>
          <w:sz w:val="24"/>
          <w:szCs w:val="24"/>
        </w:rPr>
        <w:t>%</w:t>
      </w:r>
      <w:r w:rsidR="00F87F56">
        <w:rPr>
          <w:rFonts w:ascii="Book Antiqua" w:hAnsi="Book Antiqua" w:cs="Times New Roman" w:hint="cs"/>
          <w:sz w:val="24"/>
          <w:szCs w:val="24"/>
          <w:rtl/>
          <w:lang w:bidi="tzm-Arab-MA"/>
        </w:rPr>
        <w:t xml:space="preserve"> </w:t>
      </w:r>
      <w:r w:rsidR="00F55E70" w:rsidRPr="00745A50">
        <w:rPr>
          <w:rFonts w:ascii="Book Antiqua" w:hAnsi="Book Antiqua" w:cs="Times New Roman"/>
          <w:sz w:val="24"/>
          <w:szCs w:val="24"/>
        </w:rPr>
        <w:t>parmi les hommes</w:t>
      </w:r>
      <w:r w:rsidR="00F55E70">
        <w:rPr>
          <w:rFonts w:ascii="Book Antiqua" w:hAnsi="Book Antiqua" w:cs="Times New Roman"/>
          <w:sz w:val="24"/>
          <w:szCs w:val="24"/>
        </w:rPr>
        <w:t xml:space="preserve"> (-0</w:t>
      </w:r>
      <w:r w:rsidR="00F55E70" w:rsidRPr="00745A50">
        <w:rPr>
          <w:rFonts w:ascii="Book Antiqua" w:hAnsi="Book Antiqua" w:cs="Times New Roman"/>
          <w:sz w:val="24"/>
          <w:szCs w:val="24"/>
        </w:rPr>
        <w:t>,</w:t>
      </w:r>
      <w:r w:rsidR="00F55E70">
        <w:rPr>
          <w:rFonts w:ascii="Book Antiqua" w:hAnsi="Book Antiqua" w:cs="Times New Roman"/>
          <w:sz w:val="24"/>
          <w:szCs w:val="24"/>
        </w:rPr>
        <w:t xml:space="preserve">6 </w:t>
      </w:r>
      <w:r w:rsidR="00F55E70" w:rsidRPr="00745A50">
        <w:rPr>
          <w:rFonts w:ascii="Book Antiqua" w:hAnsi="Book Antiqua" w:cs="Times New Roman"/>
          <w:sz w:val="24"/>
          <w:szCs w:val="24"/>
        </w:rPr>
        <w:t>point</w:t>
      </w:r>
      <w:r w:rsidR="00F55E70">
        <w:rPr>
          <w:rFonts w:ascii="Book Antiqua" w:hAnsi="Book Antiqua" w:cs="Times New Roman"/>
          <w:sz w:val="24"/>
          <w:szCs w:val="24"/>
        </w:rPr>
        <w:t xml:space="preserve">) et </w:t>
      </w:r>
      <w:r w:rsidR="00F55E70" w:rsidRPr="00745A50">
        <w:rPr>
          <w:rFonts w:ascii="Book Antiqua" w:hAnsi="Book Antiqua" w:cs="Times New Roman"/>
          <w:sz w:val="24"/>
          <w:szCs w:val="24"/>
        </w:rPr>
        <w:t>de 17,5%</w:t>
      </w:r>
      <w:r w:rsidR="00F87F56">
        <w:rPr>
          <w:rFonts w:ascii="Book Antiqua" w:hAnsi="Book Antiqua" w:cs="Times New Roman" w:hint="cs"/>
          <w:sz w:val="24"/>
          <w:szCs w:val="24"/>
          <w:rtl/>
          <w:lang w:bidi="tzm-Arab-MA"/>
        </w:rPr>
        <w:t xml:space="preserve"> </w:t>
      </w:r>
      <w:r w:rsidR="00F55E70" w:rsidRPr="00745A50">
        <w:rPr>
          <w:rFonts w:ascii="Book Antiqua" w:hAnsi="Book Antiqua" w:cs="Times New Roman"/>
          <w:sz w:val="24"/>
          <w:szCs w:val="24"/>
        </w:rPr>
        <w:t>à</w:t>
      </w:r>
      <w:r w:rsidR="00F87F56">
        <w:rPr>
          <w:rFonts w:ascii="Book Antiqua" w:hAnsi="Book Antiqua" w:cs="Times New Roman" w:hint="cs"/>
          <w:sz w:val="24"/>
          <w:szCs w:val="24"/>
          <w:rtl/>
          <w:lang w:bidi="tzm-Arab-MA"/>
        </w:rPr>
        <w:t xml:space="preserve"> </w:t>
      </w:r>
      <w:r w:rsidR="00F55E70" w:rsidRPr="00745A50">
        <w:rPr>
          <w:rFonts w:ascii="Book Antiqua" w:hAnsi="Book Antiqua" w:cs="Times New Roman"/>
          <w:sz w:val="24"/>
          <w:szCs w:val="24"/>
        </w:rPr>
        <w:t>1</w:t>
      </w:r>
      <w:r w:rsidR="00F55E70">
        <w:rPr>
          <w:rFonts w:ascii="Book Antiqua" w:hAnsi="Book Antiqua" w:cs="Times New Roman"/>
          <w:sz w:val="24"/>
          <w:szCs w:val="24"/>
        </w:rPr>
        <w:t>6</w:t>
      </w:r>
      <w:r w:rsidR="00F55E70" w:rsidRPr="00745A50">
        <w:rPr>
          <w:rFonts w:ascii="Book Antiqua" w:hAnsi="Book Antiqua" w:cs="Times New Roman"/>
          <w:sz w:val="24"/>
          <w:szCs w:val="24"/>
        </w:rPr>
        <w:t>,</w:t>
      </w:r>
      <w:r w:rsidR="00F55E70">
        <w:rPr>
          <w:rFonts w:ascii="Book Antiqua" w:hAnsi="Book Antiqua" w:cs="Times New Roman"/>
          <w:sz w:val="24"/>
          <w:szCs w:val="24"/>
        </w:rPr>
        <w:t>6</w:t>
      </w:r>
      <w:r w:rsidR="00F55E70" w:rsidRPr="00745A50">
        <w:rPr>
          <w:rFonts w:ascii="Book Antiqua" w:hAnsi="Book Antiqua" w:cs="Times New Roman"/>
          <w:sz w:val="24"/>
          <w:szCs w:val="24"/>
        </w:rPr>
        <w:t>%</w:t>
      </w:r>
      <w:r w:rsidR="00F87F56">
        <w:rPr>
          <w:rFonts w:ascii="Book Antiqua" w:hAnsi="Book Antiqua" w:cs="Times New Roman" w:hint="cs"/>
          <w:sz w:val="24"/>
          <w:szCs w:val="24"/>
          <w:rtl/>
          <w:lang w:bidi="tzm-Arab-MA"/>
        </w:rPr>
        <w:t xml:space="preserve"> </w:t>
      </w:r>
      <w:r w:rsidR="00F55E70" w:rsidRPr="00745A50">
        <w:rPr>
          <w:rFonts w:ascii="Book Antiqua" w:hAnsi="Book Antiqua" w:cs="Times New Roman"/>
          <w:sz w:val="24"/>
          <w:szCs w:val="24"/>
        </w:rPr>
        <w:t>parmi les femmes</w:t>
      </w:r>
      <w:r w:rsidR="00F55E70">
        <w:rPr>
          <w:rFonts w:ascii="Book Antiqua" w:hAnsi="Book Antiqua" w:cs="Times New Roman"/>
          <w:sz w:val="24"/>
          <w:szCs w:val="24"/>
        </w:rPr>
        <w:t xml:space="preserve"> (-0,9 point). </w:t>
      </w:r>
    </w:p>
    <w:p w:rsidR="00BE6DCB" w:rsidRPr="00BE6DCB" w:rsidRDefault="004C1704" w:rsidP="00AC0498">
      <w:pPr>
        <w:spacing w:before="240" w:after="240" w:line="312" w:lineRule="auto"/>
        <w:jc w:val="both"/>
        <w:rPr>
          <w:rFonts w:ascii="Book Antiqua" w:eastAsia="Book Antiqua" w:hAnsi="Book Antiqua" w:cs="Book Antiqua"/>
          <w:b/>
          <w:bCs/>
          <w:i/>
          <w:iCs/>
          <w:color w:val="0070C0"/>
          <w:sz w:val="26"/>
          <w:szCs w:val="26"/>
        </w:rPr>
      </w:pPr>
      <w:r>
        <w:rPr>
          <w:rFonts w:ascii="Book Antiqua" w:eastAsia="Book Antiqua" w:hAnsi="Book Antiqua" w:cs="Book Antiqua"/>
          <w:b/>
          <w:bCs/>
          <w:i/>
          <w:iCs/>
          <w:color w:val="0070C0"/>
          <w:sz w:val="26"/>
          <w:szCs w:val="26"/>
        </w:rPr>
        <w:t>Création d’emplois rémunérés et p</w:t>
      </w:r>
      <w:r w:rsidR="00BE6DCB" w:rsidRPr="00BE6DCB">
        <w:rPr>
          <w:rFonts w:ascii="Book Antiqua" w:eastAsia="Book Antiqua" w:hAnsi="Book Antiqua" w:cs="Book Antiqua"/>
          <w:b/>
          <w:bCs/>
          <w:i/>
          <w:iCs/>
          <w:color w:val="0070C0"/>
          <w:sz w:val="26"/>
          <w:szCs w:val="26"/>
        </w:rPr>
        <w:t xml:space="preserve">erte </w:t>
      </w:r>
      <w:r>
        <w:rPr>
          <w:rFonts w:ascii="Book Antiqua" w:eastAsia="Book Antiqua" w:hAnsi="Book Antiqua" w:cs="Book Antiqua"/>
          <w:b/>
          <w:bCs/>
          <w:i/>
          <w:iCs/>
          <w:color w:val="0070C0"/>
          <w:sz w:val="26"/>
          <w:szCs w:val="26"/>
        </w:rPr>
        <w:t>d’emplois</w:t>
      </w:r>
      <w:r w:rsidR="00077E7B">
        <w:rPr>
          <w:rFonts w:ascii="Book Antiqua" w:eastAsia="Book Antiqua" w:hAnsi="Book Antiqua" w:cs="Book Antiqua"/>
          <w:b/>
          <w:bCs/>
          <w:i/>
          <w:iCs/>
          <w:color w:val="0070C0"/>
          <w:sz w:val="26"/>
          <w:szCs w:val="26"/>
        </w:rPr>
        <w:t xml:space="preserve"> non rémunéré</w:t>
      </w:r>
      <w:r>
        <w:rPr>
          <w:rFonts w:ascii="Book Antiqua" w:eastAsia="Book Antiqua" w:hAnsi="Book Antiqua" w:cs="Book Antiqua"/>
          <w:b/>
          <w:bCs/>
          <w:i/>
          <w:iCs/>
          <w:color w:val="0070C0"/>
          <w:sz w:val="26"/>
          <w:szCs w:val="26"/>
        </w:rPr>
        <w:t>s</w:t>
      </w:r>
    </w:p>
    <w:p w:rsidR="00AD230E" w:rsidRPr="00A5269F" w:rsidRDefault="00E537B1" w:rsidP="00AC0498">
      <w:pPr>
        <w:spacing w:before="240" w:after="240" w:line="312" w:lineRule="auto"/>
        <w:jc w:val="both"/>
        <w:rPr>
          <w:rFonts w:ascii="Book Antiqua" w:eastAsia="Book Antiqua" w:hAnsi="Book Antiqua" w:cs="Book Antiqua"/>
          <w:sz w:val="24"/>
          <w:szCs w:val="24"/>
        </w:rPr>
      </w:pPr>
      <w:r w:rsidRPr="001726BC">
        <w:rPr>
          <w:rFonts w:ascii="Book Antiqua" w:eastAsia="Book Antiqua" w:hAnsi="Book Antiqua" w:cs="Book Antiqua"/>
          <w:sz w:val="24"/>
          <w:szCs w:val="24"/>
        </w:rPr>
        <w:t>Le vo</w:t>
      </w:r>
      <w:r w:rsidR="00395053" w:rsidRPr="001726BC">
        <w:rPr>
          <w:rFonts w:ascii="Book Antiqua" w:eastAsia="Book Antiqua" w:hAnsi="Book Antiqua" w:cs="Book Antiqua"/>
          <w:sz w:val="24"/>
          <w:szCs w:val="24"/>
        </w:rPr>
        <w:t xml:space="preserve">lume de l’emploi a baissé de </w:t>
      </w:r>
      <w:r w:rsidR="000923FF">
        <w:rPr>
          <w:rFonts w:ascii="Book Antiqua" w:eastAsia="Book Antiqua" w:hAnsi="Book Antiqua" w:cs="Book Antiqua"/>
          <w:sz w:val="24"/>
          <w:szCs w:val="24"/>
        </w:rPr>
        <w:t>58</w:t>
      </w:r>
      <w:r w:rsidRPr="001726BC">
        <w:rPr>
          <w:rFonts w:ascii="Book Antiqua" w:eastAsia="Book Antiqua" w:hAnsi="Book Antiqua" w:cs="Book Antiqua"/>
          <w:sz w:val="24"/>
          <w:szCs w:val="24"/>
        </w:rPr>
        <w:t>.000</w:t>
      </w:r>
      <w:r w:rsidR="00F87F56">
        <w:rPr>
          <w:rFonts w:ascii="Book Antiqua" w:eastAsia="Book Antiqua" w:hAnsi="Book Antiqua" w:cstheme="minorBidi" w:hint="cs"/>
          <w:sz w:val="24"/>
          <w:szCs w:val="24"/>
          <w:rtl/>
          <w:lang w:bidi="tzm-Arab-MA"/>
        </w:rPr>
        <w:t xml:space="preserve"> </w:t>
      </w:r>
      <w:r w:rsidR="00395053" w:rsidRPr="001726BC">
        <w:rPr>
          <w:rFonts w:ascii="Book Antiqua" w:eastAsia="Book Antiqua" w:hAnsi="Book Antiqua" w:cs="Book Antiqua"/>
          <w:sz w:val="24"/>
          <w:szCs w:val="24"/>
        </w:rPr>
        <w:t xml:space="preserve">postes, suite à une perte de </w:t>
      </w:r>
      <w:r w:rsidR="000923FF">
        <w:rPr>
          <w:rFonts w:ascii="Book Antiqua" w:eastAsia="Book Antiqua" w:hAnsi="Book Antiqua" w:cs="Book Antiqua"/>
          <w:sz w:val="24"/>
          <w:szCs w:val="24"/>
        </w:rPr>
        <w:t>14</w:t>
      </w:r>
      <w:r w:rsidR="00395053" w:rsidRPr="001726BC">
        <w:rPr>
          <w:rFonts w:ascii="Book Antiqua" w:eastAsia="Book Antiqua" w:hAnsi="Book Antiqua" w:cs="Book Antiqua"/>
          <w:sz w:val="24"/>
          <w:szCs w:val="24"/>
        </w:rPr>
        <w:t xml:space="preserve">8.000 postes en milieu rural et une création de </w:t>
      </w:r>
      <w:r w:rsidR="000923FF">
        <w:rPr>
          <w:rFonts w:ascii="Book Antiqua" w:eastAsia="Book Antiqua" w:hAnsi="Book Antiqua" w:cs="Book Antiqua"/>
          <w:sz w:val="24"/>
          <w:szCs w:val="24"/>
        </w:rPr>
        <w:t>90</w:t>
      </w:r>
      <w:r w:rsidRPr="001726BC">
        <w:rPr>
          <w:rFonts w:ascii="Book Antiqua" w:eastAsia="Book Antiqua" w:hAnsi="Book Antiqua" w:cs="Book Antiqua"/>
          <w:sz w:val="24"/>
          <w:szCs w:val="24"/>
        </w:rPr>
        <w:t xml:space="preserve">.000 en milieu </w:t>
      </w:r>
      <w:r w:rsidR="00BA18D5" w:rsidRPr="001726BC">
        <w:rPr>
          <w:rFonts w:ascii="Book Antiqua" w:eastAsia="Book Antiqua" w:hAnsi="Book Antiqua" w:cs="Book Antiqua"/>
          <w:sz w:val="24"/>
          <w:szCs w:val="24"/>
        </w:rPr>
        <w:t>urbain</w:t>
      </w:r>
      <w:r w:rsidRPr="001726BC">
        <w:rPr>
          <w:rFonts w:ascii="Book Antiqua" w:eastAsia="Book Antiqua" w:hAnsi="Book Antiqua" w:cs="Book Antiqua"/>
          <w:sz w:val="24"/>
          <w:szCs w:val="24"/>
        </w:rPr>
        <w:t>.</w:t>
      </w:r>
      <w:r w:rsidRPr="00A5269F">
        <w:rPr>
          <w:rFonts w:ascii="Book Antiqua" w:eastAsia="Book Antiqua" w:hAnsi="Book Antiqua" w:cs="Book Antiqua"/>
          <w:sz w:val="24"/>
          <w:szCs w:val="24"/>
        </w:rPr>
        <w:t xml:space="preserve"> Par type d’emploi, </w:t>
      </w:r>
      <w:r w:rsidR="000923FF">
        <w:rPr>
          <w:rFonts w:ascii="Book Antiqua" w:eastAsia="Book Antiqua" w:hAnsi="Book Antiqua" w:cs="Book Antiqua"/>
          <w:sz w:val="24"/>
          <w:szCs w:val="24"/>
        </w:rPr>
        <w:t>98</w:t>
      </w:r>
      <w:r w:rsidRPr="00A5269F">
        <w:rPr>
          <w:rFonts w:ascii="Book Antiqua" w:eastAsia="Book Antiqua" w:hAnsi="Book Antiqua" w:cs="Book Antiqua"/>
          <w:sz w:val="24"/>
          <w:szCs w:val="24"/>
        </w:rPr>
        <w:t xml:space="preserve">.000 emplois </w:t>
      </w:r>
      <w:r w:rsidR="00395053" w:rsidRPr="00A5269F">
        <w:rPr>
          <w:rFonts w:ascii="Book Antiqua" w:eastAsia="Book Antiqua" w:hAnsi="Book Antiqua" w:cs="Book Antiqua"/>
          <w:sz w:val="24"/>
          <w:szCs w:val="24"/>
        </w:rPr>
        <w:t xml:space="preserve">non </w:t>
      </w:r>
      <w:r w:rsidRPr="00A5269F">
        <w:rPr>
          <w:rFonts w:ascii="Book Antiqua" w:eastAsia="Book Antiqua" w:hAnsi="Book Antiqua" w:cs="Book Antiqua"/>
          <w:sz w:val="24"/>
          <w:szCs w:val="24"/>
        </w:rPr>
        <w:t xml:space="preserve">rémunérés ont été perdus, </w:t>
      </w:r>
      <w:r w:rsidR="00FE0E25" w:rsidRPr="00521E97">
        <w:rPr>
          <w:rFonts w:ascii="Book Antiqua" w:eastAsia="Book Antiqua" w:hAnsi="Book Antiqua" w:cs="Book Antiqua"/>
          <w:sz w:val="24"/>
          <w:szCs w:val="24"/>
        </w:rPr>
        <w:t>dont</w:t>
      </w:r>
      <w:r w:rsidR="00F87F56">
        <w:rPr>
          <w:rFonts w:ascii="Book Antiqua" w:eastAsia="Book Antiqua" w:hAnsi="Book Antiqua" w:cstheme="minorBidi" w:hint="cs"/>
          <w:sz w:val="24"/>
          <w:szCs w:val="24"/>
          <w:rtl/>
          <w:lang w:bidi="tzm-Arab-MA"/>
        </w:rPr>
        <w:t xml:space="preserve"> </w:t>
      </w:r>
      <w:r w:rsidR="000923FF">
        <w:rPr>
          <w:rFonts w:ascii="Book Antiqua" w:eastAsia="Book Antiqua" w:hAnsi="Book Antiqua" w:cs="Book Antiqua"/>
          <w:sz w:val="24"/>
          <w:szCs w:val="24"/>
        </w:rPr>
        <w:t>80</w:t>
      </w:r>
      <w:r w:rsidRPr="00A5269F">
        <w:rPr>
          <w:rFonts w:ascii="Book Antiqua" w:eastAsia="Book Antiqua" w:hAnsi="Book Antiqua" w:cs="Book Antiqua"/>
          <w:sz w:val="24"/>
          <w:szCs w:val="24"/>
        </w:rPr>
        <w:t xml:space="preserve">.000 </w:t>
      </w:r>
      <w:r w:rsidR="00395053" w:rsidRPr="00A5269F">
        <w:rPr>
          <w:rFonts w:ascii="Book Antiqua" w:eastAsia="Book Antiqua" w:hAnsi="Book Antiqua" w:cs="Book Antiqua"/>
          <w:sz w:val="24"/>
          <w:szCs w:val="24"/>
        </w:rPr>
        <w:t xml:space="preserve">en milieu rural et </w:t>
      </w:r>
      <w:r w:rsidR="000923FF">
        <w:rPr>
          <w:rFonts w:ascii="Book Antiqua" w:eastAsia="Book Antiqua" w:hAnsi="Book Antiqua" w:cs="Book Antiqua"/>
          <w:sz w:val="24"/>
          <w:szCs w:val="24"/>
        </w:rPr>
        <w:t>18</w:t>
      </w:r>
      <w:r w:rsidRPr="00A5269F">
        <w:rPr>
          <w:rFonts w:ascii="Book Antiqua" w:eastAsia="Book Antiqua" w:hAnsi="Book Antiqua" w:cs="Book Antiqua"/>
          <w:sz w:val="24"/>
          <w:szCs w:val="24"/>
        </w:rPr>
        <w:t>.000 en milie</w:t>
      </w:r>
      <w:r w:rsidR="00395053" w:rsidRPr="00A5269F">
        <w:rPr>
          <w:rFonts w:ascii="Book Antiqua" w:eastAsia="Book Antiqua" w:hAnsi="Book Antiqua" w:cs="Book Antiqua"/>
          <w:sz w:val="24"/>
          <w:szCs w:val="24"/>
        </w:rPr>
        <w:t>u urbain</w:t>
      </w:r>
      <w:r w:rsidR="00E017C9" w:rsidRPr="00A5269F">
        <w:rPr>
          <w:rFonts w:ascii="Book Antiqua" w:eastAsia="Book Antiqua" w:hAnsi="Book Antiqua" w:cs="Book Antiqua"/>
          <w:sz w:val="24"/>
          <w:szCs w:val="24"/>
        </w:rPr>
        <w:t xml:space="preserve">. L’emploi rémunéré </w:t>
      </w:r>
      <w:r w:rsidR="00395053" w:rsidRPr="00A5269F">
        <w:rPr>
          <w:rFonts w:ascii="Book Antiqua" w:eastAsia="Book Antiqua" w:hAnsi="Book Antiqua" w:cs="Book Antiqua"/>
          <w:sz w:val="24"/>
          <w:szCs w:val="24"/>
        </w:rPr>
        <w:t xml:space="preserve">a </w:t>
      </w:r>
      <w:r w:rsidR="000923FF">
        <w:rPr>
          <w:rFonts w:ascii="Book Antiqua" w:eastAsia="Book Antiqua" w:hAnsi="Book Antiqua" w:cs="Book Antiqua"/>
          <w:sz w:val="24"/>
          <w:szCs w:val="24"/>
        </w:rPr>
        <w:t>pro</w:t>
      </w:r>
      <w:r w:rsidR="00395053" w:rsidRPr="00A5269F">
        <w:rPr>
          <w:rFonts w:ascii="Book Antiqua" w:eastAsia="Book Antiqua" w:hAnsi="Book Antiqua" w:cs="Book Antiqua"/>
          <w:sz w:val="24"/>
          <w:szCs w:val="24"/>
        </w:rPr>
        <w:t xml:space="preserve">gressé de </w:t>
      </w:r>
      <w:r w:rsidR="000923FF">
        <w:rPr>
          <w:rFonts w:ascii="Book Antiqua" w:eastAsia="Book Antiqua" w:hAnsi="Book Antiqua" w:cs="Book Antiqua"/>
          <w:sz w:val="24"/>
          <w:szCs w:val="24"/>
        </w:rPr>
        <w:t>40</w:t>
      </w:r>
      <w:r w:rsidRPr="00A5269F">
        <w:rPr>
          <w:rFonts w:ascii="Book Antiqua" w:eastAsia="Book Antiqua" w:hAnsi="Book Antiqua" w:cs="Book Antiqua"/>
          <w:sz w:val="24"/>
          <w:szCs w:val="24"/>
        </w:rPr>
        <w:t>.000 postes</w:t>
      </w:r>
      <w:r w:rsidR="00395053" w:rsidRPr="00A5269F">
        <w:rPr>
          <w:rFonts w:ascii="Book Antiqua" w:eastAsia="Book Antiqua" w:hAnsi="Book Antiqua" w:cs="Book Antiqua"/>
          <w:sz w:val="24"/>
          <w:szCs w:val="24"/>
        </w:rPr>
        <w:t xml:space="preserve">, conséquence </w:t>
      </w:r>
      <w:r w:rsidR="00077E7B" w:rsidRPr="00495B48">
        <w:rPr>
          <w:rFonts w:ascii="Book Antiqua" w:eastAsia="Book Antiqua" w:hAnsi="Book Antiqua" w:cs="Book Antiqua"/>
          <w:sz w:val="24"/>
          <w:szCs w:val="24"/>
        </w:rPr>
        <w:t xml:space="preserve">d’une création de 108.000 emplois en </w:t>
      </w:r>
      <w:r w:rsidR="00495B48" w:rsidRPr="00495B48">
        <w:rPr>
          <w:rFonts w:ascii="Book Antiqua" w:eastAsia="Book Antiqua" w:hAnsi="Book Antiqua" w:cs="Book Antiqua"/>
          <w:sz w:val="24"/>
          <w:szCs w:val="24"/>
        </w:rPr>
        <w:t>milieu</w:t>
      </w:r>
      <w:r w:rsidR="00077E7B" w:rsidRPr="00495B48">
        <w:rPr>
          <w:rFonts w:ascii="Book Antiqua" w:eastAsia="Book Antiqua" w:hAnsi="Book Antiqua" w:cs="Book Antiqua"/>
          <w:sz w:val="24"/>
          <w:szCs w:val="24"/>
        </w:rPr>
        <w:t xml:space="preserve"> urbain</w:t>
      </w:r>
      <w:r w:rsidR="00B7522D">
        <w:rPr>
          <w:rFonts w:ascii="Book Antiqua" w:eastAsia="Book Antiqua" w:hAnsi="Book Antiqua" w:cs="Book Antiqua"/>
          <w:sz w:val="24"/>
          <w:szCs w:val="24"/>
        </w:rPr>
        <w:t xml:space="preserve"> </w:t>
      </w:r>
      <w:r w:rsidR="00077E7B" w:rsidRPr="00495B48">
        <w:rPr>
          <w:rFonts w:ascii="Book Antiqua" w:eastAsia="Book Antiqua" w:hAnsi="Book Antiqua" w:cs="Book Antiqua"/>
          <w:sz w:val="24"/>
          <w:szCs w:val="24"/>
        </w:rPr>
        <w:t xml:space="preserve">et </w:t>
      </w:r>
      <w:r w:rsidR="00395053" w:rsidRPr="00495B48">
        <w:rPr>
          <w:rFonts w:ascii="Book Antiqua" w:eastAsia="Book Antiqua" w:hAnsi="Book Antiqua" w:cs="Book Antiqua"/>
          <w:sz w:val="24"/>
          <w:szCs w:val="24"/>
        </w:rPr>
        <w:t xml:space="preserve">d'une perte de </w:t>
      </w:r>
      <w:r w:rsidR="00D74A95" w:rsidRPr="00495B48">
        <w:rPr>
          <w:rFonts w:ascii="Book Antiqua" w:eastAsia="Book Antiqua" w:hAnsi="Book Antiqua" w:cs="Book Antiqua"/>
          <w:sz w:val="24"/>
          <w:szCs w:val="24"/>
        </w:rPr>
        <w:t>6</w:t>
      </w:r>
      <w:r w:rsidR="00AC0498" w:rsidRPr="00495B48">
        <w:rPr>
          <w:rFonts w:ascii="Book Antiqua" w:eastAsia="Book Antiqua" w:hAnsi="Book Antiqua" w:cs="Book Antiqua"/>
          <w:sz w:val="24"/>
          <w:szCs w:val="24"/>
        </w:rPr>
        <w:t>8</w:t>
      </w:r>
      <w:r w:rsidR="00395053" w:rsidRPr="00495B48">
        <w:rPr>
          <w:rFonts w:ascii="Book Antiqua" w:eastAsia="Book Antiqua" w:hAnsi="Book Antiqua" w:cs="Book Antiqua"/>
          <w:sz w:val="24"/>
          <w:szCs w:val="24"/>
        </w:rPr>
        <w:t xml:space="preserve">.000 en </w:t>
      </w:r>
      <w:r w:rsidR="00495B48" w:rsidRPr="00495B48">
        <w:rPr>
          <w:rFonts w:ascii="Book Antiqua" w:eastAsia="Book Antiqua" w:hAnsi="Book Antiqua" w:cs="Book Antiqua"/>
          <w:sz w:val="24"/>
          <w:szCs w:val="24"/>
        </w:rPr>
        <w:t>milieu</w:t>
      </w:r>
      <w:r w:rsidR="00395053" w:rsidRPr="00495B48">
        <w:rPr>
          <w:rFonts w:ascii="Book Antiqua" w:eastAsia="Book Antiqua" w:hAnsi="Book Antiqua" w:cs="Book Antiqua"/>
          <w:sz w:val="24"/>
          <w:szCs w:val="24"/>
        </w:rPr>
        <w:t xml:space="preserve"> rurale</w:t>
      </w:r>
      <w:r w:rsidRPr="00495B48">
        <w:rPr>
          <w:rFonts w:ascii="Book Antiqua" w:eastAsia="Book Antiqua" w:hAnsi="Book Antiqua" w:cs="Book Antiqua"/>
          <w:sz w:val="24"/>
          <w:szCs w:val="24"/>
        </w:rPr>
        <w:t>.</w:t>
      </w:r>
    </w:p>
    <w:p w:rsidR="00395053" w:rsidRDefault="009126FC" w:rsidP="008E598B">
      <w:pPr>
        <w:spacing w:before="240" w:after="240" w:line="312" w:lineRule="auto"/>
        <w:jc w:val="both"/>
        <w:rPr>
          <w:rFonts w:ascii="Book Antiqua" w:eastAsia="Book Antiqua" w:hAnsi="Book Antiqua" w:cs="Book Antiqua"/>
          <w:b/>
          <w:color w:val="0070C0"/>
          <w:sz w:val="20"/>
          <w:szCs w:val="20"/>
        </w:rPr>
      </w:pPr>
      <w:r w:rsidRPr="003D1D48">
        <w:rPr>
          <w:rFonts w:ascii="Book Antiqua" w:eastAsia="Book Antiqua" w:hAnsi="Book Antiqua" w:cs="Book Antiqua"/>
          <w:b/>
          <w:color w:val="0070C0"/>
          <w:sz w:val="20"/>
          <w:szCs w:val="20"/>
        </w:rPr>
        <w:t>Figure 1 : Variation</w:t>
      </w:r>
      <w:r w:rsidR="00E537B1" w:rsidRPr="003D1D48">
        <w:rPr>
          <w:rFonts w:ascii="Book Antiqua" w:eastAsia="Book Antiqua" w:hAnsi="Book Antiqua" w:cs="Book Antiqua"/>
          <w:b/>
          <w:color w:val="0070C0"/>
          <w:sz w:val="20"/>
          <w:szCs w:val="20"/>
        </w:rPr>
        <w:t xml:space="preserve"> ne</w:t>
      </w:r>
      <w:r w:rsidR="00BA18D5">
        <w:rPr>
          <w:rFonts w:ascii="Book Antiqua" w:eastAsia="Book Antiqua" w:hAnsi="Book Antiqua" w:cs="Book Antiqua"/>
          <w:b/>
          <w:color w:val="0070C0"/>
          <w:sz w:val="20"/>
          <w:szCs w:val="20"/>
        </w:rPr>
        <w:t xml:space="preserve">tte d’emploi entre le premier </w:t>
      </w:r>
      <w:r w:rsidR="00D35E94">
        <w:rPr>
          <w:rFonts w:ascii="Book Antiqua" w:eastAsia="Book Antiqua" w:hAnsi="Book Antiqua" w:cs="Book Antiqua"/>
          <w:b/>
          <w:color w:val="0070C0"/>
          <w:sz w:val="20"/>
          <w:szCs w:val="20"/>
        </w:rPr>
        <w:t>trimestre de 202</w:t>
      </w:r>
      <w:r w:rsidR="0049372D">
        <w:rPr>
          <w:rFonts w:ascii="Book Antiqua" w:eastAsia="Book Antiqua" w:hAnsi="Book Antiqua" w:cs="Book Antiqua"/>
          <w:b/>
          <w:color w:val="0070C0"/>
          <w:sz w:val="20"/>
          <w:szCs w:val="20"/>
        </w:rPr>
        <w:t>1 et celui de 2022</w:t>
      </w:r>
      <w:r w:rsidR="00E537B1" w:rsidRPr="003D1D48">
        <w:rPr>
          <w:rFonts w:ascii="Book Antiqua" w:eastAsia="Book Antiqua" w:hAnsi="Book Antiqua" w:cs="Book Antiqua"/>
          <w:b/>
          <w:color w:val="0070C0"/>
          <w:sz w:val="20"/>
          <w:szCs w:val="20"/>
        </w:rPr>
        <w:t xml:space="preserve"> selon</w:t>
      </w:r>
      <w:r w:rsidR="00233EC0">
        <w:rPr>
          <w:rFonts w:ascii="Book Antiqua" w:eastAsia="Book Antiqua" w:hAnsi="Book Antiqua" w:cs="Book Antiqua"/>
          <w:b/>
          <w:color w:val="0070C0"/>
          <w:sz w:val="20"/>
          <w:szCs w:val="20"/>
        </w:rPr>
        <w:t xml:space="preserve"> le type d’emploi et </w:t>
      </w:r>
      <w:r w:rsidR="00E537B1" w:rsidRPr="003D1D48">
        <w:rPr>
          <w:rFonts w:ascii="Book Antiqua" w:eastAsia="Book Antiqua" w:hAnsi="Book Antiqua" w:cs="Book Antiqua"/>
          <w:b/>
          <w:color w:val="0070C0"/>
          <w:sz w:val="20"/>
          <w:szCs w:val="20"/>
        </w:rPr>
        <w:t>le milieu de résidence</w:t>
      </w:r>
    </w:p>
    <w:p w:rsidR="00395053" w:rsidRPr="003D1D48" w:rsidRDefault="00AC0498" w:rsidP="00395053">
      <w:pPr>
        <w:spacing w:before="240" w:after="240" w:line="312" w:lineRule="auto"/>
        <w:jc w:val="center"/>
        <w:rPr>
          <w:rFonts w:ascii="Book Antiqua" w:eastAsia="Book Antiqua" w:hAnsi="Book Antiqua" w:cs="Book Antiqua"/>
          <w:b/>
          <w:color w:val="0070C0"/>
          <w:sz w:val="20"/>
          <w:szCs w:val="20"/>
        </w:rPr>
      </w:pPr>
      <w:r w:rsidRPr="00AC0498">
        <w:rPr>
          <w:rFonts w:ascii="Book Antiqua" w:eastAsia="Book Antiqua" w:hAnsi="Book Antiqua" w:cs="Book Antiqua"/>
          <w:b/>
          <w:noProof/>
          <w:color w:val="0070C0"/>
          <w:sz w:val="20"/>
          <w:szCs w:val="20"/>
        </w:rPr>
        <w:drawing>
          <wp:inline distT="0" distB="0" distL="0" distR="0">
            <wp:extent cx="5732060" cy="1978925"/>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E35D9" w:rsidRPr="00BE6DCB" w:rsidRDefault="00EE35D9" w:rsidP="006A0F92">
      <w:pPr>
        <w:spacing w:before="240" w:after="240" w:line="312" w:lineRule="auto"/>
        <w:jc w:val="both"/>
        <w:rPr>
          <w:rFonts w:ascii="Book Antiqua" w:eastAsia="Book Antiqua" w:hAnsi="Book Antiqua" w:cs="Book Antiqua"/>
          <w:b/>
          <w:bCs/>
          <w:i/>
          <w:iCs/>
          <w:color w:val="0070C0"/>
          <w:sz w:val="26"/>
          <w:szCs w:val="26"/>
        </w:rPr>
      </w:pPr>
      <w:r>
        <w:rPr>
          <w:rFonts w:ascii="Book Antiqua" w:eastAsia="Book Antiqua" w:hAnsi="Book Antiqua" w:cs="Book Antiqua"/>
          <w:b/>
          <w:bCs/>
          <w:i/>
          <w:iCs/>
          <w:color w:val="0070C0"/>
          <w:sz w:val="26"/>
          <w:szCs w:val="26"/>
        </w:rPr>
        <w:lastRenderedPageBreak/>
        <w:t>H</w:t>
      </w:r>
      <w:r w:rsidRPr="00BE6DCB">
        <w:rPr>
          <w:rFonts w:ascii="Book Antiqua" w:eastAsia="Book Antiqua" w:hAnsi="Book Antiqua" w:cs="Book Antiqua"/>
          <w:b/>
          <w:bCs/>
          <w:i/>
          <w:iCs/>
          <w:color w:val="0070C0"/>
          <w:sz w:val="26"/>
          <w:szCs w:val="26"/>
        </w:rPr>
        <w:t>ausse</w:t>
      </w:r>
      <w:r w:rsidR="00F87F56">
        <w:rPr>
          <w:rFonts w:ascii="Book Antiqua" w:eastAsia="Book Antiqua" w:hAnsi="Book Antiqua" w:cstheme="minorBidi" w:hint="cs"/>
          <w:b/>
          <w:bCs/>
          <w:i/>
          <w:iCs/>
          <w:color w:val="0070C0"/>
          <w:sz w:val="26"/>
          <w:szCs w:val="26"/>
          <w:rtl/>
          <w:lang w:bidi="tzm-Arab-MA"/>
        </w:rPr>
        <w:t xml:space="preserve"> </w:t>
      </w:r>
      <w:r w:rsidRPr="00BE6DCB">
        <w:rPr>
          <w:rFonts w:ascii="Book Antiqua" w:eastAsia="Book Antiqua" w:hAnsi="Book Antiqua" w:cs="Book Antiqua"/>
          <w:b/>
          <w:bCs/>
          <w:i/>
          <w:iCs/>
          <w:color w:val="0070C0"/>
          <w:sz w:val="26"/>
          <w:szCs w:val="26"/>
        </w:rPr>
        <w:t>de l’emploi</w:t>
      </w:r>
      <w:r w:rsidR="00F87F56">
        <w:rPr>
          <w:rFonts w:ascii="Book Antiqua" w:eastAsia="Book Antiqua" w:hAnsi="Book Antiqua" w:cstheme="minorBidi" w:hint="cs"/>
          <w:b/>
          <w:bCs/>
          <w:i/>
          <w:iCs/>
          <w:color w:val="0070C0"/>
          <w:sz w:val="26"/>
          <w:szCs w:val="26"/>
          <w:rtl/>
          <w:lang w:bidi="tzm-Arab-MA"/>
        </w:rPr>
        <w:t xml:space="preserve"> </w:t>
      </w:r>
      <w:r>
        <w:rPr>
          <w:rFonts w:ascii="Book Antiqua" w:eastAsia="Book Antiqua" w:hAnsi="Book Antiqua" w:cs="Book Antiqua"/>
          <w:b/>
          <w:bCs/>
          <w:i/>
          <w:iCs/>
          <w:color w:val="0070C0"/>
          <w:sz w:val="26"/>
          <w:szCs w:val="26"/>
        </w:rPr>
        <w:t xml:space="preserve">dans tous les secteurs, à l’exception de </w:t>
      </w:r>
      <w:r w:rsidRPr="00BE6DCB">
        <w:rPr>
          <w:rFonts w:ascii="Book Antiqua" w:eastAsia="Book Antiqua" w:hAnsi="Book Antiqua" w:cs="Book Antiqua"/>
          <w:b/>
          <w:bCs/>
          <w:i/>
          <w:iCs/>
          <w:color w:val="0070C0"/>
          <w:sz w:val="26"/>
          <w:szCs w:val="26"/>
        </w:rPr>
        <w:t>l’agriculture forêt et pêche</w:t>
      </w:r>
    </w:p>
    <w:p w:rsidR="00EE35D9" w:rsidRPr="00D14E08" w:rsidRDefault="00EE35D9" w:rsidP="00EE35D9">
      <w:pPr>
        <w:spacing w:before="240" w:after="240" w:line="312" w:lineRule="auto"/>
        <w:jc w:val="both"/>
        <w:rPr>
          <w:rFonts w:ascii="Book Antiqua" w:eastAsia="Book Antiqua" w:hAnsi="Book Antiqua" w:cs="Book Antiqua"/>
          <w:sz w:val="24"/>
          <w:szCs w:val="24"/>
        </w:rPr>
      </w:pPr>
      <w:r w:rsidRPr="00A5269F">
        <w:rPr>
          <w:rFonts w:ascii="Book Antiqua" w:eastAsia="Book Antiqua" w:hAnsi="Book Antiqua" w:cs="Book Antiqua"/>
          <w:sz w:val="24"/>
          <w:szCs w:val="24"/>
        </w:rPr>
        <w:t>Entre le premier trimestre de 202</w:t>
      </w:r>
      <w:r>
        <w:rPr>
          <w:rFonts w:ascii="Book Antiqua" w:eastAsia="Book Antiqua" w:hAnsi="Book Antiqua" w:cs="Book Antiqua"/>
          <w:sz w:val="24"/>
          <w:szCs w:val="24"/>
        </w:rPr>
        <w:t>1</w:t>
      </w:r>
      <w:r w:rsidRPr="00A5269F">
        <w:rPr>
          <w:rFonts w:ascii="Book Antiqua" w:eastAsia="Book Antiqua" w:hAnsi="Book Antiqua" w:cs="Book Antiqua"/>
          <w:sz w:val="24"/>
          <w:szCs w:val="24"/>
        </w:rPr>
        <w:t xml:space="preserve"> et celui de 202</w:t>
      </w:r>
      <w:r>
        <w:rPr>
          <w:rFonts w:ascii="Book Antiqua" w:eastAsia="Book Antiqua" w:hAnsi="Book Antiqua" w:cs="Book Antiqua"/>
          <w:sz w:val="24"/>
          <w:szCs w:val="24"/>
        </w:rPr>
        <w:t>2</w:t>
      </w:r>
      <w:r w:rsidRPr="00A5269F">
        <w:rPr>
          <w:rFonts w:ascii="Book Antiqua" w:eastAsia="Book Antiqua" w:hAnsi="Book Antiqua" w:cs="Book Antiqua"/>
          <w:sz w:val="24"/>
          <w:szCs w:val="24"/>
        </w:rPr>
        <w:t>, le secteur de</w:t>
      </w:r>
      <w:r w:rsidR="00F87F56">
        <w:rPr>
          <w:rFonts w:ascii="Book Antiqua" w:eastAsia="Book Antiqua" w:hAnsi="Book Antiqua" w:cstheme="minorBidi" w:hint="cs"/>
          <w:sz w:val="24"/>
          <w:szCs w:val="24"/>
          <w:rtl/>
          <w:lang w:bidi="tzm-Arab-MA"/>
        </w:rPr>
        <w:t xml:space="preserve"> </w:t>
      </w:r>
      <w:r w:rsidRPr="00A5269F">
        <w:rPr>
          <w:rFonts w:ascii="Book Antiqua" w:eastAsia="Book Antiqua" w:hAnsi="Book Antiqua" w:cs="Book Antiqua"/>
          <w:sz w:val="24"/>
          <w:szCs w:val="24"/>
        </w:rPr>
        <w:t xml:space="preserve"> l’"agriculture forêt et pêche" a perdu </w:t>
      </w:r>
      <w:r>
        <w:rPr>
          <w:rFonts w:ascii="Book Antiqua" w:eastAsia="Book Antiqua" w:hAnsi="Book Antiqua" w:cs="Book Antiqua"/>
          <w:sz w:val="24"/>
          <w:szCs w:val="24"/>
        </w:rPr>
        <w:t>183.</w:t>
      </w:r>
      <w:r w:rsidRPr="00A5269F">
        <w:rPr>
          <w:rFonts w:ascii="Book Antiqua" w:eastAsia="Book Antiqua" w:hAnsi="Book Antiqua" w:cs="Book Antiqua"/>
          <w:sz w:val="24"/>
          <w:szCs w:val="24"/>
        </w:rPr>
        <w:t>000 postes d'empl</w:t>
      </w:r>
      <w:r>
        <w:rPr>
          <w:rFonts w:ascii="Book Antiqua" w:eastAsia="Book Antiqua" w:hAnsi="Book Antiqua" w:cs="Book Antiqua"/>
          <w:sz w:val="24"/>
          <w:szCs w:val="24"/>
        </w:rPr>
        <w:t xml:space="preserve">oi </w:t>
      </w:r>
      <w:r w:rsidRPr="00D14E08">
        <w:rPr>
          <w:rFonts w:ascii="Book Antiqua" w:eastAsia="Book Antiqua" w:hAnsi="Book Antiqua" w:cs="Book Antiqua"/>
          <w:sz w:val="24"/>
          <w:szCs w:val="24"/>
        </w:rPr>
        <w:t>(-5,4%)</w:t>
      </w:r>
      <w:r w:rsidR="00973E43">
        <w:rPr>
          <w:rFonts w:ascii="Book Antiqua" w:eastAsia="Book Antiqua" w:hAnsi="Book Antiqua" w:cs="Book Antiqua"/>
          <w:sz w:val="24"/>
          <w:szCs w:val="24"/>
        </w:rPr>
        <w:t>.</w:t>
      </w:r>
    </w:p>
    <w:p w:rsidR="00EE35D9" w:rsidRDefault="007A5C49" w:rsidP="007A5C49">
      <w:pPr>
        <w:spacing w:before="240" w:after="240" w:line="312" w:lineRule="auto"/>
        <w:jc w:val="both"/>
        <w:rPr>
          <w:rFonts w:ascii="Book Antiqua" w:eastAsia="Book Antiqua" w:hAnsi="Book Antiqua" w:cs="Book Antiqua"/>
          <w:sz w:val="24"/>
          <w:szCs w:val="24"/>
        </w:rPr>
      </w:pPr>
      <w:r>
        <w:rPr>
          <w:rFonts w:ascii="Book Antiqua" w:eastAsia="Book Antiqua" w:hAnsi="Book Antiqua" w:cs="Book Antiqua"/>
          <w:sz w:val="24"/>
          <w:szCs w:val="24"/>
        </w:rPr>
        <w:t>Le secteur de l’"industrie" a créé</w:t>
      </w:r>
      <w:r w:rsidR="00EE35D9" w:rsidRPr="002D5607">
        <w:rPr>
          <w:rFonts w:ascii="Book Antiqua" w:eastAsia="Book Antiqua" w:hAnsi="Book Antiqua" w:cs="Book Antiqua"/>
          <w:sz w:val="24"/>
          <w:szCs w:val="24"/>
        </w:rPr>
        <w:t xml:space="preserve"> de 13.000 postes, </w:t>
      </w:r>
      <w:r w:rsidR="00F87F56">
        <w:rPr>
          <w:rFonts w:ascii="Book Antiqua" w:eastAsia="Book Antiqua" w:hAnsi="Book Antiqua" w:cstheme="minorBidi" w:hint="cs"/>
          <w:sz w:val="24"/>
          <w:szCs w:val="24"/>
          <w:rtl/>
          <w:lang w:bidi="tzm-Arab-MA"/>
        </w:rPr>
        <w:t xml:space="preserve"> </w:t>
      </w:r>
      <w:r w:rsidR="00EE35D9" w:rsidRPr="002D5607">
        <w:rPr>
          <w:rFonts w:ascii="Book Antiqua" w:eastAsia="Book Antiqua" w:hAnsi="Book Antiqua" w:cs="Book Antiqua"/>
          <w:sz w:val="24"/>
          <w:szCs w:val="24"/>
        </w:rPr>
        <w:t xml:space="preserve">ce qui correspond à une </w:t>
      </w:r>
      <w:r w:rsidR="00EE35D9">
        <w:rPr>
          <w:rFonts w:ascii="Book Antiqua" w:eastAsia="Book Antiqua" w:hAnsi="Book Antiqua" w:cs="Book Antiqua"/>
          <w:sz w:val="24"/>
          <w:szCs w:val="24"/>
        </w:rPr>
        <w:t>hau</w:t>
      </w:r>
      <w:r>
        <w:rPr>
          <w:rFonts w:ascii="Book Antiqua" w:eastAsia="Book Antiqua" w:hAnsi="Book Antiqua" w:cs="Book Antiqua"/>
          <w:sz w:val="24"/>
          <w:szCs w:val="24"/>
        </w:rPr>
        <w:t>sse de 1</w:t>
      </w:r>
      <w:r w:rsidR="00EE35D9" w:rsidRPr="002D5607">
        <w:rPr>
          <w:rFonts w:ascii="Book Antiqua" w:eastAsia="Book Antiqua" w:hAnsi="Book Antiqua" w:cs="Book Antiqua"/>
          <w:sz w:val="24"/>
          <w:szCs w:val="24"/>
        </w:rPr>
        <w:t>% du volume de l'emploi dans ce secteur</w:t>
      </w:r>
      <w:r w:rsidR="00EE35D9" w:rsidRPr="001A6978">
        <w:rPr>
          <w:rFonts w:ascii="Book Antiqua" w:eastAsia="Book Antiqua" w:hAnsi="Book Antiqua" w:cs="Book Antiqua"/>
          <w:sz w:val="24"/>
          <w:szCs w:val="24"/>
        </w:rPr>
        <w:t>.</w:t>
      </w:r>
      <w:bookmarkStart w:id="0" w:name="_Hlk70758687"/>
      <w:r w:rsidR="00F87F56">
        <w:rPr>
          <w:rFonts w:ascii="Book Antiqua" w:eastAsia="Book Antiqua" w:hAnsi="Book Antiqua" w:cstheme="minorBidi" w:hint="cs"/>
          <w:sz w:val="24"/>
          <w:szCs w:val="24"/>
          <w:rtl/>
          <w:lang w:bidi="tzm-Arab-MA"/>
        </w:rPr>
        <w:t xml:space="preserve"> </w:t>
      </w:r>
      <w:r w:rsidR="00376ADA" w:rsidRPr="00376ADA">
        <w:rPr>
          <w:rFonts w:ascii="Book Antiqua" w:eastAsia="Book Antiqua" w:hAnsi="Book Antiqua" w:cs="Book Antiqua"/>
          <w:sz w:val="24"/>
          <w:szCs w:val="24"/>
        </w:rPr>
        <w:t>A noter que la part des activités artisanales</w:t>
      </w:r>
      <w:r w:rsidR="00376ADA" w:rsidRPr="00376ADA">
        <w:rPr>
          <w:vertAlign w:val="superscript"/>
        </w:rPr>
        <w:footnoteReference w:id="2"/>
      </w:r>
      <w:r w:rsidR="00376ADA" w:rsidRPr="00376ADA">
        <w:rPr>
          <w:rFonts w:ascii="Book Antiqua" w:eastAsia="Book Antiqua" w:hAnsi="Book Antiqua" w:cs="Book Antiqua"/>
          <w:sz w:val="24"/>
          <w:szCs w:val="24"/>
        </w:rPr>
        <w:t xml:space="preserve"> dans le secteur de l’industrie est de 45,4% contre 43,7% au premier trimestre de 2021.</w:t>
      </w:r>
      <w:bookmarkEnd w:id="0"/>
    </w:p>
    <w:p w:rsidR="00EE35D9" w:rsidRPr="002D5607" w:rsidRDefault="00EE35D9" w:rsidP="00EE35D9">
      <w:pPr>
        <w:spacing w:before="240" w:after="240" w:line="312" w:lineRule="auto"/>
        <w:jc w:val="both"/>
        <w:rPr>
          <w:rFonts w:ascii="Book Antiqua" w:eastAsia="Book Antiqua" w:hAnsi="Book Antiqua" w:cs="Book Antiqua"/>
          <w:sz w:val="24"/>
          <w:szCs w:val="24"/>
        </w:rPr>
      </w:pPr>
      <w:r w:rsidRPr="00D14E08">
        <w:rPr>
          <w:rFonts w:ascii="Book Antiqua" w:eastAsia="Book Antiqua" w:hAnsi="Book Antiqua" w:cs="Book Antiqua"/>
          <w:sz w:val="24"/>
          <w:szCs w:val="24"/>
        </w:rPr>
        <w:t xml:space="preserve">Le secteur des "services", </w:t>
      </w:r>
      <w:r w:rsidR="00F87F56">
        <w:rPr>
          <w:rFonts w:ascii="Book Antiqua" w:eastAsia="Book Antiqua" w:hAnsi="Book Antiqua" w:cstheme="minorBidi" w:hint="cs"/>
          <w:sz w:val="24"/>
          <w:szCs w:val="24"/>
          <w:rtl/>
          <w:lang w:bidi="tzm-Arab-MA"/>
        </w:rPr>
        <w:t xml:space="preserve"> </w:t>
      </w:r>
      <w:r w:rsidRPr="00D14E08">
        <w:rPr>
          <w:rFonts w:ascii="Book Antiqua" w:eastAsia="Book Antiqua" w:hAnsi="Book Antiqua" w:cs="Book Antiqua"/>
          <w:sz w:val="24"/>
          <w:szCs w:val="24"/>
        </w:rPr>
        <w:t xml:space="preserve">quant à lui, a créé 85.000 postes d’emploi </w:t>
      </w:r>
      <w:r w:rsidRPr="002D5607">
        <w:rPr>
          <w:rFonts w:ascii="Book Antiqua" w:eastAsia="Book Antiqua" w:hAnsi="Book Antiqua" w:cs="Book Antiqua"/>
          <w:sz w:val="24"/>
          <w:szCs w:val="24"/>
        </w:rPr>
        <w:t xml:space="preserve">enregistrant une hausse de 1,7% de l’emploi dans ce secteur. </w:t>
      </w:r>
    </w:p>
    <w:p w:rsidR="00EE35D9" w:rsidRPr="001A6978" w:rsidRDefault="00EE35D9" w:rsidP="00EE35D9">
      <w:pPr>
        <w:spacing w:before="240" w:after="240" w:line="312" w:lineRule="auto"/>
        <w:jc w:val="both"/>
        <w:rPr>
          <w:rFonts w:ascii="Book Antiqua" w:eastAsia="Book Antiqua" w:hAnsi="Book Antiqua" w:cs="Book Antiqua"/>
          <w:sz w:val="24"/>
          <w:szCs w:val="24"/>
        </w:rPr>
      </w:pPr>
      <w:r w:rsidRPr="000F5C69">
        <w:rPr>
          <w:rFonts w:ascii="Book Antiqua" w:eastAsia="Book Antiqua" w:hAnsi="Book Antiqua" w:cs="Book Antiqua"/>
          <w:sz w:val="24"/>
          <w:szCs w:val="24"/>
        </w:rPr>
        <w:t>Le secteur des BTP a créé 29.000</w:t>
      </w:r>
      <w:r w:rsidR="00F87F56">
        <w:rPr>
          <w:rFonts w:ascii="Book Antiqua" w:eastAsia="Book Antiqua" w:hAnsi="Book Antiqua" w:cstheme="minorBidi" w:hint="cs"/>
          <w:sz w:val="24"/>
          <w:szCs w:val="24"/>
          <w:rtl/>
          <w:lang w:bidi="tzm-Arab-MA"/>
        </w:rPr>
        <w:t xml:space="preserve"> </w:t>
      </w:r>
      <w:r w:rsidRPr="000F5C69">
        <w:rPr>
          <w:rFonts w:ascii="Book Antiqua" w:eastAsia="Book Antiqua" w:hAnsi="Book Antiqua" w:cs="Book Antiqua"/>
          <w:sz w:val="24"/>
          <w:szCs w:val="24"/>
        </w:rPr>
        <w:t xml:space="preserve"> postes d’emploi, </w:t>
      </w:r>
      <w:r w:rsidRPr="002D5607">
        <w:rPr>
          <w:rFonts w:ascii="Book Antiqua" w:eastAsia="Book Antiqua" w:hAnsi="Book Antiqua" w:cs="Book Antiqua"/>
          <w:sz w:val="24"/>
          <w:szCs w:val="24"/>
        </w:rPr>
        <w:t>enregistrant une hausse de 2,5% du volume d’emploi dans ce secteur.</w:t>
      </w:r>
    </w:p>
    <w:p w:rsidR="00EE35D9" w:rsidRDefault="00EE35D9" w:rsidP="00EE35D9">
      <w:pPr>
        <w:spacing w:before="240" w:after="240" w:line="312" w:lineRule="auto"/>
        <w:rPr>
          <w:rFonts w:ascii="Book Antiqua" w:eastAsia="Book Antiqua" w:hAnsi="Book Antiqua" w:cs="Book Antiqua"/>
          <w:b/>
          <w:color w:val="0070C0"/>
          <w:sz w:val="20"/>
          <w:szCs w:val="20"/>
        </w:rPr>
      </w:pPr>
      <w:r w:rsidRPr="001A6978">
        <w:rPr>
          <w:rFonts w:ascii="Book Antiqua" w:eastAsia="Book Antiqua" w:hAnsi="Book Antiqua" w:cs="Book Antiqua"/>
          <w:b/>
          <w:color w:val="0070C0"/>
          <w:sz w:val="20"/>
          <w:szCs w:val="20"/>
        </w:rPr>
        <w:t xml:space="preserve">Figure 2 : Variation nette d’emploi entre le premier trimestre de 2021 et celui de 2022 </w:t>
      </w:r>
      <w:r w:rsidR="00F87F56">
        <w:rPr>
          <w:rFonts w:ascii="Book Antiqua" w:eastAsia="Book Antiqua" w:hAnsi="Book Antiqua" w:cstheme="minorBidi" w:hint="cs"/>
          <w:b/>
          <w:color w:val="0070C0"/>
          <w:sz w:val="20"/>
          <w:szCs w:val="20"/>
          <w:rtl/>
          <w:lang w:bidi="tzm-Arab-MA"/>
        </w:rPr>
        <w:t xml:space="preserve"> </w:t>
      </w:r>
      <w:r w:rsidRPr="001A6978">
        <w:rPr>
          <w:rFonts w:ascii="Book Antiqua" w:eastAsia="Book Antiqua" w:hAnsi="Book Antiqua" w:cs="Book Antiqua"/>
          <w:b/>
          <w:color w:val="0070C0"/>
          <w:sz w:val="20"/>
          <w:szCs w:val="20"/>
        </w:rPr>
        <w:t>par secteur d’activité économique et milieu de résidence</w:t>
      </w:r>
      <w:r w:rsidRPr="001A6978">
        <w:rPr>
          <w:rStyle w:val="Appelnotedebasdep"/>
          <w:rFonts w:ascii="Book Antiqua" w:eastAsia="Book Antiqua" w:hAnsi="Book Antiqua" w:cs="Book Antiqua"/>
          <w:b/>
          <w:color w:val="0070C0"/>
          <w:sz w:val="20"/>
          <w:szCs w:val="20"/>
        </w:rPr>
        <w:footnoteReference w:id="3"/>
      </w:r>
    </w:p>
    <w:p w:rsidR="00B03305" w:rsidRPr="001A6978" w:rsidRDefault="00B03305" w:rsidP="00EE35D9">
      <w:pPr>
        <w:spacing w:before="240" w:after="240" w:line="312" w:lineRule="auto"/>
        <w:rPr>
          <w:rFonts w:ascii="Book Antiqua" w:eastAsia="Book Antiqua" w:hAnsi="Book Antiqua" w:cs="Book Antiqua"/>
          <w:b/>
          <w:color w:val="0070C0"/>
          <w:sz w:val="20"/>
          <w:szCs w:val="20"/>
        </w:rPr>
      </w:pPr>
      <w:r w:rsidRPr="00B03305">
        <w:rPr>
          <w:rFonts w:ascii="Book Antiqua" w:eastAsia="Book Antiqua" w:hAnsi="Book Antiqua" w:cs="Book Antiqua"/>
          <w:b/>
          <w:noProof/>
          <w:color w:val="0070C0"/>
          <w:sz w:val="20"/>
          <w:szCs w:val="20"/>
        </w:rPr>
        <w:drawing>
          <wp:inline distT="0" distB="0" distL="0" distR="0">
            <wp:extent cx="5467350" cy="2743200"/>
            <wp:effectExtent l="0" t="0" r="0" b="0"/>
            <wp:docPr id="8"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05E4" w:rsidRDefault="000605E4" w:rsidP="007A5C49">
      <w:pPr>
        <w:pStyle w:val="Paragraphedeliste"/>
        <w:spacing w:before="240" w:after="240" w:line="312" w:lineRule="auto"/>
        <w:ind w:left="0"/>
        <w:rPr>
          <w:rFonts w:ascii="Book Antiqua" w:eastAsia="Book Antiqua" w:hAnsi="Book Antiqua" w:cs="Book Antiqua"/>
          <w:b/>
          <w:bCs/>
          <w:color w:val="0070C0"/>
          <w:sz w:val="28"/>
          <w:szCs w:val="28"/>
        </w:rPr>
      </w:pPr>
    </w:p>
    <w:p w:rsidR="00B03305" w:rsidRDefault="00B03305" w:rsidP="007A5C49">
      <w:pPr>
        <w:pStyle w:val="Paragraphedeliste"/>
        <w:spacing w:before="240" w:after="240" w:line="312" w:lineRule="auto"/>
        <w:ind w:left="0"/>
        <w:rPr>
          <w:rFonts w:ascii="Book Antiqua" w:eastAsia="Book Antiqua" w:hAnsi="Book Antiqua" w:cs="Book Antiqua"/>
          <w:b/>
          <w:bCs/>
          <w:color w:val="0070C0"/>
          <w:sz w:val="28"/>
          <w:szCs w:val="28"/>
        </w:rPr>
      </w:pPr>
    </w:p>
    <w:p w:rsidR="00630ED2" w:rsidRDefault="00630ED2" w:rsidP="007A5C49">
      <w:pPr>
        <w:pStyle w:val="Paragraphedeliste"/>
        <w:spacing w:before="240" w:after="240" w:line="312" w:lineRule="auto"/>
        <w:ind w:left="0"/>
        <w:rPr>
          <w:rFonts w:ascii="Book Antiqua" w:eastAsia="Book Antiqua" w:hAnsi="Book Antiqua" w:cs="Book Antiqua"/>
          <w:b/>
          <w:bCs/>
          <w:color w:val="0070C0"/>
          <w:sz w:val="28"/>
          <w:szCs w:val="28"/>
        </w:rPr>
      </w:pPr>
    </w:p>
    <w:p w:rsidR="00F87F56" w:rsidRDefault="00F87F56">
      <w:pPr>
        <w:rPr>
          <w:rFonts w:ascii="Book Antiqua" w:eastAsia="Book Antiqua" w:hAnsi="Book Antiqua" w:cs="Book Antiqua"/>
          <w:b/>
          <w:bCs/>
          <w:color w:val="0070C0"/>
          <w:sz w:val="28"/>
          <w:szCs w:val="28"/>
        </w:rPr>
      </w:pPr>
      <w:r>
        <w:rPr>
          <w:rFonts w:ascii="Book Antiqua" w:eastAsia="Book Antiqua" w:hAnsi="Book Antiqua" w:cs="Book Antiqua"/>
          <w:b/>
          <w:bCs/>
          <w:color w:val="0070C0"/>
          <w:sz w:val="28"/>
          <w:szCs w:val="28"/>
        </w:rPr>
        <w:br w:type="page"/>
      </w:r>
    </w:p>
    <w:p w:rsidR="007A5C49" w:rsidRDefault="007A5C49" w:rsidP="007A5C49">
      <w:pPr>
        <w:pStyle w:val="Paragraphedeliste"/>
        <w:spacing w:before="240" w:after="240" w:line="312" w:lineRule="auto"/>
        <w:ind w:left="0"/>
        <w:rPr>
          <w:rFonts w:ascii="Book Antiqua" w:eastAsia="Book Antiqua" w:hAnsi="Book Antiqua" w:cs="Book Antiqua"/>
          <w:b/>
          <w:bCs/>
          <w:color w:val="0070C0"/>
          <w:sz w:val="28"/>
          <w:szCs w:val="28"/>
        </w:rPr>
      </w:pPr>
      <w:r>
        <w:rPr>
          <w:rFonts w:ascii="Book Antiqua" w:eastAsia="Book Antiqua" w:hAnsi="Book Antiqua" w:cs="Book Antiqua"/>
          <w:b/>
          <w:bCs/>
          <w:color w:val="0070C0"/>
          <w:sz w:val="28"/>
          <w:szCs w:val="28"/>
        </w:rPr>
        <w:lastRenderedPageBreak/>
        <w:t xml:space="preserve">II. </w:t>
      </w:r>
      <w:r w:rsidR="00380EDC" w:rsidRPr="007A5C49">
        <w:rPr>
          <w:rFonts w:ascii="Book Antiqua" w:eastAsia="Book Antiqua" w:hAnsi="Book Antiqua" w:cs="Book Antiqua"/>
          <w:b/>
          <w:bCs/>
          <w:color w:val="0070C0"/>
          <w:sz w:val="28"/>
          <w:szCs w:val="28"/>
        </w:rPr>
        <w:t xml:space="preserve">Chômage </w:t>
      </w:r>
      <w:r>
        <w:rPr>
          <w:rFonts w:ascii="Book Antiqua" w:eastAsia="Book Antiqua" w:hAnsi="Book Antiqua" w:cs="Book Antiqua"/>
          <w:b/>
          <w:bCs/>
          <w:color w:val="0070C0"/>
          <w:sz w:val="28"/>
          <w:szCs w:val="28"/>
        </w:rPr>
        <w:t>et sous-emploi</w:t>
      </w:r>
    </w:p>
    <w:p w:rsidR="003A6941" w:rsidRPr="003A6941" w:rsidRDefault="003A6941" w:rsidP="00B03305">
      <w:pPr>
        <w:spacing w:before="240" w:after="240" w:line="312" w:lineRule="auto"/>
        <w:jc w:val="both"/>
        <w:rPr>
          <w:rFonts w:ascii="Book Antiqua" w:hAnsi="Book Antiqua" w:cs="Times New Roman"/>
          <w:sz w:val="24"/>
          <w:szCs w:val="24"/>
        </w:rPr>
      </w:pPr>
      <w:r w:rsidRPr="003A6941">
        <w:rPr>
          <w:rFonts w:ascii="Book Antiqua" w:hAnsi="Book Antiqua" w:cs="Times New Roman"/>
          <w:sz w:val="24"/>
          <w:szCs w:val="24"/>
        </w:rPr>
        <w:t xml:space="preserve">Le nombre de chômeurs a baissé de 68.000 personnes entre le premier trimestre de l’année 2021 et celui de 2022, passant de 1.534.000 à 1.466.000 chômeurs. Cette </w:t>
      </w:r>
      <w:r w:rsidR="00B03305">
        <w:rPr>
          <w:rFonts w:ascii="Book Antiqua" w:hAnsi="Book Antiqua" w:cs="Times New Roman"/>
          <w:sz w:val="24"/>
          <w:szCs w:val="24"/>
        </w:rPr>
        <w:t>baisse</w:t>
      </w:r>
      <w:r w:rsidR="00F87F56">
        <w:rPr>
          <w:rFonts w:ascii="Book Antiqua" w:hAnsi="Book Antiqua" w:cs="Times New Roman" w:hint="cs"/>
          <w:sz w:val="24"/>
          <w:szCs w:val="24"/>
          <w:rtl/>
          <w:lang w:bidi="tzm-Arab-MA"/>
        </w:rPr>
        <w:t xml:space="preserve"> </w:t>
      </w:r>
      <w:r w:rsidR="00A317CE">
        <w:rPr>
          <w:rFonts w:ascii="Book Antiqua" w:hAnsi="Book Antiqua" w:cs="Times New Roman"/>
          <w:sz w:val="24"/>
          <w:szCs w:val="24"/>
        </w:rPr>
        <w:t>est de l’ordre</w:t>
      </w:r>
      <w:r w:rsidR="00F87F56">
        <w:rPr>
          <w:rFonts w:ascii="Book Antiqua" w:hAnsi="Book Antiqua" w:cs="Times New Roman" w:hint="cs"/>
          <w:sz w:val="24"/>
          <w:szCs w:val="24"/>
          <w:rtl/>
          <w:lang w:bidi="tzm-Arab-MA"/>
        </w:rPr>
        <w:t xml:space="preserve"> </w:t>
      </w:r>
      <w:r w:rsidRPr="003A6941">
        <w:rPr>
          <w:rFonts w:ascii="Book Antiqua" w:hAnsi="Book Antiqua" w:cs="Times New Roman"/>
          <w:sz w:val="24"/>
          <w:szCs w:val="24"/>
        </w:rPr>
        <w:t>de 52.000 en milieu urbain et de 16.000 en milieu rural.</w:t>
      </w:r>
    </w:p>
    <w:p w:rsidR="003A6941" w:rsidRDefault="003A6941" w:rsidP="003A6941">
      <w:pPr>
        <w:autoSpaceDE w:val="0"/>
        <w:autoSpaceDN w:val="0"/>
        <w:adjustRightInd w:val="0"/>
        <w:spacing w:before="240" w:after="240" w:line="312" w:lineRule="auto"/>
        <w:jc w:val="both"/>
        <w:rPr>
          <w:rFonts w:ascii="Book Antiqua" w:hAnsi="Book Antiqua" w:cs="Times New Roman"/>
          <w:sz w:val="24"/>
          <w:szCs w:val="24"/>
        </w:rPr>
      </w:pPr>
      <w:r w:rsidRPr="003A6941">
        <w:rPr>
          <w:rFonts w:ascii="Book Antiqua" w:hAnsi="Book Antiqua" w:cs="Times New Roman"/>
          <w:sz w:val="24"/>
          <w:szCs w:val="24"/>
        </w:rPr>
        <w:t xml:space="preserve">Le taux de chômage a diminué de 0,4 point entre les premiers trimestres de 2021 et de 2022, passant de 12,5% à 12,1%. Il a enregistré une baisse aussi bien en milieu rural qu'en milieu urbain, passant respectivement de 5,3% à 5,1% et de 17,1% à 16,3%. </w:t>
      </w:r>
    </w:p>
    <w:p w:rsidR="003A6941" w:rsidRDefault="003A6941" w:rsidP="003A6941">
      <w:pPr>
        <w:autoSpaceDE w:val="0"/>
        <w:autoSpaceDN w:val="0"/>
        <w:adjustRightInd w:val="0"/>
        <w:spacing w:before="240" w:after="240" w:line="312" w:lineRule="auto"/>
        <w:jc w:val="both"/>
        <w:rPr>
          <w:rFonts w:ascii="Book Antiqua" w:hAnsi="Book Antiqua" w:cs="Times New Roman"/>
          <w:sz w:val="24"/>
          <w:szCs w:val="24"/>
        </w:rPr>
      </w:pPr>
      <w:r>
        <w:rPr>
          <w:rFonts w:ascii="Book Antiqua" w:hAnsi="Book Antiqua" w:cs="Times New Roman"/>
          <w:sz w:val="24"/>
          <w:szCs w:val="24"/>
        </w:rPr>
        <w:t xml:space="preserve">Le taux de chômage </w:t>
      </w:r>
      <w:r w:rsidRPr="003A6941">
        <w:rPr>
          <w:rFonts w:ascii="Book Antiqua" w:hAnsi="Book Antiqua" w:cs="Times New Roman"/>
          <w:sz w:val="24"/>
          <w:szCs w:val="24"/>
        </w:rPr>
        <w:t>a également enregistré une baisse parmi les femmes (</w:t>
      </w:r>
      <w:r w:rsidR="00B03305">
        <w:rPr>
          <w:rFonts w:ascii="Book Antiqua" w:hAnsi="Book Antiqua" w:cs="Times New Roman"/>
          <w:sz w:val="24"/>
          <w:szCs w:val="24"/>
        </w:rPr>
        <w:t>-</w:t>
      </w:r>
      <w:r w:rsidRPr="003A6941">
        <w:rPr>
          <w:rFonts w:ascii="Book Antiqua" w:hAnsi="Book Antiqua" w:cs="Times New Roman"/>
          <w:sz w:val="24"/>
          <w:szCs w:val="24"/>
        </w:rPr>
        <w:t xml:space="preserve">0,2 point), de 17,5% à 17,3%, </w:t>
      </w:r>
      <w:r w:rsidR="005E655C" w:rsidRPr="00A317CE">
        <w:rPr>
          <w:rFonts w:ascii="Book Antiqua" w:hAnsi="Book Antiqua" w:cs="Times New Roman"/>
          <w:sz w:val="24"/>
          <w:szCs w:val="24"/>
        </w:rPr>
        <w:t xml:space="preserve">par contre </w:t>
      </w:r>
      <w:r w:rsidR="00F87F56">
        <w:rPr>
          <w:rFonts w:ascii="Book Antiqua" w:hAnsi="Book Antiqua" w:cs="Times New Roman" w:hint="cs"/>
          <w:sz w:val="24"/>
          <w:szCs w:val="24"/>
          <w:rtl/>
          <w:lang w:bidi="tzm-Arab-MA"/>
        </w:rPr>
        <w:t xml:space="preserve"> </w:t>
      </w:r>
      <w:r w:rsidR="005E655C" w:rsidRPr="00A317CE">
        <w:rPr>
          <w:rFonts w:ascii="Book Antiqua" w:hAnsi="Book Antiqua" w:cs="Times New Roman"/>
          <w:sz w:val="24"/>
          <w:szCs w:val="24"/>
        </w:rPr>
        <w:t xml:space="preserve">il a </w:t>
      </w:r>
      <w:r w:rsidRPr="00A317CE">
        <w:rPr>
          <w:rFonts w:ascii="Book Antiqua" w:hAnsi="Book Antiqua" w:cs="Times New Roman"/>
          <w:sz w:val="24"/>
          <w:szCs w:val="24"/>
        </w:rPr>
        <w:t>augment</w:t>
      </w:r>
      <w:r w:rsidR="005E655C" w:rsidRPr="00A317CE">
        <w:rPr>
          <w:rFonts w:ascii="Book Antiqua" w:hAnsi="Book Antiqua" w:cs="Times New Roman"/>
          <w:sz w:val="24"/>
          <w:szCs w:val="24"/>
        </w:rPr>
        <w:t xml:space="preserve">é </w:t>
      </w:r>
      <w:r w:rsidRPr="00A317CE">
        <w:rPr>
          <w:rFonts w:ascii="Book Antiqua" w:hAnsi="Book Antiqua" w:cs="Times New Roman"/>
          <w:sz w:val="24"/>
          <w:szCs w:val="24"/>
        </w:rPr>
        <w:t>parmi les</w:t>
      </w:r>
      <w:r w:rsidRPr="003A6941">
        <w:rPr>
          <w:rFonts w:ascii="Book Antiqua" w:hAnsi="Book Antiqua" w:cs="Times New Roman"/>
          <w:sz w:val="24"/>
          <w:szCs w:val="24"/>
        </w:rPr>
        <w:t xml:space="preserve"> jeunes âgés de 15 à 24 ans (</w:t>
      </w:r>
      <w:r w:rsidR="00B03305">
        <w:rPr>
          <w:rFonts w:ascii="Book Antiqua" w:hAnsi="Book Antiqua" w:cs="Times New Roman"/>
          <w:sz w:val="24"/>
          <w:szCs w:val="24"/>
        </w:rPr>
        <w:t>+</w:t>
      </w:r>
      <w:r w:rsidRPr="003A6941">
        <w:rPr>
          <w:rFonts w:ascii="Book Antiqua" w:hAnsi="Book Antiqua" w:cs="Times New Roman"/>
          <w:sz w:val="24"/>
          <w:szCs w:val="24"/>
        </w:rPr>
        <w:t>0,9 point), de 32,5% à 33,4%, principalement en milieu urbain</w:t>
      </w:r>
      <w:r w:rsidR="00F87F56">
        <w:rPr>
          <w:rFonts w:ascii="Book Antiqua" w:hAnsi="Book Antiqua" w:cs="Times New Roman" w:hint="cs"/>
          <w:sz w:val="24"/>
          <w:szCs w:val="24"/>
          <w:rtl/>
          <w:lang w:bidi="tzm-Arab-MA"/>
        </w:rPr>
        <w:t xml:space="preserve"> </w:t>
      </w:r>
      <w:r w:rsidR="00F87F56">
        <w:rPr>
          <w:rFonts w:ascii="Book Antiqua" w:hAnsi="Book Antiqua" w:cs="Times New Roman"/>
          <w:sz w:val="24"/>
          <w:szCs w:val="24"/>
          <w:lang w:bidi="tzm-Arab-MA"/>
        </w:rPr>
        <w:t xml:space="preserve"> passant</w:t>
      </w:r>
      <w:r w:rsidRPr="003A6941">
        <w:rPr>
          <w:rFonts w:ascii="Book Antiqua" w:hAnsi="Book Antiqua" w:cs="Times New Roman"/>
          <w:sz w:val="24"/>
          <w:szCs w:val="24"/>
        </w:rPr>
        <w:t xml:space="preserve"> de 45,6% à 47,7%. </w:t>
      </w:r>
    </w:p>
    <w:p w:rsidR="003A6941" w:rsidRPr="003A6941" w:rsidRDefault="003A6941" w:rsidP="000605E4">
      <w:pPr>
        <w:autoSpaceDE w:val="0"/>
        <w:autoSpaceDN w:val="0"/>
        <w:adjustRightInd w:val="0"/>
        <w:spacing w:before="240" w:after="240" w:line="312" w:lineRule="auto"/>
        <w:jc w:val="center"/>
        <w:rPr>
          <w:rFonts w:ascii="Book Antiqua" w:hAnsi="Book Antiqua" w:cs="Times New Roman"/>
          <w:sz w:val="24"/>
          <w:szCs w:val="24"/>
        </w:rPr>
      </w:pPr>
      <w:r w:rsidRPr="00A90485">
        <w:rPr>
          <w:rFonts w:ascii="Book Antiqua" w:eastAsia="Book Antiqua" w:hAnsi="Book Antiqua" w:cs="Book Antiqua"/>
          <w:b/>
          <w:color w:val="0070C0"/>
          <w:sz w:val="20"/>
          <w:szCs w:val="20"/>
        </w:rPr>
        <w:t>Figure 3 : Evolution du taux de chômage entre les premiers trimestres de 2021 et de 2022 pour certaines catégories de la population (en %).</w:t>
      </w:r>
      <w:r w:rsidRPr="004B7AF3">
        <w:rPr>
          <w:rFonts w:ascii="Book Antiqua" w:hAnsi="Book Antiqua" w:cs="Times New Roman"/>
          <w:noProof/>
          <w:color w:val="F79646" w:themeColor="accent6"/>
          <w:sz w:val="24"/>
          <w:szCs w:val="24"/>
        </w:rPr>
        <w:drawing>
          <wp:inline distT="0" distB="0" distL="0" distR="0">
            <wp:extent cx="5305425" cy="2743200"/>
            <wp:effectExtent l="0" t="0" r="0" b="0"/>
            <wp:docPr id="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7B46" w:rsidRDefault="00577B46">
      <w:pPr>
        <w:rPr>
          <w:color w:val="FF0000"/>
          <w:sz w:val="24"/>
          <w:szCs w:val="24"/>
        </w:rPr>
      </w:pPr>
      <w:r>
        <w:rPr>
          <w:color w:val="FF0000"/>
          <w:sz w:val="24"/>
          <w:szCs w:val="24"/>
        </w:rPr>
        <w:br w:type="page"/>
      </w:r>
    </w:p>
    <w:p w:rsidR="00577B46" w:rsidRPr="00B03305" w:rsidRDefault="00577B46" w:rsidP="00EE2E6A">
      <w:pPr>
        <w:autoSpaceDE w:val="0"/>
        <w:autoSpaceDN w:val="0"/>
        <w:adjustRightInd w:val="0"/>
        <w:spacing w:before="240" w:after="240" w:line="312" w:lineRule="auto"/>
        <w:jc w:val="both"/>
        <w:rPr>
          <w:rFonts w:ascii="Book Antiqua" w:hAnsi="Book Antiqua" w:cs="Times New Roman"/>
          <w:sz w:val="24"/>
          <w:szCs w:val="24"/>
        </w:rPr>
      </w:pPr>
      <w:r w:rsidRPr="00B03305">
        <w:rPr>
          <w:rFonts w:ascii="Book Antiqua" w:hAnsi="Book Antiqua" w:cs="Times New Roman"/>
          <w:sz w:val="24"/>
          <w:szCs w:val="24"/>
        </w:rPr>
        <w:lastRenderedPageBreak/>
        <w:t>S</w:t>
      </w:r>
      <w:r w:rsidR="00200209" w:rsidRPr="00B03305">
        <w:rPr>
          <w:rFonts w:ascii="Book Antiqua" w:hAnsi="Book Antiqua" w:cs="Times New Roman"/>
          <w:sz w:val="24"/>
          <w:szCs w:val="24"/>
        </w:rPr>
        <w:t>’agissant des diplômés</w:t>
      </w:r>
      <w:r w:rsidR="00200209" w:rsidRPr="00F43C02">
        <w:rPr>
          <w:rFonts w:ascii="Book Antiqua" w:hAnsi="Book Antiqua" w:cs="Times New Roman"/>
          <w:sz w:val="24"/>
          <w:szCs w:val="24"/>
        </w:rPr>
        <w:t xml:space="preserve">, </w:t>
      </w:r>
      <w:r w:rsidR="00F87F56">
        <w:rPr>
          <w:rFonts w:ascii="Book Antiqua" w:hAnsi="Book Antiqua" w:cs="Times New Roman"/>
          <w:sz w:val="24"/>
          <w:szCs w:val="24"/>
        </w:rPr>
        <w:t xml:space="preserve"> </w:t>
      </w:r>
      <w:r w:rsidR="00200209" w:rsidRPr="00F43C02">
        <w:rPr>
          <w:rFonts w:ascii="Book Antiqua" w:hAnsi="Book Antiqua" w:cs="Times New Roman"/>
          <w:sz w:val="24"/>
          <w:szCs w:val="24"/>
        </w:rPr>
        <w:t xml:space="preserve">le </w:t>
      </w:r>
      <w:r w:rsidRPr="00F43C02">
        <w:rPr>
          <w:rFonts w:ascii="Book Antiqua" w:hAnsi="Book Antiqua" w:cs="Times New Roman"/>
          <w:sz w:val="24"/>
          <w:szCs w:val="24"/>
        </w:rPr>
        <w:t>taux</w:t>
      </w:r>
      <w:r w:rsidRPr="00B03305">
        <w:rPr>
          <w:rFonts w:ascii="Book Antiqua" w:hAnsi="Book Antiqua" w:cs="Times New Roman"/>
          <w:sz w:val="24"/>
          <w:szCs w:val="24"/>
        </w:rPr>
        <w:t xml:space="preserve"> de chômage a, </w:t>
      </w:r>
      <w:r w:rsidRPr="00F43C02">
        <w:rPr>
          <w:rFonts w:ascii="Book Antiqua" w:hAnsi="Book Antiqua" w:cs="Times New Roman"/>
          <w:sz w:val="24"/>
          <w:szCs w:val="24"/>
        </w:rPr>
        <w:t>de son côté,</w:t>
      </w:r>
      <w:r w:rsidRPr="00B03305">
        <w:rPr>
          <w:rFonts w:ascii="Book Antiqua" w:hAnsi="Book Antiqua" w:cs="Times New Roman"/>
          <w:sz w:val="24"/>
          <w:szCs w:val="24"/>
        </w:rPr>
        <w:t xml:space="preserve"> enregistré une baisse de 0,9 point, passant de 19,8% à 18,9%. </w:t>
      </w:r>
      <w:r w:rsidR="00F37360" w:rsidRPr="00F43C02">
        <w:rPr>
          <w:rFonts w:ascii="Book Antiqua" w:hAnsi="Book Antiqua" w:cs="Times New Roman"/>
          <w:sz w:val="24"/>
          <w:szCs w:val="24"/>
        </w:rPr>
        <w:t>Par contre</w:t>
      </w:r>
      <w:r w:rsidR="00F87F56">
        <w:rPr>
          <w:rFonts w:ascii="Book Antiqua" w:hAnsi="Book Antiqua" w:cs="Times New Roman"/>
          <w:sz w:val="24"/>
          <w:szCs w:val="24"/>
        </w:rPr>
        <w:t xml:space="preserve">, </w:t>
      </w:r>
      <w:r w:rsidRPr="00F43C02">
        <w:rPr>
          <w:rFonts w:ascii="Book Antiqua" w:hAnsi="Book Antiqua" w:cs="Times New Roman"/>
          <w:sz w:val="24"/>
          <w:szCs w:val="24"/>
        </w:rPr>
        <w:t>les diplômés de niveau supérieur</w:t>
      </w:r>
      <w:r w:rsidRPr="00F43C02">
        <w:rPr>
          <w:rFonts w:ascii="Book Antiqua" w:hAnsi="Book Antiqua" w:cs="Times New Roman"/>
          <w:sz w:val="24"/>
          <w:szCs w:val="24"/>
          <w:vertAlign w:val="superscript"/>
        </w:rPr>
        <w:footnoteReference w:id="4"/>
      </w:r>
      <w:r w:rsidRPr="00F43C02">
        <w:rPr>
          <w:rFonts w:ascii="Book Antiqua" w:hAnsi="Book Antiqua" w:cs="Times New Roman"/>
          <w:sz w:val="24"/>
          <w:szCs w:val="24"/>
        </w:rPr>
        <w:t xml:space="preserve"> ont enregistré </w:t>
      </w:r>
      <w:r w:rsidR="00F37360" w:rsidRPr="00F43C02">
        <w:rPr>
          <w:rFonts w:ascii="Book Antiqua" w:hAnsi="Book Antiqua" w:cs="Times New Roman"/>
          <w:sz w:val="24"/>
          <w:szCs w:val="24"/>
        </w:rPr>
        <w:t>une</w:t>
      </w:r>
      <w:r w:rsidRPr="00F43C02">
        <w:rPr>
          <w:rFonts w:ascii="Book Antiqua" w:hAnsi="Book Antiqua" w:cs="Times New Roman"/>
          <w:sz w:val="24"/>
          <w:szCs w:val="24"/>
        </w:rPr>
        <w:t xml:space="preserve"> hausse </w:t>
      </w:r>
      <w:r w:rsidR="006A0F92" w:rsidRPr="00F43C02">
        <w:rPr>
          <w:rFonts w:ascii="Book Antiqua" w:hAnsi="Book Antiqua" w:cs="Times New Roman"/>
          <w:sz w:val="24"/>
          <w:szCs w:val="24"/>
        </w:rPr>
        <w:t xml:space="preserve">du </w:t>
      </w:r>
      <w:r w:rsidR="009A2575" w:rsidRPr="00F43C02">
        <w:rPr>
          <w:rFonts w:ascii="Book Antiqua" w:hAnsi="Book Antiqua" w:cs="Times New Roman"/>
          <w:sz w:val="24"/>
          <w:szCs w:val="24"/>
        </w:rPr>
        <w:t xml:space="preserve">taux </w:t>
      </w:r>
      <w:r w:rsidR="006A0F92" w:rsidRPr="00F43C02">
        <w:rPr>
          <w:rFonts w:ascii="Book Antiqua" w:hAnsi="Book Antiqua" w:cs="Times New Roman"/>
          <w:sz w:val="24"/>
          <w:szCs w:val="24"/>
        </w:rPr>
        <w:t>de ch</w:t>
      </w:r>
      <w:r w:rsidR="006A0F92" w:rsidRPr="00B03305">
        <w:rPr>
          <w:rFonts w:ascii="Book Antiqua" w:hAnsi="Book Antiqua" w:cs="Times New Roman"/>
          <w:sz w:val="24"/>
          <w:szCs w:val="24"/>
        </w:rPr>
        <w:t xml:space="preserve">ômage, </w:t>
      </w:r>
      <w:r w:rsidR="009A2575" w:rsidRPr="00B03305">
        <w:rPr>
          <w:rFonts w:ascii="Book Antiqua" w:hAnsi="Book Antiqua" w:cs="Times New Roman"/>
          <w:sz w:val="24"/>
          <w:szCs w:val="24"/>
        </w:rPr>
        <w:t>passant de 26,2% à 26,7% (0,5</w:t>
      </w:r>
      <w:r w:rsidRPr="00B03305">
        <w:rPr>
          <w:rFonts w:ascii="Book Antiqua" w:hAnsi="Book Antiqua" w:cs="Times New Roman"/>
          <w:sz w:val="24"/>
          <w:szCs w:val="24"/>
        </w:rPr>
        <w:t xml:space="preserve"> point).</w:t>
      </w:r>
      <w:r w:rsidR="00F87F56">
        <w:rPr>
          <w:rFonts w:ascii="Book Antiqua" w:hAnsi="Book Antiqua" w:cs="Times New Roman"/>
          <w:sz w:val="24"/>
          <w:szCs w:val="24"/>
        </w:rPr>
        <w:t xml:space="preserve"> </w:t>
      </w:r>
      <w:r w:rsidR="00F37360" w:rsidRPr="00F43C02">
        <w:rPr>
          <w:rFonts w:ascii="Book Antiqua" w:hAnsi="Book Antiqua" w:cs="Times New Roman"/>
          <w:sz w:val="24"/>
          <w:szCs w:val="24"/>
        </w:rPr>
        <w:t>La plus forte hausse</w:t>
      </w:r>
      <w:r w:rsidR="00F87F56">
        <w:rPr>
          <w:rFonts w:ascii="Book Antiqua" w:hAnsi="Book Antiqua" w:cs="Times New Roman"/>
          <w:sz w:val="24"/>
          <w:szCs w:val="24"/>
        </w:rPr>
        <w:t xml:space="preserve"> </w:t>
      </w:r>
      <w:r w:rsidRPr="00F43C02">
        <w:rPr>
          <w:rFonts w:ascii="Book Antiqua" w:hAnsi="Book Antiqua" w:cs="Times New Roman"/>
          <w:sz w:val="24"/>
          <w:szCs w:val="24"/>
        </w:rPr>
        <w:t xml:space="preserve">a </w:t>
      </w:r>
      <w:r w:rsidR="0070696D" w:rsidRPr="00F43C02">
        <w:rPr>
          <w:rFonts w:ascii="Book Antiqua" w:hAnsi="Book Antiqua" w:cs="Times New Roman"/>
          <w:sz w:val="24"/>
          <w:szCs w:val="24"/>
        </w:rPr>
        <w:t>été</w:t>
      </w:r>
      <w:r w:rsidR="00F87F56">
        <w:rPr>
          <w:rFonts w:ascii="Book Antiqua" w:hAnsi="Book Antiqua" w:cs="Times New Roman"/>
          <w:sz w:val="24"/>
          <w:szCs w:val="24"/>
        </w:rPr>
        <w:t xml:space="preserve"> </w:t>
      </w:r>
      <w:r w:rsidRPr="00B03305">
        <w:rPr>
          <w:rFonts w:ascii="Book Antiqua" w:hAnsi="Book Antiqua" w:cs="Times New Roman"/>
          <w:sz w:val="24"/>
          <w:szCs w:val="24"/>
        </w:rPr>
        <w:t xml:space="preserve">enregistré parmi les </w:t>
      </w:r>
      <w:r w:rsidR="00200209" w:rsidRPr="00B03305">
        <w:rPr>
          <w:rFonts w:ascii="Book Antiqua" w:hAnsi="Book Antiqua" w:cs="Times New Roman"/>
          <w:sz w:val="24"/>
          <w:szCs w:val="24"/>
        </w:rPr>
        <w:t xml:space="preserve">techniciens spécialisés et supérieurs </w:t>
      </w:r>
      <w:r w:rsidRPr="00B03305">
        <w:rPr>
          <w:rFonts w:ascii="Book Antiqua" w:hAnsi="Book Antiqua" w:cs="Times New Roman"/>
          <w:sz w:val="24"/>
          <w:szCs w:val="24"/>
        </w:rPr>
        <w:t>(+3</w:t>
      </w:r>
      <w:r w:rsidR="00200209" w:rsidRPr="00B03305">
        <w:rPr>
          <w:rFonts w:ascii="Book Antiqua" w:hAnsi="Book Antiqua" w:cs="Times New Roman"/>
          <w:sz w:val="24"/>
          <w:szCs w:val="24"/>
        </w:rPr>
        <w:t>,2</w:t>
      </w:r>
      <w:r w:rsidRPr="00B03305">
        <w:rPr>
          <w:rFonts w:ascii="Book Antiqua" w:hAnsi="Book Antiqua" w:cs="Times New Roman"/>
          <w:sz w:val="24"/>
          <w:szCs w:val="24"/>
        </w:rPr>
        <w:t xml:space="preserve"> points avec un taux de </w:t>
      </w:r>
      <w:r w:rsidR="00200209" w:rsidRPr="00B03305">
        <w:rPr>
          <w:rFonts w:ascii="Book Antiqua" w:hAnsi="Book Antiqua" w:cs="Times New Roman"/>
          <w:sz w:val="24"/>
          <w:szCs w:val="24"/>
        </w:rPr>
        <w:t>35</w:t>
      </w:r>
      <w:r w:rsidRPr="00B03305">
        <w:rPr>
          <w:rFonts w:ascii="Book Antiqua" w:hAnsi="Book Antiqua" w:cs="Times New Roman"/>
          <w:sz w:val="24"/>
          <w:szCs w:val="24"/>
        </w:rPr>
        <w:t xml:space="preserve">%), suivis des titulaires </w:t>
      </w:r>
      <w:r w:rsidR="00EE2E6A">
        <w:rPr>
          <w:rFonts w:ascii="Book Antiqua" w:hAnsi="Book Antiqua" w:cs="Times New Roman"/>
          <w:sz w:val="24"/>
          <w:szCs w:val="24"/>
        </w:rPr>
        <w:t xml:space="preserve">de </w:t>
      </w:r>
      <w:r w:rsidR="00200209" w:rsidRPr="00B03305">
        <w:rPr>
          <w:rFonts w:ascii="Book Antiqua" w:hAnsi="Book Antiqua" w:cs="Times New Roman"/>
          <w:sz w:val="24"/>
          <w:szCs w:val="24"/>
        </w:rPr>
        <w:t>diplômes supérieurs délivrés par les facultés (</w:t>
      </w:r>
      <w:r w:rsidR="006A0F92" w:rsidRPr="00B03305">
        <w:rPr>
          <w:rFonts w:ascii="Book Antiqua" w:hAnsi="Book Antiqua" w:cs="Times New Roman"/>
          <w:sz w:val="24"/>
          <w:szCs w:val="24"/>
        </w:rPr>
        <w:t>+</w:t>
      </w:r>
      <w:r w:rsidR="00200209" w:rsidRPr="00B03305">
        <w:rPr>
          <w:rFonts w:ascii="Book Antiqua" w:hAnsi="Book Antiqua" w:cs="Times New Roman"/>
          <w:sz w:val="24"/>
          <w:szCs w:val="24"/>
        </w:rPr>
        <w:t xml:space="preserve">1,2 </w:t>
      </w:r>
      <w:r w:rsidRPr="00B03305">
        <w:rPr>
          <w:rFonts w:ascii="Book Antiqua" w:hAnsi="Book Antiqua" w:cs="Times New Roman"/>
          <w:sz w:val="24"/>
          <w:szCs w:val="24"/>
        </w:rPr>
        <w:t xml:space="preserve">point avec un taux de </w:t>
      </w:r>
      <w:r w:rsidR="00200209" w:rsidRPr="00B03305">
        <w:rPr>
          <w:rFonts w:ascii="Book Antiqua" w:hAnsi="Book Antiqua" w:cs="Times New Roman"/>
          <w:sz w:val="24"/>
          <w:szCs w:val="24"/>
        </w:rPr>
        <w:t>28,6%) et des diplômes supérieurs délivrés par les écoles et les instituts (</w:t>
      </w:r>
      <w:r w:rsidR="006A0F92" w:rsidRPr="00B03305">
        <w:rPr>
          <w:rFonts w:ascii="Book Antiqua" w:hAnsi="Book Antiqua" w:cs="Times New Roman"/>
          <w:sz w:val="24"/>
          <w:szCs w:val="24"/>
        </w:rPr>
        <w:t>+</w:t>
      </w:r>
      <w:r w:rsidR="00200209" w:rsidRPr="00B03305">
        <w:rPr>
          <w:rFonts w:ascii="Book Antiqua" w:hAnsi="Book Antiqua" w:cs="Times New Roman"/>
          <w:sz w:val="24"/>
          <w:szCs w:val="24"/>
        </w:rPr>
        <w:t>0,8 point avec un taux de 9%).</w:t>
      </w:r>
    </w:p>
    <w:p w:rsidR="00577B46" w:rsidRPr="00B03305" w:rsidRDefault="00577B46" w:rsidP="00A90485">
      <w:pPr>
        <w:spacing w:before="240" w:after="240" w:line="312" w:lineRule="auto"/>
        <w:jc w:val="both"/>
        <w:rPr>
          <w:rFonts w:ascii="Book Antiqua" w:hAnsi="Book Antiqua" w:cs="Times New Roman"/>
          <w:sz w:val="24"/>
          <w:szCs w:val="24"/>
        </w:rPr>
      </w:pPr>
      <w:r w:rsidRPr="00B03305">
        <w:rPr>
          <w:rFonts w:ascii="Book Antiqua" w:hAnsi="Book Antiqua" w:cs="Times New Roman"/>
          <w:sz w:val="24"/>
          <w:szCs w:val="24"/>
        </w:rPr>
        <w:t>Le taux de chômage des diplômés de niveau moyen</w:t>
      </w:r>
      <w:r w:rsidRPr="00EE2E6A">
        <w:rPr>
          <w:rFonts w:ascii="Book Antiqua" w:hAnsi="Book Antiqua" w:cs="Times New Roman"/>
          <w:sz w:val="24"/>
          <w:szCs w:val="24"/>
          <w:vertAlign w:val="superscript"/>
        </w:rPr>
        <w:footnoteReference w:id="5"/>
      </w:r>
      <w:r w:rsidR="00F87F56">
        <w:rPr>
          <w:rFonts w:ascii="Book Antiqua" w:hAnsi="Book Antiqua" w:cs="Times New Roman"/>
          <w:sz w:val="24"/>
          <w:szCs w:val="24"/>
        </w:rPr>
        <w:t xml:space="preserve"> </w:t>
      </w:r>
      <w:r w:rsidRPr="00B03305">
        <w:rPr>
          <w:rFonts w:ascii="Book Antiqua" w:hAnsi="Book Antiqua" w:cs="Times New Roman"/>
          <w:sz w:val="24"/>
          <w:szCs w:val="24"/>
        </w:rPr>
        <w:t>a</w:t>
      </w:r>
      <w:r w:rsidR="00F87F56">
        <w:rPr>
          <w:rFonts w:ascii="Book Antiqua" w:hAnsi="Book Antiqua" w:cs="Times New Roman"/>
          <w:sz w:val="24"/>
          <w:szCs w:val="24"/>
        </w:rPr>
        <w:t xml:space="preserve"> </w:t>
      </w:r>
      <w:r w:rsidR="00200209" w:rsidRPr="00B03305">
        <w:rPr>
          <w:rFonts w:ascii="Book Antiqua" w:hAnsi="Book Antiqua" w:cs="Times New Roman"/>
          <w:sz w:val="24"/>
          <w:szCs w:val="24"/>
        </w:rPr>
        <w:t>baissé de 16,1% à 14,4</w:t>
      </w:r>
      <w:r w:rsidRPr="00B03305">
        <w:rPr>
          <w:rFonts w:ascii="Book Antiqua" w:hAnsi="Book Antiqua" w:cs="Times New Roman"/>
          <w:sz w:val="24"/>
          <w:szCs w:val="24"/>
        </w:rPr>
        <w:t xml:space="preserve">%. Cette </w:t>
      </w:r>
      <w:r w:rsidR="00200209" w:rsidRPr="00B03305">
        <w:rPr>
          <w:rFonts w:ascii="Book Antiqua" w:hAnsi="Book Antiqua" w:cs="Times New Roman"/>
          <w:sz w:val="24"/>
          <w:szCs w:val="24"/>
        </w:rPr>
        <w:t>baisse</w:t>
      </w:r>
      <w:r w:rsidRPr="00B03305">
        <w:rPr>
          <w:rFonts w:ascii="Book Antiqua" w:hAnsi="Book Antiqua" w:cs="Times New Roman"/>
          <w:sz w:val="24"/>
          <w:szCs w:val="24"/>
        </w:rPr>
        <w:t xml:space="preserve"> est plus </w:t>
      </w:r>
      <w:r w:rsidR="00A90485" w:rsidRPr="00B03305">
        <w:rPr>
          <w:rFonts w:ascii="Book Antiqua" w:hAnsi="Book Antiqua" w:cs="Times New Roman"/>
          <w:sz w:val="24"/>
          <w:szCs w:val="24"/>
        </w:rPr>
        <w:t>importante</w:t>
      </w:r>
      <w:r w:rsidRPr="00B03305">
        <w:rPr>
          <w:rFonts w:ascii="Book Antiqua" w:hAnsi="Book Antiqua" w:cs="Times New Roman"/>
          <w:sz w:val="24"/>
          <w:szCs w:val="24"/>
        </w:rPr>
        <w:t xml:space="preserve"> parmi les </w:t>
      </w:r>
      <w:r w:rsidRPr="00F43C02">
        <w:rPr>
          <w:rFonts w:ascii="Book Antiqua" w:hAnsi="Book Antiqua" w:cs="Times New Roman"/>
          <w:sz w:val="24"/>
          <w:szCs w:val="24"/>
        </w:rPr>
        <w:t>diplôm</w:t>
      </w:r>
      <w:r w:rsidR="00F37360" w:rsidRPr="00F43C02">
        <w:rPr>
          <w:rFonts w:ascii="Book Antiqua" w:hAnsi="Book Antiqua" w:cs="Times New Roman"/>
          <w:sz w:val="24"/>
          <w:szCs w:val="24"/>
        </w:rPr>
        <w:t>é</w:t>
      </w:r>
      <w:r w:rsidRPr="00F43C02">
        <w:rPr>
          <w:rFonts w:ascii="Book Antiqua" w:hAnsi="Book Antiqua" w:cs="Times New Roman"/>
          <w:sz w:val="24"/>
          <w:szCs w:val="24"/>
        </w:rPr>
        <w:t>s en</w:t>
      </w:r>
      <w:r w:rsidR="00F87F56">
        <w:rPr>
          <w:rFonts w:ascii="Book Antiqua" w:hAnsi="Book Antiqua" w:cs="Times New Roman"/>
          <w:sz w:val="24"/>
          <w:szCs w:val="24"/>
        </w:rPr>
        <w:t xml:space="preserve"> </w:t>
      </w:r>
      <w:r w:rsidR="006A0F92" w:rsidRPr="00B03305">
        <w:rPr>
          <w:rFonts w:ascii="Book Antiqua" w:hAnsi="Book Antiqua" w:cs="Times New Roman"/>
          <w:sz w:val="24"/>
          <w:szCs w:val="24"/>
        </w:rPr>
        <w:t>qualification professionnelle (-</w:t>
      </w:r>
      <w:r w:rsidRPr="00B03305">
        <w:rPr>
          <w:rFonts w:ascii="Book Antiqua" w:hAnsi="Book Antiqua" w:cs="Times New Roman"/>
          <w:sz w:val="24"/>
          <w:szCs w:val="24"/>
        </w:rPr>
        <w:t>2</w:t>
      </w:r>
      <w:r w:rsidR="006A0F92" w:rsidRPr="00B03305">
        <w:rPr>
          <w:rFonts w:ascii="Book Antiqua" w:hAnsi="Book Antiqua" w:cs="Times New Roman"/>
          <w:sz w:val="24"/>
          <w:szCs w:val="24"/>
        </w:rPr>
        <w:t>,6 points avec un taux de 22,3</w:t>
      </w:r>
      <w:r w:rsidRPr="00B03305">
        <w:rPr>
          <w:rFonts w:ascii="Book Antiqua" w:hAnsi="Book Antiqua" w:cs="Times New Roman"/>
          <w:sz w:val="24"/>
          <w:szCs w:val="24"/>
        </w:rPr>
        <w:t>%).</w:t>
      </w:r>
    </w:p>
    <w:p w:rsidR="009A2575" w:rsidRPr="00A90485" w:rsidRDefault="00A90485" w:rsidP="009A2575">
      <w:pPr>
        <w:jc w:val="center"/>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t>Figure 4</w:t>
      </w:r>
      <w:r w:rsidR="009A2575" w:rsidRPr="00A90485">
        <w:rPr>
          <w:rFonts w:ascii="Book Antiqua" w:eastAsia="Book Antiqua" w:hAnsi="Book Antiqua" w:cs="Book Antiqua"/>
          <w:b/>
          <w:color w:val="0070C0"/>
          <w:sz w:val="20"/>
          <w:szCs w:val="20"/>
        </w:rPr>
        <w:t> : Evolution du taux de chômage selon le diplôme</w:t>
      </w:r>
      <w:r>
        <w:rPr>
          <w:rFonts w:ascii="Book Antiqua" w:eastAsia="Book Antiqua" w:hAnsi="Book Antiqua" w:cs="Book Antiqua"/>
          <w:b/>
          <w:color w:val="0070C0"/>
          <w:sz w:val="20"/>
          <w:szCs w:val="20"/>
        </w:rPr>
        <w:t>, entre le premier trimestre</w:t>
      </w:r>
      <w:r w:rsidRPr="00A90485">
        <w:rPr>
          <w:rFonts w:ascii="Book Antiqua" w:eastAsia="Book Antiqua" w:hAnsi="Book Antiqua" w:cs="Book Antiqua"/>
          <w:b/>
          <w:color w:val="0070C0"/>
          <w:sz w:val="20"/>
          <w:szCs w:val="20"/>
        </w:rPr>
        <w:t xml:space="preserve"> de 2021 et </w:t>
      </w:r>
      <w:r>
        <w:rPr>
          <w:rFonts w:ascii="Book Antiqua" w:eastAsia="Book Antiqua" w:hAnsi="Book Antiqua" w:cs="Book Antiqua"/>
          <w:b/>
          <w:color w:val="0070C0"/>
          <w:sz w:val="20"/>
          <w:szCs w:val="20"/>
        </w:rPr>
        <w:t xml:space="preserve">celui </w:t>
      </w:r>
      <w:r w:rsidRPr="00A90485">
        <w:rPr>
          <w:rFonts w:ascii="Book Antiqua" w:eastAsia="Book Antiqua" w:hAnsi="Book Antiqua" w:cs="Book Antiqua"/>
          <w:b/>
          <w:color w:val="0070C0"/>
          <w:sz w:val="20"/>
          <w:szCs w:val="20"/>
        </w:rPr>
        <w:t xml:space="preserve">de 2022 </w:t>
      </w:r>
      <w:r w:rsidR="009A2575" w:rsidRPr="00A90485">
        <w:rPr>
          <w:rFonts w:ascii="Book Antiqua" w:eastAsia="Book Antiqua" w:hAnsi="Book Antiqua" w:cs="Book Antiqua"/>
          <w:b/>
          <w:color w:val="0070C0"/>
          <w:sz w:val="20"/>
          <w:szCs w:val="20"/>
        </w:rPr>
        <w:t>(%)</w:t>
      </w:r>
    </w:p>
    <w:p w:rsidR="006A0F92" w:rsidRDefault="006A0F92" w:rsidP="009A2575">
      <w:pPr>
        <w:jc w:val="center"/>
        <w:rPr>
          <w:b/>
          <w:bCs/>
          <w:color w:val="9BBB59" w:themeColor="accent3"/>
        </w:rPr>
      </w:pPr>
      <w:r w:rsidRPr="006A0F92">
        <w:rPr>
          <w:b/>
          <w:bCs/>
          <w:noProof/>
          <w:color w:val="9BBB59" w:themeColor="accent3"/>
        </w:rPr>
        <w:drawing>
          <wp:inline distT="0" distB="0" distL="0" distR="0">
            <wp:extent cx="5733415" cy="2234606"/>
            <wp:effectExtent l="0" t="0" r="0" b="0"/>
            <wp:docPr id="6"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5C49" w:rsidRPr="003A6941" w:rsidRDefault="007A5C49" w:rsidP="00630ED2">
      <w:pPr>
        <w:pStyle w:val="Paragraphedeliste"/>
        <w:spacing w:before="240" w:after="240" w:line="312" w:lineRule="auto"/>
        <w:ind w:left="0"/>
        <w:jc w:val="both"/>
        <w:rPr>
          <w:rFonts w:ascii="Book Antiqua" w:eastAsia="Book Antiqua" w:hAnsi="Book Antiqua" w:cs="Book Antiqua"/>
          <w:b/>
          <w:bCs/>
          <w:sz w:val="28"/>
          <w:szCs w:val="28"/>
        </w:rPr>
      </w:pPr>
      <w:r w:rsidRPr="00AC04FD">
        <w:rPr>
          <w:rFonts w:ascii="Book Antiqua" w:eastAsia="Book Antiqua" w:hAnsi="Book Antiqua" w:cs="Book Antiqua"/>
          <w:sz w:val="24"/>
          <w:szCs w:val="24"/>
        </w:rPr>
        <w:t>Par ailleurs, le volume du sous-emploi</w:t>
      </w:r>
      <w:r w:rsidR="00F87F56">
        <w:rPr>
          <w:rFonts w:ascii="Book Antiqua" w:eastAsia="Book Antiqua" w:hAnsi="Book Antiqua" w:cs="Book Antiqua"/>
          <w:sz w:val="24"/>
          <w:szCs w:val="24"/>
        </w:rPr>
        <w:t xml:space="preserve"> </w:t>
      </w:r>
      <w:r w:rsidRPr="00AC04FD">
        <w:rPr>
          <w:rFonts w:ascii="Book Antiqua" w:eastAsia="Book Antiqua" w:hAnsi="Book Antiqua" w:cs="Book Antiqua"/>
          <w:sz w:val="24"/>
          <w:szCs w:val="24"/>
        </w:rPr>
        <w:t xml:space="preserve">est passé, durant la </w:t>
      </w:r>
      <w:r w:rsidR="00844B3A" w:rsidRPr="00F43C02">
        <w:rPr>
          <w:rFonts w:ascii="Book Antiqua" w:eastAsia="Book Antiqua" w:hAnsi="Book Antiqua" w:cs="Book Antiqua"/>
          <w:sz w:val="24"/>
          <w:szCs w:val="24"/>
        </w:rPr>
        <w:t>même</w:t>
      </w:r>
      <w:r w:rsidR="00F87F56">
        <w:rPr>
          <w:rFonts w:ascii="Book Antiqua" w:eastAsia="Book Antiqua" w:hAnsi="Book Antiqua" w:cs="Book Antiqua"/>
          <w:sz w:val="24"/>
          <w:szCs w:val="24"/>
        </w:rPr>
        <w:t xml:space="preserve"> </w:t>
      </w:r>
      <w:r w:rsidRPr="00AC04FD">
        <w:rPr>
          <w:rFonts w:ascii="Book Antiqua" w:eastAsia="Book Antiqua" w:hAnsi="Book Antiqua" w:cs="Book Antiqua"/>
          <w:sz w:val="24"/>
          <w:szCs w:val="24"/>
        </w:rPr>
        <w:t>période, de 988.000</w:t>
      </w:r>
      <w:r w:rsidR="00F87F56">
        <w:rPr>
          <w:rFonts w:ascii="Book Antiqua" w:eastAsia="Book Antiqua" w:hAnsi="Book Antiqua" w:cs="Book Antiqua"/>
          <w:sz w:val="24"/>
          <w:szCs w:val="24"/>
        </w:rPr>
        <w:t xml:space="preserve"> </w:t>
      </w:r>
      <w:r w:rsidRPr="00AC04FD">
        <w:rPr>
          <w:rFonts w:ascii="Book Antiqua" w:eastAsia="Book Antiqua" w:hAnsi="Book Antiqua" w:cs="Book Antiqua"/>
          <w:sz w:val="24"/>
          <w:szCs w:val="24"/>
        </w:rPr>
        <w:t>personnes à 987.000, de 552.000 à 5</w:t>
      </w:r>
      <w:r w:rsidR="00630ED2">
        <w:rPr>
          <w:rFonts w:ascii="Book Antiqua" w:eastAsia="Book Antiqua" w:hAnsi="Book Antiqua" w:cs="Book Antiqua"/>
          <w:sz w:val="24"/>
          <w:szCs w:val="24"/>
        </w:rPr>
        <w:t>2</w:t>
      </w:r>
      <w:r w:rsidRPr="00AC04FD">
        <w:rPr>
          <w:rFonts w:ascii="Book Antiqua" w:eastAsia="Book Antiqua" w:hAnsi="Book Antiqua" w:cs="Book Antiqua"/>
          <w:sz w:val="24"/>
          <w:szCs w:val="24"/>
        </w:rPr>
        <w:t>1.000 dans les villes et de 435.000 à 466.000 à la campagne.</w:t>
      </w:r>
      <w:r w:rsidR="00844B3A">
        <w:rPr>
          <w:rFonts w:ascii="Book Antiqua" w:eastAsia="Book Antiqua" w:hAnsi="Book Antiqua" w:cs="Book Antiqua"/>
          <w:sz w:val="24"/>
          <w:szCs w:val="24"/>
        </w:rPr>
        <w:t xml:space="preserve"> </w:t>
      </w:r>
      <w:r w:rsidR="00F87F56">
        <w:rPr>
          <w:rFonts w:ascii="Book Antiqua" w:eastAsia="Book Antiqua" w:hAnsi="Book Antiqua" w:cs="Book Antiqua"/>
          <w:sz w:val="24"/>
          <w:szCs w:val="24"/>
        </w:rPr>
        <w:t xml:space="preserve"> </w:t>
      </w:r>
      <w:r w:rsidR="00844B3A">
        <w:rPr>
          <w:rFonts w:ascii="Book Antiqua" w:eastAsia="Book Antiqua" w:hAnsi="Book Antiqua" w:cs="Book Antiqua"/>
          <w:sz w:val="24"/>
          <w:szCs w:val="24"/>
        </w:rPr>
        <w:t>L</w:t>
      </w:r>
      <w:r w:rsidRPr="00AC04FD">
        <w:rPr>
          <w:rFonts w:ascii="Book Antiqua" w:eastAsia="Book Antiqua" w:hAnsi="Book Antiqua" w:cs="Book Antiqua"/>
          <w:sz w:val="24"/>
          <w:szCs w:val="24"/>
        </w:rPr>
        <w:t>e</w:t>
      </w:r>
      <w:r w:rsidR="00F87F56">
        <w:rPr>
          <w:rFonts w:ascii="Book Antiqua" w:eastAsia="Book Antiqua" w:hAnsi="Book Antiqua" w:cs="Book Antiqua"/>
          <w:sz w:val="24"/>
          <w:szCs w:val="24"/>
        </w:rPr>
        <w:t xml:space="preserve"> </w:t>
      </w:r>
      <w:r w:rsidRPr="00AC04FD">
        <w:rPr>
          <w:rFonts w:ascii="Book Antiqua" w:eastAsia="Book Antiqua" w:hAnsi="Book Antiqua" w:cs="Book Antiqua"/>
          <w:sz w:val="24"/>
          <w:szCs w:val="24"/>
        </w:rPr>
        <w:t>taux de sous-emp</w:t>
      </w:r>
      <w:r w:rsidR="00EE2E6A">
        <w:rPr>
          <w:rFonts w:ascii="Book Antiqua" w:eastAsia="Book Antiqua" w:hAnsi="Book Antiqua" w:cs="Book Antiqua"/>
          <w:sz w:val="24"/>
          <w:szCs w:val="24"/>
        </w:rPr>
        <w:t>loi</w:t>
      </w:r>
      <w:r w:rsidR="00844B3A">
        <w:rPr>
          <w:rFonts w:ascii="Book Antiqua" w:eastAsia="Book Antiqua" w:hAnsi="Book Antiqua" w:cs="Book Antiqua"/>
          <w:sz w:val="24"/>
          <w:szCs w:val="24"/>
        </w:rPr>
        <w:t xml:space="preserve">, au niveau national, </w:t>
      </w:r>
      <w:r w:rsidR="00F87F56">
        <w:rPr>
          <w:rFonts w:ascii="Book Antiqua" w:eastAsia="Book Antiqua" w:hAnsi="Book Antiqua" w:cs="Book Antiqua"/>
          <w:sz w:val="24"/>
          <w:szCs w:val="24"/>
        </w:rPr>
        <w:t xml:space="preserve"> </w:t>
      </w:r>
      <w:r w:rsidR="00EE2E6A">
        <w:rPr>
          <w:rFonts w:ascii="Book Antiqua" w:eastAsia="Book Antiqua" w:hAnsi="Book Antiqua" w:cs="Book Antiqua"/>
          <w:sz w:val="24"/>
          <w:szCs w:val="24"/>
        </w:rPr>
        <w:t xml:space="preserve">est ainsi resté le même qu’au premier </w:t>
      </w:r>
      <w:r w:rsidR="00F37360">
        <w:rPr>
          <w:rFonts w:ascii="Book Antiqua" w:eastAsia="Book Antiqua" w:hAnsi="Book Antiqua" w:cs="Book Antiqua"/>
          <w:sz w:val="24"/>
          <w:szCs w:val="24"/>
        </w:rPr>
        <w:t>trimestre de</w:t>
      </w:r>
      <w:r w:rsidR="00F87F56">
        <w:rPr>
          <w:rFonts w:ascii="Book Antiqua" w:eastAsia="Book Antiqua" w:hAnsi="Book Antiqua" w:cs="Book Antiqua"/>
          <w:sz w:val="24"/>
          <w:szCs w:val="24"/>
        </w:rPr>
        <w:t xml:space="preserve"> </w:t>
      </w:r>
      <w:r w:rsidRPr="00AC04FD">
        <w:rPr>
          <w:rFonts w:ascii="Book Antiqua" w:eastAsia="Book Antiqua" w:hAnsi="Book Antiqua" w:cs="Book Antiqua"/>
          <w:sz w:val="24"/>
          <w:szCs w:val="24"/>
        </w:rPr>
        <w:t>202</w:t>
      </w:r>
      <w:r w:rsidR="00EE2E6A">
        <w:rPr>
          <w:rFonts w:ascii="Book Antiqua" w:eastAsia="Book Antiqua" w:hAnsi="Book Antiqua" w:cs="Book Antiqua"/>
          <w:sz w:val="24"/>
          <w:szCs w:val="24"/>
        </w:rPr>
        <w:t>1 (9,2%)</w:t>
      </w:r>
      <w:r w:rsidR="000605E4">
        <w:rPr>
          <w:rFonts w:ascii="Book Antiqua" w:eastAsia="Book Antiqua" w:hAnsi="Book Antiqua" w:cs="Book Antiqua"/>
          <w:sz w:val="24"/>
          <w:szCs w:val="24"/>
        </w:rPr>
        <w:t xml:space="preserve">, </w:t>
      </w:r>
      <w:r w:rsidR="00844B3A" w:rsidRPr="00F43C02">
        <w:rPr>
          <w:rFonts w:ascii="Book Antiqua" w:eastAsia="Book Antiqua" w:hAnsi="Book Antiqua" w:cs="Book Antiqua"/>
          <w:sz w:val="24"/>
          <w:szCs w:val="24"/>
        </w:rPr>
        <w:t xml:space="preserve">avec une </w:t>
      </w:r>
      <w:r w:rsidR="000605E4" w:rsidRPr="00F43C02">
        <w:rPr>
          <w:rFonts w:ascii="Book Antiqua" w:eastAsia="Book Antiqua" w:hAnsi="Book Antiqua" w:cs="Book Antiqua"/>
          <w:sz w:val="24"/>
          <w:szCs w:val="24"/>
        </w:rPr>
        <w:t>baisse de</w:t>
      </w:r>
      <w:r w:rsidRPr="00F43C02">
        <w:rPr>
          <w:rFonts w:ascii="Book Antiqua" w:eastAsia="Book Antiqua" w:hAnsi="Book Antiqua" w:cs="Book Antiqua"/>
          <w:sz w:val="24"/>
          <w:szCs w:val="24"/>
        </w:rPr>
        <w:t xml:space="preserve"> 8,</w:t>
      </w:r>
      <w:r w:rsidR="000605E4" w:rsidRPr="00F43C02">
        <w:rPr>
          <w:rFonts w:ascii="Book Antiqua" w:eastAsia="Book Antiqua" w:hAnsi="Book Antiqua" w:cs="Book Antiqua"/>
          <w:sz w:val="24"/>
          <w:szCs w:val="24"/>
        </w:rPr>
        <w:t xml:space="preserve">9% à 8,3% en milieu urbain et </w:t>
      </w:r>
      <w:r w:rsidR="00844B3A" w:rsidRPr="00F43C02">
        <w:rPr>
          <w:rFonts w:ascii="Book Antiqua" w:eastAsia="Book Antiqua" w:hAnsi="Book Antiqua" w:cs="Book Antiqua"/>
          <w:sz w:val="24"/>
          <w:szCs w:val="24"/>
        </w:rPr>
        <w:t xml:space="preserve">une </w:t>
      </w:r>
      <w:r w:rsidR="000605E4" w:rsidRPr="00F43C02">
        <w:rPr>
          <w:rFonts w:ascii="Book Antiqua" w:eastAsia="Book Antiqua" w:hAnsi="Book Antiqua" w:cs="Book Antiqua"/>
          <w:sz w:val="24"/>
          <w:szCs w:val="24"/>
        </w:rPr>
        <w:t>augmentation de</w:t>
      </w:r>
      <w:r w:rsidRPr="00F43C02">
        <w:rPr>
          <w:rFonts w:ascii="Book Antiqua" w:eastAsia="Book Antiqua" w:hAnsi="Book Antiqua" w:cs="Book Antiqua"/>
          <w:sz w:val="24"/>
          <w:szCs w:val="24"/>
        </w:rPr>
        <w:t xml:space="preserve"> 9,6% à 10,6% en milieu rural.</w:t>
      </w:r>
    </w:p>
    <w:p w:rsidR="007A5C49" w:rsidRDefault="007A5C49" w:rsidP="000605E4">
      <w:pPr>
        <w:spacing w:before="240" w:after="240" w:line="312" w:lineRule="auto"/>
        <w:jc w:val="both"/>
        <w:rPr>
          <w:rFonts w:ascii="Book Antiqua" w:eastAsia="Book Antiqua" w:hAnsi="Book Antiqua" w:cs="Book Antiqua"/>
          <w:sz w:val="24"/>
          <w:szCs w:val="24"/>
        </w:rPr>
      </w:pPr>
      <w:r w:rsidRPr="00AC04FD">
        <w:rPr>
          <w:rFonts w:ascii="Book Antiqua" w:eastAsia="Book Antiqua" w:hAnsi="Book Antiqua" w:cs="Book Antiqua"/>
          <w:sz w:val="24"/>
          <w:szCs w:val="24"/>
        </w:rPr>
        <w:t xml:space="preserve">Le taux de sous-emploi </w:t>
      </w:r>
      <w:r w:rsidR="003A6941">
        <w:rPr>
          <w:rFonts w:ascii="Book Antiqua" w:eastAsia="Book Antiqua" w:hAnsi="Book Antiqua" w:cs="Book Antiqua"/>
          <w:sz w:val="24"/>
          <w:szCs w:val="24"/>
        </w:rPr>
        <w:t xml:space="preserve">a augmenté de 10,2% à 10,5% parmi les </w:t>
      </w:r>
      <w:r w:rsidR="003A6941" w:rsidRPr="00AC04FD">
        <w:rPr>
          <w:rFonts w:ascii="Book Antiqua" w:eastAsia="Book Antiqua" w:hAnsi="Book Antiqua" w:cs="Book Antiqua"/>
          <w:sz w:val="24"/>
          <w:szCs w:val="24"/>
        </w:rPr>
        <w:t>hommes</w:t>
      </w:r>
      <w:r w:rsidR="003A6941">
        <w:rPr>
          <w:rFonts w:ascii="Book Antiqua" w:eastAsia="Book Antiqua" w:hAnsi="Book Antiqua" w:cs="Book Antiqua"/>
          <w:sz w:val="24"/>
          <w:szCs w:val="24"/>
        </w:rPr>
        <w:t xml:space="preserve"> et </w:t>
      </w:r>
      <w:r w:rsidR="00EE2E6A">
        <w:rPr>
          <w:rFonts w:ascii="Book Antiqua" w:eastAsia="Book Antiqua" w:hAnsi="Book Antiqua" w:cs="Book Antiqua"/>
          <w:sz w:val="24"/>
          <w:szCs w:val="24"/>
        </w:rPr>
        <w:t xml:space="preserve">a </w:t>
      </w:r>
      <w:r w:rsidR="003A6941">
        <w:rPr>
          <w:rFonts w:ascii="Book Antiqua" w:eastAsia="Book Antiqua" w:hAnsi="Book Antiqua" w:cs="Book Antiqua"/>
          <w:sz w:val="24"/>
          <w:szCs w:val="24"/>
        </w:rPr>
        <w:t xml:space="preserve">baissé de 5,6% à </w:t>
      </w:r>
      <w:r w:rsidRPr="00AC04FD">
        <w:rPr>
          <w:rFonts w:ascii="Book Antiqua" w:eastAsia="Book Antiqua" w:hAnsi="Book Antiqua" w:cs="Book Antiqua"/>
          <w:sz w:val="24"/>
          <w:szCs w:val="24"/>
        </w:rPr>
        <w:t>4,8%</w:t>
      </w:r>
      <w:r w:rsidR="003A6941">
        <w:rPr>
          <w:rFonts w:ascii="Book Antiqua" w:eastAsia="Book Antiqua" w:hAnsi="Book Antiqua" w:cs="Book Antiqua"/>
          <w:sz w:val="24"/>
          <w:szCs w:val="24"/>
        </w:rPr>
        <w:t xml:space="preserve"> parmi </w:t>
      </w:r>
      <w:r w:rsidR="00F87F56">
        <w:rPr>
          <w:rFonts w:ascii="Book Antiqua" w:eastAsia="Book Antiqua" w:hAnsi="Book Antiqua" w:cs="Book Antiqua"/>
          <w:sz w:val="24"/>
          <w:szCs w:val="24"/>
        </w:rPr>
        <w:t xml:space="preserve"> </w:t>
      </w:r>
      <w:r w:rsidR="003A6941">
        <w:rPr>
          <w:rFonts w:ascii="Book Antiqua" w:eastAsia="Book Antiqua" w:hAnsi="Book Antiqua" w:cs="Book Antiqua"/>
          <w:sz w:val="24"/>
          <w:szCs w:val="24"/>
        </w:rPr>
        <w:t>les femmes</w:t>
      </w:r>
      <w:r w:rsidRPr="00AC04FD">
        <w:rPr>
          <w:rFonts w:ascii="Book Antiqua" w:eastAsia="Book Antiqua" w:hAnsi="Book Antiqua" w:cs="Book Antiqua"/>
          <w:sz w:val="24"/>
          <w:szCs w:val="24"/>
        </w:rPr>
        <w:t xml:space="preserve">. </w:t>
      </w:r>
      <w:r w:rsidR="00F87F56">
        <w:rPr>
          <w:rFonts w:ascii="Book Antiqua" w:eastAsia="Book Antiqua" w:hAnsi="Book Antiqua" w:cs="Book Antiqua"/>
          <w:sz w:val="24"/>
          <w:szCs w:val="24"/>
        </w:rPr>
        <w:t xml:space="preserve"> </w:t>
      </w:r>
      <w:r w:rsidRPr="00AC04FD">
        <w:rPr>
          <w:rFonts w:ascii="Book Antiqua" w:eastAsia="Book Antiqua" w:hAnsi="Book Antiqua" w:cs="Book Antiqua"/>
          <w:sz w:val="24"/>
          <w:szCs w:val="24"/>
        </w:rPr>
        <w:t xml:space="preserve">En milieu urbain, </w:t>
      </w:r>
      <w:r w:rsidR="000605E4">
        <w:rPr>
          <w:rFonts w:ascii="Book Antiqua" w:eastAsia="Book Antiqua" w:hAnsi="Book Antiqua" w:cs="Book Antiqua"/>
          <w:sz w:val="24"/>
          <w:szCs w:val="24"/>
        </w:rPr>
        <w:t>ce taux</w:t>
      </w:r>
      <w:r w:rsidRPr="00AC04FD">
        <w:rPr>
          <w:rFonts w:ascii="Book Antiqua" w:eastAsia="Book Antiqua" w:hAnsi="Book Antiqua" w:cs="Book Antiqua"/>
          <w:sz w:val="24"/>
          <w:szCs w:val="24"/>
        </w:rPr>
        <w:t xml:space="preserve"> est de 8,6% contre 6,9% pour </w:t>
      </w:r>
      <w:r w:rsidRPr="00F43C02">
        <w:rPr>
          <w:rFonts w:ascii="Book Antiqua" w:eastAsia="Book Antiqua" w:hAnsi="Book Antiqua" w:cs="Book Antiqua"/>
          <w:sz w:val="24"/>
          <w:szCs w:val="24"/>
        </w:rPr>
        <w:t>le</w:t>
      </w:r>
      <w:r w:rsidR="00EE2E6A" w:rsidRPr="00F43C02">
        <w:rPr>
          <w:rFonts w:ascii="Book Antiqua" w:eastAsia="Book Antiqua" w:hAnsi="Book Antiqua" w:cs="Book Antiqua"/>
          <w:sz w:val="24"/>
          <w:szCs w:val="24"/>
        </w:rPr>
        <w:t>s femmes</w:t>
      </w:r>
      <w:r w:rsidR="00AD49D5" w:rsidRPr="00F43C02">
        <w:rPr>
          <w:rFonts w:ascii="Book Antiqua" w:eastAsia="Book Antiqua" w:hAnsi="Book Antiqua" w:cs="Book Antiqua"/>
          <w:sz w:val="24"/>
          <w:szCs w:val="24"/>
        </w:rPr>
        <w:t>. E</w:t>
      </w:r>
      <w:r w:rsidR="00EE2E6A" w:rsidRPr="00F43C02">
        <w:rPr>
          <w:rFonts w:ascii="Book Antiqua" w:eastAsia="Book Antiqua" w:hAnsi="Book Antiqua" w:cs="Book Antiqua"/>
          <w:sz w:val="24"/>
          <w:szCs w:val="24"/>
        </w:rPr>
        <w:t xml:space="preserve">n milieu rural, </w:t>
      </w:r>
      <w:r w:rsidRPr="00F43C02">
        <w:rPr>
          <w:rFonts w:ascii="Book Antiqua" w:eastAsia="Book Antiqua" w:hAnsi="Book Antiqua" w:cs="Book Antiqua"/>
          <w:sz w:val="24"/>
          <w:szCs w:val="24"/>
        </w:rPr>
        <w:t xml:space="preserve">il est presque 6 fois plus élevé parmi les hommes </w:t>
      </w:r>
      <w:r w:rsidR="00F43C02">
        <w:rPr>
          <w:rFonts w:ascii="Book Antiqua" w:eastAsia="Book Antiqua" w:hAnsi="Book Antiqua" w:cs="Book Antiqua"/>
          <w:sz w:val="24"/>
          <w:szCs w:val="24"/>
        </w:rPr>
        <w:t>(</w:t>
      </w:r>
      <w:r w:rsidRPr="00F43C02">
        <w:rPr>
          <w:rFonts w:ascii="Book Antiqua" w:eastAsia="Book Antiqua" w:hAnsi="Book Antiqua" w:cs="Book Antiqua"/>
          <w:sz w:val="24"/>
          <w:szCs w:val="24"/>
        </w:rPr>
        <w:t>13,3%</w:t>
      </w:r>
      <w:r w:rsidR="00844B3A" w:rsidRPr="00F43C02">
        <w:rPr>
          <w:rFonts w:ascii="Book Antiqua" w:eastAsia="Book Antiqua" w:hAnsi="Book Antiqua" w:cs="Book Antiqua"/>
          <w:sz w:val="24"/>
          <w:szCs w:val="24"/>
        </w:rPr>
        <w:t>)</w:t>
      </w:r>
      <w:r w:rsidRPr="00F43C02">
        <w:rPr>
          <w:rFonts w:ascii="Book Antiqua" w:eastAsia="Book Antiqua" w:hAnsi="Book Antiqua" w:cs="Book Antiqua"/>
          <w:sz w:val="24"/>
          <w:szCs w:val="24"/>
        </w:rPr>
        <w:t xml:space="preserve"> que parmi les femmes (2,2%).</w:t>
      </w:r>
    </w:p>
    <w:p w:rsidR="007A5C49" w:rsidRDefault="007A5C49" w:rsidP="00A90485">
      <w:pPr>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lastRenderedPageBreak/>
        <w:t xml:space="preserve">Figure </w:t>
      </w:r>
      <w:r w:rsidR="00A90485">
        <w:rPr>
          <w:rFonts w:ascii="Book Antiqua" w:eastAsia="Book Antiqua" w:hAnsi="Book Antiqua" w:cs="Book Antiqua"/>
          <w:b/>
          <w:color w:val="0070C0"/>
          <w:sz w:val="20"/>
          <w:szCs w:val="20"/>
        </w:rPr>
        <w:t>5</w:t>
      </w:r>
      <w:r>
        <w:rPr>
          <w:rFonts w:ascii="Book Antiqua" w:eastAsia="Book Antiqua" w:hAnsi="Book Antiqua" w:cs="Book Antiqua"/>
          <w:b/>
          <w:color w:val="0070C0"/>
          <w:sz w:val="20"/>
          <w:szCs w:val="20"/>
        </w:rPr>
        <w:t> : Évolution du taux de sous-emploi entre le premier trimestre de 2021</w:t>
      </w:r>
      <w:r w:rsidR="00F87F56">
        <w:rPr>
          <w:rFonts w:ascii="Book Antiqua" w:eastAsia="Book Antiqua" w:hAnsi="Book Antiqua" w:cs="Book Antiqua"/>
          <w:b/>
          <w:color w:val="0070C0"/>
          <w:sz w:val="20"/>
          <w:szCs w:val="20"/>
        </w:rPr>
        <w:t xml:space="preserve"> </w:t>
      </w:r>
      <w:r>
        <w:rPr>
          <w:rFonts w:ascii="Book Antiqua" w:eastAsia="Book Antiqua" w:hAnsi="Book Antiqua" w:cs="Book Antiqua"/>
          <w:b/>
          <w:color w:val="0070C0"/>
          <w:sz w:val="20"/>
          <w:szCs w:val="20"/>
        </w:rPr>
        <w:t>et celui de 2022 parmi certaines catégories de la population (en %)</w:t>
      </w:r>
    </w:p>
    <w:p w:rsidR="007A5C49" w:rsidRDefault="007A5C49" w:rsidP="007A5C49">
      <w:pPr>
        <w:jc w:val="center"/>
        <w:rPr>
          <w:rFonts w:ascii="Book Antiqua" w:hAnsi="Book Antiqua" w:cstheme="majorHAnsi"/>
          <w:b/>
          <w:bCs/>
          <w:i/>
          <w:iCs/>
          <w:color w:val="31849B" w:themeColor="accent5" w:themeShade="BF"/>
          <w:spacing w:val="-10"/>
          <w:kern w:val="28"/>
          <w:sz w:val="28"/>
          <w:szCs w:val="28"/>
        </w:rPr>
      </w:pPr>
      <w:r>
        <w:rPr>
          <w:noProof/>
        </w:rPr>
        <w:drawing>
          <wp:inline distT="0" distB="0" distL="0" distR="0">
            <wp:extent cx="5033176" cy="2792565"/>
            <wp:effectExtent l="0" t="0" r="0" b="0"/>
            <wp:docPr id="5" name="Chart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C8D5E11-0055-DA2A-4874-A060F5953E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5C49" w:rsidRDefault="007A5C49" w:rsidP="007A5C49">
      <w:pPr>
        <w:pStyle w:val="Paragraphedeliste"/>
        <w:numPr>
          <w:ilvl w:val="0"/>
          <w:numId w:val="12"/>
        </w:numPr>
        <w:rPr>
          <w:kern w:val="28"/>
          <w:sz w:val="32"/>
          <w:szCs w:val="32"/>
        </w:rPr>
      </w:pPr>
      <w:r>
        <w:rPr>
          <w:rFonts w:ascii="Book Antiqua" w:eastAsia="Book Antiqua" w:hAnsi="Book Antiqua" w:cs="Book Antiqua"/>
          <w:b/>
          <w:bCs/>
          <w:color w:val="0070C0"/>
          <w:sz w:val="28"/>
          <w:szCs w:val="28"/>
        </w:rPr>
        <w:t>Situation régionale du marché du travail</w:t>
      </w:r>
    </w:p>
    <w:p w:rsidR="007A5C49" w:rsidRPr="00AC04FD" w:rsidRDefault="007A5C49" w:rsidP="000605E4">
      <w:pPr>
        <w:spacing w:before="240" w:after="240" w:line="312" w:lineRule="auto"/>
        <w:jc w:val="both"/>
        <w:rPr>
          <w:rFonts w:ascii="Book Antiqua" w:eastAsia="Book Antiqua" w:hAnsi="Book Antiqua" w:cs="Book Antiqua"/>
          <w:sz w:val="24"/>
          <w:szCs w:val="24"/>
        </w:rPr>
      </w:pPr>
      <w:r w:rsidRPr="00AC04FD">
        <w:rPr>
          <w:rFonts w:ascii="Book Antiqua" w:eastAsia="Book Antiqua" w:hAnsi="Book Antiqua" w:cs="Book Antiqua"/>
          <w:sz w:val="24"/>
          <w:szCs w:val="24"/>
        </w:rPr>
        <w:t xml:space="preserve">Cinq régions abritent 72,3% de l’ensemble des actifs âgés de 15 ans et plus. La région de Casablanca-Settat vient en première </w:t>
      </w:r>
      <w:r w:rsidR="00F87F56">
        <w:rPr>
          <w:rFonts w:ascii="Book Antiqua" w:eastAsia="Book Antiqua" w:hAnsi="Book Antiqua" w:cs="Book Antiqua"/>
          <w:sz w:val="24"/>
          <w:szCs w:val="24"/>
        </w:rPr>
        <w:t xml:space="preserve"> </w:t>
      </w:r>
      <w:r w:rsidRPr="00AC04FD">
        <w:rPr>
          <w:rFonts w:ascii="Book Antiqua" w:eastAsia="Book Antiqua" w:hAnsi="Book Antiqua" w:cs="Book Antiqua"/>
          <w:sz w:val="24"/>
          <w:szCs w:val="24"/>
        </w:rPr>
        <w:t xml:space="preserve">position avec 22,2% d’actifs, </w:t>
      </w:r>
      <w:r w:rsidR="00F87F56">
        <w:rPr>
          <w:rFonts w:ascii="Book Antiqua" w:eastAsia="Book Antiqua" w:hAnsi="Book Antiqua" w:cs="Book Antiqua"/>
          <w:sz w:val="24"/>
          <w:szCs w:val="24"/>
        </w:rPr>
        <w:t xml:space="preserve"> </w:t>
      </w:r>
      <w:r w:rsidRPr="00AC04FD">
        <w:rPr>
          <w:rFonts w:ascii="Book Antiqua" w:eastAsia="Book Antiqua" w:hAnsi="Book Antiqua" w:cs="Book Antiqua"/>
          <w:sz w:val="24"/>
          <w:szCs w:val="24"/>
        </w:rPr>
        <w:t>suivie de Rabat-Salé-</w:t>
      </w:r>
      <w:r w:rsidR="000605E4" w:rsidRPr="00AC04FD">
        <w:rPr>
          <w:rFonts w:ascii="Book Antiqua" w:eastAsia="Book Antiqua" w:hAnsi="Book Antiqua" w:cs="Book Antiqua"/>
          <w:sz w:val="24"/>
          <w:szCs w:val="24"/>
        </w:rPr>
        <w:t>Kenitra</w:t>
      </w:r>
      <w:r w:rsidR="00F87F56">
        <w:rPr>
          <w:rFonts w:ascii="Book Antiqua" w:eastAsia="Book Antiqua" w:hAnsi="Book Antiqua" w:cs="Book Antiqua"/>
          <w:sz w:val="24"/>
          <w:szCs w:val="24"/>
        </w:rPr>
        <w:t xml:space="preserve"> </w:t>
      </w:r>
      <w:r w:rsidRPr="00AC04FD">
        <w:rPr>
          <w:rFonts w:ascii="Book Antiqua" w:eastAsia="Book Antiqua" w:hAnsi="Book Antiqua" w:cs="Book Antiqua"/>
          <w:sz w:val="24"/>
          <w:szCs w:val="24"/>
        </w:rPr>
        <w:t>(13,4%), de Marrakech-Safi (13,0%), de Tanger-Tétouan-Al Hoceima (12,1%) et de Fès-Meknès (11,6%).</w:t>
      </w:r>
    </w:p>
    <w:p w:rsidR="007A5C49" w:rsidRDefault="007A5C49" w:rsidP="007A5C49">
      <w:pPr>
        <w:spacing w:before="240" w:after="240" w:line="312" w:lineRule="auto"/>
        <w:jc w:val="both"/>
        <w:rPr>
          <w:rFonts w:ascii="Book Antiqua" w:eastAsia="Book Antiqua" w:hAnsi="Book Antiqua" w:cs="Book Antiqua"/>
          <w:sz w:val="24"/>
          <w:szCs w:val="24"/>
        </w:rPr>
      </w:pPr>
      <w:r w:rsidRPr="00AC04FD">
        <w:rPr>
          <w:rFonts w:ascii="Book Antiqua" w:eastAsia="Book Antiqua" w:hAnsi="Book Antiqua" w:cs="Book Antiqua"/>
          <w:sz w:val="24"/>
          <w:szCs w:val="24"/>
        </w:rPr>
        <w:t xml:space="preserve">Quatre régions affichent des taux d’activité </w:t>
      </w:r>
      <w:r w:rsidR="002D1C40" w:rsidRPr="00BB32C5">
        <w:rPr>
          <w:rFonts w:ascii="Book Antiqua" w:eastAsia="Book Antiqua" w:hAnsi="Book Antiqua" w:cs="Book Antiqua"/>
          <w:sz w:val="24"/>
          <w:szCs w:val="24"/>
        </w:rPr>
        <w:t>dépassant</w:t>
      </w:r>
      <w:r w:rsidR="00F87F56">
        <w:rPr>
          <w:rFonts w:ascii="Book Antiqua" w:eastAsia="Book Antiqua" w:hAnsi="Book Antiqua" w:cs="Book Antiqua"/>
          <w:sz w:val="24"/>
          <w:szCs w:val="24"/>
        </w:rPr>
        <w:t xml:space="preserve"> </w:t>
      </w:r>
      <w:r w:rsidRPr="00AC04FD">
        <w:rPr>
          <w:rFonts w:ascii="Book Antiqua" w:eastAsia="Book Antiqua" w:hAnsi="Book Antiqua" w:cs="Book Antiqua"/>
          <w:sz w:val="24"/>
          <w:szCs w:val="24"/>
        </w:rPr>
        <w:t>la moyenne nationale (44,5%)</w:t>
      </w:r>
      <w:r w:rsidR="00B825D4">
        <w:rPr>
          <w:rFonts w:ascii="Book Antiqua" w:eastAsia="Book Antiqua" w:hAnsi="Book Antiqua" w:cs="Book Antiqua"/>
          <w:sz w:val="24"/>
          <w:szCs w:val="24"/>
        </w:rPr>
        <w:t xml:space="preserve">, </w:t>
      </w:r>
      <w:r w:rsidRPr="00AC04FD">
        <w:rPr>
          <w:rFonts w:ascii="Book Antiqua" w:eastAsia="Book Antiqua" w:hAnsi="Book Antiqua" w:cs="Book Antiqua"/>
          <w:sz w:val="24"/>
          <w:szCs w:val="24"/>
        </w:rPr>
        <w:t>Tanger-Tétouan-Al Hoceima (50,8%), Casablanca-Settat avec 46,8%,</w:t>
      </w:r>
      <w:r w:rsidR="00F87F56">
        <w:rPr>
          <w:rFonts w:ascii="Book Antiqua" w:eastAsia="Book Antiqua" w:hAnsi="Book Antiqua" w:cs="Book Antiqua"/>
          <w:sz w:val="24"/>
          <w:szCs w:val="24"/>
        </w:rPr>
        <w:t xml:space="preserve"> </w:t>
      </w:r>
      <w:r w:rsidRPr="00AC04FD">
        <w:rPr>
          <w:rFonts w:ascii="Book Antiqua" w:eastAsia="Book Antiqua" w:hAnsi="Book Antiqua" w:cs="Book Antiqua"/>
          <w:sz w:val="24"/>
          <w:szCs w:val="24"/>
        </w:rPr>
        <w:t>Béni Mellal-Khénifra (44,7%)</w:t>
      </w:r>
      <w:r w:rsidR="00F87F56">
        <w:rPr>
          <w:rFonts w:ascii="Book Antiqua" w:eastAsia="Book Antiqua" w:hAnsi="Book Antiqua" w:cs="Book Antiqua"/>
          <w:sz w:val="24"/>
          <w:szCs w:val="24"/>
        </w:rPr>
        <w:t xml:space="preserve"> </w:t>
      </w:r>
      <w:r w:rsidRPr="00AC04FD">
        <w:rPr>
          <w:rFonts w:ascii="Book Antiqua" w:eastAsia="Book Antiqua" w:hAnsi="Book Antiqua" w:cs="Book Antiqua"/>
          <w:sz w:val="24"/>
          <w:szCs w:val="24"/>
        </w:rPr>
        <w:t xml:space="preserve">et Marrakech-Safi (44,6%). En revanche, </w:t>
      </w:r>
      <w:r w:rsidRPr="00BB32C5">
        <w:rPr>
          <w:rFonts w:ascii="Book Antiqua" w:eastAsia="Book Antiqua" w:hAnsi="Book Antiqua" w:cs="Book Antiqua"/>
          <w:sz w:val="24"/>
          <w:szCs w:val="24"/>
        </w:rPr>
        <w:t xml:space="preserve">les taux </w:t>
      </w:r>
      <w:r w:rsidR="002D1C40" w:rsidRPr="00BB32C5">
        <w:rPr>
          <w:rFonts w:ascii="Book Antiqua" w:eastAsia="Book Antiqua" w:hAnsi="Book Antiqua" w:cs="Book Antiqua"/>
          <w:sz w:val="24"/>
          <w:szCs w:val="24"/>
        </w:rPr>
        <w:t>inférieurs à la moyenne nationale sont</w:t>
      </w:r>
      <w:r w:rsidR="00F87F56">
        <w:rPr>
          <w:rFonts w:ascii="Book Antiqua" w:eastAsia="Book Antiqua" w:hAnsi="Book Antiqua" w:cs="Book Antiqua"/>
          <w:sz w:val="24"/>
          <w:szCs w:val="24"/>
        </w:rPr>
        <w:t xml:space="preserve"> </w:t>
      </w:r>
      <w:r w:rsidRPr="00AC04FD">
        <w:rPr>
          <w:rFonts w:ascii="Book Antiqua" w:eastAsia="Book Antiqua" w:hAnsi="Book Antiqua" w:cs="Book Antiqua"/>
          <w:sz w:val="24"/>
          <w:szCs w:val="24"/>
        </w:rPr>
        <w:t>enregistrés dans les régions</w:t>
      </w:r>
      <w:r w:rsidR="00F87F56">
        <w:rPr>
          <w:rFonts w:ascii="Book Antiqua" w:eastAsia="Book Antiqua" w:hAnsi="Book Antiqua" w:cs="Book Antiqua"/>
          <w:sz w:val="24"/>
          <w:szCs w:val="24"/>
        </w:rPr>
        <w:t xml:space="preserve"> </w:t>
      </w:r>
      <w:r w:rsidRPr="00AC04FD">
        <w:rPr>
          <w:rFonts w:ascii="Book Antiqua" w:eastAsia="Book Antiqua" w:hAnsi="Book Antiqua" w:cs="Book Antiqua"/>
          <w:sz w:val="24"/>
          <w:szCs w:val="24"/>
        </w:rPr>
        <w:t>de Fès-Meknès</w:t>
      </w:r>
      <w:r w:rsidR="00F87F56">
        <w:rPr>
          <w:rFonts w:ascii="Book Antiqua" w:eastAsia="Book Antiqua" w:hAnsi="Book Antiqua" w:cs="Book Antiqua"/>
          <w:sz w:val="24"/>
          <w:szCs w:val="24"/>
        </w:rPr>
        <w:t xml:space="preserve"> </w:t>
      </w:r>
      <w:r w:rsidRPr="00AC04FD">
        <w:rPr>
          <w:rFonts w:ascii="Book Antiqua" w:eastAsia="Book Antiqua" w:hAnsi="Book Antiqua" w:cs="Book Antiqua"/>
          <w:sz w:val="24"/>
          <w:szCs w:val="24"/>
        </w:rPr>
        <w:t>(42,</w:t>
      </w:r>
      <w:r w:rsidRPr="00AC04FD">
        <w:rPr>
          <w:rFonts w:ascii="Book Antiqua" w:eastAsia="Book Antiqua" w:hAnsi="Book Antiqua" w:cs="Times New Roman"/>
          <w:sz w:val="24"/>
          <w:szCs w:val="24"/>
        </w:rPr>
        <w:t>4</w:t>
      </w:r>
      <w:r w:rsidRPr="00AC04FD">
        <w:rPr>
          <w:rFonts w:ascii="Book Antiqua" w:eastAsia="Book Antiqua" w:hAnsi="Book Antiqua" w:cs="Book Antiqua"/>
          <w:sz w:val="24"/>
          <w:szCs w:val="24"/>
        </w:rPr>
        <w:t>%)</w:t>
      </w:r>
      <w:r w:rsidRPr="00AC04FD">
        <w:rPr>
          <w:rFonts w:ascii="Book Antiqua" w:eastAsia="Book Antiqua" w:hAnsi="Book Antiqua" w:cs="Times New Roman"/>
          <w:sz w:val="24"/>
          <w:szCs w:val="24"/>
        </w:rPr>
        <w:t>,</w:t>
      </w:r>
      <w:r w:rsidRPr="00AC04FD">
        <w:rPr>
          <w:rFonts w:ascii="Book Antiqua" w:eastAsia="Book Antiqua" w:hAnsi="Book Antiqua" w:cs="Book Antiqua"/>
          <w:sz w:val="24"/>
          <w:szCs w:val="24"/>
        </w:rPr>
        <w:t>de l’Oriental (41,8%) et de Souss-Massa (38,0%).</w:t>
      </w:r>
    </w:p>
    <w:p w:rsidR="007A5C49" w:rsidRDefault="00A90485" w:rsidP="000605E4">
      <w:pPr>
        <w:spacing w:before="240" w:after="240" w:line="312" w:lineRule="auto"/>
        <w:jc w:val="center"/>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t>Figure 6</w:t>
      </w:r>
      <w:r w:rsidR="007A5C49">
        <w:rPr>
          <w:rFonts w:ascii="Book Antiqua" w:eastAsia="Book Antiqua" w:hAnsi="Book Antiqua" w:cs="Book Antiqua"/>
          <w:b/>
          <w:color w:val="0070C0"/>
          <w:sz w:val="20"/>
          <w:szCs w:val="20"/>
        </w:rPr>
        <w:t> : Taux d’activité selon les régions au premier trimestre de 2022 (en%).</w:t>
      </w:r>
      <w:r w:rsidR="007A5C49">
        <w:rPr>
          <w:noProof/>
        </w:rPr>
        <w:drawing>
          <wp:inline distT="0" distB="0" distL="0" distR="0">
            <wp:extent cx="4715302" cy="2088107"/>
            <wp:effectExtent l="0" t="0" r="0" b="0"/>
            <wp:docPr id="2"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E27470D-3A8A-9C86-4668-D6943412D9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A5C49" w:rsidRPr="00AC04FD" w:rsidRDefault="007A5C49" w:rsidP="000605E4">
      <w:pPr>
        <w:jc w:val="both"/>
        <w:rPr>
          <w:rFonts w:ascii="Book Antiqua" w:eastAsia="Book Antiqua" w:hAnsi="Book Antiqua" w:cs="Book Antiqua"/>
          <w:sz w:val="24"/>
          <w:szCs w:val="24"/>
        </w:rPr>
      </w:pPr>
      <w:r w:rsidRPr="00AC04FD">
        <w:rPr>
          <w:rFonts w:ascii="Book Antiqua" w:eastAsia="Book Antiqua" w:hAnsi="Book Antiqua" w:cs="Book Antiqua"/>
          <w:sz w:val="24"/>
          <w:szCs w:val="24"/>
        </w:rPr>
        <w:lastRenderedPageBreak/>
        <w:t xml:space="preserve">Presque trois quarts des chômeurs (73,2%) sont concentrés dans cinq </w:t>
      </w:r>
      <w:r w:rsidR="002D1C40" w:rsidRPr="00AC04FD">
        <w:rPr>
          <w:rFonts w:ascii="Book Antiqua" w:eastAsia="Book Antiqua" w:hAnsi="Book Antiqua" w:cs="Book Antiqua"/>
          <w:sz w:val="24"/>
          <w:szCs w:val="24"/>
        </w:rPr>
        <w:t>régions ;</w:t>
      </w:r>
      <w:r w:rsidRPr="00AC04FD">
        <w:rPr>
          <w:rFonts w:ascii="Book Antiqua" w:eastAsia="Book Antiqua" w:hAnsi="Book Antiqua" w:cs="Book Antiqua"/>
          <w:sz w:val="24"/>
          <w:szCs w:val="24"/>
        </w:rPr>
        <w:t xml:space="preserve"> Casablanca-Settat </w:t>
      </w:r>
      <w:r w:rsidR="002D1C40" w:rsidRPr="00BB32C5">
        <w:rPr>
          <w:rFonts w:ascii="Book Antiqua" w:eastAsia="Book Antiqua" w:hAnsi="Book Antiqua" w:cs="Book Antiqua"/>
          <w:sz w:val="24"/>
          <w:szCs w:val="24"/>
        </w:rPr>
        <w:t>(</w:t>
      </w:r>
      <w:r w:rsidRPr="00BB32C5">
        <w:rPr>
          <w:rFonts w:ascii="Book Antiqua" w:eastAsia="Book Antiqua" w:hAnsi="Book Antiqua" w:cs="Book Antiqua"/>
          <w:sz w:val="24"/>
          <w:szCs w:val="24"/>
        </w:rPr>
        <w:t>26,8% de chômeurs</w:t>
      </w:r>
      <w:r w:rsidR="002D1C40" w:rsidRPr="00BB32C5">
        <w:rPr>
          <w:rFonts w:ascii="Book Antiqua" w:eastAsia="Book Antiqua" w:hAnsi="Book Antiqua" w:cs="Book Antiqua"/>
          <w:sz w:val="24"/>
          <w:szCs w:val="24"/>
        </w:rPr>
        <w:t>)</w:t>
      </w:r>
      <w:r w:rsidRPr="00BB32C5">
        <w:rPr>
          <w:rFonts w:ascii="Book Antiqua" w:eastAsia="Book Antiqua" w:hAnsi="Book Antiqua" w:cs="Book Antiqua"/>
          <w:sz w:val="24"/>
          <w:szCs w:val="24"/>
        </w:rPr>
        <w:t>,</w:t>
      </w:r>
      <w:r w:rsidRPr="00AC04FD">
        <w:rPr>
          <w:rFonts w:ascii="Book Antiqua" w:eastAsia="Book Antiqua" w:hAnsi="Book Antiqua" w:cs="Book Antiqua"/>
          <w:sz w:val="24"/>
          <w:szCs w:val="24"/>
        </w:rPr>
        <w:t xml:space="preserve"> suivie de Fès-Meknès (14%), de Rabat-Salé-Kénitra (11,6%), de l’Oriental (11,0%) et de Tanger-Tétouan-Al Hoceima (9,7%</w:t>
      </w:r>
      <w:r w:rsidR="003A6941" w:rsidRPr="00AC04FD">
        <w:rPr>
          <w:rFonts w:ascii="Book Antiqua" w:eastAsia="Book Antiqua" w:hAnsi="Book Antiqua" w:cs="Book Antiqua"/>
          <w:sz w:val="24"/>
          <w:szCs w:val="24"/>
        </w:rPr>
        <w:t>).</w:t>
      </w:r>
    </w:p>
    <w:p w:rsidR="007A5C49" w:rsidRPr="00AC04FD" w:rsidRDefault="007A5C49" w:rsidP="007A5C49">
      <w:pPr>
        <w:jc w:val="both"/>
        <w:rPr>
          <w:rFonts w:ascii="Book Antiqua" w:eastAsia="Book Antiqua" w:hAnsi="Book Antiqua" w:cs="Book Antiqua"/>
          <w:sz w:val="24"/>
          <w:szCs w:val="24"/>
        </w:rPr>
      </w:pPr>
    </w:p>
    <w:p w:rsidR="007A5C49" w:rsidRDefault="007A5C49" w:rsidP="003E0077">
      <w:pPr>
        <w:jc w:val="both"/>
        <w:rPr>
          <w:rFonts w:ascii="Book Antiqua" w:eastAsia="Book Antiqua" w:hAnsi="Book Antiqua" w:cs="Book Antiqua"/>
          <w:sz w:val="24"/>
          <w:szCs w:val="24"/>
        </w:rPr>
      </w:pPr>
      <w:r w:rsidRPr="00AC04FD">
        <w:rPr>
          <w:rFonts w:ascii="Book Antiqua" w:eastAsia="Book Antiqua" w:hAnsi="Book Antiqua" w:cs="Book Antiqua"/>
          <w:sz w:val="24"/>
          <w:szCs w:val="24"/>
        </w:rPr>
        <w:t>Les taux de chômage les plus élevés sont observés dans l’Oriental (20,2%) et les régions du Sud (19,6%).</w:t>
      </w:r>
      <w:r w:rsidR="00F87F56">
        <w:rPr>
          <w:rFonts w:ascii="Book Antiqua" w:eastAsia="Book Antiqua" w:hAnsi="Book Antiqua" w:cs="Book Antiqua"/>
          <w:sz w:val="24"/>
          <w:szCs w:val="24"/>
        </w:rPr>
        <w:t xml:space="preserve"> </w:t>
      </w:r>
      <w:r w:rsidR="002D1C40">
        <w:rPr>
          <w:rFonts w:ascii="Book Antiqua" w:eastAsia="Book Antiqua" w:hAnsi="Book Antiqua" w:cs="Book Antiqua"/>
          <w:sz w:val="24"/>
          <w:szCs w:val="24"/>
        </w:rPr>
        <w:t>D</w:t>
      </w:r>
      <w:r w:rsidRPr="00AC04FD">
        <w:rPr>
          <w:rFonts w:ascii="Book Antiqua" w:eastAsia="Book Antiqua" w:hAnsi="Book Antiqua" w:cs="Book Antiqua"/>
          <w:sz w:val="24"/>
          <w:szCs w:val="24"/>
        </w:rPr>
        <w:t xml:space="preserve">eux autres régions dépassent la moyenne nationale (12,1%) à savoir Fès-Meknès (14,6%) et </w:t>
      </w:r>
      <w:r w:rsidR="00F87F56">
        <w:rPr>
          <w:rFonts w:ascii="Book Antiqua" w:eastAsia="Book Antiqua" w:hAnsi="Book Antiqua" w:cs="Book Antiqua"/>
          <w:sz w:val="24"/>
          <w:szCs w:val="24"/>
        </w:rPr>
        <w:t xml:space="preserve"> </w:t>
      </w:r>
      <w:r w:rsidRPr="00AC04FD">
        <w:rPr>
          <w:rFonts w:ascii="Book Antiqua" w:eastAsia="Book Antiqua" w:hAnsi="Book Antiqua" w:cs="Book Antiqua"/>
          <w:sz w:val="24"/>
          <w:szCs w:val="24"/>
        </w:rPr>
        <w:t xml:space="preserve">Casablanca-Settat (14,5%). En revanche, les régions de Béni Mellal-Khénifra, de Drâa-Tafilalet, et de Marrakech-Safi enregistrent respectivement </w:t>
      </w:r>
      <w:r w:rsidR="00DC02BF" w:rsidRPr="00BB32C5">
        <w:rPr>
          <w:rFonts w:ascii="Book Antiqua" w:eastAsia="Book Antiqua" w:hAnsi="Book Antiqua" w:cs="Book Antiqua"/>
          <w:sz w:val="24"/>
          <w:szCs w:val="24"/>
        </w:rPr>
        <w:t xml:space="preserve">les taux de </w:t>
      </w:r>
      <w:r w:rsidRPr="00BB32C5">
        <w:rPr>
          <w:rFonts w:ascii="Book Antiqua" w:eastAsia="Book Antiqua" w:hAnsi="Book Antiqua" w:cs="Book Antiqua"/>
          <w:sz w:val="24"/>
          <w:szCs w:val="24"/>
        </w:rPr>
        <w:t>9,</w:t>
      </w:r>
      <w:r w:rsidRPr="00AC04FD">
        <w:rPr>
          <w:rFonts w:ascii="Book Antiqua" w:eastAsia="Book Antiqua" w:hAnsi="Book Antiqua" w:cs="Book Antiqua"/>
          <w:sz w:val="24"/>
          <w:szCs w:val="24"/>
        </w:rPr>
        <w:t>4%, 9,0% et 6,8%.</w:t>
      </w:r>
    </w:p>
    <w:p w:rsidR="003E0077" w:rsidRDefault="003E0077" w:rsidP="003E0077">
      <w:pPr>
        <w:jc w:val="both"/>
        <w:rPr>
          <w:rFonts w:ascii="Book Antiqua" w:eastAsia="Book Antiqua" w:hAnsi="Book Antiqua" w:cs="Book Antiqua"/>
          <w:b/>
          <w:sz w:val="24"/>
          <w:szCs w:val="24"/>
        </w:rPr>
      </w:pPr>
    </w:p>
    <w:p w:rsidR="007A5C49" w:rsidRDefault="00A90485" w:rsidP="007A5C49">
      <w:pPr>
        <w:ind w:firstLine="720"/>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t>Figure 7</w:t>
      </w:r>
      <w:r w:rsidR="007A5C49">
        <w:rPr>
          <w:rFonts w:ascii="Book Antiqua" w:eastAsia="Book Antiqua" w:hAnsi="Book Antiqua" w:cs="Book Antiqua"/>
          <w:b/>
          <w:color w:val="0070C0"/>
          <w:sz w:val="20"/>
          <w:szCs w:val="20"/>
        </w:rPr>
        <w:t> : Taux de chômage selon les régions au premier trimestre de 2022 (en%)</w:t>
      </w:r>
    </w:p>
    <w:p w:rsidR="007A5C49" w:rsidRDefault="007A5C49" w:rsidP="007A5C49">
      <w:pPr>
        <w:jc w:val="center"/>
        <w:rPr>
          <w:rFonts w:ascii="Book Antiqua" w:eastAsia="Book Antiqua" w:hAnsi="Book Antiqua" w:cs="Book Antiqua"/>
          <w:b/>
          <w:color w:val="0070C0"/>
          <w:sz w:val="20"/>
          <w:szCs w:val="20"/>
        </w:rPr>
      </w:pPr>
      <w:r>
        <w:rPr>
          <w:noProof/>
        </w:rPr>
        <w:drawing>
          <wp:inline distT="0" distB="0" distL="0" distR="0">
            <wp:extent cx="5057030" cy="2822548"/>
            <wp:effectExtent l="0" t="0" r="0" b="0"/>
            <wp:docPr id="7" name="Chart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4D34AA6-9FE1-035A-CE0D-F030032399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Book Antiqua" w:eastAsia="Book Antiqua" w:hAnsi="Book Antiqua" w:cs="Book Antiqua"/>
        </w:rPr>
        <w:br w:type="page"/>
      </w:r>
      <w:r>
        <w:rPr>
          <w:rFonts w:ascii="Book Antiqua" w:eastAsia="Book Antiqua" w:hAnsi="Book Antiqua" w:cs="Book Antiqua"/>
          <w:b/>
          <w:color w:val="0070C0"/>
          <w:sz w:val="20"/>
          <w:szCs w:val="20"/>
        </w:rPr>
        <w:lastRenderedPageBreak/>
        <w:t xml:space="preserve">Tableau 1 : Indicateurs trimestriels d'activité, d’emploi et de chômage par milieu de résidence </w:t>
      </w:r>
      <w:r>
        <w:rPr>
          <w:rFonts w:ascii="Book Antiqua" w:eastAsia="Book Antiqua" w:hAnsi="Book Antiqua" w:cs="Book Antiqua"/>
          <w:b/>
          <w:color w:val="0070C0"/>
          <w:sz w:val="20"/>
          <w:szCs w:val="20"/>
          <w:vertAlign w:val="superscript"/>
        </w:rPr>
        <w:t>(1)</w:t>
      </w:r>
    </w:p>
    <w:p w:rsidR="007A5C49" w:rsidRDefault="00397FD5" w:rsidP="007A5C49">
      <w:pPr>
        <w:spacing w:line="240" w:lineRule="auto"/>
        <w:rPr>
          <w:rFonts w:ascii="Book Antiqua" w:hAnsi="Book Antiqua"/>
          <w:b/>
          <w:bCs/>
          <w:color w:val="4F81BD" w:themeColor="accent1"/>
          <w:sz w:val="20"/>
          <w:szCs w:val="20"/>
        </w:rPr>
      </w:pPr>
      <w:r>
        <w:rPr>
          <w:rFonts w:ascii="Book Antiqua" w:hAnsi="Book Antiqua"/>
          <w:b/>
          <w:bCs/>
          <w:color w:val="4F81BD" w:themeColor="accent1"/>
          <w:sz w:val="20"/>
          <w:szCs w:val="20"/>
        </w:rPr>
        <w:t>(Effectifs en milliers et taux %)</w:t>
      </w:r>
    </w:p>
    <w:tbl>
      <w:tblPr>
        <w:tblW w:w="9776" w:type="dxa"/>
        <w:jc w:val="center"/>
        <w:tblLook w:val="04A0"/>
      </w:tblPr>
      <w:tblGrid>
        <w:gridCol w:w="3823"/>
        <w:gridCol w:w="992"/>
        <w:gridCol w:w="992"/>
        <w:gridCol w:w="992"/>
        <w:gridCol w:w="993"/>
        <w:gridCol w:w="992"/>
        <w:gridCol w:w="992"/>
      </w:tblGrid>
      <w:tr w:rsidR="007A5C49" w:rsidRPr="00CD14B1" w:rsidTr="003A6941">
        <w:trPr>
          <w:trHeight w:val="300"/>
          <w:jc w:val="center"/>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5C49" w:rsidRPr="00CD14B1" w:rsidRDefault="007A5C49" w:rsidP="007A5C49">
            <w:pPr>
              <w:bidi/>
              <w:spacing w:line="240" w:lineRule="auto"/>
              <w:rPr>
                <w:rFonts w:ascii="Garamond" w:eastAsia="Times New Roman" w:hAnsi="Garamond" w:cs="Calibri"/>
                <w:b/>
                <w:bCs/>
                <w:color w:val="000000"/>
                <w:sz w:val="18"/>
                <w:szCs w:val="18"/>
                <w:lang w:eastAsia="en-US"/>
              </w:rPr>
            </w:pPr>
            <w:r w:rsidRPr="00CD14B1">
              <w:rPr>
                <w:rFonts w:ascii="Garamond" w:eastAsia="Times New Roman" w:hAnsi="Garamond" w:cs="Calibri"/>
                <w:b/>
                <w:bCs/>
                <w:color w:val="000000"/>
                <w:sz w:val="18"/>
                <w:szCs w:val="18"/>
                <w:rtl/>
                <w:lang w:eastAsia="en-US"/>
              </w:rPr>
              <w:t> </w:t>
            </w:r>
          </w:p>
        </w:tc>
        <w:tc>
          <w:tcPr>
            <w:tcW w:w="2976" w:type="dxa"/>
            <w:gridSpan w:val="3"/>
            <w:tcBorders>
              <w:top w:val="single" w:sz="4" w:space="0" w:color="auto"/>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jc w:val="center"/>
              <w:rPr>
                <w:rFonts w:ascii="Garamond" w:eastAsia="Times New Roman" w:hAnsi="Garamond" w:cs="Calibri"/>
                <w:b/>
                <w:bCs/>
                <w:color w:val="000000"/>
                <w:sz w:val="18"/>
                <w:szCs w:val="18"/>
                <w:rtl/>
                <w:lang w:eastAsia="en-US"/>
              </w:rPr>
            </w:pPr>
            <w:r w:rsidRPr="00CD14B1">
              <w:rPr>
                <w:rFonts w:ascii="Garamond" w:eastAsia="Times New Roman" w:hAnsi="Garamond" w:cs="Calibri"/>
                <w:b/>
                <w:bCs/>
                <w:color w:val="000000"/>
                <w:sz w:val="18"/>
                <w:szCs w:val="18"/>
                <w:lang w:eastAsia="en-US"/>
              </w:rPr>
              <w:t>1er trimestre de 2021</w:t>
            </w:r>
          </w:p>
        </w:tc>
        <w:tc>
          <w:tcPr>
            <w:tcW w:w="2977" w:type="dxa"/>
            <w:gridSpan w:val="3"/>
            <w:tcBorders>
              <w:top w:val="single" w:sz="4" w:space="0" w:color="auto"/>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jc w:val="center"/>
              <w:rPr>
                <w:rFonts w:ascii="Garamond" w:eastAsia="Times New Roman" w:hAnsi="Garamond" w:cs="Calibri"/>
                <w:b/>
                <w:bCs/>
                <w:color w:val="000000"/>
                <w:sz w:val="18"/>
                <w:szCs w:val="18"/>
                <w:lang w:eastAsia="en-US"/>
              </w:rPr>
            </w:pPr>
            <w:r w:rsidRPr="00CD14B1">
              <w:rPr>
                <w:rFonts w:ascii="Garamond" w:eastAsia="Times New Roman" w:hAnsi="Garamond" w:cs="Calibri"/>
                <w:b/>
                <w:bCs/>
                <w:color w:val="000000"/>
                <w:sz w:val="18"/>
                <w:szCs w:val="18"/>
                <w:lang w:eastAsia="en-US"/>
              </w:rPr>
              <w:t>1er trimestre de 2022</w:t>
            </w:r>
          </w:p>
        </w:tc>
      </w:tr>
      <w:tr w:rsidR="007A5C49" w:rsidRPr="00CD14B1" w:rsidTr="003A6941">
        <w:trPr>
          <w:trHeight w:val="300"/>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rsidR="007A5C49" w:rsidRPr="00CD14B1" w:rsidRDefault="007A5C49" w:rsidP="007A5C49">
            <w:pPr>
              <w:spacing w:line="240" w:lineRule="auto"/>
              <w:rPr>
                <w:rFonts w:ascii="Garamond" w:eastAsia="Times New Roman" w:hAnsi="Garamond" w:cs="Calibri"/>
                <w:b/>
                <w:bCs/>
                <w:color w:val="000000"/>
                <w:sz w:val="18"/>
                <w:szCs w:val="18"/>
                <w:lang w:eastAsia="en-US"/>
              </w:rPr>
            </w:pPr>
          </w:p>
        </w:tc>
        <w:tc>
          <w:tcPr>
            <w:tcW w:w="992" w:type="dxa"/>
            <w:tcBorders>
              <w:top w:val="nil"/>
              <w:left w:val="nil"/>
              <w:bottom w:val="single" w:sz="4" w:space="0" w:color="auto"/>
              <w:right w:val="single" w:sz="4" w:space="0" w:color="auto"/>
            </w:tcBorders>
            <w:shd w:val="clear" w:color="auto" w:fill="auto"/>
            <w:hideMark/>
          </w:tcPr>
          <w:p w:rsidR="007A5C49" w:rsidRPr="00CD14B1" w:rsidRDefault="007A5C49" w:rsidP="007A5C49">
            <w:pPr>
              <w:bidi/>
              <w:spacing w:line="240" w:lineRule="auto"/>
              <w:jc w:val="center"/>
              <w:rPr>
                <w:rFonts w:ascii="Garamond" w:eastAsia="Times New Roman" w:hAnsi="Garamond" w:cs="Calibri"/>
                <w:b/>
                <w:bCs/>
                <w:color w:val="000000"/>
                <w:sz w:val="18"/>
                <w:szCs w:val="18"/>
                <w:lang w:eastAsia="en-US"/>
              </w:rPr>
            </w:pPr>
            <w:r w:rsidRPr="00CD14B1">
              <w:rPr>
                <w:rFonts w:ascii="Garamond" w:eastAsia="Times New Roman" w:hAnsi="Garamond" w:cs="Calibri"/>
                <w:b/>
                <w:bCs/>
                <w:color w:val="000000"/>
                <w:sz w:val="18"/>
                <w:szCs w:val="18"/>
                <w:lang w:eastAsia="en-US"/>
              </w:rPr>
              <w:t>Urbain</w:t>
            </w:r>
          </w:p>
        </w:tc>
        <w:tc>
          <w:tcPr>
            <w:tcW w:w="992" w:type="dxa"/>
            <w:tcBorders>
              <w:top w:val="nil"/>
              <w:left w:val="nil"/>
              <w:bottom w:val="single" w:sz="4" w:space="0" w:color="auto"/>
              <w:right w:val="single" w:sz="4" w:space="0" w:color="auto"/>
            </w:tcBorders>
            <w:shd w:val="clear" w:color="auto" w:fill="auto"/>
            <w:hideMark/>
          </w:tcPr>
          <w:p w:rsidR="007A5C49" w:rsidRPr="00CD14B1" w:rsidRDefault="007A5C49" w:rsidP="007A5C49">
            <w:pPr>
              <w:bidi/>
              <w:spacing w:line="240" w:lineRule="auto"/>
              <w:jc w:val="center"/>
              <w:rPr>
                <w:rFonts w:ascii="Garamond" w:eastAsia="Times New Roman" w:hAnsi="Garamond" w:cs="Calibri"/>
                <w:b/>
                <w:bCs/>
                <w:color w:val="000000"/>
                <w:sz w:val="18"/>
                <w:szCs w:val="18"/>
                <w:rtl/>
                <w:lang w:eastAsia="en-US"/>
              </w:rPr>
            </w:pPr>
            <w:r w:rsidRPr="00CD14B1">
              <w:rPr>
                <w:rFonts w:ascii="Garamond" w:eastAsia="Times New Roman" w:hAnsi="Garamond" w:cs="Calibri"/>
                <w:b/>
                <w:bCs/>
                <w:color w:val="000000"/>
                <w:sz w:val="18"/>
                <w:szCs w:val="18"/>
                <w:lang w:eastAsia="en-US"/>
              </w:rPr>
              <w:t>Rural</w:t>
            </w:r>
          </w:p>
        </w:tc>
        <w:tc>
          <w:tcPr>
            <w:tcW w:w="992" w:type="dxa"/>
            <w:tcBorders>
              <w:top w:val="nil"/>
              <w:left w:val="nil"/>
              <w:bottom w:val="single" w:sz="4" w:space="0" w:color="auto"/>
              <w:right w:val="single" w:sz="4" w:space="0" w:color="auto"/>
            </w:tcBorders>
            <w:shd w:val="clear" w:color="auto" w:fill="auto"/>
            <w:hideMark/>
          </w:tcPr>
          <w:p w:rsidR="007A5C49" w:rsidRPr="00CD14B1" w:rsidRDefault="007A5C49" w:rsidP="007A5C49">
            <w:pPr>
              <w:bidi/>
              <w:spacing w:line="240" w:lineRule="auto"/>
              <w:jc w:val="center"/>
              <w:rPr>
                <w:rFonts w:ascii="Garamond" w:eastAsia="Times New Roman" w:hAnsi="Garamond" w:cs="Calibri"/>
                <w:b/>
                <w:bCs/>
                <w:color w:val="000000"/>
                <w:sz w:val="18"/>
                <w:szCs w:val="18"/>
                <w:rtl/>
                <w:lang w:eastAsia="en-US"/>
              </w:rPr>
            </w:pPr>
            <w:r w:rsidRPr="00CD14B1">
              <w:rPr>
                <w:rFonts w:ascii="Garamond" w:eastAsia="Times New Roman" w:hAnsi="Garamond" w:cs="Calibri"/>
                <w:b/>
                <w:bCs/>
                <w:color w:val="000000"/>
                <w:sz w:val="18"/>
                <w:szCs w:val="18"/>
                <w:lang w:eastAsia="en-US"/>
              </w:rPr>
              <w:t>Ensemble</w:t>
            </w:r>
          </w:p>
        </w:tc>
        <w:tc>
          <w:tcPr>
            <w:tcW w:w="993" w:type="dxa"/>
            <w:tcBorders>
              <w:top w:val="nil"/>
              <w:left w:val="nil"/>
              <w:bottom w:val="single" w:sz="4" w:space="0" w:color="auto"/>
              <w:right w:val="single" w:sz="4" w:space="0" w:color="auto"/>
            </w:tcBorders>
            <w:shd w:val="clear" w:color="auto" w:fill="auto"/>
            <w:hideMark/>
          </w:tcPr>
          <w:p w:rsidR="007A5C49" w:rsidRPr="00CD14B1" w:rsidRDefault="007A5C49" w:rsidP="007A5C49">
            <w:pPr>
              <w:bidi/>
              <w:spacing w:line="240" w:lineRule="auto"/>
              <w:jc w:val="center"/>
              <w:rPr>
                <w:rFonts w:ascii="Garamond" w:eastAsia="Times New Roman" w:hAnsi="Garamond" w:cs="Calibri"/>
                <w:b/>
                <w:bCs/>
                <w:color w:val="000000"/>
                <w:sz w:val="18"/>
                <w:szCs w:val="18"/>
                <w:rtl/>
                <w:lang w:eastAsia="en-US"/>
              </w:rPr>
            </w:pPr>
            <w:r w:rsidRPr="00CD14B1">
              <w:rPr>
                <w:rFonts w:ascii="Garamond" w:eastAsia="Times New Roman" w:hAnsi="Garamond" w:cs="Calibri"/>
                <w:b/>
                <w:bCs/>
                <w:color w:val="000000"/>
                <w:sz w:val="18"/>
                <w:szCs w:val="18"/>
                <w:lang w:eastAsia="en-US"/>
              </w:rPr>
              <w:t>Urbain</w:t>
            </w:r>
          </w:p>
        </w:tc>
        <w:tc>
          <w:tcPr>
            <w:tcW w:w="992" w:type="dxa"/>
            <w:tcBorders>
              <w:top w:val="nil"/>
              <w:left w:val="nil"/>
              <w:bottom w:val="single" w:sz="4" w:space="0" w:color="auto"/>
              <w:right w:val="single" w:sz="4" w:space="0" w:color="auto"/>
            </w:tcBorders>
            <w:shd w:val="clear" w:color="auto" w:fill="auto"/>
            <w:hideMark/>
          </w:tcPr>
          <w:p w:rsidR="007A5C49" w:rsidRPr="00CD14B1" w:rsidRDefault="007A5C49" w:rsidP="007A5C49">
            <w:pPr>
              <w:bidi/>
              <w:spacing w:line="240" w:lineRule="auto"/>
              <w:jc w:val="center"/>
              <w:rPr>
                <w:rFonts w:ascii="Garamond" w:eastAsia="Times New Roman" w:hAnsi="Garamond" w:cs="Calibri"/>
                <w:b/>
                <w:bCs/>
                <w:color w:val="000000"/>
                <w:sz w:val="18"/>
                <w:szCs w:val="18"/>
                <w:rtl/>
                <w:lang w:eastAsia="en-US"/>
              </w:rPr>
            </w:pPr>
            <w:r w:rsidRPr="00CD14B1">
              <w:rPr>
                <w:rFonts w:ascii="Garamond" w:eastAsia="Times New Roman" w:hAnsi="Garamond" w:cs="Calibri"/>
                <w:b/>
                <w:bCs/>
                <w:color w:val="000000"/>
                <w:sz w:val="18"/>
                <w:szCs w:val="18"/>
                <w:lang w:eastAsia="en-US"/>
              </w:rPr>
              <w:t>Rural</w:t>
            </w:r>
          </w:p>
        </w:tc>
        <w:tc>
          <w:tcPr>
            <w:tcW w:w="992" w:type="dxa"/>
            <w:tcBorders>
              <w:top w:val="nil"/>
              <w:left w:val="nil"/>
              <w:bottom w:val="single" w:sz="4" w:space="0" w:color="auto"/>
              <w:right w:val="single" w:sz="4" w:space="0" w:color="auto"/>
            </w:tcBorders>
            <w:shd w:val="clear" w:color="auto" w:fill="auto"/>
            <w:hideMark/>
          </w:tcPr>
          <w:p w:rsidR="007A5C49" w:rsidRPr="00CD14B1" w:rsidRDefault="007A5C49" w:rsidP="007A5C49">
            <w:pPr>
              <w:bidi/>
              <w:spacing w:line="240" w:lineRule="auto"/>
              <w:jc w:val="center"/>
              <w:rPr>
                <w:rFonts w:ascii="Garamond" w:eastAsia="Times New Roman" w:hAnsi="Garamond" w:cs="Calibri"/>
                <w:b/>
                <w:bCs/>
                <w:color w:val="000000"/>
                <w:sz w:val="18"/>
                <w:szCs w:val="18"/>
                <w:rtl/>
                <w:lang w:eastAsia="en-US"/>
              </w:rPr>
            </w:pPr>
            <w:r w:rsidRPr="00CD14B1">
              <w:rPr>
                <w:rFonts w:ascii="Garamond" w:eastAsia="Times New Roman" w:hAnsi="Garamond" w:cs="Calibri"/>
                <w:b/>
                <w:bCs/>
                <w:color w:val="000000"/>
                <w:sz w:val="18"/>
                <w:szCs w:val="18"/>
                <w:lang w:eastAsia="en-US"/>
              </w:rPr>
              <w:t>Ensemble</w:t>
            </w:r>
          </w:p>
        </w:tc>
      </w:tr>
      <w:tr w:rsidR="007A5C49" w:rsidRPr="00CD14B1" w:rsidTr="003A6941">
        <w:trPr>
          <w:trHeight w:val="300"/>
          <w:jc w:val="center"/>
        </w:trPr>
        <w:tc>
          <w:tcPr>
            <w:tcW w:w="9776"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rPr>
                <w:rFonts w:ascii="Garamond" w:eastAsia="Times New Roman" w:hAnsi="Garamond" w:cs="Calibri"/>
                <w:b/>
                <w:bCs/>
                <w:color w:val="1F497D"/>
                <w:sz w:val="18"/>
                <w:szCs w:val="18"/>
                <w:rtl/>
                <w:lang w:eastAsia="en-US"/>
              </w:rPr>
            </w:pPr>
            <w:r w:rsidRPr="00CD14B1">
              <w:rPr>
                <w:rFonts w:ascii="Garamond" w:eastAsia="Times New Roman" w:hAnsi="Garamond" w:cs="Calibri"/>
                <w:b/>
                <w:bCs/>
                <w:color w:val="1F497D"/>
                <w:sz w:val="18"/>
                <w:szCs w:val="18"/>
                <w:lang w:eastAsia="en-US"/>
              </w:rPr>
              <w:t>Activité (des 15 ans et plus)</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1"/>
              <w:rPr>
                <w:rFonts w:ascii="Garamond" w:eastAsia="Times New Roman" w:hAnsi="Garamond" w:cs="Calibri"/>
                <w:b/>
                <w:bCs/>
                <w:color w:val="000000"/>
                <w:sz w:val="18"/>
                <w:szCs w:val="18"/>
                <w:lang w:eastAsia="en-US"/>
              </w:rPr>
            </w:pPr>
            <w:r w:rsidRPr="00CD14B1">
              <w:rPr>
                <w:rFonts w:ascii="Garamond" w:eastAsia="Times New Roman" w:hAnsi="Garamond" w:cs="Calibri"/>
                <w:b/>
                <w:bCs/>
                <w:color w:val="000000"/>
                <w:sz w:val="18"/>
                <w:szCs w:val="18"/>
                <w:lang w:eastAsia="en-US"/>
              </w:rPr>
              <w:t>Population active</w:t>
            </w:r>
            <w:r w:rsidR="00397FD5">
              <w:rPr>
                <w:rFonts w:ascii="Garamond" w:eastAsia="Times New Roman" w:hAnsi="Garamond" w:cs="Calibri"/>
                <w:b/>
                <w:bCs/>
                <w:color w:val="000000"/>
                <w:sz w:val="18"/>
                <w:szCs w:val="18"/>
                <w:lang w:eastAsia="en-US"/>
              </w:rPr>
              <w:t xml:space="preserve"> (en milliers)</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CD14B1">
              <w:rPr>
                <w:rFonts w:ascii="Garamond" w:eastAsia="Times New Roman" w:hAnsi="Garamond" w:cs="Calibri"/>
                <w:b/>
                <w:bCs/>
                <w:color w:val="010205"/>
                <w:sz w:val="18"/>
                <w:szCs w:val="18"/>
                <w:lang w:eastAsia="en-US"/>
              </w:rPr>
              <w:t>7.504</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CD14B1">
              <w:rPr>
                <w:rFonts w:ascii="Garamond" w:eastAsia="Times New Roman" w:hAnsi="Garamond" w:cs="Calibri"/>
                <w:b/>
                <w:bCs/>
                <w:color w:val="010205"/>
                <w:sz w:val="18"/>
                <w:szCs w:val="18"/>
                <w:lang w:eastAsia="en-US"/>
              </w:rPr>
              <w:t>4.785</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CD14B1">
              <w:rPr>
                <w:rFonts w:ascii="Garamond" w:eastAsia="Times New Roman" w:hAnsi="Garamond" w:cs="Calibri"/>
                <w:b/>
                <w:bCs/>
                <w:color w:val="010205"/>
                <w:sz w:val="18"/>
                <w:szCs w:val="18"/>
                <w:lang w:eastAsia="en-US"/>
              </w:rPr>
              <w:t>12.289</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CD14B1">
              <w:rPr>
                <w:rFonts w:ascii="Garamond" w:eastAsia="Times New Roman" w:hAnsi="Garamond" w:cs="Calibri"/>
                <w:b/>
                <w:bCs/>
                <w:color w:val="010205"/>
                <w:sz w:val="18"/>
                <w:szCs w:val="18"/>
                <w:lang w:eastAsia="en-US"/>
              </w:rPr>
              <w:t>7.542</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CD14B1">
              <w:rPr>
                <w:rFonts w:ascii="Garamond" w:eastAsia="Times New Roman" w:hAnsi="Garamond" w:cs="Calibri"/>
                <w:b/>
                <w:bCs/>
                <w:color w:val="010205"/>
                <w:sz w:val="18"/>
                <w:szCs w:val="18"/>
                <w:lang w:eastAsia="en-US"/>
              </w:rPr>
              <w:t>4.621</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CD14B1">
              <w:rPr>
                <w:rFonts w:ascii="Garamond" w:eastAsia="Times New Roman" w:hAnsi="Garamond" w:cs="Calibri"/>
                <w:b/>
                <w:bCs/>
                <w:color w:val="010205"/>
                <w:sz w:val="18"/>
                <w:szCs w:val="18"/>
                <w:lang w:eastAsia="en-US"/>
              </w:rPr>
              <w:t>12.163</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Taux de féminisation de la population active</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22,9</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24,7</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23,6</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22,3</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23,8</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22,9</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Taux d'activité</w:t>
            </w:r>
            <w:r w:rsidR="00397FD5">
              <w:rPr>
                <w:rFonts w:ascii="Garamond" w:eastAsia="Times New Roman" w:hAnsi="Garamond" w:cs="Calibri"/>
                <w:color w:val="000000"/>
                <w:sz w:val="18"/>
                <w:szCs w:val="18"/>
                <w:lang w:eastAsia="en-US"/>
              </w:rPr>
              <w:t xml:space="preserve"> (%)</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42,6</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51,1</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45,5</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41,9</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49,3</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44,5</w:t>
            </w:r>
          </w:p>
        </w:tc>
      </w:tr>
      <w:tr w:rsidR="007A5C49" w:rsidRPr="00CD14B1" w:rsidTr="003A6941">
        <w:trPr>
          <w:trHeight w:val="300"/>
          <w:jc w:val="center"/>
        </w:trPr>
        <w:tc>
          <w:tcPr>
            <w:tcW w:w="9776"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7A5C49" w:rsidRPr="00CD14B1" w:rsidRDefault="007A5C49" w:rsidP="007A5C49">
            <w:pPr>
              <w:spacing w:line="240" w:lineRule="auto"/>
              <w:ind w:firstLineChars="200" w:firstLine="360"/>
              <w:rPr>
                <w:rFonts w:ascii="Garamond" w:eastAsia="Times New Roman" w:hAnsi="Garamond" w:cs="Calibri"/>
                <w:i/>
                <w:iCs/>
                <w:color w:val="000000"/>
                <w:sz w:val="18"/>
                <w:szCs w:val="18"/>
                <w:lang w:eastAsia="en-US"/>
              </w:rPr>
            </w:pPr>
            <w:r w:rsidRPr="00CD14B1">
              <w:rPr>
                <w:rFonts w:ascii="Garamond" w:eastAsia="Times New Roman" w:hAnsi="Garamond" w:cs="Calibri"/>
                <w:i/>
                <w:iCs/>
                <w:color w:val="000000"/>
                <w:sz w:val="18"/>
                <w:szCs w:val="18"/>
                <w:lang w:eastAsia="en-US"/>
              </w:rPr>
              <w:t>• Selon le sexe</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400" w:firstLine="72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Hommes</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67,7</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76,1</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70,7</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67,2</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74,1</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69,6</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400" w:firstLine="72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Femmes</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19,0</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25,6</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21,2</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18,2</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23,8</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20,0</w:t>
            </w:r>
          </w:p>
        </w:tc>
      </w:tr>
      <w:tr w:rsidR="007A5C49" w:rsidRPr="00CD14B1" w:rsidTr="003A6941">
        <w:trPr>
          <w:trHeight w:val="300"/>
          <w:jc w:val="center"/>
        </w:trPr>
        <w:tc>
          <w:tcPr>
            <w:tcW w:w="9776"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200" w:firstLine="360"/>
              <w:rPr>
                <w:rFonts w:ascii="Garamond" w:eastAsia="Times New Roman" w:hAnsi="Garamond" w:cs="Calibri"/>
                <w:i/>
                <w:iCs/>
                <w:color w:val="000000"/>
                <w:sz w:val="18"/>
                <w:szCs w:val="18"/>
                <w:lang w:eastAsia="en-US"/>
              </w:rPr>
            </w:pPr>
            <w:r w:rsidRPr="00CD14B1">
              <w:rPr>
                <w:rFonts w:ascii="Garamond" w:eastAsia="Times New Roman" w:hAnsi="Garamond" w:cs="Calibri"/>
                <w:i/>
                <w:iCs/>
                <w:color w:val="000000"/>
                <w:sz w:val="18"/>
                <w:szCs w:val="18"/>
                <w:lang w:eastAsia="en-US"/>
              </w:rPr>
              <w:t>• Selon l'âge</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400" w:firstLine="72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15-24 ans</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21,0</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28,4</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24,0</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20,5</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26,0</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22,7</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400" w:firstLine="72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25-34 ans</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59,6</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60,4</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59,9</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59,4</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60,8</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59,8</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400" w:firstLine="72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35-44 ans</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58,0</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66,7</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60,8</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56,8</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65,1</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59,5</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400" w:firstLine="72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45 ans et plus</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36,4</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54,2</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42,4</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35,6</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51,5</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40,9</w:t>
            </w:r>
          </w:p>
        </w:tc>
      </w:tr>
      <w:tr w:rsidR="007A5C49" w:rsidRPr="00CD14B1" w:rsidTr="003A6941">
        <w:trPr>
          <w:trHeight w:val="300"/>
          <w:jc w:val="center"/>
        </w:trPr>
        <w:tc>
          <w:tcPr>
            <w:tcW w:w="9776"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7A5C49" w:rsidRPr="00CD14B1" w:rsidRDefault="007A5C49" w:rsidP="007A5C49">
            <w:pPr>
              <w:spacing w:line="240" w:lineRule="auto"/>
              <w:ind w:firstLineChars="200" w:firstLine="360"/>
              <w:rPr>
                <w:rFonts w:ascii="Garamond" w:eastAsia="Times New Roman" w:hAnsi="Garamond" w:cs="Calibri"/>
                <w:i/>
                <w:iCs/>
                <w:color w:val="000000"/>
                <w:sz w:val="18"/>
                <w:szCs w:val="18"/>
                <w:lang w:eastAsia="en-US"/>
              </w:rPr>
            </w:pPr>
            <w:r w:rsidRPr="00CD14B1">
              <w:rPr>
                <w:rFonts w:ascii="Garamond" w:eastAsia="Times New Roman" w:hAnsi="Garamond" w:cs="Calibri"/>
                <w:i/>
                <w:iCs/>
                <w:color w:val="000000"/>
                <w:sz w:val="18"/>
                <w:szCs w:val="18"/>
                <w:lang w:eastAsia="en-US"/>
              </w:rPr>
              <w:t>• Selon le diplôme</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400" w:firstLine="72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Non diplômés</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35,6</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54,2</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44,3</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34,5</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52,0</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42,6</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400" w:firstLine="72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Diplômés</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47,5</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44,3</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46,8</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47,1</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43,7</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46,3</w:t>
            </w:r>
          </w:p>
        </w:tc>
      </w:tr>
      <w:tr w:rsidR="007A5C49" w:rsidRPr="00CD14B1" w:rsidTr="003A6941">
        <w:trPr>
          <w:trHeight w:val="300"/>
          <w:jc w:val="center"/>
        </w:trPr>
        <w:tc>
          <w:tcPr>
            <w:tcW w:w="9776"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7A5C49" w:rsidRPr="00CD14B1" w:rsidRDefault="007A5C49" w:rsidP="007A5C49">
            <w:pPr>
              <w:spacing w:line="240" w:lineRule="auto"/>
              <w:rPr>
                <w:rFonts w:ascii="Garamond" w:eastAsia="Times New Roman" w:hAnsi="Garamond" w:cs="Calibri"/>
                <w:b/>
                <w:bCs/>
                <w:color w:val="1F497D"/>
                <w:sz w:val="18"/>
                <w:szCs w:val="18"/>
                <w:lang w:eastAsia="en-US"/>
              </w:rPr>
            </w:pPr>
            <w:r w:rsidRPr="00CD14B1">
              <w:rPr>
                <w:rFonts w:ascii="Garamond" w:eastAsia="Times New Roman" w:hAnsi="Garamond" w:cs="Calibri"/>
                <w:b/>
                <w:bCs/>
                <w:color w:val="1F497D"/>
                <w:sz w:val="18"/>
                <w:szCs w:val="18"/>
                <w:lang w:eastAsia="en-US"/>
              </w:rPr>
              <w:t>Emploi (des 15 ans et plus)</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1"/>
              <w:rPr>
                <w:rFonts w:ascii="Garamond" w:eastAsia="Times New Roman" w:hAnsi="Garamond" w:cs="Calibri"/>
                <w:b/>
                <w:bCs/>
                <w:color w:val="000000"/>
                <w:sz w:val="18"/>
                <w:szCs w:val="18"/>
                <w:lang w:eastAsia="en-US"/>
              </w:rPr>
            </w:pPr>
            <w:r w:rsidRPr="00CD14B1">
              <w:rPr>
                <w:rFonts w:ascii="Garamond" w:eastAsia="Times New Roman" w:hAnsi="Garamond" w:cs="Calibri"/>
                <w:b/>
                <w:bCs/>
                <w:color w:val="000000"/>
                <w:sz w:val="18"/>
                <w:szCs w:val="18"/>
                <w:lang w:eastAsia="en-US"/>
              </w:rPr>
              <w:t>Population active occupée</w:t>
            </w:r>
            <w:r w:rsidR="00397FD5">
              <w:rPr>
                <w:rFonts w:ascii="Garamond" w:eastAsia="Times New Roman" w:hAnsi="Garamond" w:cs="Calibri"/>
                <w:b/>
                <w:bCs/>
                <w:color w:val="000000"/>
                <w:sz w:val="18"/>
                <w:szCs w:val="18"/>
                <w:lang w:eastAsia="en-US"/>
              </w:rPr>
              <w:t xml:space="preserve"> (en milliers)</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CD14B1">
              <w:rPr>
                <w:rFonts w:ascii="Garamond" w:eastAsia="Times New Roman" w:hAnsi="Garamond" w:cs="Calibri"/>
                <w:b/>
                <w:bCs/>
                <w:color w:val="010205"/>
                <w:sz w:val="18"/>
                <w:szCs w:val="18"/>
                <w:lang w:eastAsia="en-US"/>
              </w:rPr>
              <w:t>6.223</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CD14B1">
              <w:rPr>
                <w:rFonts w:ascii="Garamond" w:eastAsia="Times New Roman" w:hAnsi="Garamond" w:cs="Calibri"/>
                <w:b/>
                <w:bCs/>
                <w:color w:val="010205"/>
                <w:sz w:val="18"/>
                <w:szCs w:val="18"/>
                <w:lang w:eastAsia="en-US"/>
              </w:rPr>
              <w:t>4.532</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CD14B1">
              <w:rPr>
                <w:rFonts w:ascii="Garamond" w:eastAsia="Times New Roman" w:hAnsi="Garamond" w:cs="Calibri"/>
                <w:b/>
                <w:bCs/>
                <w:color w:val="010205"/>
                <w:sz w:val="18"/>
                <w:szCs w:val="18"/>
                <w:lang w:eastAsia="en-US"/>
              </w:rPr>
              <w:t>10.755</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CD14B1">
              <w:rPr>
                <w:rFonts w:ascii="Garamond" w:eastAsia="Times New Roman" w:hAnsi="Garamond" w:cs="Calibri"/>
                <w:b/>
                <w:bCs/>
                <w:color w:val="010205"/>
                <w:sz w:val="18"/>
                <w:szCs w:val="18"/>
                <w:lang w:eastAsia="en-US"/>
              </w:rPr>
              <w:t>6.313</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CD14B1">
              <w:rPr>
                <w:rFonts w:ascii="Garamond" w:eastAsia="Times New Roman" w:hAnsi="Garamond" w:cs="Calibri"/>
                <w:b/>
                <w:bCs/>
                <w:color w:val="010205"/>
                <w:sz w:val="18"/>
                <w:szCs w:val="18"/>
                <w:lang w:eastAsia="en-US"/>
              </w:rPr>
              <w:t>4.385</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CD14B1">
              <w:rPr>
                <w:rFonts w:ascii="Garamond" w:eastAsia="Times New Roman" w:hAnsi="Garamond" w:cs="Calibri"/>
                <w:b/>
                <w:bCs/>
                <w:color w:val="010205"/>
                <w:sz w:val="18"/>
                <w:szCs w:val="18"/>
                <w:lang w:eastAsia="en-US"/>
              </w:rPr>
              <w:t>10.697</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Taux d'emploi</w:t>
            </w:r>
            <w:r w:rsidR="00397FD5">
              <w:rPr>
                <w:rFonts w:ascii="Garamond" w:eastAsia="Times New Roman" w:hAnsi="Garamond" w:cs="Calibri"/>
                <w:color w:val="000000"/>
                <w:sz w:val="18"/>
                <w:szCs w:val="18"/>
                <w:lang w:eastAsia="en-US"/>
              </w:rPr>
              <w:t xml:space="preserve"> (%)</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35,3</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48,4</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39,9</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35,1</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46,8</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39,1</w:t>
            </w:r>
          </w:p>
        </w:tc>
      </w:tr>
      <w:tr w:rsidR="007A5C49" w:rsidRPr="00CD14B1" w:rsidTr="003A6941">
        <w:trPr>
          <w:trHeight w:val="300"/>
          <w:jc w:val="center"/>
        </w:trPr>
        <w:tc>
          <w:tcPr>
            <w:tcW w:w="9776"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7A5C49" w:rsidRPr="00CD14B1" w:rsidRDefault="007A5C49" w:rsidP="007A5C49">
            <w:pPr>
              <w:spacing w:line="240" w:lineRule="auto"/>
              <w:ind w:firstLineChars="200" w:firstLine="360"/>
              <w:rPr>
                <w:rFonts w:ascii="Garamond" w:eastAsia="Times New Roman" w:hAnsi="Garamond" w:cs="Calibri"/>
                <w:i/>
                <w:iCs/>
                <w:color w:val="000000"/>
                <w:sz w:val="18"/>
                <w:szCs w:val="18"/>
                <w:lang w:eastAsia="en-US"/>
              </w:rPr>
            </w:pPr>
            <w:r w:rsidRPr="00CD14B1">
              <w:rPr>
                <w:rFonts w:ascii="Garamond" w:eastAsia="Times New Roman" w:hAnsi="Garamond" w:cs="Calibri"/>
                <w:i/>
                <w:iCs/>
                <w:color w:val="000000"/>
                <w:sz w:val="18"/>
                <w:szCs w:val="18"/>
                <w:lang w:eastAsia="en-US"/>
              </w:rPr>
              <w:t>• Selon le sexe</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400" w:firstLine="72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Hommes</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58,0</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71,9</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62,9</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58,1</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69,9</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62,3</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400" w:firstLine="72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Femmes</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14,0</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24,4</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17,5</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13,4</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22,9</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16,6</w:t>
            </w:r>
          </w:p>
        </w:tc>
      </w:tr>
      <w:tr w:rsidR="007A5C49" w:rsidRPr="00CD14B1" w:rsidTr="003A6941">
        <w:trPr>
          <w:trHeight w:val="300"/>
          <w:jc w:val="center"/>
        </w:trPr>
        <w:tc>
          <w:tcPr>
            <w:tcW w:w="9776"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7A5C49" w:rsidRPr="00CD14B1" w:rsidRDefault="007A5C49" w:rsidP="007A5C49">
            <w:pPr>
              <w:spacing w:line="240" w:lineRule="auto"/>
              <w:ind w:firstLineChars="100" w:firstLine="18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Structure de l'emploi selon les secteurs d'activité économique</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630ED2">
            <w:pPr>
              <w:spacing w:line="240" w:lineRule="auto"/>
              <w:ind w:firstLineChars="200" w:firstLine="36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 xml:space="preserve">Agriculture, </w:t>
            </w:r>
            <w:r w:rsidR="00630ED2">
              <w:rPr>
                <w:rFonts w:ascii="Garamond" w:eastAsia="Times New Roman" w:hAnsi="Garamond" w:cs="Calibri"/>
                <w:color w:val="000000"/>
                <w:sz w:val="18"/>
                <w:szCs w:val="18"/>
                <w:lang w:eastAsia="en-US"/>
              </w:rPr>
              <w:t>forêt et</w:t>
            </w:r>
            <w:r w:rsidRPr="00CD14B1">
              <w:rPr>
                <w:rFonts w:ascii="Garamond" w:eastAsia="Times New Roman" w:hAnsi="Garamond" w:cs="Calibri"/>
                <w:color w:val="000000"/>
                <w:sz w:val="18"/>
                <w:szCs w:val="18"/>
                <w:lang w:eastAsia="en-US"/>
              </w:rPr>
              <w:t xml:space="preserve"> pêche</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4,9</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67,5</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31,2</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4,0</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66,7</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29,7</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200" w:firstLine="360"/>
              <w:rPr>
                <w:rFonts w:ascii="Garamond" w:eastAsia="Times New Roman" w:hAnsi="Garamond" w:cs="Calibri"/>
                <w:color w:val="000000"/>
                <w:sz w:val="18"/>
                <w:szCs w:val="18"/>
                <w:lang w:eastAsia="en-US"/>
              </w:rPr>
            </w:pPr>
            <w:r>
              <w:rPr>
                <w:rFonts w:ascii="Garamond" w:eastAsia="Times New Roman" w:hAnsi="Garamond" w:cs="Calibri"/>
                <w:color w:val="000000"/>
                <w:sz w:val="18"/>
                <w:szCs w:val="18"/>
                <w:lang w:eastAsia="en-US"/>
              </w:rPr>
              <w:t xml:space="preserve">Industrie </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17,5</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4,2</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11,9</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17,3</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4,6</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12,1</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200" w:firstLine="36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BTP</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12,3</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9,3</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11,1</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12,6</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9,6</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11,4</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200" w:firstLine="36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Services</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65,2</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19,0</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45,8</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66,0</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19,1</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46,8</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200" w:firstLine="36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Activités non déterminées</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0,1</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0,0</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0,0</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0,0</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0,0</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0,0</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Part de l'emploi rémunéré dans l'emploi total, dont :</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97,2</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69,9</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85,7</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97,5</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70,7</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86,5</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200" w:firstLine="36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Salariés</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66,2</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42,0</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57,8</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66,9</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45,4</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59,7</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200" w:firstLine="36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Auto-employés</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33,8</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58,0</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42,2</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33,1</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54,6</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40,3</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1"/>
              <w:rPr>
                <w:rFonts w:ascii="Garamond" w:eastAsia="Times New Roman" w:hAnsi="Garamond" w:cs="Calibri"/>
                <w:b/>
                <w:bCs/>
                <w:color w:val="000000"/>
                <w:sz w:val="18"/>
                <w:szCs w:val="18"/>
                <w:lang w:eastAsia="en-US"/>
              </w:rPr>
            </w:pPr>
            <w:r w:rsidRPr="00CD14B1">
              <w:rPr>
                <w:rFonts w:ascii="Garamond" w:eastAsia="Times New Roman" w:hAnsi="Garamond" w:cs="Calibri"/>
                <w:b/>
                <w:bCs/>
                <w:color w:val="000000"/>
                <w:sz w:val="18"/>
                <w:szCs w:val="18"/>
                <w:lang w:eastAsia="en-US"/>
              </w:rPr>
              <w:t>Population active occupée en sous-emploi</w:t>
            </w:r>
            <w:r w:rsidR="00397FD5">
              <w:rPr>
                <w:rFonts w:ascii="Garamond" w:eastAsia="Times New Roman" w:hAnsi="Garamond" w:cs="Calibri"/>
                <w:b/>
                <w:bCs/>
                <w:color w:val="000000"/>
                <w:sz w:val="18"/>
                <w:szCs w:val="18"/>
                <w:lang w:eastAsia="en-US"/>
              </w:rPr>
              <w:t xml:space="preserve"> (en milliers)</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CD14B1">
              <w:rPr>
                <w:rFonts w:ascii="Garamond" w:eastAsia="Times New Roman" w:hAnsi="Garamond" w:cs="Calibri"/>
                <w:b/>
                <w:bCs/>
                <w:color w:val="010205"/>
                <w:sz w:val="18"/>
                <w:szCs w:val="18"/>
                <w:lang w:eastAsia="en-US"/>
              </w:rPr>
              <w:t>552</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CD14B1">
              <w:rPr>
                <w:rFonts w:ascii="Garamond" w:eastAsia="Times New Roman" w:hAnsi="Garamond" w:cs="Calibri"/>
                <w:b/>
                <w:bCs/>
                <w:color w:val="010205"/>
                <w:sz w:val="18"/>
                <w:szCs w:val="18"/>
                <w:lang w:eastAsia="en-US"/>
              </w:rPr>
              <w:t>435</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CD14B1">
              <w:rPr>
                <w:rFonts w:ascii="Garamond" w:eastAsia="Times New Roman" w:hAnsi="Garamond" w:cs="Calibri"/>
                <w:b/>
                <w:bCs/>
                <w:color w:val="010205"/>
                <w:sz w:val="18"/>
                <w:szCs w:val="18"/>
                <w:lang w:eastAsia="en-US"/>
              </w:rPr>
              <w:t>988</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CD14B1">
              <w:rPr>
                <w:rFonts w:ascii="Garamond" w:eastAsia="Times New Roman" w:hAnsi="Garamond" w:cs="Calibri"/>
                <w:b/>
                <w:bCs/>
                <w:color w:val="010205"/>
                <w:sz w:val="18"/>
                <w:szCs w:val="18"/>
                <w:lang w:eastAsia="en-US"/>
              </w:rPr>
              <w:t>521</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CD14B1">
              <w:rPr>
                <w:rFonts w:ascii="Garamond" w:eastAsia="Times New Roman" w:hAnsi="Garamond" w:cs="Calibri"/>
                <w:b/>
                <w:bCs/>
                <w:color w:val="010205"/>
                <w:sz w:val="18"/>
                <w:szCs w:val="18"/>
                <w:lang w:eastAsia="en-US"/>
              </w:rPr>
              <w:t>466</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CD14B1">
              <w:rPr>
                <w:rFonts w:ascii="Garamond" w:eastAsia="Times New Roman" w:hAnsi="Garamond" w:cs="Calibri"/>
                <w:b/>
                <w:bCs/>
                <w:color w:val="010205"/>
                <w:sz w:val="18"/>
                <w:szCs w:val="18"/>
                <w:lang w:eastAsia="en-US"/>
              </w:rPr>
              <w:t>987</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Taux de sous-emploi</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8,9</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9,6</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9,2</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8,3</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10,6</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9,2</w:t>
            </w:r>
          </w:p>
        </w:tc>
      </w:tr>
      <w:tr w:rsidR="007A5C49" w:rsidRPr="00CD14B1" w:rsidTr="003A6941">
        <w:trPr>
          <w:trHeight w:val="300"/>
          <w:jc w:val="center"/>
        </w:trPr>
        <w:tc>
          <w:tcPr>
            <w:tcW w:w="9776"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7A5C49" w:rsidRPr="00CD14B1" w:rsidRDefault="007A5C49" w:rsidP="007A5C49">
            <w:pPr>
              <w:spacing w:line="240" w:lineRule="auto"/>
              <w:ind w:firstLineChars="200" w:firstLine="360"/>
              <w:rPr>
                <w:rFonts w:ascii="Garamond" w:eastAsia="Times New Roman" w:hAnsi="Garamond" w:cs="Calibri"/>
                <w:i/>
                <w:iCs/>
                <w:color w:val="000000"/>
                <w:sz w:val="18"/>
                <w:szCs w:val="18"/>
                <w:lang w:eastAsia="en-US"/>
              </w:rPr>
            </w:pPr>
            <w:r w:rsidRPr="00CD14B1">
              <w:rPr>
                <w:rFonts w:ascii="Garamond" w:eastAsia="Times New Roman" w:hAnsi="Garamond" w:cs="Calibri"/>
                <w:i/>
                <w:iCs/>
                <w:color w:val="000000"/>
                <w:sz w:val="18"/>
                <w:szCs w:val="18"/>
                <w:lang w:eastAsia="en-US"/>
              </w:rPr>
              <w:t>• Selon la forme de sous-emploi</w:t>
            </w:r>
          </w:p>
        </w:tc>
      </w:tr>
      <w:tr w:rsidR="007A5C49" w:rsidRPr="00CD14B1" w:rsidTr="003A6941">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400" w:firstLine="72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Sous-emploi visible (lié à la durée de travail)</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4,0</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4,5</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4,2</w:t>
            </w:r>
          </w:p>
        </w:tc>
        <w:tc>
          <w:tcPr>
            <w:tcW w:w="993"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3,6</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5,9</w:t>
            </w:r>
          </w:p>
        </w:tc>
        <w:tc>
          <w:tcPr>
            <w:tcW w:w="992" w:type="dxa"/>
            <w:tcBorders>
              <w:top w:val="nil"/>
              <w:left w:val="nil"/>
              <w:bottom w:val="single" w:sz="4" w:space="0" w:color="auto"/>
              <w:right w:val="single" w:sz="4" w:space="0" w:color="auto"/>
            </w:tcBorders>
            <w:shd w:val="clear" w:color="auto" w:fill="auto"/>
            <w:noWrap/>
            <w:hideMark/>
          </w:tcPr>
          <w:p w:rsidR="007A5C49" w:rsidRPr="00CD14B1"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4,5</w:t>
            </w:r>
          </w:p>
        </w:tc>
      </w:tr>
      <w:tr w:rsidR="007A5C49" w:rsidRPr="00CD14B1" w:rsidTr="003A6941">
        <w:trPr>
          <w:trHeight w:val="520"/>
          <w:jc w:val="center"/>
        </w:trPr>
        <w:tc>
          <w:tcPr>
            <w:tcW w:w="3823" w:type="dxa"/>
            <w:tcBorders>
              <w:top w:val="nil"/>
              <w:left w:val="single" w:sz="4" w:space="0" w:color="auto"/>
              <w:bottom w:val="single" w:sz="4" w:space="0" w:color="auto"/>
              <w:right w:val="single" w:sz="4" w:space="0" w:color="auto"/>
            </w:tcBorders>
            <w:shd w:val="clear" w:color="auto" w:fill="auto"/>
            <w:hideMark/>
          </w:tcPr>
          <w:p w:rsidR="007A5C49" w:rsidRPr="00CD14B1" w:rsidRDefault="007A5C49" w:rsidP="007A5C49">
            <w:pPr>
              <w:spacing w:line="240" w:lineRule="auto"/>
              <w:ind w:firstLineChars="400" w:firstLine="720"/>
              <w:rPr>
                <w:rFonts w:ascii="Garamond" w:eastAsia="Times New Roman" w:hAnsi="Garamond" w:cs="Calibri"/>
                <w:color w:val="000000"/>
                <w:sz w:val="18"/>
                <w:szCs w:val="18"/>
                <w:lang w:eastAsia="en-US"/>
              </w:rPr>
            </w:pPr>
            <w:r w:rsidRPr="00CD14B1">
              <w:rPr>
                <w:rFonts w:ascii="Garamond" w:eastAsia="Times New Roman" w:hAnsi="Garamond" w:cs="Calibri"/>
                <w:color w:val="000000"/>
                <w:sz w:val="18"/>
                <w:szCs w:val="18"/>
                <w:lang w:eastAsia="en-US"/>
              </w:rPr>
              <w:t>Sous-emploi invisible (lié aux revenus d'activité et à l'adéquation formation-emploi)</w:t>
            </w:r>
          </w:p>
        </w:tc>
        <w:tc>
          <w:tcPr>
            <w:tcW w:w="992" w:type="dxa"/>
            <w:tcBorders>
              <w:top w:val="nil"/>
              <w:left w:val="nil"/>
              <w:bottom w:val="single" w:sz="4" w:space="0" w:color="auto"/>
              <w:right w:val="single" w:sz="4" w:space="0" w:color="auto"/>
            </w:tcBorders>
            <w:shd w:val="clear" w:color="auto" w:fill="auto"/>
            <w:noWrap/>
            <w:vAlign w:val="bottom"/>
            <w:hideMark/>
          </w:tcPr>
          <w:p w:rsidR="007A5C49" w:rsidRPr="00CD14B1" w:rsidRDefault="007A5C49" w:rsidP="007A5C49">
            <w:pPr>
              <w:spacing w:line="240" w:lineRule="auto"/>
              <w:ind w:firstLineChars="100" w:firstLine="180"/>
              <w:jc w:val="right"/>
              <w:rPr>
                <w:rFonts w:ascii="Garamond" w:eastAsia="Times New Roman" w:hAnsi="Garamond" w:cs="Calibri"/>
                <w:color w:val="010205"/>
                <w:sz w:val="18"/>
                <w:szCs w:val="18"/>
                <w:lang w:eastAsia="en-US"/>
              </w:rPr>
            </w:pPr>
            <w:r w:rsidRPr="00CD14B1">
              <w:rPr>
                <w:rFonts w:ascii="Garamond" w:eastAsia="Times New Roman" w:hAnsi="Garamond" w:cs="Calibri"/>
                <w:color w:val="010205"/>
                <w:sz w:val="18"/>
                <w:szCs w:val="18"/>
                <w:lang w:eastAsia="en-US"/>
              </w:rPr>
              <w:t>4,9</w:t>
            </w:r>
          </w:p>
        </w:tc>
        <w:tc>
          <w:tcPr>
            <w:tcW w:w="992" w:type="dxa"/>
            <w:tcBorders>
              <w:top w:val="nil"/>
              <w:left w:val="nil"/>
              <w:bottom w:val="single" w:sz="4" w:space="0" w:color="auto"/>
              <w:right w:val="single" w:sz="4" w:space="0" w:color="auto"/>
            </w:tcBorders>
            <w:shd w:val="clear" w:color="auto" w:fill="auto"/>
            <w:noWrap/>
            <w:vAlign w:val="bottom"/>
            <w:hideMark/>
          </w:tcPr>
          <w:p w:rsidR="007A5C49" w:rsidRPr="00CD14B1" w:rsidRDefault="007A5C49" w:rsidP="007A5C49">
            <w:pPr>
              <w:spacing w:line="240" w:lineRule="auto"/>
              <w:ind w:firstLineChars="100" w:firstLine="180"/>
              <w:jc w:val="right"/>
              <w:rPr>
                <w:rFonts w:ascii="Garamond" w:eastAsia="Times New Roman" w:hAnsi="Garamond" w:cs="Calibri"/>
                <w:color w:val="010205"/>
                <w:sz w:val="18"/>
                <w:szCs w:val="18"/>
                <w:lang w:eastAsia="en-US"/>
              </w:rPr>
            </w:pPr>
            <w:r w:rsidRPr="00CD14B1">
              <w:rPr>
                <w:rFonts w:ascii="Garamond" w:eastAsia="Times New Roman" w:hAnsi="Garamond" w:cs="Calibri"/>
                <w:color w:val="010205"/>
                <w:sz w:val="18"/>
                <w:szCs w:val="18"/>
                <w:lang w:eastAsia="en-US"/>
              </w:rPr>
              <w:t>5,1</w:t>
            </w:r>
          </w:p>
        </w:tc>
        <w:tc>
          <w:tcPr>
            <w:tcW w:w="992" w:type="dxa"/>
            <w:tcBorders>
              <w:top w:val="nil"/>
              <w:left w:val="nil"/>
              <w:bottom w:val="single" w:sz="4" w:space="0" w:color="auto"/>
              <w:right w:val="single" w:sz="4" w:space="0" w:color="auto"/>
            </w:tcBorders>
            <w:shd w:val="clear" w:color="auto" w:fill="auto"/>
            <w:noWrap/>
            <w:vAlign w:val="bottom"/>
            <w:hideMark/>
          </w:tcPr>
          <w:p w:rsidR="007A5C49" w:rsidRPr="00CD14B1" w:rsidRDefault="007A5C49" w:rsidP="007A5C49">
            <w:pPr>
              <w:spacing w:line="240" w:lineRule="auto"/>
              <w:ind w:firstLineChars="100" w:firstLine="180"/>
              <w:jc w:val="right"/>
              <w:rPr>
                <w:rFonts w:ascii="Garamond" w:eastAsia="Times New Roman" w:hAnsi="Garamond" w:cs="Calibri"/>
                <w:color w:val="010205"/>
                <w:sz w:val="18"/>
                <w:szCs w:val="18"/>
                <w:lang w:eastAsia="en-US"/>
              </w:rPr>
            </w:pPr>
            <w:r w:rsidRPr="00CD14B1">
              <w:rPr>
                <w:rFonts w:ascii="Garamond" w:eastAsia="Times New Roman" w:hAnsi="Garamond" w:cs="Calibri"/>
                <w:color w:val="010205"/>
                <w:sz w:val="18"/>
                <w:szCs w:val="18"/>
                <w:lang w:eastAsia="en-US"/>
              </w:rPr>
              <w:t>5,0</w:t>
            </w:r>
          </w:p>
        </w:tc>
        <w:tc>
          <w:tcPr>
            <w:tcW w:w="993" w:type="dxa"/>
            <w:tcBorders>
              <w:top w:val="nil"/>
              <w:left w:val="nil"/>
              <w:bottom w:val="single" w:sz="4" w:space="0" w:color="auto"/>
              <w:right w:val="single" w:sz="4" w:space="0" w:color="auto"/>
            </w:tcBorders>
            <w:shd w:val="clear" w:color="auto" w:fill="auto"/>
            <w:noWrap/>
            <w:vAlign w:val="bottom"/>
            <w:hideMark/>
          </w:tcPr>
          <w:p w:rsidR="007A5C49" w:rsidRPr="00CD14B1" w:rsidRDefault="007A5C49" w:rsidP="007A5C49">
            <w:pPr>
              <w:spacing w:line="240" w:lineRule="auto"/>
              <w:ind w:firstLineChars="100" w:firstLine="180"/>
              <w:jc w:val="right"/>
              <w:rPr>
                <w:rFonts w:ascii="Garamond" w:eastAsia="Times New Roman" w:hAnsi="Garamond" w:cs="Calibri"/>
                <w:color w:val="010205"/>
                <w:sz w:val="18"/>
                <w:szCs w:val="18"/>
                <w:lang w:eastAsia="en-US"/>
              </w:rPr>
            </w:pPr>
            <w:r w:rsidRPr="00CD14B1">
              <w:rPr>
                <w:rFonts w:ascii="Garamond" w:eastAsia="Times New Roman" w:hAnsi="Garamond" w:cs="Calibri"/>
                <w:color w:val="010205"/>
                <w:sz w:val="18"/>
                <w:szCs w:val="18"/>
                <w:lang w:eastAsia="en-US"/>
              </w:rPr>
              <w:t>4,7</w:t>
            </w:r>
          </w:p>
        </w:tc>
        <w:tc>
          <w:tcPr>
            <w:tcW w:w="992" w:type="dxa"/>
            <w:tcBorders>
              <w:top w:val="nil"/>
              <w:left w:val="nil"/>
              <w:bottom w:val="single" w:sz="4" w:space="0" w:color="auto"/>
              <w:right w:val="single" w:sz="4" w:space="0" w:color="auto"/>
            </w:tcBorders>
            <w:shd w:val="clear" w:color="auto" w:fill="auto"/>
            <w:noWrap/>
            <w:vAlign w:val="bottom"/>
            <w:hideMark/>
          </w:tcPr>
          <w:p w:rsidR="007A5C49" w:rsidRPr="00CD14B1" w:rsidRDefault="007A5C49" w:rsidP="007A5C49">
            <w:pPr>
              <w:spacing w:line="240" w:lineRule="auto"/>
              <w:ind w:firstLineChars="100" w:firstLine="180"/>
              <w:jc w:val="right"/>
              <w:rPr>
                <w:rFonts w:ascii="Garamond" w:eastAsia="Times New Roman" w:hAnsi="Garamond" w:cs="Calibri"/>
                <w:color w:val="010205"/>
                <w:sz w:val="18"/>
                <w:szCs w:val="18"/>
                <w:lang w:eastAsia="en-US"/>
              </w:rPr>
            </w:pPr>
            <w:r w:rsidRPr="00CD14B1">
              <w:rPr>
                <w:rFonts w:ascii="Garamond" w:eastAsia="Times New Roman" w:hAnsi="Garamond" w:cs="Calibri"/>
                <w:color w:val="010205"/>
                <w:sz w:val="18"/>
                <w:szCs w:val="18"/>
                <w:lang w:eastAsia="en-US"/>
              </w:rPr>
              <w:t>4,7</w:t>
            </w:r>
          </w:p>
        </w:tc>
        <w:tc>
          <w:tcPr>
            <w:tcW w:w="992" w:type="dxa"/>
            <w:tcBorders>
              <w:top w:val="nil"/>
              <w:left w:val="nil"/>
              <w:bottom w:val="single" w:sz="4" w:space="0" w:color="auto"/>
              <w:right w:val="single" w:sz="4" w:space="0" w:color="auto"/>
            </w:tcBorders>
            <w:shd w:val="clear" w:color="auto" w:fill="auto"/>
            <w:noWrap/>
            <w:vAlign w:val="bottom"/>
            <w:hideMark/>
          </w:tcPr>
          <w:p w:rsidR="007A5C49" w:rsidRPr="00CD14B1" w:rsidRDefault="007A5C49" w:rsidP="007A5C49">
            <w:pPr>
              <w:spacing w:line="240" w:lineRule="auto"/>
              <w:ind w:firstLineChars="100" w:firstLine="180"/>
              <w:jc w:val="right"/>
              <w:rPr>
                <w:rFonts w:ascii="Garamond" w:eastAsia="Times New Roman" w:hAnsi="Garamond" w:cs="Calibri"/>
                <w:color w:val="010205"/>
                <w:sz w:val="18"/>
                <w:szCs w:val="18"/>
                <w:lang w:eastAsia="en-US"/>
              </w:rPr>
            </w:pPr>
            <w:r w:rsidRPr="00CD14B1">
              <w:rPr>
                <w:rFonts w:ascii="Garamond" w:eastAsia="Times New Roman" w:hAnsi="Garamond" w:cs="Calibri"/>
                <w:color w:val="010205"/>
                <w:sz w:val="18"/>
                <w:szCs w:val="18"/>
                <w:lang w:eastAsia="en-US"/>
              </w:rPr>
              <w:t>4,7</w:t>
            </w:r>
          </w:p>
        </w:tc>
      </w:tr>
    </w:tbl>
    <w:p w:rsidR="007A5C49" w:rsidRDefault="007A5C49" w:rsidP="007A5C49">
      <w:pPr>
        <w:jc w:val="both"/>
        <w:rPr>
          <w:rFonts w:ascii="Book Antiqua" w:eastAsia="Book Antiqua" w:hAnsi="Book Antiqua" w:cs="Book Antiqua"/>
        </w:rPr>
      </w:pPr>
    </w:p>
    <w:p w:rsidR="007A5C49" w:rsidRDefault="007A5C49" w:rsidP="007A5C49">
      <w:pPr>
        <w:jc w:val="both"/>
        <w:rPr>
          <w:rFonts w:ascii="Book Antiqua" w:eastAsia="Book Antiqua" w:hAnsi="Book Antiqua" w:cs="Book Antiqua"/>
        </w:rPr>
      </w:pPr>
    </w:p>
    <w:p w:rsidR="007A5C49" w:rsidRDefault="007A5C49">
      <w:pPr>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br w:type="page"/>
      </w:r>
    </w:p>
    <w:p w:rsidR="007A5C49" w:rsidRDefault="007A5C49" w:rsidP="007A5C49">
      <w:pPr>
        <w:jc w:val="both"/>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lastRenderedPageBreak/>
        <w:t>Tableau 1 : Indicateurs trimestriels d'activité, d’emploi et de chômage par milieu de résidence (suite)</w:t>
      </w:r>
    </w:p>
    <w:p w:rsidR="007A5C49" w:rsidRDefault="007A5C49" w:rsidP="007A5C49">
      <w:pPr>
        <w:jc w:val="both"/>
        <w:rPr>
          <w:rFonts w:ascii="Book Antiqua" w:eastAsia="Book Antiqua" w:hAnsi="Book Antiqua" w:cs="Book Antiqua"/>
          <w:b/>
          <w:color w:val="0070C0"/>
          <w:sz w:val="20"/>
          <w:szCs w:val="20"/>
        </w:rPr>
      </w:pPr>
    </w:p>
    <w:tbl>
      <w:tblPr>
        <w:tblW w:w="9313" w:type="dxa"/>
        <w:jc w:val="center"/>
        <w:tblLook w:val="04A0"/>
      </w:tblPr>
      <w:tblGrid>
        <w:gridCol w:w="38"/>
        <w:gridCol w:w="3300"/>
        <w:gridCol w:w="991"/>
        <w:gridCol w:w="991"/>
        <w:gridCol w:w="992"/>
        <w:gridCol w:w="991"/>
        <w:gridCol w:w="991"/>
        <w:gridCol w:w="993"/>
        <w:gridCol w:w="26"/>
      </w:tblGrid>
      <w:tr w:rsidR="007A5C49" w:rsidRPr="00D810F2" w:rsidTr="003A6941">
        <w:trPr>
          <w:gridAfter w:val="1"/>
          <w:wAfter w:w="27" w:type="dxa"/>
          <w:trHeight w:val="278"/>
          <w:jc w:val="center"/>
        </w:trPr>
        <w:tc>
          <w:tcPr>
            <w:tcW w:w="333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5C49" w:rsidRPr="00D810F2" w:rsidRDefault="007A5C49" w:rsidP="007A5C49">
            <w:pPr>
              <w:bidi/>
              <w:spacing w:line="240" w:lineRule="auto"/>
              <w:rPr>
                <w:rFonts w:ascii="Garamond" w:eastAsia="Times New Roman" w:hAnsi="Garamond" w:cs="Calibri"/>
                <w:b/>
                <w:bCs/>
                <w:color w:val="000000"/>
                <w:sz w:val="18"/>
                <w:szCs w:val="18"/>
                <w:lang w:eastAsia="en-US"/>
              </w:rPr>
            </w:pPr>
            <w:r w:rsidRPr="00D810F2">
              <w:rPr>
                <w:rFonts w:ascii="Garamond" w:eastAsia="Times New Roman" w:hAnsi="Garamond" w:cs="Calibri"/>
                <w:b/>
                <w:bCs/>
                <w:color w:val="000000"/>
                <w:sz w:val="18"/>
                <w:szCs w:val="18"/>
                <w:rtl/>
                <w:lang w:eastAsia="en-US"/>
              </w:rPr>
              <w:t> </w:t>
            </w:r>
          </w:p>
        </w:tc>
        <w:tc>
          <w:tcPr>
            <w:tcW w:w="2974" w:type="dxa"/>
            <w:gridSpan w:val="3"/>
            <w:tcBorders>
              <w:top w:val="single" w:sz="4" w:space="0" w:color="auto"/>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jc w:val="center"/>
              <w:rPr>
                <w:rFonts w:ascii="Garamond" w:eastAsia="Times New Roman" w:hAnsi="Garamond" w:cs="Calibri"/>
                <w:b/>
                <w:bCs/>
                <w:color w:val="000000"/>
                <w:sz w:val="18"/>
                <w:szCs w:val="18"/>
                <w:rtl/>
                <w:lang w:eastAsia="en-US"/>
              </w:rPr>
            </w:pPr>
            <w:r w:rsidRPr="00D810F2">
              <w:rPr>
                <w:rFonts w:ascii="Garamond" w:eastAsia="Times New Roman" w:hAnsi="Garamond" w:cs="Calibri"/>
                <w:b/>
                <w:bCs/>
                <w:color w:val="000000"/>
                <w:sz w:val="18"/>
                <w:szCs w:val="18"/>
                <w:lang w:eastAsia="en-US"/>
              </w:rPr>
              <w:t>1er trimestre de 2021</w:t>
            </w:r>
          </w:p>
        </w:tc>
        <w:tc>
          <w:tcPr>
            <w:tcW w:w="2974" w:type="dxa"/>
            <w:gridSpan w:val="3"/>
            <w:tcBorders>
              <w:top w:val="single" w:sz="4" w:space="0" w:color="auto"/>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jc w:val="center"/>
              <w:rPr>
                <w:rFonts w:ascii="Garamond" w:eastAsia="Times New Roman" w:hAnsi="Garamond" w:cs="Calibri"/>
                <w:b/>
                <w:bCs/>
                <w:color w:val="000000"/>
                <w:sz w:val="18"/>
                <w:szCs w:val="18"/>
                <w:lang w:eastAsia="en-US"/>
              </w:rPr>
            </w:pPr>
            <w:r w:rsidRPr="00D810F2">
              <w:rPr>
                <w:rFonts w:ascii="Garamond" w:eastAsia="Times New Roman" w:hAnsi="Garamond" w:cs="Calibri"/>
                <w:b/>
                <w:bCs/>
                <w:color w:val="000000"/>
                <w:sz w:val="18"/>
                <w:szCs w:val="18"/>
                <w:lang w:eastAsia="en-US"/>
              </w:rPr>
              <w:t>1er trimestre de 2022</w:t>
            </w:r>
          </w:p>
        </w:tc>
      </w:tr>
      <w:tr w:rsidR="007A5C49" w:rsidRPr="00D810F2" w:rsidTr="003A6941">
        <w:trPr>
          <w:gridAfter w:val="1"/>
          <w:wAfter w:w="29" w:type="dxa"/>
          <w:trHeight w:val="278"/>
          <w:jc w:val="center"/>
        </w:trPr>
        <w:tc>
          <w:tcPr>
            <w:tcW w:w="3338" w:type="dxa"/>
            <w:gridSpan w:val="2"/>
            <w:vMerge/>
            <w:tcBorders>
              <w:top w:val="single" w:sz="4" w:space="0" w:color="auto"/>
              <w:left w:val="single" w:sz="4" w:space="0" w:color="auto"/>
              <w:bottom w:val="single" w:sz="4" w:space="0" w:color="auto"/>
              <w:right w:val="single" w:sz="4" w:space="0" w:color="auto"/>
            </w:tcBorders>
            <w:vAlign w:val="center"/>
            <w:hideMark/>
          </w:tcPr>
          <w:p w:rsidR="007A5C49" w:rsidRPr="00D810F2" w:rsidRDefault="007A5C49" w:rsidP="007A5C49">
            <w:pPr>
              <w:spacing w:line="240" w:lineRule="auto"/>
              <w:rPr>
                <w:rFonts w:ascii="Garamond" w:eastAsia="Times New Roman" w:hAnsi="Garamond" w:cs="Calibri"/>
                <w:b/>
                <w:bCs/>
                <w:color w:val="000000"/>
                <w:sz w:val="18"/>
                <w:szCs w:val="18"/>
                <w:lang w:eastAsia="en-US"/>
              </w:rPr>
            </w:pPr>
          </w:p>
        </w:tc>
        <w:tc>
          <w:tcPr>
            <w:tcW w:w="991" w:type="dxa"/>
            <w:tcBorders>
              <w:top w:val="nil"/>
              <w:left w:val="nil"/>
              <w:bottom w:val="single" w:sz="4" w:space="0" w:color="auto"/>
              <w:right w:val="single" w:sz="4" w:space="0" w:color="auto"/>
            </w:tcBorders>
            <w:shd w:val="clear" w:color="auto" w:fill="auto"/>
            <w:hideMark/>
          </w:tcPr>
          <w:p w:rsidR="007A5C49" w:rsidRPr="00D810F2" w:rsidRDefault="007A5C49" w:rsidP="007A5C49">
            <w:pPr>
              <w:bidi/>
              <w:spacing w:line="240" w:lineRule="auto"/>
              <w:jc w:val="center"/>
              <w:rPr>
                <w:rFonts w:ascii="Garamond" w:eastAsia="Times New Roman" w:hAnsi="Garamond" w:cs="Calibri"/>
                <w:b/>
                <w:bCs/>
                <w:color w:val="000000"/>
                <w:sz w:val="18"/>
                <w:szCs w:val="18"/>
                <w:lang w:eastAsia="en-US"/>
              </w:rPr>
            </w:pPr>
            <w:r w:rsidRPr="00D810F2">
              <w:rPr>
                <w:rFonts w:ascii="Garamond" w:eastAsia="Times New Roman" w:hAnsi="Garamond" w:cs="Calibri"/>
                <w:b/>
                <w:bCs/>
                <w:color w:val="000000"/>
                <w:sz w:val="18"/>
                <w:szCs w:val="18"/>
                <w:lang w:eastAsia="en-US"/>
              </w:rPr>
              <w:t>Urbain</w:t>
            </w:r>
          </w:p>
        </w:tc>
        <w:tc>
          <w:tcPr>
            <w:tcW w:w="991" w:type="dxa"/>
            <w:tcBorders>
              <w:top w:val="nil"/>
              <w:left w:val="nil"/>
              <w:bottom w:val="single" w:sz="4" w:space="0" w:color="auto"/>
              <w:right w:val="single" w:sz="4" w:space="0" w:color="auto"/>
            </w:tcBorders>
            <w:shd w:val="clear" w:color="auto" w:fill="auto"/>
            <w:hideMark/>
          </w:tcPr>
          <w:p w:rsidR="007A5C49" w:rsidRPr="00D810F2" w:rsidRDefault="007A5C49" w:rsidP="007A5C49">
            <w:pPr>
              <w:bidi/>
              <w:spacing w:line="240" w:lineRule="auto"/>
              <w:jc w:val="center"/>
              <w:rPr>
                <w:rFonts w:ascii="Garamond" w:eastAsia="Times New Roman" w:hAnsi="Garamond" w:cs="Calibri"/>
                <w:b/>
                <w:bCs/>
                <w:color w:val="000000"/>
                <w:sz w:val="18"/>
                <w:szCs w:val="18"/>
                <w:rtl/>
                <w:lang w:eastAsia="en-US"/>
              </w:rPr>
            </w:pPr>
            <w:r w:rsidRPr="00D810F2">
              <w:rPr>
                <w:rFonts w:ascii="Garamond" w:eastAsia="Times New Roman" w:hAnsi="Garamond" w:cs="Calibri"/>
                <w:b/>
                <w:bCs/>
                <w:color w:val="000000"/>
                <w:sz w:val="18"/>
                <w:szCs w:val="18"/>
                <w:lang w:eastAsia="en-US"/>
              </w:rPr>
              <w:t>Rural</w:t>
            </w:r>
          </w:p>
        </w:tc>
        <w:tc>
          <w:tcPr>
            <w:tcW w:w="991" w:type="dxa"/>
            <w:tcBorders>
              <w:top w:val="nil"/>
              <w:left w:val="nil"/>
              <w:bottom w:val="single" w:sz="4" w:space="0" w:color="auto"/>
              <w:right w:val="single" w:sz="4" w:space="0" w:color="auto"/>
            </w:tcBorders>
            <w:shd w:val="clear" w:color="auto" w:fill="auto"/>
            <w:hideMark/>
          </w:tcPr>
          <w:p w:rsidR="007A5C49" w:rsidRPr="00D810F2" w:rsidRDefault="007A5C49" w:rsidP="007A5C49">
            <w:pPr>
              <w:bidi/>
              <w:spacing w:line="240" w:lineRule="auto"/>
              <w:jc w:val="center"/>
              <w:rPr>
                <w:rFonts w:ascii="Garamond" w:eastAsia="Times New Roman" w:hAnsi="Garamond" w:cs="Calibri"/>
                <w:b/>
                <w:bCs/>
                <w:color w:val="000000"/>
                <w:sz w:val="18"/>
                <w:szCs w:val="18"/>
                <w:rtl/>
                <w:lang w:eastAsia="en-US"/>
              </w:rPr>
            </w:pPr>
            <w:r w:rsidRPr="00D810F2">
              <w:rPr>
                <w:rFonts w:ascii="Garamond" w:eastAsia="Times New Roman" w:hAnsi="Garamond" w:cs="Calibri"/>
                <w:b/>
                <w:bCs/>
                <w:color w:val="000000"/>
                <w:sz w:val="18"/>
                <w:szCs w:val="18"/>
                <w:lang w:eastAsia="en-US"/>
              </w:rPr>
              <w:t>Ensemble</w:t>
            </w:r>
          </w:p>
        </w:tc>
        <w:tc>
          <w:tcPr>
            <w:tcW w:w="991" w:type="dxa"/>
            <w:tcBorders>
              <w:top w:val="nil"/>
              <w:left w:val="nil"/>
              <w:bottom w:val="single" w:sz="4" w:space="0" w:color="auto"/>
              <w:right w:val="single" w:sz="4" w:space="0" w:color="auto"/>
            </w:tcBorders>
            <w:shd w:val="clear" w:color="auto" w:fill="auto"/>
            <w:hideMark/>
          </w:tcPr>
          <w:p w:rsidR="007A5C49" w:rsidRPr="00D810F2" w:rsidRDefault="007A5C49" w:rsidP="007A5C49">
            <w:pPr>
              <w:bidi/>
              <w:spacing w:line="240" w:lineRule="auto"/>
              <w:jc w:val="center"/>
              <w:rPr>
                <w:rFonts w:ascii="Garamond" w:eastAsia="Times New Roman" w:hAnsi="Garamond" w:cs="Calibri"/>
                <w:b/>
                <w:bCs/>
                <w:color w:val="000000"/>
                <w:sz w:val="18"/>
                <w:szCs w:val="18"/>
                <w:rtl/>
                <w:lang w:eastAsia="en-US"/>
              </w:rPr>
            </w:pPr>
            <w:r w:rsidRPr="00D810F2">
              <w:rPr>
                <w:rFonts w:ascii="Garamond" w:eastAsia="Times New Roman" w:hAnsi="Garamond" w:cs="Calibri"/>
                <w:b/>
                <w:bCs/>
                <w:color w:val="000000"/>
                <w:sz w:val="18"/>
                <w:szCs w:val="18"/>
                <w:lang w:eastAsia="en-US"/>
              </w:rPr>
              <w:t>Urbain</w:t>
            </w:r>
          </w:p>
        </w:tc>
        <w:tc>
          <w:tcPr>
            <w:tcW w:w="991" w:type="dxa"/>
            <w:tcBorders>
              <w:top w:val="nil"/>
              <w:left w:val="nil"/>
              <w:bottom w:val="single" w:sz="4" w:space="0" w:color="auto"/>
              <w:right w:val="single" w:sz="4" w:space="0" w:color="auto"/>
            </w:tcBorders>
            <w:shd w:val="clear" w:color="auto" w:fill="auto"/>
            <w:hideMark/>
          </w:tcPr>
          <w:p w:rsidR="007A5C49" w:rsidRPr="00D810F2" w:rsidRDefault="007A5C49" w:rsidP="007A5C49">
            <w:pPr>
              <w:bidi/>
              <w:spacing w:line="240" w:lineRule="auto"/>
              <w:jc w:val="center"/>
              <w:rPr>
                <w:rFonts w:ascii="Garamond" w:eastAsia="Times New Roman" w:hAnsi="Garamond" w:cs="Calibri"/>
                <w:b/>
                <w:bCs/>
                <w:color w:val="000000"/>
                <w:sz w:val="18"/>
                <w:szCs w:val="18"/>
                <w:rtl/>
                <w:lang w:eastAsia="en-US"/>
              </w:rPr>
            </w:pPr>
            <w:r w:rsidRPr="00D810F2">
              <w:rPr>
                <w:rFonts w:ascii="Garamond" w:eastAsia="Times New Roman" w:hAnsi="Garamond" w:cs="Calibri"/>
                <w:b/>
                <w:bCs/>
                <w:color w:val="000000"/>
                <w:sz w:val="18"/>
                <w:szCs w:val="18"/>
                <w:lang w:eastAsia="en-US"/>
              </w:rPr>
              <w:t>Rural</w:t>
            </w:r>
          </w:p>
        </w:tc>
        <w:tc>
          <w:tcPr>
            <w:tcW w:w="991" w:type="dxa"/>
            <w:tcBorders>
              <w:top w:val="nil"/>
              <w:left w:val="nil"/>
              <w:bottom w:val="single" w:sz="4" w:space="0" w:color="auto"/>
              <w:right w:val="single" w:sz="4" w:space="0" w:color="auto"/>
            </w:tcBorders>
            <w:shd w:val="clear" w:color="auto" w:fill="auto"/>
            <w:hideMark/>
          </w:tcPr>
          <w:p w:rsidR="007A5C49" w:rsidRPr="00D810F2" w:rsidRDefault="007A5C49" w:rsidP="007A5C49">
            <w:pPr>
              <w:bidi/>
              <w:spacing w:line="240" w:lineRule="auto"/>
              <w:jc w:val="center"/>
              <w:rPr>
                <w:rFonts w:ascii="Garamond" w:eastAsia="Times New Roman" w:hAnsi="Garamond" w:cs="Calibri"/>
                <w:b/>
                <w:bCs/>
                <w:color w:val="000000"/>
                <w:sz w:val="18"/>
                <w:szCs w:val="18"/>
                <w:rtl/>
                <w:lang w:eastAsia="en-US"/>
              </w:rPr>
            </w:pPr>
            <w:r w:rsidRPr="00D810F2">
              <w:rPr>
                <w:rFonts w:ascii="Garamond" w:eastAsia="Times New Roman" w:hAnsi="Garamond" w:cs="Calibri"/>
                <w:b/>
                <w:bCs/>
                <w:color w:val="000000"/>
                <w:sz w:val="18"/>
                <w:szCs w:val="18"/>
                <w:lang w:eastAsia="en-US"/>
              </w:rPr>
              <w:t>Ensemble</w:t>
            </w:r>
          </w:p>
        </w:tc>
      </w:tr>
      <w:tr w:rsidR="007A5C49" w:rsidRPr="00D810F2" w:rsidTr="003A6941">
        <w:trPr>
          <w:gridAfter w:val="1"/>
          <w:wAfter w:w="26" w:type="dxa"/>
          <w:trHeight w:val="278"/>
          <w:jc w:val="center"/>
        </w:trPr>
        <w:tc>
          <w:tcPr>
            <w:tcW w:w="9287"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7A5C49" w:rsidRPr="00D810F2" w:rsidRDefault="007A5C49" w:rsidP="007A5C49">
            <w:pPr>
              <w:spacing w:line="240" w:lineRule="auto"/>
              <w:rPr>
                <w:rFonts w:ascii="Garamond" w:eastAsia="Times New Roman" w:hAnsi="Garamond" w:cs="Calibri"/>
                <w:b/>
                <w:bCs/>
                <w:color w:val="1F497D"/>
                <w:sz w:val="18"/>
                <w:szCs w:val="18"/>
                <w:rtl/>
                <w:lang w:eastAsia="en-US"/>
              </w:rPr>
            </w:pPr>
            <w:r w:rsidRPr="00D810F2">
              <w:rPr>
                <w:rFonts w:ascii="Garamond" w:eastAsia="Times New Roman" w:hAnsi="Garamond" w:cs="Calibri"/>
                <w:b/>
                <w:bCs/>
                <w:color w:val="1F497D"/>
                <w:sz w:val="18"/>
                <w:szCs w:val="18"/>
                <w:lang w:eastAsia="en-US"/>
              </w:rPr>
              <w:t>Chômage</w:t>
            </w:r>
          </w:p>
        </w:tc>
      </w:tr>
      <w:tr w:rsidR="007A5C49" w:rsidRPr="00D810F2" w:rsidTr="003A6941">
        <w:trPr>
          <w:gridAfter w:val="1"/>
          <w:wAfter w:w="29" w:type="dxa"/>
          <w:trHeight w:val="278"/>
          <w:jc w:val="center"/>
        </w:trPr>
        <w:tc>
          <w:tcPr>
            <w:tcW w:w="3338" w:type="dxa"/>
            <w:gridSpan w:val="2"/>
            <w:tcBorders>
              <w:top w:val="nil"/>
              <w:left w:val="single" w:sz="4" w:space="0" w:color="auto"/>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1"/>
              <w:rPr>
                <w:rFonts w:ascii="Garamond" w:eastAsia="Times New Roman" w:hAnsi="Garamond" w:cs="Calibri"/>
                <w:b/>
                <w:bCs/>
                <w:color w:val="000000"/>
                <w:sz w:val="18"/>
                <w:szCs w:val="18"/>
                <w:lang w:eastAsia="en-US"/>
              </w:rPr>
            </w:pPr>
            <w:r w:rsidRPr="00D810F2">
              <w:rPr>
                <w:rFonts w:ascii="Garamond" w:eastAsia="Times New Roman" w:hAnsi="Garamond" w:cs="Calibri"/>
                <w:b/>
                <w:bCs/>
                <w:color w:val="000000"/>
                <w:sz w:val="18"/>
                <w:szCs w:val="18"/>
                <w:lang w:eastAsia="en-US"/>
              </w:rPr>
              <w:t>Population active en chômage</w:t>
            </w:r>
            <w:r w:rsidR="00397FD5">
              <w:rPr>
                <w:rFonts w:ascii="Garamond" w:eastAsia="Times New Roman" w:hAnsi="Garamond" w:cs="Calibri"/>
                <w:b/>
                <w:bCs/>
                <w:color w:val="000000"/>
                <w:sz w:val="18"/>
                <w:szCs w:val="18"/>
                <w:lang w:eastAsia="en-US"/>
              </w:rPr>
              <w:t xml:space="preserve"> (en milliers)</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D810F2">
              <w:rPr>
                <w:rFonts w:ascii="Garamond" w:eastAsia="Times New Roman" w:hAnsi="Garamond" w:cs="Calibri"/>
                <w:b/>
                <w:bCs/>
                <w:color w:val="010205"/>
                <w:sz w:val="18"/>
                <w:szCs w:val="18"/>
                <w:lang w:eastAsia="en-US"/>
              </w:rPr>
              <w:t>1.281</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D810F2">
              <w:rPr>
                <w:rFonts w:ascii="Garamond" w:eastAsia="Times New Roman" w:hAnsi="Garamond" w:cs="Calibri"/>
                <w:b/>
                <w:bCs/>
                <w:color w:val="010205"/>
                <w:sz w:val="18"/>
                <w:szCs w:val="18"/>
                <w:lang w:eastAsia="en-US"/>
              </w:rPr>
              <w:t>253</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D810F2">
              <w:rPr>
                <w:rFonts w:ascii="Garamond" w:eastAsia="Times New Roman" w:hAnsi="Garamond" w:cs="Calibri"/>
                <w:b/>
                <w:bCs/>
                <w:color w:val="010205"/>
                <w:sz w:val="18"/>
                <w:szCs w:val="18"/>
                <w:lang w:eastAsia="en-US"/>
              </w:rPr>
              <w:t>1.534</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D810F2">
              <w:rPr>
                <w:rFonts w:ascii="Garamond" w:eastAsia="Times New Roman" w:hAnsi="Garamond" w:cs="Calibri"/>
                <w:b/>
                <w:bCs/>
                <w:color w:val="010205"/>
                <w:sz w:val="18"/>
                <w:szCs w:val="18"/>
                <w:lang w:eastAsia="en-US"/>
              </w:rPr>
              <w:t>1.229</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D810F2">
              <w:rPr>
                <w:rFonts w:ascii="Garamond" w:eastAsia="Times New Roman" w:hAnsi="Garamond" w:cs="Calibri"/>
                <w:b/>
                <w:bCs/>
                <w:color w:val="010205"/>
                <w:sz w:val="18"/>
                <w:szCs w:val="18"/>
                <w:lang w:eastAsia="en-US"/>
              </w:rPr>
              <w:t>237</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1"/>
              <w:jc w:val="right"/>
              <w:rPr>
                <w:rFonts w:ascii="Garamond" w:eastAsia="Times New Roman" w:hAnsi="Garamond" w:cs="Calibri"/>
                <w:b/>
                <w:bCs/>
                <w:color w:val="010205"/>
                <w:sz w:val="18"/>
                <w:szCs w:val="18"/>
                <w:lang w:eastAsia="en-US"/>
              </w:rPr>
            </w:pPr>
            <w:r w:rsidRPr="00D810F2">
              <w:rPr>
                <w:rFonts w:ascii="Garamond" w:eastAsia="Times New Roman" w:hAnsi="Garamond" w:cs="Calibri"/>
                <w:b/>
                <w:bCs/>
                <w:color w:val="010205"/>
                <w:sz w:val="18"/>
                <w:szCs w:val="18"/>
                <w:lang w:eastAsia="en-US"/>
              </w:rPr>
              <w:t>1.466</w:t>
            </w:r>
          </w:p>
        </w:tc>
      </w:tr>
      <w:tr w:rsidR="007A5C49" w:rsidRPr="00D810F2" w:rsidTr="003A6941">
        <w:trPr>
          <w:gridAfter w:val="1"/>
          <w:wAfter w:w="29" w:type="dxa"/>
          <w:trHeight w:val="482"/>
          <w:jc w:val="center"/>
        </w:trPr>
        <w:tc>
          <w:tcPr>
            <w:tcW w:w="3338" w:type="dxa"/>
            <w:gridSpan w:val="2"/>
            <w:tcBorders>
              <w:top w:val="nil"/>
              <w:left w:val="single" w:sz="4" w:space="0" w:color="auto"/>
              <w:bottom w:val="single" w:sz="4" w:space="0" w:color="auto"/>
              <w:right w:val="single" w:sz="4" w:space="0" w:color="auto"/>
            </w:tcBorders>
            <w:shd w:val="clear" w:color="auto" w:fill="auto"/>
            <w:hideMark/>
          </w:tcPr>
          <w:p w:rsidR="007A5C49" w:rsidRPr="00D810F2" w:rsidRDefault="007A5C49" w:rsidP="007A5C49">
            <w:pPr>
              <w:spacing w:line="240" w:lineRule="auto"/>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Taux de féminisation de la population active en chômage</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35,5</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21,2</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33,2</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36,1</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16,4</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32,9</w:t>
            </w:r>
          </w:p>
        </w:tc>
      </w:tr>
      <w:tr w:rsidR="007A5C49" w:rsidRPr="00D810F2" w:rsidTr="003A6941">
        <w:trPr>
          <w:gridAfter w:val="1"/>
          <w:wAfter w:w="29" w:type="dxa"/>
          <w:trHeight w:val="278"/>
          <w:jc w:val="center"/>
        </w:trPr>
        <w:tc>
          <w:tcPr>
            <w:tcW w:w="3338" w:type="dxa"/>
            <w:gridSpan w:val="2"/>
            <w:tcBorders>
              <w:top w:val="nil"/>
              <w:left w:val="single" w:sz="4" w:space="0" w:color="auto"/>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Taux de chômage</w:t>
            </w:r>
            <w:r w:rsidR="00397FD5">
              <w:rPr>
                <w:rFonts w:ascii="Garamond" w:eastAsia="Times New Roman" w:hAnsi="Garamond" w:cs="Calibri"/>
                <w:color w:val="000000"/>
                <w:sz w:val="18"/>
                <w:szCs w:val="18"/>
                <w:lang w:eastAsia="en-US"/>
              </w:rPr>
              <w:t xml:space="preserve"> (en %)</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17,1</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5,3</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12,5</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16,3</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5,1</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12,1</w:t>
            </w:r>
          </w:p>
        </w:tc>
      </w:tr>
      <w:tr w:rsidR="007A5C49" w:rsidRPr="00D810F2" w:rsidTr="003A6941">
        <w:trPr>
          <w:gridAfter w:val="1"/>
          <w:wAfter w:w="26" w:type="dxa"/>
          <w:trHeight w:val="278"/>
          <w:jc w:val="center"/>
        </w:trPr>
        <w:tc>
          <w:tcPr>
            <w:tcW w:w="9287"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7A5C49" w:rsidRPr="00D810F2" w:rsidRDefault="007A5C49" w:rsidP="007A5C49">
            <w:pPr>
              <w:spacing w:line="240" w:lineRule="auto"/>
              <w:ind w:firstLineChars="200" w:firstLine="360"/>
              <w:rPr>
                <w:rFonts w:ascii="Garamond" w:eastAsia="Times New Roman" w:hAnsi="Garamond" w:cs="Calibri"/>
                <w:i/>
                <w:iCs/>
                <w:color w:val="000000"/>
                <w:sz w:val="18"/>
                <w:szCs w:val="18"/>
                <w:lang w:eastAsia="en-US"/>
              </w:rPr>
            </w:pPr>
            <w:r w:rsidRPr="00D810F2">
              <w:rPr>
                <w:rFonts w:ascii="Garamond" w:eastAsia="Times New Roman" w:hAnsi="Garamond" w:cs="Calibri"/>
                <w:i/>
                <w:iCs/>
                <w:color w:val="000000"/>
                <w:sz w:val="18"/>
                <w:szCs w:val="18"/>
                <w:lang w:eastAsia="en-US"/>
              </w:rPr>
              <w:t>• Selon le sexe</w:t>
            </w:r>
          </w:p>
        </w:tc>
      </w:tr>
      <w:tr w:rsidR="007A5C49" w:rsidRPr="00D810F2" w:rsidTr="003A6941">
        <w:trPr>
          <w:gridAfter w:val="1"/>
          <w:wAfter w:w="29" w:type="dxa"/>
          <w:trHeight w:val="278"/>
          <w:jc w:val="center"/>
        </w:trPr>
        <w:tc>
          <w:tcPr>
            <w:tcW w:w="3338" w:type="dxa"/>
            <w:gridSpan w:val="2"/>
            <w:tcBorders>
              <w:top w:val="nil"/>
              <w:left w:val="single" w:sz="4" w:space="0" w:color="auto"/>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400" w:firstLine="720"/>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Hommes</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14,3</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5,5</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10,9</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13,4</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5,6</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10,5</w:t>
            </w:r>
          </w:p>
        </w:tc>
      </w:tr>
      <w:tr w:rsidR="007A5C49" w:rsidRPr="00D810F2" w:rsidTr="003A6941">
        <w:trPr>
          <w:gridAfter w:val="1"/>
          <w:wAfter w:w="29" w:type="dxa"/>
          <w:trHeight w:val="278"/>
          <w:jc w:val="center"/>
        </w:trPr>
        <w:tc>
          <w:tcPr>
            <w:tcW w:w="3338" w:type="dxa"/>
            <w:gridSpan w:val="2"/>
            <w:tcBorders>
              <w:top w:val="nil"/>
              <w:left w:val="single" w:sz="4" w:space="0" w:color="auto"/>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400" w:firstLine="720"/>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Femmes</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26,4</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4,5</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17,5</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26,3</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3,5</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17,3</w:t>
            </w:r>
          </w:p>
        </w:tc>
      </w:tr>
      <w:tr w:rsidR="007A5C49" w:rsidRPr="00D810F2" w:rsidTr="003A6941">
        <w:trPr>
          <w:gridAfter w:val="1"/>
          <w:wAfter w:w="26" w:type="dxa"/>
          <w:trHeight w:val="278"/>
          <w:jc w:val="center"/>
        </w:trPr>
        <w:tc>
          <w:tcPr>
            <w:tcW w:w="9287"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7A5C49" w:rsidRPr="00D810F2" w:rsidRDefault="007A5C49" w:rsidP="007A5C49">
            <w:pPr>
              <w:spacing w:line="240" w:lineRule="auto"/>
              <w:ind w:firstLineChars="200" w:firstLine="360"/>
              <w:rPr>
                <w:rFonts w:ascii="Garamond" w:eastAsia="Times New Roman" w:hAnsi="Garamond" w:cs="Calibri"/>
                <w:i/>
                <w:iCs/>
                <w:color w:val="000000"/>
                <w:sz w:val="18"/>
                <w:szCs w:val="18"/>
                <w:lang w:eastAsia="en-US"/>
              </w:rPr>
            </w:pPr>
            <w:r w:rsidRPr="00D810F2">
              <w:rPr>
                <w:rFonts w:ascii="Garamond" w:eastAsia="Times New Roman" w:hAnsi="Garamond" w:cs="Calibri"/>
                <w:i/>
                <w:iCs/>
                <w:color w:val="000000"/>
                <w:sz w:val="18"/>
                <w:szCs w:val="18"/>
                <w:lang w:eastAsia="en-US"/>
              </w:rPr>
              <w:t>• Selon l'âge</w:t>
            </w:r>
          </w:p>
        </w:tc>
      </w:tr>
      <w:tr w:rsidR="007A5C49" w:rsidRPr="00D810F2" w:rsidTr="003A6941">
        <w:trPr>
          <w:gridAfter w:val="1"/>
          <w:wAfter w:w="29" w:type="dxa"/>
          <w:trHeight w:val="278"/>
          <w:jc w:val="center"/>
        </w:trPr>
        <w:tc>
          <w:tcPr>
            <w:tcW w:w="3338" w:type="dxa"/>
            <w:gridSpan w:val="2"/>
            <w:tcBorders>
              <w:top w:val="nil"/>
              <w:left w:val="single" w:sz="4" w:space="0" w:color="auto"/>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400" w:firstLine="720"/>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15-24 ans</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45,6</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18,0</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32,5</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47,7</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16,5</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33,4</w:t>
            </w:r>
          </w:p>
        </w:tc>
      </w:tr>
      <w:tr w:rsidR="007A5C49" w:rsidRPr="00D810F2" w:rsidTr="003A6941">
        <w:trPr>
          <w:gridAfter w:val="1"/>
          <w:wAfter w:w="29" w:type="dxa"/>
          <w:trHeight w:val="278"/>
          <w:jc w:val="center"/>
        </w:trPr>
        <w:tc>
          <w:tcPr>
            <w:tcW w:w="3338" w:type="dxa"/>
            <w:gridSpan w:val="2"/>
            <w:tcBorders>
              <w:top w:val="nil"/>
              <w:left w:val="single" w:sz="4" w:space="0" w:color="auto"/>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400" w:firstLine="720"/>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25-34 ans</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25,9</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6,8</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19,6</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25,0</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7,1</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19,2</w:t>
            </w:r>
          </w:p>
        </w:tc>
      </w:tr>
      <w:tr w:rsidR="007A5C49" w:rsidRPr="00D810F2" w:rsidTr="003A6941">
        <w:trPr>
          <w:gridAfter w:val="1"/>
          <w:wAfter w:w="29" w:type="dxa"/>
          <w:trHeight w:val="278"/>
          <w:jc w:val="center"/>
        </w:trPr>
        <w:tc>
          <w:tcPr>
            <w:tcW w:w="3338" w:type="dxa"/>
            <w:gridSpan w:val="2"/>
            <w:tcBorders>
              <w:top w:val="nil"/>
              <w:left w:val="single" w:sz="4" w:space="0" w:color="auto"/>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400" w:firstLine="720"/>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35-44 ans</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10,0</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2,7</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7,4</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8,6</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2,7</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6,5</w:t>
            </w:r>
          </w:p>
        </w:tc>
      </w:tr>
      <w:tr w:rsidR="007A5C49" w:rsidRPr="00D810F2" w:rsidTr="003A6941">
        <w:trPr>
          <w:gridAfter w:val="1"/>
          <w:wAfter w:w="29" w:type="dxa"/>
          <w:trHeight w:val="278"/>
          <w:jc w:val="center"/>
        </w:trPr>
        <w:tc>
          <w:tcPr>
            <w:tcW w:w="3338" w:type="dxa"/>
            <w:gridSpan w:val="2"/>
            <w:tcBorders>
              <w:top w:val="nil"/>
              <w:left w:val="single" w:sz="4" w:space="0" w:color="auto"/>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400" w:firstLine="720"/>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45 ans et plus</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5,9</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1,4</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3,9</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5,2</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1,4</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3,6</w:t>
            </w:r>
          </w:p>
        </w:tc>
      </w:tr>
      <w:tr w:rsidR="007A5C49" w:rsidRPr="00D810F2" w:rsidTr="003A6941">
        <w:trPr>
          <w:gridAfter w:val="1"/>
          <w:wAfter w:w="26" w:type="dxa"/>
          <w:trHeight w:val="278"/>
          <w:jc w:val="center"/>
        </w:trPr>
        <w:tc>
          <w:tcPr>
            <w:tcW w:w="9287"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7A5C49" w:rsidRPr="00D810F2" w:rsidRDefault="007A5C49" w:rsidP="007A5C49">
            <w:pPr>
              <w:spacing w:line="240" w:lineRule="auto"/>
              <w:ind w:firstLineChars="200" w:firstLine="360"/>
              <w:rPr>
                <w:rFonts w:ascii="Garamond" w:eastAsia="Times New Roman" w:hAnsi="Garamond" w:cs="Calibri"/>
                <w:i/>
                <w:iCs/>
                <w:color w:val="000000"/>
                <w:sz w:val="18"/>
                <w:szCs w:val="18"/>
                <w:lang w:eastAsia="en-US"/>
              </w:rPr>
            </w:pPr>
            <w:r w:rsidRPr="00D810F2">
              <w:rPr>
                <w:rFonts w:ascii="Garamond" w:eastAsia="Times New Roman" w:hAnsi="Garamond" w:cs="Calibri"/>
                <w:i/>
                <w:iCs/>
                <w:color w:val="000000"/>
                <w:sz w:val="18"/>
                <w:szCs w:val="18"/>
                <w:lang w:eastAsia="en-US"/>
              </w:rPr>
              <w:t>• Selon le diplôme</w:t>
            </w:r>
          </w:p>
        </w:tc>
      </w:tr>
      <w:tr w:rsidR="007A5C49" w:rsidRPr="00D810F2" w:rsidTr="003A6941">
        <w:trPr>
          <w:gridAfter w:val="1"/>
          <w:wAfter w:w="29" w:type="dxa"/>
          <w:trHeight w:val="278"/>
          <w:jc w:val="center"/>
        </w:trPr>
        <w:tc>
          <w:tcPr>
            <w:tcW w:w="3338" w:type="dxa"/>
            <w:gridSpan w:val="2"/>
            <w:tcBorders>
              <w:top w:val="nil"/>
              <w:left w:val="single" w:sz="4" w:space="0" w:color="auto"/>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400" w:firstLine="720"/>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Non diplômés</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8,4</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2,5</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5,0</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7,5</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2,3</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4,6</w:t>
            </w:r>
          </w:p>
        </w:tc>
      </w:tr>
      <w:tr w:rsidR="007A5C49" w:rsidRPr="00D810F2" w:rsidTr="003A6941">
        <w:trPr>
          <w:gridAfter w:val="1"/>
          <w:wAfter w:w="29" w:type="dxa"/>
          <w:trHeight w:val="278"/>
          <w:jc w:val="center"/>
        </w:trPr>
        <w:tc>
          <w:tcPr>
            <w:tcW w:w="3338" w:type="dxa"/>
            <w:gridSpan w:val="2"/>
            <w:tcBorders>
              <w:top w:val="nil"/>
              <w:left w:val="single" w:sz="4" w:space="0" w:color="auto"/>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400" w:firstLine="720"/>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Diplômés</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21,7</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12,6</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19,8</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20,8</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12,0</w:t>
            </w:r>
          </w:p>
        </w:tc>
        <w:tc>
          <w:tcPr>
            <w:tcW w:w="991" w:type="dxa"/>
            <w:tcBorders>
              <w:top w:val="nil"/>
              <w:left w:val="nil"/>
              <w:bottom w:val="single" w:sz="4" w:space="0" w:color="auto"/>
              <w:right w:val="single" w:sz="4" w:space="0" w:color="auto"/>
            </w:tcBorders>
            <w:shd w:val="clear" w:color="auto" w:fill="auto"/>
            <w:noWrap/>
            <w:hideMark/>
          </w:tcPr>
          <w:p w:rsidR="007A5C49" w:rsidRPr="00D810F2" w:rsidRDefault="007A5C49" w:rsidP="007A5C49">
            <w:pPr>
              <w:spacing w:line="240" w:lineRule="auto"/>
              <w:ind w:firstLineChars="100" w:firstLine="180"/>
              <w:jc w:val="right"/>
              <w:rPr>
                <w:rFonts w:ascii="Garamond" w:eastAsia="Times New Roman" w:hAnsi="Garamond" w:cs="Calibri"/>
                <w:color w:val="000000"/>
                <w:sz w:val="18"/>
                <w:szCs w:val="18"/>
                <w:lang w:eastAsia="en-US"/>
              </w:rPr>
            </w:pPr>
            <w:r w:rsidRPr="00D810F2">
              <w:rPr>
                <w:rFonts w:ascii="Garamond" w:eastAsia="Times New Roman" w:hAnsi="Garamond" w:cs="Calibri"/>
                <w:color w:val="000000"/>
                <w:sz w:val="18"/>
                <w:szCs w:val="18"/>
                <w:lang w:eastAsia="en-US"/>
              </w:rPr>
              <w:t>18,9</w:t>
            </w:r>
          </w:p>
        </w:tc>
      </w:tr>
      <w:tr w:rsidR="007A5C49" w:rsidTr="003A6941">
        <w:tblPrEx>
          <w:tblCellMar>
            <w:left w:w="70" w:type="dxa"/>
            <w:right w:w="70" w:type="dxa"/>
          </w:tblCellMar>
        </w:tblPrEx>
        <w:trPr>
          <w:gridBefore w:val="1"/>
          <w:wBefore w:w="38" w:type="dxa"/>
          <w:trHeight w:val="179"/>
          <w:jc w:val="center"/>
        </w:trPr>
        <w:tc>
          <w:tcPr>
            <w:tcW w:w="9275" w:type="dxa"/>
            <w:gridSpan w:val="8"/>
            <w:hideMark/>
          </w:tcPr>
          <w:p w:rsidR="007A5C49" w:rsidRDefault="007A5C49" w:rsidP="007A5C49">
            <w:pPr>
              <w:pStyle w:val="Titre1"/>
              <w:jc w:val="center"/>
              <w:rPr>
                <w:rFonts w:ascii="Book Antiqua" w:hAnsi="Book Antiqua" w:cs="Browallia New"/>
                <w:b/>
                <w:bCs/>
                <w:color w:val="4F81BD" w:themeColor="accent1"/>
                <w:sz w:val="18"/>
                <w:szCs w:val="18"/>
              </w:rPr>
            </w:pPr>
          </w:p>
        </w:tc>
      </w:tr>
    </w:tbl>
    <w:p w:rsidR="007A5C49" w:rsidRDefault="007A5C49" w:rsidP="007A5C49">
      <w:pPr>
        <w:numPr>
          <w:ilvl w:val="0"/>
          <w:numId w:val="13"/>
        </w:numPr>
        <w:tabs>
          <w:tab w:val="left" w:pos="-720"/>
        </w:tabs>
        <w:suppressAutoHyphens/>
        <w:spacing w:line="256" w:lineRule="auto"/>
        <w:contextualSpacing/>
        <w:jc w:val="both"/>
        <w:rPr>
          <w:rFonts w:ascii="Times New Roman" w:eastAsia="Calibri" w:hAnsi="Times New Roman" w:cs="Times New Roman"/>
          <w:color w:val="222222"/>
          <w:sz w:val="20"/>
          <w:szCs w:val="20"/>
          <w:shd w:val="clear" w:color="auto" w:fill="FFFFFF"/>
          <w:lang w:eastAsia="en-US"/>
        </w:rPr>
      </w:pPr>
      <w:r>
        <w:rPr>
          <w:rFonts w:ascii="Times New Roman" w:eastAsia="Calibri" w:hAnsi="Times New Roman" w:cs="Times New Roman"/>
          <w:color w:val="222222"/>
          <w:sz w:val="20"/>
          <w:szCs w:val="20"/>
          <w:shd w:val="clear" w:color="auto" w:fill="FFFFFF"/>
          <w:lang w:eastAsia="en-US"/>
        </w:rPr>
        <w:t xml:space="preserve">Source : Enquête nationale sur l'emploi, Haut-commissariat au Plan </w:t>
      </w:r>
    </w:p>
    <w:p w:rsidR="007A5C49" w:rsidRDefault="007A5C49" w:rsidP="007A5C49">
      <w:pPr>
        <w:numPr>
          <w:ilvl w:val="0"/>
          <w:numId w:val="13"/>
        </w:numPr>
        <w:tabs>
          <w:tab w:val="left" w:pos="-720"/>
        </w:tabs>
        <w:suppressAutoHyphens/>
        <w:spacing w:line="256" w:lineRule="auto"/>
        <w:contextualSpacing/>
        <w:jc w:val="both"/>
        <w:rPr>
          <w:rFonts w:ascii="Times New Roman" w:eastAsia="Calibri" w:hAnsi="Times New Roman" w:cs="Times New Roman"/>
          <w:color w:val="222222"/>
          <w:sz w:val="20"/>
          <w:szCs w:val="20"/>
          <w:shd w:val="clear" w:color="auto" w:fill="FFFFFF"/>
          <w:lang w:eastAsia="en-US"/>
        </w:rPr>
      </w:pPr>
      <w:r>
        <w:rPr>
          <w:rFonts w:ascii="Times New Roman" w:eastAsia="Calibri" w:hAnsi="Times New Roman" w:cs="Times New Roman"/>
          <w:color w:val="222222"/>
          <w:sz w:val="20"/>
          <w:szCs w:val="20"/>
          <w:shd w:val="clear" w:color="auto" w:fill="FFFFFF"/>
          <w:lang w:eastAsia="en-US"/>
        </w:rPr>
        <w:t>Pour les définitions des concepts et indicateurs utilisés, se référer au glossaire disponible sur le site web du HCP </w:t>
      </w:r>
      <w:r>
        <w:rPr>
          <w:rFonts w:ascii="Times New Roman" w:eastAsia="Calibri" w:hAnsi="Times New Roman" w:cs="Times New Roman"/>
          <w:b/>
          <w:bCs/>
          <w:color w:val="222222"/>
          <w:sz w:val="20"/>
          <w:szCs w:val="20"/>
          <w:shd w:val="clear" w:color="auto" w:fill="FFFFFF"/>
          <w:lang w:eastAsia="en-US"/>
        </w:rPr>
        <w:t xml:space="preserve">: </w:t>
      </w:r>
      <w:hyperlink r:id="rId15" w:history="1">
        <w:r>
          <w:rPr>
            <w:rStyle w:val="Lienhypertexte"/>
            <w:rFonts w:ascii="Times New Roman" w:eastAsia="Calibri" w:hAnsi="Times New Roman" w:cs="Times New Roman"/>
            <w:b/>
            <w:bCs/>
            <w:color w:val="222222"/>
            <w:sz w:val="20"/>
            <w:szCs w:val="20"/>
            <w:shd w:val="clear" w:color="auto" w:fill="FFFFFF"/>
            <w:lang w:eastAsia="en-US"/>
          </w:rPr>
          <w:t>http://www.hcp.ma</w:t>
        </w:r>
      </w:hyperlink>
      <w:r>
        <w:rPr>
          <w:rFonts w:ascii="Times New Roman" w:eastAsia="Calibri" w:hAnsi="Times New Roman" w:cs="Times New Roman"/>
          <w:color w:val="222222"/>
          <w:sz w:val="20"/>
          <w:szCs w:val="20"/>
          <w:shd w:val="clear" w:color="auto" w:fill="FFFFFF"/>
          <w:lang w:eastAsia="en-US"/>
        </w:rPr>
        <w:t>.</w:t>
      </w:r>
    </w:p>
    <w:p w:rsidR="007A5C49" w:rsidRDefault="007A5C49" w:rsidP="007A5C49">
      <w:pPr>
        <w:numPr>
          <w:ilvl w:val="0"/>
          <w:numId w:val="13"/>
        </w:numPr>
        <w:tabs>
          <w:tab w:val="left" w:pos="-720"/>
        </w:tabs>
        <w:suppressAutoHyphens/>
        <w:spacing w:line="256" w:lineRule="auto"/>
        <w:contextualSpacing/>
        <w:jc w:val="both"/>
        <w:rPr>
          <w:rFonts w:ascii="Times New Roman" w:eastAsia="Calibri" w:hAnsi="Times New Roman" w:cs="Times New Roman"/>
          <w:color w:val="222222"/>
          <w:sz w:val="20"/>
          <w:szCs w:val="20"/>
          <w:shd w:val="clear" w:color="auto" w:fill="FFFFFF"/>
          <w:lang w:eastAsia="en-US"/>
        </w:rPr>
      </w:pPr>
      <w:r>
        <w:rPr>
          <w:rFonts w:ascii="Times New Roman" w:eastAsia="Calibri" w:hAnsi="Times New Roman" w:cs="Times New Roman"/>
          <w:color w:val="222222"/>
          <w:sz w:val="20"/>
          <w:szCs w:val="20"/>
          <w:shd w:val="clear" w:color="auto" w:fill="FFFFFF"/>
          <w:lang w:eastAsia="en-US"/>
        </w:rPr>
        <w:t>Les données chiffrées sont arrondies. Le résultat arrondi d’une combinaison de données chiffrées (qui fait intervenir leurs valeurs réelles) peut se trouver légèrement différent de celui que donnerait la combinaison de leurs valeurs arrondies.</w:t>
      </w:r>
    </w:p>
    <w:p w:rsidR="007A5C49" w:rsidRDefault="007A5C49" w:rsidP="007A5C49">
      <w:pPr>
        <w:tabs>
          <w:tab w:val="left" w:pos="-720"/>
        </w:tabs>
        <w:suppressAutoHyphens/>
        <w:spacing w:line="256" w:lineRule="auto"/>
        <w:jc w:val="both"/>
        <w:rPr>
          <w:rFonts w:ascii="Times New Roman" w:eastAsia="Calibri" w:hAnsi="Times New Roman" w:cs="Times New Roman"/>
          <w:color w:val="222222"/>
          <w:sz w:val="20"/>
          <w:szCs w:val="20"/>
          <w:shd w:val="clear" w:color="auto" w:fill="FFFFFF"/>
          <w:lang w:eastAsia="en-US"/>
        </w:rPr>
      </w:pPr>
    </w:p>
    <w:p w:rsidR="007A5C49" w:rsidRDefault="007A5C49" w:rsidP="007A5C49">
      <w:pPr>
        <w:tabs>
          <w:tab w:val="left" w:pos="-720"/>
        </w:tabs>
        <w:suppressAutoHyphens/>
        <w:spacing w:line="256" w:lineRule="auto"/>
        <w:jc w:val="both"/>
        <w:rPr>
          <w:rFonts w:ascii="Times New Roman" w:eastAsia="Calibri" w:hAnsi="Times New Roman" w:cs="Times New Roman"/>
          <w:color w:val="222222"/>
          <w:sz w:val="20"/>
          <w:szCs w:val="20"/>
          <w:shd w:val="clear" w:color="auto" w:fill="FFFFFF"/>
          <w:lang w:eastAsia="en-US"/>
        </w:rPr>
      </w:pPr>
    </w:p>
    <w:p w:rsidR="007A5C49" w:rsidRDefault="007A5C49" w:rsidP="007A5C49">
      <w:pPr>
        <w:tabs>
          <w:tab w:val="left" w:pos="-720"/>
        </w:tabs>
        <w:suppressAutoHyphens/>
        <w:spacing w:line="256" w:lineRule="auto"/>
        <w:jc w:val="both"/>
        <w:rPr>
          <w:rFonts w:ascii="Times New Roman" w:eastAsia="Calibri" w:hAnsi="Times New Roman" w:cs="Times New Roman"/>
          <w:color w:val="222222"/>
          <w:sz w:val="20"/>
          <w:szCs w:val="20"/>
          <w:shd w:val="clear" w:color="auto" w:fill="FFFFFF"/>
          <w:lang w:eastAsia="en-US"/>
        </w:rPr>
      </w:pPr>
    </w:p>
    <w:p w:rsidR="007A5C49" w:rsidRDefault="007A5C49" w:rsidP="007A5C49">
      <w:pPr>
        <w:tabs>
          <w:tab w:val="left" w:pos="-720"/>
        </w:tabs>
        <w:suppressAutoHyphens/>
        <w:spacing w:line="256" w:lineRule="auto"/>
        <w:jc w:val="both"/>
        <w:rPr>
          <w:rFonts w:ascii="Times New Roman" w:eastAsia="Calibri" w:hAnsi="Times New Roman" w:cs="Times New Roman"/>
          <w:color w:val="222222"/>
          <w:sz w:val="20"/>
          <w:szCs w:val="20"/>
          <w:shd w:val="clear" w:color="auto" w:fill="FFFFFF"/>
          <w:lang w:eastAsia="en-US"/>
        </w:rPr>
      </w:pPr>
    </w:p>
    <w:p w:rsidR="007A5C49" w:rsidRDefault="007A5C49" w:rsidP="007A5C49">
      <w:pPr>
        <w:tabs>
          <w:tab w:val="left" w:pos="-720"/>
        </w:tabs>
        <w:suppressAutoHyphens/>
        <w:spacing w:line="256" w:lineRule="auto"/>
        <w:jc w:val="both"/>
        <w:rPr>
          <w:rFonts w:ascii="Times New Roman" w:eastAsia="Calibri" w:hAnsi="Times New Roman" w:cs="Times New Roman"/>
          <w:color w:val="222222"/>
          <w:sz w:val="20"/>
          <w:szCs w:val="20"/>
          <w:shd w:val="clear" w:color="auto" w:fill="FFFFFF"/>
          <w:lang w:eastAsia="en-US"/>
        </w:rPr>
      </w:pPr>
    </w:p>
    <w:p w:rsidR="007A5C49" w:rsidRDefault="007A5C49" w:rsidP="007A5C49">
      <w:pPr>
        <w:tabs>
          <w:tab w:val="left" w:pos="-720"/>
        </w:tabs>
        <w:suppressAutoHyphens/>
        <w:spacing w:line="256" w:lineRule="auto"/>
        <w:jc w:val="both"/>
        <w:rPr>
          <w:rFonts w:ascii="Times New Roman" w:eastAsia="Calibri" w:hAnsi="Times New Roman" w:cs="Times New Roman"/>
          <w:color w:val="222222"/>
          <w:sz w:val="20"/>
          <w:szCs w:val="20"/>
          <w:shd w:val="clear" w:color="auto" w:fill="FFFFFF"/>
          <w:lang w:eastAsia="en-US"/>
        </w:rPr>
      </w:pPr>
    </w:p>
    <w:p w:rsidR="007A5C49" w:rsidRDefault="007A5C49" w:rsidP="007A5C49">
      <w:pPr>
        <w:tabs>
          <w:tab w:val="left" w:pos="-720"/>
        </w:tabs>
        <w:suppressAutoHyphens/>
        <w:spacing w:line="256" w:lineRule="auto"/>
        <w:jc w:val="both"/>
        <w:rPr>
          <w:rFonts w:ascii="Times New Roman" w:eastAsia="Calibri" w:hAnsi="Times New Roman" w:cs="Times New Roman"/>
          <w:color w:val="222222"/>
          <w:sz w:val="20"/>
          <w:szCs w:val="20"/>
          <w:shd w:val="clear" w:color="auto" w:fill="FFFFFF"/>
          <w:lang w:eastAsia="en-US"/>
        </w:rPr>
      </w:pPr>
    </w:p>
    <w:p w:rsidR="007A5C49" w:rsidRDefault="007A5C49" w:rsidP="007A5C49">
      <w:pPr>
        <w:tabs>
          <w:tab w:val="left" w:pos="-720"/>
        </w:tabs>
        <w:suppressAutoHyphens/>
        <w:spacing w:line="256" w:lineRule="auto"/>
        <w:jc w:val="both"/>
        <w:rPr>
          <w:rFonts w:ascii="Times New Roman" w:eastAsia="Calibri" w:hAnsi="Times New Roman" w:cs="Times New Roman"/>
          <w:color w:val="222222"/>
          <w:sz w:val="20"/>
          <w:szCs w:val="20"/>
          <w:shd w:val="clear" w:color="auto" w:fill="FFFFFF"/>
          <w:lang w:eastAsia="en-US"/>
        </w:rPr>
      </w:pPr>
    </w:p>
    <w:p w:rsidR="007A5C49" w:rsidRDefault="007A5C49" w:rsidP="007A5C49">
      <w:pPr>
        <w:tabs>
          <w:tab w:val="left" w:pos="-720"/>
        </w:tabs>
        <w:suppressAutoHyphens/>
        <w:spacing w:line="256" w:lineRule="auto"/>
        <w:jc w:val="both"/>
        <w:rPr>
          <w:rFonts w:ascii="Times New Roman" w:eastAsia="Calibri" w:hAnsi="Times New Roman" w:cs="Times New Roman"/>
          <w:color w:val="222222"/>
          <w:sz w:val="20"/>
          <w:szCs w:val="20"/>
          <w:shd w:val="clear" w:color="auto" w:fill="FFFFFF"/>
          <w:lang w:eastAsia="en-US"/>
        </w:rPr>
      </w:pPr>
    </w:p>
    <w:p w:rsidR="007A5C49" w:rsidRDefault="007A5C49" w:rsidP="007A5C49">
      <w:pPr>
        <w:tabs>
          <w:tab w:val="left" w:pos="-720"/>
        </w:tabs>
        <w:suppressAutoHyphens/>
        <w:spacing w:line="256" w:lineRule="auto"/>
        <w:jc w:val="both"/>
        <w:rPr>
          <w:rFonts w:ascii="Times New Roman" w:eastAsia="Calibri" w:hAnsi="Times New Roman" w:cs="Times New Roman"/>
          <w:color w:val="222222"/>
          <w:sz w:val="20"/>
          <w:szCs w:val="20"/>
          <w:shd w:val="clear" w:color="auto" w:fill="FFFFFF"/>
          <w:lang w:eastAsia="en-US"/>
        </w:rPr>
      </w:pPr>
    </w:p>
    <w:p w:rsidR="007A5C49" w:rsidRDefault="007A5C49" w:rsidP="007A5C49">
      <w:pPr>
        <w:tabs>
          <w:tab w:val="left" w:pos="-720"/>
        </w:tabs>
        <w:suppressAutoHyphens/>
        <w:spacing w:line="256" w:lineRule="auto"/>
        <w:jc w:val="both"/>
        <w:rPr>
          <w:rFonts w:ascii="Times New Roman" w:eastAsia="Calibri" w:hAnsi="Times New Roman" w:cs="Times New Roman"/>
          <w:color w:val="222222"/>
          <w:sz w:val="20"/>
          <w:szCs w:val="20"/>
          <w:shd w:val="clear" w:color="auto" w:fill="FFFFFF"/>
          <w:lang w:eastAsia="en-US"/>
        </w:rPr>
      </w:pPr>
    </w:p>
    <w:p w:rsidR="007A5C49" w:rsidRDefault="007A5C49" w:rsidP="007A5C49">
      <w:pPr>
        <w:tabs>
          <w:tab w:val="left" w:pos="-720"/>
        </w:tabs>
        <w:suppressAutoHyphens/>
        <w:spacing w:line="256" w:lineRule="auto"/>
        <w:jc w:val="both"/>
        <w:rPr>
          <w:rFonts w:ascii="Times New Roman" w:eastAsia="Calibri" w:hAnsi="Times New Roman" w:cs="Times New Roman"/>
          <w:color w:val="222222"/>
          <w:sz w:val="20"/>
          <w:szCs w:val="20"/>
          <w:shd w:val="clear" w:color="auto" w:fill="FFFFFF"/>
          <w:lang w:eastAsia="en-US"/>
        </w:rPr>
      </w:pPr>
    </w:p>
    <w:p w:rsidR="007A5C49" w:rsidRDefault="007A5C49" w:rsidP="007A5C49">
      <w:pPr>
        <w:tabs>
          <w:tab w:val="left" w:pos="-720"/>
        </w:tabs>
        <w:suppressAutoHyphens/>
        <w:spacing w:line="256" w:lineRule="auto"/>
        <w:jc w:val="both"/>
        <w:rPr>
          <w:rFonts w:ascii="Times New Roman" w:eastAsia="Calibri" w:hAnsi="Times New Roman" w:cs="Times New Roman"/>
          <w:color w:val="222222"/>
          <w:sz w:val="20"/>
          <w:szCs w:val="20"/>
          <w:shd w:val="clear" w:color="auto" w:fill="FFFFFF"/>
          <w:lang w:eastAsia="en-US"/>
        </w:rPr>
      </w:pPr>
    </w:p>
    <w:p w:rsidR="007A5C49" w:rsidRDefault="007A5C49" w:rsidP="007A5C49">
      <w:pPr>
        <w:tabs>
          <w:tab w:val="left" w:pos="-720"/>
        </w:tabs>
        <w:suppressAutoHyphens/>
        <w:spacing w:line="256" w:lineRule="auto"/>
        <w:jc w:val="both"/>
        <w:rPr>
          <w:rFonts w:ascii="Times New Roman" w:eastAsia="Calibri" w:hAnsi="Times New Roman" w:cs="Times New Roman"/>
          <w:color w:val="222222"/>
          <w:sz w:val="20"/>
          <w:szCs w:val="20"/>
          <w:shd w:val="clear" w:color="auto" w:fill="FFFFFF"/>
          <w:lang w:eastAsia="en-US"/>
        </w:rPr>
      </w:pPr>
    </w:p>
    <w:p w:rsidR="007A5C49" w:rsidRDefault="007A5C49" w:rsidP="007A5C49">
      <w:pPr>
        <w:tabs>
          <w:tab w:val="left" w:pos="-720"/>
        </w:tabs>
        <w:suppressAutoHyphens/>
        <w:spacing w:line="256" w:lineRule="auto"/>
        <w:jc w:val="both"/>
        <w:rPr>
          <w:rFonts w:ascii="Times New Roman" w:eastAsia="Calibri" w:hAnsi="Times New Roman" w:cs="Times New Roman"/>
          <w:color w:val="222222"/>
          <w:sz w:val="20"/>
          <w:szCs w:val="20"/>
          <w:shd w:val="clear" w:color="auto" w:fill="FFFFFF"/>
          <w:lang w:eastAsia="en-US"/>
        </w:rPr>
      </w:pPr>
    </w:p>
    <w:p w:rsidR="007A5C49" w:rsidRDefault="007A5C49" w:rsidP="007A5C49">
      <w:pPr>
        <w:tabs>
          <w:tab w:val="left" w:pos="-720"/>
        </w:tabs>
        <w:suppressAutoHyphens/>
        <w:spacing w:line="256" w:lineRule="auto"/>
        <w:jc w:val="both"/>
        <w:rPr>
          <w:rFonts w:ascii="Times New Roman" w:eastAsia="Calibri" w:hAnsi="Times New Roman" w:cs="Times New Roman"/>
          <w:color w:val="222222"/>
          <w:sz w:val="20"/>
          <w:szCs w:val="20"/>
          <w:shd w:val="clear" w:color="auto" w:fill="FFFFFF"/>
          <w:lang w:eastAsia="en-US"/>
        </w:rPr>
      </w:pPr>
    </w:p>
    <w:p w:rsidR="007A5C49" w:rsidRDefault="007A5C49">
      <w:pPr>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br w:type="page"/>
      </w:r>
    </w:p>
    <w:p w:rsidR="007A5C49" w:rsidRDefault="007A5C49" w:rsidP="00A90485">
      <w:pPr>
        <w:tabs>
          <w:tab w:val="left" w:pos="-720"/>
        </w:tabs>
        <w:suppressAutoHyphens/>
        <w:spacing w:line="256" w:lineRule="auto"/>
        <w:jc w:val="center"/>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lastRenderedPageBreak/>
        <w:t>Tableau 2 : Taux d'activité, d’emploi et de chômage par région (en%)</w:t>
      </w:r>
    </w:p>
    <w:p w:rsidR="007A5C49" w:rsidRDefault="007A5C49" w:rsidP="007A5C49">
      <w:pPr>
        <w:tabs>
          <w:tab w:val="left" w:pos="-720"/>
        </w:tabs>
        <w:suppressAutoHyphens/>
        <w:spacing w:line="256" w:lineRule="auto"/>
        <w:jc w:val="both"/>
        <w:rPr>
          <w:rFonts w:ascii="Book Antiqua" w:eastAsia="Book Antiqua" w:hAnsi="Book Antiqua" w:cs="Book Antiqua"/>
          <w:b/>
          <w:color w:val="0070C0"/>
          <w:sz w:val="20"/>
          <w:szCs w:val="20"/>
        </w:rPr>
      </w:pPr>
    </w:p>
    <w:tbl>
      <w:tblPr>
        <w:tblW w:w="7780" w:type="dxa"/>
        <w:jc w:val="center"/>
        <w:tblLook w:val="04A0"/>
      </w:tblPr>
      <w:tblGrid>
        <w:gridCol w:w="3660"/>
        <w:gridCol w:w="2060"/>
        <w:gridCol w:w="2060"/>
      </w:tblGrid>
      <w:tr w:rsidR="007A5C49" w:rsidRPr="00AC04FD" w:rsidTr="007A5C49">
        <w:trPr>
          <w:trHeight w:val="320"/>
          <w:jc w:val="center"/>
        </w:trPr>
        <w:tc>
          <w:tcPr>
            <w:tcW w:w="3660" w:type="dxa"/>
            <w:tcBorders>
              <w:top w:val="single" w:sz="4" w:space="0" w:color="auto"/>
              <w:left w:val="single" w:sz="4" w:space="0" w:color="auto"/>
              <w:bottom w:val="single" w:sz="4" w:space="0" w:color="auto"/>
              <w:right w:val="single" w:sz="4" w:space="0" w:color="auto"/>
            </w:tcBorders>
            <w:shd w:val="clear" w:color="auto" w:fill="auto"/>
            <w:noWrap/>
            <w:hideMark/>
          </w:tcPr>
          <w:p w:rsidR="007A5C49" w:rsidRPr="00AC04FD" w:rsidRDefault="007A5C49" w:rsidP="007A5C49">
            <w:pPr>
              <w:spacing w:line="240" w:lineRule="auto"/>
              <w:jc w:val="center"/>
              <w:rPr>
                <w:rFonts w:ascii="Garamond" w:eastAsia="Times New Roman" w:hAnsi="Garamond" w:cs="Calibri"/>
                <w:b/>
                <w:bCs/>
                <w:color w:val="000000"/>
                <w:sz w:val="20"/>
                <w:szCs w:val="20"/>
                <w:lang w:eastAsia="en-US"/>
              </w:rPr>
            </w:pPr>
            <w:r w:rsidRPr="00AC04FD">
              <w:rPr>
                <w:rFonts w:ascii="Garamond" w:eastAsia="Times New Roman" w:hAnsi="Garamond" w:cs="Calibri"/>
                <w:b/>
                <w:bCs/>
                <w:color w:val="000000"/>
                <w:sz w:val="20"/>
                <w:szCs w:val="20"/>
                <w:lang w:eastAsia="en-US"/>
              </w:rPr>
              <w:t> </w:t>
            </w:r>
          </w:p>
        </w:tc>
        <w:tc>
          <w:tcPr>
            <w:tcW w:w="2060" w:type="dxa"/>
            <w:tcBorders>
              <w:top w:val="single" w:sz="4" w:space="0" w:color="auto"/>
              <w:left w:val="nil"/>
              <w:bottom w:val="single" w:sz="4" w:space="0" w:color="auto"/>
              <w:right w:val="single" w:sz="4" w:space="0" w:color="auto"/>
            </w:tcBorders>
            <w:shd w:val="clear" w:color="auto" w:fill="auto"/>
            <w:noWrap/>
            <w:hideMark/>
          </w:tcPr>
          <w:p w:rsidR="007A5C49" w:rsidRPr="00AC04FD" w:rsidRDefault="007A5C49" w:rsidP="007A5C49">
            <w:pPr>
              <w:spacing w:line="240" w:lineRule="auto"/>
              <w:jc w:val="center"/>
              <w:rPr>
                <w:rFonts w:ascii="Garamond" w:eastAsia="Times New Roman" w:hAnsi="Garamond" w:cs="Calibri"/>
                <w:b/>
                <w:bCs/>
                <w:color w:val="000000"/>
                <w:sz w:val="20"/>
                <w:szCs w:val="20"/>
                <w:lang w:eastAsia="en-US"/>
              </w:rPr>
            </w:pPr>
            <w:r w:rsidRPr="00AC04FD">
              <w:rPr>
                <w:rFonts w:ascii="Garamond" w:eastAsia="Times New Roman" w:hAnsi="Garamond" w:cs="Calibri"/>
                <w:b/>
                <w:bCs/>
                <w:color w:val="000000"/>
                <w:sz w:val="20"/>
                <w:szCs w:val="20"/>
                <w:lang w:eastAsia="en-US"/>
              </w:rPr>
              <w:t>1er trimestre de 2021</w:t>
            </w:r>
          </w:p>
        </w:tc>
        <w:tc>
          <w:tcPr>
            <w:tcW w:w="2060" w:type="dxa"/>
            <w:tcBorders>
              <w:top w:val="single" w:sz="4" w:space="0" w:color="auto"/>
              <w:left w:val="nil"/>
              <w:bottom w:val="single" w:sz="4" w:space="0" w:color="auto"/>
              <w:right w:val="single" w:sz="4" w:space="0" w:color="auto"/>
            </w:tcBorders>
            <w:shd w:val="clear" w:color="auto" w:fill="auto"/>
            <w:noWrap/>
            <w:hideMark/>
          </w:tcPr>
          <w:p w:rsidR="007A5C49" w:rsidRPr="00AC04FD" w:rsidRDefault="007A5C49" w:rsidP="007A5C49">
            <w:pPr>
              <w:spacing w:line="240" w:lineRule="auto"/>
              <w:jc w:val="center"/>
              <w:rPr>
                <w:rFonts w:ascii="Garamond" w:eastAsia="Times New Roman" w:hAnsi="Garamond" w:cs="Calibri"/>
                <w:b/>
                <w:bCs/>
                <w:color w:val="000000"/>
                <w:sz w:val="20"/>
                <w:szCs w:val="20"/>
                <w:lang w:eastAsia="en-US"/>
              </w:rPr>
            </w:pPr>
            <w:r w:rsidRPr="00AC04FD">
              <w:rPr>
                <w:rFonts w:ascii="Garamond" w:eastAsia="Times New Roman" w:hAnsi="Garamond" w:cs="Calibri"/>
                <w:b/>
                <w:bCs/>
                <w:color w:val="000000"/>
                <w:sz w:val="20"/>
                <w:szCs w:val="20"/>
                <w:lang w:eastAsia="en-US"/>
              </w:rPr>
              <w:t>1er trimestre de 2022</w:t>
            </w:r>
          </w:p>
        </w:tc>
      </w:tr>
      <w:tr w:rsidR="007A5C49" w:rsidRPr="00AC04FD" w:rsidTr="007A5C49">
        <w:trPr>
          <w:trHeight w:val="320"/>
          <w:jc w:val="center"/>
        </w:trPr>
        <w:tc>
          <w:tcPr>
            <w:tcW w:w="77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7A5C49" w:rsidRPr="00AC04FD" w:rsidRDefault="007A5C49" w:rsidP="007A5C49">
            <w:pPr>
              <w:spacing w:line="240" w:lineRule="auto"/>
              <w:rPr>
                <w:rFonts w:ascii="Garamond" w:eastAsia="Times New Roman" w:hAnsi="Garamond" w:cs="Calibri"/>
                <w:b/>
                <w:bCs/>
                <w:color w:val="1F497D"/>
                <w:sz w:val="20"/>
                <w:szCs w:val="20"/>
                <w:lang w:eastAsia="en-US"/>
              </w:rPr>
            </w:pPr>
            <w:r w:rsidRPr="00AC04FD">
              <w:rPr>
                <w:rFonts w:ascii="Garamond" w:eastAsia="Times New Roman" w:hAnsi="Garamond" w:cs="Calibri"/>
                <w:b/>
                <w:bCs/>
                <w:color w:val="1F497D"/>
                <w:sz w:val="20"/>
                <w:szCs w:val="20"/>
                <w:lang w:eastAsia="en-US"/>
              </w:rPr>
              <w:t>Taux d'activité (des 15 ans et plus)</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Tanger-Tétouan-Al Hoceïma</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48,1</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50,8</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Oriental</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41,6</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41,8</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Fès-Meknès</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42,5</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42,4</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Rabat-Salé-Kénitra</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44,4</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43,4</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Béni Mellal-Khénifra</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44,9</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44,7</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Casablanca-Settat</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48,6</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46,8</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Marrakech-Safi</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46,8</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44,6</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Drâa-Tafilalet</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46,4</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42,5</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Souss-Massa</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42,3</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38,0</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Régions du Sud</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45,3</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43,5</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1"/>
              <w:rPr>
                <w:rFonts w:ascii="Garamond" w:eastAsia="Times New Roman" w:hAnsi="Garamond" w:cs="Calibri"/>
                <w:b/>
                <w:bCs/>
                <w:color w:val="000000"/>
                <w:sz w:val="20"/>
                <w:szCs w:val="20"/>
                <w:lang w:eastAsia="en-US"/>
              </w:rPr>
            </w:pPr>
            <w:r w:rsidRPr="00AC04FD">
              <w:rPr>
                <w:rFonts w:ascii="Garamond" w:eastAsia="Times New Roman" w:hAnsi="Garamond" w:cs="Calibri"/>
                <w:b/>
                <w:bCs/>
                <w:color w:val="000000"/>
                <w:sz w:val="20"/>
                <w:szCs w:val="20"/>
                <w:lang w:eastAsia="en-US"/>
              </w:rPr>
              <w:t>National</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2"/>
              <w:jc w:val="center"/>
              <w:rPr>
                <w:rFonts w:ascii="Garamond" w:eastAsia="Times New Roman" w:hAnsi="Garamond" w:cs="Calibri"/>
                <w:b/>
                <w:bCs/>
                <w:color w:val="000000"/>
                <w:sz w:val="20"/>
                <w:szCs w:val="20"/>
                <w:lang w:eastAsia="en-US"/>
              </w:rPr>
            </w:pPr>
            <w:r w:rsidRPr="00AC04FD">
              <w:rPr>
                <w:rFonts w:ascii="Garamond" w:eastAsia="Times New Roman" w:hAnsi="Garamond" w:cs="Calibri"/>
                <w:b/>
                <w:bCs/>
                <w:color w:val="000000"/>
                <w:sz w:val="20"/>
                <w:szCs w:val="20"/>
                <w:lang w:eastAsia="en-US"/>
              </w:rPr>
              <w:t>45,5</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2"/>
              <w:jc w:val="center"/>
              <w:rPr>
                <w:rFonts w:ascii="Garamond" w:eastAsia="Times New Roman" w:hAnsi="Garamond" w:cs="Calibri"/>
                <w:b/>
                <w:bCs/>
                <w:color w:val="000000"/>
                <w:sz w:val="20"/>
                <w:szCs w:val="20"/>
                <w:lang w:eastAsia="en-US"/>
              </w:rPr>
            </w:pPr>
            <w:r w:rsidRPr="00AC04FD">
              <w:rPr>
                <w:rFonts w:ascii="Garamond" w:eastAsia="Times New Roman" w:hAnsi="Garamond" w:cs="Calibri"/>
                <w:b/>
                <w:bCs/>
                <w:color w:val="000000"/>
                <w:sz w:val="20"/>
                <w:szCs w:val="20"/>
                <w:lang w:eastAsia="en-US"/>
              </w:rPr>
              <w:t>44,5</w:t>
            </w:r>
          </w:p>
        </w:tc>
      </w:tr>
      <w:tr w:rsidR="007A5C49" w:rsidRPr="00AC04FD" w:rsidTr="007A5C49">
        <w:trPr>
          <w:trHeight w:val="320"/>
          <w:jc w:val="center"/>
        </w:trPr>
        <w:tc>
          <w:tcPr>
            <w:tcW w:w="77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7A5C49" w:rsidRPr="00AC04FD" w:rsidRDefault="007A5C49" w:rsidP="007A5C49">
            <w:pPr>
              <w:spacing w:line="240" w:lineRule="auto"/>
              <w:rPr>
                <w:rFonts w:ascii="Garamond" w:eastAsia="Times New Roman" w:hAnsi="Garamond" w:cs="Calibri"/>
                <w:b/>
                <w:bCs/>
                <w:color w:val="1F497D"/>
                <w:sz w:val="20"/>
                <w:szCs w:val="20"/>
                <w:lang w:eastAsia="en-US"/>
              </w:rPr>
            </w:pPr>
            <w:r w:rsidRPr="00AC04FD">
              <w:rPr>
                <w:rFonts w:ascii="Garamond" w:eastAsia="Times New Roman" w:hAnsi="Garamond" w:cs="Calibri"/>
                <w:b/>
                <w:bCs/>
                <w:color w:val="1F497D"/>
                <w:sz w:val="20"/>
                <w:szCs w:val="20"/>
                <w:lang w:eastAsia="en-US"/>
              </w:rPr>
              <w:t>Taux d'emploi (des 15 ans et plus)</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Tanger-Tétouan-Al Hoceïma</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42,4</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45,9</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Oriental</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33,9</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33,3</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Fès-Meknès</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36,7</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36,2</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Rabat-Salé-Kénitra</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38,9</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38,9</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Béni Mellal-Khénifra</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41,0</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40,5</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Casablanca-Settat</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41,2</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40,0</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Marrakech-Safi</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43,0</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41,6</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Drâa-Tafilalet</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42,8</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38,6</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Souss-Massa</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38,1</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34,0</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Régions du Sud</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36,4</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35,0</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1"/>
              <w:rPr>
                <w:rFonts w:ascii="Garamond" w:eastAsia="Times New Roman" w:hAnsi="Garamond" w:cs="Calibri"/>
                <w:b/>
                <w:bCs/>
                <w:color w:val="000000"/>
                <w:sz w:val="20"/>
                <w:szCs w:val="20"/>
                <w:lang w:eastAsia="en-US"/>
              </w:rPr>
            </w:pPr>
            <w:r w:rsidRPr="00AC04FD">
              <w:rPr>
                <w:rFonts w:ascii="Garamond" w:eastAsia="Times New Roman" w:hAnsi="Garamond" w:cs="Calibri"/>
                <w:b/>
                <w:bCs/>
                <w:color w:val="000000"/>
                <w:sz w:val="20"/>
                <w:szCs w:val="20"/>
                <w:lang w:eastAsia="en-US"/>
              </w:rPr>
              <w:t>National</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2"/>
              <w:jc w:val="center"/>
              <w:rPr>
                <w:rFonts w:ascii="Garamond" w:eastAsia="Times New Roman" w:hAnsi="Garamond" w:cs="Calibri"/>
                <w:b/>
                <w:bCs/>
                <w:color w:val="000000"/>
                <w:sz w:val="20"/>
                <w:szCs w:val="20"/>
                <w:lang w:eastAsia="en-US"/>
              </w:rPr>
            </w:pPr>
            <w:r w:rsidRPr="00AC04FD">
              <w:rPr>
                <w:rFonts w:ascii="Garamond" w:eastAsia="Times New Roman" w:hAnsi="Garamond" w:cs="Calibri"/>
                <w:b/>
                <w:bCs/>
                <w:color w:val="000000"/>
                <w:sz w:val="20"/>
                <w:szCs w:val="20"/>
                <w:lang w:eastAsia="en-US"/>
              </w:rPr>
              <w:t>39,9</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300" w:firstLine="602"/>
              <w:jc w:val="center"/>
              <w:rPr>
                <w:rFonts w:ascii="Garamond" w:eastAsia="Times New Roman" w:hAnsi="Garamond" w:cs="Calibri"/>
                <w:b/>
                <w:bCs/>
                <w:color w:val="000000"/>
                <w:sz w:val="20"/>
                <w:szCs w:val="20"/>
                <w:lang w:eastAsia="en-US"/>
              </w:rPr>
            </w:pPr>
            <w:r w:rsidRPr="00AC04FD">
              <w:rPr>
                <w:rFonts w:ascii="Garamond" w:eastAsia="Times New Roman" w:hAnsi="Garamond" w:cs="Calibri"/>
                <w:b/>
                <w:bCs/>
                <w:color w:val="000000"/>
                <w:sz w:val="20"/>
                <w:szCs w:val="20"/>
                <w:lang w:eastAsia="en-US"/>
              </w:rPr>
              <w:t>39,1</w:t>
            </w:r>
          </w:p>
        </w:tc>
      </w:tr>
      <w:tr w:rsidR="007A5C49" w:rsidRPr="00AC04FD" w:rsidTr="007A5C49">
        <w:trPr>
          <w:trHeight w:val="320"/>
          <w:jc w:val="center"/>
        </w:trPr>
        <w:tc>
          <w:tcPr>
            <w:tcW w:w="77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7A5C49" w:rsidRPr="00AC04FD" w:rsidRDefault="007A5C49" w:rsidP="007A5C49">
            <w:pPr>
              <w:spacing w:line="240" w:lineRule="auto"/>
              <w:rPr>
                <w:rFonts w:ascii="Garamond" w:eastAsia="Times New Roman" w:hAnsi="Garamond" w:cs="Calibri"/>
                <w:b/>
                <w:bCs/>
                <w:color w:val="1F497D"/>
                <w:sz w:val="20"/>
                <w:szCs w:val="20"/>
                <w:lang w:eastAsia="en-US"/>
              </w:rPr>
            </w:pPr>
            <w:r w:rsidRPr="00AC04FD">
              <w:rPr>
                <w:rFonts w:ascii="Garamond" w:eastAsia="Times New Roman" w:hAnsi="Garamond" w:cs="Calibri"/>
                <w:b/>
                <w:bCs/>
                <w:color w:val="1F497D"/>
                <w:sz w:val="20"/>
                <w:szCs w:val="20"/>
                <w:lang w:eastAsia="en-US"/>
              </w:rPr>
              <w:t>Taux de chômage</w:t>
            </w:r>
          </w:p>
        </w:tc>
      </w:tr>
      <w:tr w:rsidR="007A5C49" w:rsidRPr="00AC04FD" w:rsidTr="000605E4">
        <w:trPr>
          <w:trHeight w:val="545"/>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Tanger-Tétouan-Al Hoceïma</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0605E4">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11,9</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0605E4">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9,7</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Oriental</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0605E4">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18,7</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0605E4">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20,2</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Fès-Meknès</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0605E4">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13,6</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0605E4">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14,6</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Rabat-Salé-Kénitra</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0605E4">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12,3</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0605E4">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10,5</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Béni Mellal-Khénifra</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0605E4">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8,8</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0605E4">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9,4</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Casablanca-Settat</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0605E4">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15,3</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0605E4">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14,5</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Marrakech-Safi</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0605E4">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7,9</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0605E4">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6,8</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Drâa-Tafilalet</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0605E4">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7,8</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0605E4">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9,0</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Souss-Massa</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0605E4">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10,0</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0605E4">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10,6</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0"/>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Régions du Sud</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0605E4">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19,6</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0605E4">
            <w:pPr>
              <w:spacing w:line="240" w:lineRule="auto"/>
              <w:ind w:firstLineChars="300" w:firstLine="600"/>
              <w:jc w:val="center"/>
              <w:rPr>
                <w:rFonts w:ascii="Garamond" w:eastAsia="Times New Roman" w:hAnsi="Garamond" w:cs="Calibri"/>
                <w:color w:val="000000"/>
                <w:sz w:val="20"/>
                <w:szCs w:val="20"/>
                <w:lang w:eastAsia="en-US"/>
              </w:rPr>
            </w:pPr>
            <w:r w:rsidRPr="00AC04FD">
              <w:rPr>
                <w:rFonts w:ascii="Garamond" w:eastAsia="Times New Roman" w:hAnsi="Garamond" w:cs="Calibri"/>
                <w:color w:val="000000"/>
                <w:sz w:val="20"/>
                <w:szCs w:val="20"/>
                <w:lang w:eastAsia="en-US"/>
              </w:rPr>
              <w:t>19,6</w:t>
            </w:r>
          </w:p>
        </w:tc>
      </w:tr>
      <w:tr w:rsidR="007A5C49" w:rsidRPr="00AC04FD" w:rsidTr="007A5C49">
        <w:trPr>
          <w:trHeight w:val="320"/>
          <w:jc w:val="center"/>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7A5C49" w:rsidRPr="00AC04FD" w:rsidRDefault="007A5C49" w:rsidP="007A5C49">
            <w:pPr>
              <w:spacing w:line="240" w:lineRule="auto"/>
              <w:ind w:firstLineChars="100" w:firstLine="201"/>
              <w:rPr>
                <w:rFonts w:ascii="Garamond" w:eastAsia="Times New Roman" w:hAnsi="Garamond" w:cs="Calibri"/>
                <w:b/>
                <w:bCs/>
                <w:color w:val="000000"/>
                <w:sz w:val="20"/>
                <w:szCs w:val="20"/>
                <w:lang w:eastAsia="en-US"/>
              </w:rPr>
            </w:pPr>
            <w:r w:rsidRPr="00AC04FD">
              <w:rPr>
                <w:rFonts w:ascii="Garamond" w:eastAsia="Times New Roman" w:hAnsi="Garamond" w:cs="Calibri"/>
                <w:b/>
                <w:bCs/>
                <w:color w:val="000000"/>
                <w:sz w:val="20"/>
                <w:szCs w:val="20"/>
                <w:lang w:eastAsia="en-US"/>
              </w:rPr>
              <w:t>National</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0605E4">
            <w:pPr>
              <w:spacing w:line="240" w:lineRule="auto"/>
              <w:ind w:firstLineChars="300" w:firstLine="602"/>
              <w:jc w:val="center"/>
              <w:rPr>
                <w:rFonts w:ascii="Garamond" w:eastAsia="Times New Roman" w:hAnsi="Garamond" w:cs="Calibri"/>
                <w:b/>
                <w:bCs/>
                <w:color w:val="000000"/>
                <w:sz w:val="20"/>
                <w:szCs w:val="20"/>
                <w:lang w:eastAsia="en-US"/>
              </w:rPr>
            </w:pPr>
            <w:r w:rsidRPr="00AC04FD">
              <w:rPr>
                <w:rFonts w:ascii="Garamond" w:eastAsia="Times New Roman" w:hAnsi="Garamond" w:cs="Calibri"/>
                <w:b/>
                <w:bCs/>
                <w:color w:val="000000"/>
                <w:sz w:val="20"/>
                <w:szCs w:val="20"/>
                <w:lang w:eastAsia="en-US"/>
              </w:rPr>
              <w:t>12,5</w:t>
            </w:r>
          </w:p>
        </w:tc>
        <w:tc>
          <w:tcPr>
            <w:tcW w:w="2060" w:type="dxa"/>
            <w:tcBorders>
              <w:top w:val="nil"/>
              <w:left w:val="nil"/>
              <w:bottom w:val="single" w:sz="4" w:space="0" w:color="auto"/>
              <w:right w:val="single" w:sz="4" w:space="0" w:color="auto"/>
            </w:tcBorders>
            <w:shd w:val="clear" w:color="auto" w:fill="auto"/>
            <w:noWrap/>
            <w:vAlign w:val="bottom"/>
            <w:hideMark/>
          </w:tcPr>
          <w:p w:rsidR="007A5C49" w:rsidRPr="00AC04FD" w:rsidRDefault="007A5C49" w:rsidP="000605E4">
            <w:pPr>
              <w:spacing w:line="240" w:lineRule="auto"/>
              <w:ind w:firstLineChars="300" w:firstLine="602"/>
              <w:jc w:val="center"/>
              <w:rPr>
                <w:rFonts w:ascii="Garamond" w:eastAsia="Times New Roman" w:hAnsi="Garamond" w:cs="Calibri"/>
                <w:b/>
                <w:bCs/>
                <w:color w:val="000000"/>
                <w:sz w:val="20"/>
                <w:szCs w:val="20"/>
                <w:lang w:eastAsia="en-US"/>
              </w:rPr>
            </w:pPr>
            <w:r w:rsidRPr="00AC04FD">
              <w:rPr>
                <w:rFonts w:ascii="Garamond" w:eastAsia="Times New Roman" w:hAnsi="Garamond" w:cs="Calibri"/>
                <w:b/>
                <w:bCs/>
                <w:color w:val="000000"/>
                <w:sz w:val="20"/>
                <w:szCs w:val="20"/>
                <w:lang w:eastAsia="en-US"/>
              </w:rPr>
              <w:t>12,1</w:t>
            </w:r>
          </w:p>
        </w:tc>
      </w:tr>
    </w:tbl>
    <w:p w:rsidR="007A5C49" w:rsidRDefault="007A5C49" w:rsidP="007A5C49">
      <w:pPr>
        <w:tabs>
          <w:tab w:val="left" w:pos="-720"/>
        </w:tabs>
        <w:suppressAutoHyphens/>
        <w:spacing w:line="256" w:lineRule="auto"/>
        <w:jc w:val="both"/>
      </w:pPr>
      <w:r>
        <w:rPr>
          <w:rFonts w:ascii="Times New Roman" w:eastAsia="Calibri" w:hAnsi="Times New Roman" w:cs="Times New Roman"/>
          <w:color w:val="222222"/>
          <w:sz w:val="20"/>
          <w:szCs w:val="20"/>
          <w:shd w:val="clear" w:color="auto" w:fill="FFFFFF"/>
          <w:lang w:eastAsia="en-US"/>
        </w:rPr>
        <w:t xml:space="preserve">            Source : Enquête nationale sur l'emploi, Haut-commissariat au Plan </w:t>
      </w:r>
    </w:p>
    <w:sectPr w:rsidR="007A5C49" w:rsidSect="00F94ED6">
      <w:footerReference w:type="default" r:id="rId16"/>
      <w:headerReference w:type="first" r:id="rId17"/>
      <w:pgSz w:w="11909" w:h="16834"/>
      <w:pgMar w:top="993"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325" w:rsidRDefault="00D05325">
      <w:pPr>
        <w:spacing w:line="240" w:lineRule="auto"/>
      </w:pPr>
      <w:r>
        <w:separator/>
      </w:r>
    </w:p>
  </w:endnote>
  <w:endnote w:type="continuationSeparator" w:id="1">
    <w:p w:rsidR="00D05325" w:rsidRDefault="00D053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Browallia New">
    <w:altName w:val="Arial Unicode MS"/>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622249"/>
      <w:docPartObj>
        <w:docPartGallery w:val="Page Numbers (Bottom of Page)"/>
        <w:docPartUnique/>
      </w:docPartObj>
    </w:sdtPr>
    <w:sdtEndPr>
      <w:rPr>
        <w:noProof/>
      </w:rPr>
    </w:sdtEndPr>
    <w:sdtContent>
      <w:p w:rsidR="00BA5D45" w:rsidRDefault="000E649E">
        <w:pPr>
          <w:pStyle w:val="Pieddepage"/>
          <w:jc w:val="center"/>
        </w:pPr>
        <w:r>
          <w:fldChar w:fldCharType="begin"/>
        </w:r>
        <w:r w:rsidR="001974C0">
          <w:instrText xml:space="preserve"> PAGE   \* MERGEFORMAT </w:instrText>
        </w:r>
        <w:r>
          <w:fldChar w:fldCharType="separate"/>
        </w:r>
        <w:r w:rsidR="00397FD5">
          <w:rPr>
            <w:noProof/>
          </w:rPr>
          <w:t>9</w:t>
        </w:r>
        <w:r>
          <w:rPr>
            <w:noProof/>
          </w:rPr>
          <w:fldChar w:fldCharType="end"/>
        </w:r>
      </w:p>
    </w:sdtContent>
  </w:sdt>
  <w:p w:rsidR="00BA5D45" w:rsidRDefault="00BA5D45">
    <w:pPr>
      <w:spacing w:before="240" w:after="24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325" w:rsidRDefault="00D05325">
      <w:pPr>
        <w:spacing w:line="240" w:lineRule="auto"/>
      </w:pPr>
      <w:r>
        <w:separator/>
      </w:r>
    </w:p>
  </w:footnote>
  <w:footnote w:type="continuationSeparator" w:id="1">
    <w:p w:rsidR="00D05325" w:rsidRDefault="00D05325">
      <w:pPr>
        <w:spacing w:line="240" w:lineRule="auto"/>
      </w:pPr>
      <w:r>
        <w:continuationSeparator/>
      </w:r>
    </w:p>
  </w:footnote>
  <w:footnote w:id="2">
    <w:p w:rsidR="00376ADA" w:rsidRPr="00A66731" w:rsidRDefault="00376ADA" w:rsidP="00A317CE">
      <w:pPr>
        <w:spacing w:line="240" w:lineRule="auto"/>
        <w:jc w:val="both"/>
        <w:rPr>
          <w:sz w:val="14"/>
          <w:szCs w:val="14"/>
        </w:rPr>
      </w:pPr>
      <w:r w:rsidRPr="00A317CE">
        <w:rPr>
          <w:rStyle w:val="Appelnotedebasdep"/>
          <w:rFonts w:asciiTheme="majorBidi" w:hAnsiTheme="majorBidi" w:cstheme="majorBidi"/>
          <w:sz w:val="20"/>
          <w:szCs w:val="20"/>
        </w:rPr>
        <w:footnoteRef/>
      </w:r>
      <w:bookmarkStart w:id="1" w:name="_Hlk70758714"/>
      <w:r w:rsidRPr="00A317CE">
        <w:rPr>
          <w:rFonts w:asciiTheme="majorBidi" w:hAnsiTheme="majorBidi" w:cstheme="majorBidi"/>
          <w:sz w:val="14"/>
          <w:szCs w:val="14"/>
        </w:rPr>
        <w:t>Estimation basée sur l’auto-définition des déclarants.</w:t>
      </w:r>
      <w:bookmarkEnd w:id="1"/>
    </w:p>
  </w:footnote>
  <w:footnote w:id="3">
    <w:p w:rsidR="00BA5D45" w:rsidRPr="001A6978" w:rsidRDefault="00BA5D45" w:rsidP="00A317CE">
      <w:pPr>
        <w:pStyle w:val="Notedebasdepage"/>
        <w:rPr>
          <w:rFonts w:asciiTheme="majorBidi" w:hAnsiTheme="majorBidi" w:cstheme="majorBidi"/>
        </w:rPr>
      </w:pPr>
      <w:r w:rsidRPr="001A6978">
        <w:rPr>
          <w:rStyle w:val="Appelnotedebasdep"/>
          <w:rFonts w:asciiTheme="majorBidi" w:hAnsiTheme="majorBidi" w:cstheme="majorBidi"/>
        </w:rPr>
        <w:footnoteRef/>
      </w:r>
      <w:r w:rsidRPr="001A6978">
        <w:rPr>
          <w:rFonts w:asciiTheme="majorBidi" w:hAnsiTheme="majorBidi" w:cstheme="majorBidi"/>
          <w:sz w:val="14"/>
          <w:szCs w:val="14"/>
        </w:rPr>
        <w:t xml:space="preserve">  L’écart entre la baisse d’emploi au niveau global et par secteurs concerne les activités mal ou non désignées.</w:t>
      </w:r>
    </w:p>
  </w:footnote>
  <w:footnote w:id="4">
    <w:p w:rsidR="00BA5D45" w:rsidRPr="00893A42" w:rsidRDefault="00BA5D45" w:rsidP="00577B46">
      <w:pPr>
        <w:pStyle w:val="Corpsdetexte"/>
        <w:bidi w:val="0"/>
        <w:rPr>
          <w:sz w:val="16"/>
          <w:szCs w:val="16"/>
          <w:rtl/>
          <w:lang w:bidi="ar-MA"/>
        </w:rPr>
      </w:pPr>
      <w:r w:rsidRPr="00E627A5">
        <w:rPr>
          <w:rFonts w:ascii="Book Antiqua" w:hAnsi="Book Antiqua"/>
          <w:b/>
          <w:bCs/>
          <w:color w:val="222222"/>
          <w:sz w:val="18"/>
          <w:szCs w:val="18"/>
          <w:shd w:val="clear" w:color="auto" w:fill="FFFFFF"/>
          <w:vertAlign w:val="superscript"/>
        </w:rPr>
        <w:footnoteRef/>
      </w:r>
      <w:r w:rsidRPr="00893A42">
        <w:rPr>
          <w:rFonts w:ascii="Book Antiqua" w:hAnsi="Book Antiqua"/>
          <w:sz w:val="16"/>
          <w:szCs w:val="16"/>
        </w:rPr>
        <w:t>Les diplômes de n</w:t>
      </w:r>
      <w:r w:rsidRPr="00893A42">
        <w:rPr>
          <w:rFonts w:ascii="Book Antiqua" w:hAnsi="Book Antiqua"/>
          <w:spacing w:val="-2"/>
          <w:sz w:val="16"/>
          <w:szCs w:val="16"/>
          <w:lang w:eastAsia="en-US"/>
        </w:rPr>
        <w:t>iveau</w:t>
      </w:r>
      <w:r w:rsidRPr="00893A42">
        <w:rPr>
          <w:rFonts w:ascii="Book Antiqua" w:hAnsi="Book Antiqua"/>
          <w:sz w:val="16"/>
          <w:szCs w:val="16"/>
        </w:rPr>
        <w:t xml:space="preserve"> supérieur </w:t>
      </w:r>
      <w:r w:rsidRPr="00893A42">
        <w:rPr>
          <w:rFonts w:ascii="Book Antiqua" w:hAnsi="Book Antiqua"/>
          <w:spacing w:val="-2"/>
          <w:sz w:val="16"/>
          <w:szCs w:val="16"/>
          <w:lang w:eastAsia="en-US"/>
        </w:rPr>
        <w:t>regroupent le b</w:t>
      </w:r>
      <w:r w:rsidRPr="00893A42">
        <w:rPr>
          <w:rFonts w:ascii="Book Antiqua" w:hAnsi="Book Antiqua"/>
          <w:sz w:val="16"/>
          <w:szCs w:val="16"/>
        </w:rPr>
        <w:t>accalauréat, les diplômes de techniciens ou de techniciens spécialisés et les diplômes d'enseignement supérieur (facultés, grandes écoles et instituts).</w:t>
      </w:r>
    </w:p>
  </w:footnote>
  <w:footnote w:id="5">
    <w:p w:rsidR="00BA5D45" w:rsidRPr="00893A42" w:rsidRDefault="00BA5D45" w:rsidP="00577B46">
      <w:pPr>
        <w:pStyle w:val="Notedebasdepage"/>
        <w:rPr>
          <w:rFonts w:ascii="Book Antiqua" w:hAnsi="Book Antiqua"/>
          <w:sz w:val="16"/>
          <w:szCs w:val="16"/>
          <w:rtl/>
          <w:lang w:bidi="ar-MA"/>
        </w:rPr>
      </w:pPr>
      <w:r w:rsidRPr="00893A42">
        <w:rPr>
          <w:rFonts w:ascii="Book Antiqua" w:hAnsi="Book Antiqua" w:cs="Traditional Arabic"/>
          <w:b/>
          <w:bCs/>
          <w:noProof/>
          <w:color w:val="222222"/>
          <w:sz w:val="18"/>
          <w:szCs w:val="18"/>
          <w:shd w:val="clear" w:color="auto" w:fill="FFFFFF"/>
          <w:vertAlign w:val="superscript"/>
        </w:rPr>
        <w:footnoteRef/>
      </w:r>
      <w:r w:rsidRPr="00893A42">
        <w:rPr>
          <w:rFonts w:ascii="Book Antiqua" w:hAnsi="Book Antiqua"/>
          <w:sz w:val="16"/>
          <w:szCs w:val="16"/>
        </w:rPr>
        <w:t>Les diplômes de n</w:t>
      </w:r>
      <w:r w:rsidRPr="00893A42">
        <w:rPr>
          <w:rFonts w:ascii="Book Antiqua" w:hAnsi="Book Antiqua"/>
          <w:spacing w:val="-2"/>
          <w:sz w:val="16"/>
          <w:szCs w:val="16"/>
          <w:lang w:eastAsia="en-US"/>
        </w:rPr>
        <w:t>iveau moyen regroupent les certificats de l'enseignement primaire, du secondaire collégial et les diplômes de qualification ou de spécialisation professionnelle.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ED6" w:rsidRDefault="00F94ED6" w:rsidP="00F94ED6">
    <w:pPr>
      <w:pStyle w:val="En-tte"/>
      <w:jc w:val="center"/>
    </w:pPr>
    <w:r w:rsidRPr="00F94ED6">
      <w:rPr>
        <w:noProof/>
      </w:rPr>
      <w:drawing>
        <wp:inline distT="0" distB="0" distL="0" distR="0">
          <wp:extent cx="1209766" cy="1047789"/>
          <wp:effectExtent l="0" t="0" r="9525"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1044" cy="105755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B32F5"/>
    <w:multiLevelType w:val="hybridMultilevel"/>
    <w:tmpl w:val="BEE4AB88"/>
    <w:lvl w:ilvl="0" w:tplc="F6E07AF0">
      <w:start w:val="1"/>
      <w:numFmt w:val="upperRoman"/>
      <w:lvlText w:val="%1."/>
      <w:lvlJc w:val="left"/>
      <w:pPr>
        <w:ind w:left="1080" w:hanging="720"/>
      </w:pPr>
      <w:rPr>
        <w:rFonts w:hint="default"/>
        <w:color w:val="1F386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D10B73"/>
    <w:multiLevelType w:val="hybridMultilevel"/>
    <w:tmpl w:val="0B02A664"/>
    <w:lvl w:ilvl="0" w:tplc="1A1C14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2567B4F"/>
    <w:multiLevelType w:val="hybridMultilevel"/>
    <w:tmpl w:val="0B02A664"/>
    <w:lvl w:ilvl="0" w:tplc="1A1C14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1C642A6"/>
    <w:multiLevelType w:val="multilevel"/>
    <w:tmpl w:val="CDAE448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CC05D92"/>
    <w:multiLevelType w:val="hybridMultilevel"/>
    <w:tmpl w:val="ADBCB5E0"/>
    <w:lvl w:ilvl="0" w:tplc="DDF0E0AA">
      <w:start w:val="1"/>
      <w:numFmt w:val="upperRoman"/>
      <w:lvlText w:val="%1."/>
      <w:lvlJc w:val="left"/>
      <w:pPr>
        <w:ind w:left="720" w:hanging="720"/>
      </w:pPr>
      <w:rPr>
        <w:rFonts w:hint="default"/>
        <w:i w:val="0"/>
        <w:iCs w:val="0"/>
        <w:color w:val="0070C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3EA73EFC"/>
    <w:multiLevelType w:val="hybridMultilevel"/>
    <w:tmpl w:val="D9C62258"/>
    <w:lvl w:ilvl="0" w:tplc="8BACE8C8">
      <w:start w:val="2"/>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4936660B"/>
    <w:multiLevelType w:val="hybridMultilevel"/>
    <w:tmpl w:val="24461A3A"/>
    <w:lvl w:ilvl="0" w:tplc="040C0001">
      <w:start w:val="1"/>
      <w:numFmt w:val="bullet"/>
      <w:lvlText w:val=""/>
      <w:lvlJc w:val="left"/>
      <w:pPr>
        <w:ind w:left="3960" w:hanging="360"/>
      </w:pPr>
      <w:rPr>
        <w:rFonts w:ascii="Symbol" w:hAnsi="Symbol" w:hint="default"/>
      </w:rPr>
    </w:lvl>
    <w:lvl w:ilvl="1" w:tplc="040C0003" w:tentative="1">
      <w:start w:val="1"/>
      <w:numFmt w:val="bullet"/>
      <w:lvlText w:val="o"/>
      <w:lvlJc w:val="left"/>
      <w:pPr>
        <w:ind w:left="4680" w:hanging="360"/>
      </w:pPr>
      <w:rPr>
        <w:rFonts w:ascii="Courier New" w:hAnsi="Courier New" w:cs="Courier New" w:hint="default"/>
      </w:rPr>
    </w:lvl>
    <w:lvl w:ilvl="2" w:tplc="040C0005" w:tentative="1">
      <w:start w:val="1"/>
      <w:numFmt w:val="bullet"/>
      <w:lvlText w:val=""/>
      <w:lvlJc w:val="left"/>
      <w:pPr>
        <w:ind w:left="5400" w:hanging="360"/>
      </w:pPr>
      <w:rPr>
        <w:rFonts w:ascii="Wingdings" w:hAnsi="Wingdings" w:hint="default"/>
      </w:rPr>
    </w:lvl>
    <w:lvl w:ilvl="3" w:tplc="040C0001" w:tentative="1">
      <w:start w:val="1"/>
      <w:numFmt w:val="bullet"/>
      <w:lvlText w:val=""/>
      <w:lvlJc w:val="left"/>
      <w:pPr>
        <w:ind w:left="6120" w:hanging="360"/>
      </w:pPr>
      <w:rPr>
        <w:rFonts w:ascii="Symbol" w:hAnsi="Symbol" w:hint="default"/>
      </w:rPr>
    </w:lvl>
    <w:lvl w:ilvl="4" w:tplc="040C0003" w:tentative="1">
      <w:start w:val="1"/>
      <w:numFmt w:val="bullet"/>
      <w:lvlText w:val="o"/>
      <w:lvlJc w:val="left"/>
      <w:pPr>
        <w:ind w:left="6840" w:hanging="360"/>
      </w:pPr>
      <w:rPr>
        <w:rFonts w:ascii="Courier New" w:hAnsi="Courier New" w:cs="Courier New" w:hint="default"/>
      </w:rPr>
    </w:lvl>
    <w:lvl w:ilvl="5" w:tplc="040C0005" w:tentative="1">
      <w:start w:val="1"/>
      <w:numFmt w:val="bullet"/>
      <w:lvlText w:val=""/>
      <w:lvlJc w:val="left"/>
      <w:pPr>
        <w:ind w:left="7560" w:hanging="360"/>
      </w:pPr>
      <w:rPr>
        <w:rFonts w:ascii="Wingdings" w:hAnsi="Wingdings" w:hint="default"/>
      </w:rPr>
    </w:lvl>
    <w:lvl w:ilvl="6" w:tplc="040C0001" w:tentative="1">
      <w:start w:val="1"/>
      <w:numFmt w:val="bullet"/>
      <w:lvlText w:val=""/>
      <w:lvlJc w:val="left"/>
      <w:pPr>
        <w:ind w:left="8280" w:hanging="360"/>
      </w:pPr>
      <w:rPr>
        <w:rFonts w:ascii="Symbol" w:hAnsi="Symbol" w:hint="default"/>
      </w:rPr>
    </w:lvl>
    <w:lvl w:ilvl="7" w:tplc="040C0003" w:tentative="1">
      <w:start w:val="1"/>
      <w:numFmt w:val="bullet"/>
      <w:lvlText w:val="o"/>
      <w:lvlJc w:val="left"/>
      <w:pPr>
        <w:ind w:left="9000" w:hanging="360"/>
      </w:pPr>
      <w:rPr>
        <w:rFonts w:ascii="Courier New" w:hAnsi="Courier New" w:cs="Courier New" w:hint="default"/>
      </w:rPr>
    </w:lvl>
    <w:lvl w:ilvl="8" w:tplc="040C0005" w:tentative="1">
      <w:start w:val="1"/>
      <w:numFmt w:val="bullet"/>
      <w:lvlText w:val=""/>
      <w:lvlJc w:val="left"/>
      <w:pPr>
        <w:ind w:left="9720" w:hanging="360"/>
      </w:pPr>
      <w:rPr>
        <w:rFonts w:ascii="Wingdings" w:hAnsi="Wingdings" w:hint="default"/>
      </w:rPr>
    </w:lvl>
  </w:abstractNum>
  <w:abstractNum w:abstractNumId="7">
    <w:nsid w:val="609175B9"/>
    <w:multiLevelType w:val="hybridMultilevel"/>
    <w:tmpl w:val="3348DD78"/>
    <w:lvl w:ilvl="0" w:tplc="C0BEF51E">
      <w:start w:val="3"/>
      <w:numFmt w:val="upperRoman"/>
      <w:lvlText w:val="%1."/>
      <w:lvlJc w:val="left"/>
      <w:pPr>
        <w:ind w:left="720" w:hanging="720"/>
      </w:pPr>
      <w:rPr>
        <w:rFonts w:eastAsia="Book Antiqua" w:cs="Book Antiqua" w:hint="default"/>
        <w:i w:val="0"/>
        <w:color w:val="0070C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6E003AE9"/>
    <w:multiLevelType w:val="hybridMultilevel"/>
    <w:tmpl w:val="5AE69128"/>
    <w:lvl w:ilvl="0" w:tplc="DB90BE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4"/>
  </w:num>
  <w:num w:numId="7">
    <w:abstractNumId w:val="3"/>
  </w:num>
  <w:num w:numId="8">
    <w:abstractNumId w:val="1"/>
  </w:num>
  <w:num w:numId="9">
    <w:abstractNumId w:val="5"/>
  </w:num>
  <w:num w:numId="10">
    <w:abstractNumId w:val="7"/>
  </w:num>
  <w:num w:numId="11">
    <w:abstractNumId w:val="6"/>
  </w:num>
  <w:num w:numId="1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D230E"/>
    <w:rsid w:val="00004631"/>
    <w:rsid w:val="00004A90"/>
    <w:rsid w:val="00011179"/>
    <w:rsid w:val="00021850"/>
    <w:rsid w:val="00034A6E"/>
    <w:rsid w:val="00043275"/>
    <w:rsid w:val="000471F6"/>
    <w:rsid w:val="000605E4"/>
    <w:rsid w:val="00062590"/>
    <w:rsid w:val="000667D9"/>
    <w:rsid w:val="00067D07"/>
    <w:rsid w:val="00071D6E"/>
    <w:rsid w:val="00077996"/>
    <w:rsid w:val="00077E7B"/>
    <w:rsid w:val="000904EA"/>
    <w:rsid w:val="00091AF6"/>
    <w:rsid w:val="000923FF"/>
    <w:rsid w:val="00097E88"/>
    <w:rsid w:val="000B69AD"/>
    <w:rsid w:val="000D184C"/>
    <w:rsid w:val="000D5059"/>
    <w:rsid w:val="000E2D52"/>
    <w:rsid w:val="000E649E"/>
    <w:rsid w:val="00102DA0"/>
    <w:rsid w:val="0011286A"/>
    <w:rsid w:val="001179AA"/>
    <w:rsid w:val="0015280F"/>
    <w:rsid w:val="00156B42"/>
    <w:rsid w:val="00165788"/>
    <w:rsid w:val="001726BC"/>
    <w:rsid w:val="00174E1E"/>
    <w:rsid w:val="00175433"/>
    <w:rsid w:val="0018223C"/>
    <w:rsid w:val="00194420"/>
    <w:rsid w:val="001974C0"/>
    <w:rsid w:val="001A300F"/>
    <w:rsid w:val="001A6530"/>
    <w:rsid w:val="001B4F8B"/>
    <w:rsid w:val="001D7E3C"/>
    <w:rsid w:val="001E3D7A"/>
    <w:rsid w:val="001E688C"/>
    <w:rsid w:val="001F5039"/>
    <w:rsid w:val="001F764D"/>
    <w:rsid w:val="00200209"/>
    <w:rsid w:val="00206684"/>
    <w:rsid w:val="0021084A"/>
    <w:rsid w:val="00216317"/>
    <w:rsid w:val="00216708"/>
    <w:rsid w:val="002234FC"/>
    <w:rsid w:val="002261E8"/>
    <w:rsid w:val="00233EC0"/>
    <w:rsid w:val="00234375"/>
    <w:rsid w:val="00250A6B"/>
    <w:rsid w:val="00262399"/>
    <w:rsid w:val="00265B9D"/>
    <w:rsid w:val="00273F99"/>
    <w:rsid w:val="002900EE"/>
    <w:rsid w:val="00291CC7"/>
    <w:rsid w:val="00293055"/>
    <w:rsid w:val="002A28D6"/>
    <w:rsid w:val="002A5048"/>
    <w:rsid w:val="002B3344"/>
    <w:rsid w:val="002D065D"/>
    <w:rsid w:val="002D113D"/>
    <w:rsid w:val="002D1C40"/>
    <w:rsid w:val="003001E5"/>
    <w:rsid w:val="00311D7D"/>
    <w:rsid w:val="00314915"/>
    <w:rsid w:val="00316D51"/>
    <w:rsid w:val="00322D6D"/>
    <w:rsid w:val="0032671A"/>
    <w:rsid w:val="00337DFF"/>
    <w:rsid w:val="003533F1"/>
    <w:rsid w:val="00353C4E"/>
    <w:rsid w:val="00362716"/>
    <w:rsid w:val="0036364D"/>
    <w:rsid w:val="00363852"/>
    <w:rsid w:val="00376ADA"/>
    <w:rsid w:val="00380EDC"/>
    <w:rsid w:val="00381E37"/>
    <w:rsid w:val="003839A4"/>
    <w:rsid w:val="003848CA"/>
    <w:rsid w:val="0038495E"/>
    <w:rsid w:val="00394322"/>
    <w:rsid w:val="00395053"/>
    <w:rsid w:val="00397FD5"/>
    <w:rsid w:val="003A6941"/>
    <w:rsid w:val="003A6F65"/>
    <w:rsid w:val="003B0CC2"/>
    <w:rsid w:val="003C56CF"/>
    <w:rsid w:val="003D03B0"/>
    <w:rsid w:val="003D1D48"/>
    <w:rsid w:val="003D6A78"/>
    <w:rsid w:val="003D6BC2"/>
    <w:rsid w:val="003E0077"/>
    <w:rsid w:val="00405CC3"/>
    <w:rsid w:val="0041574F"/>
    <w:rsid w:val="0041763C"/>
    <w:rsid w:val="00420B3D"/>
    <w:rsid w:val="00421AE0"/>
    <w:rsid w:val="00427434"/>
    <w:rsid w:val="00442D13"/>
    <w:rsid w:val="00444563"/>
    <w:rsid w:val="00445590"/>
    <w:rsid w:val="0044569E"/>
    <w:rsid w:val="004602A5"/>
    <w:rsid w:val="00462A31"/>
    <w:rsid w:val="0048112B"/>
    <w:rsid w:val="00483427"/>
    <w:rsid w:val="00483939"/>
    <w:rsid w:val="0048411C"/>
    <w:rsid w:val="00490D10"/>
    <w:rsid w:val="0049372D"/>
    <w:rsid w:val="00495B48"/>
    <w:rsid w:val="00496A39"/>
    <w:rsid w:val="004A64D4"/>
    <w:rsid w:val="004B724C"/>
    <w:rsid w:val="004C1704"/>
    <w:rsid w:val="004C7351"/>
    <w:rsid w:val="004F43F8"/>
    <w:rsid w:val="00501444"/>
    <w:rsid w:val="00505315"/>
    <w:rsid w:val="00511E79"/>
    <w:rsid w:val="00521E97"/>
    <w:rsid w:val="00531743"/>
    <w:rsid w:val="0054373C"/>
    <w:rsid w:val="005524FF"/>
    <w:rsid w:val="005678CB"/>
    <w:rsid w:val="00577B46"/>
    <w:rsid w:val="00580597"/>
    <w:rsid w:val="005826CA"/>
    <w:rsid w:val="005906B1"/>
    <w:rsid w:val="00591530"/>
    <w:rsid w:val="005C72EA"/>
    <w:rsid w:val="005D6831"/>
    <w:rsid w:val="005E0837"/>
    <w:rsid w:val="005E1071"/>
    <w:rsid w:val="005E395E"/>
    <w:rsid w:val="005E655C"/>
    <w:rsid w:val="005E6622"/>
    <w:rsid w:val="005E6710"/>
    <w:rsid w:val="005F659F"/>
    <w:rsid w:val="006041A8"/>
    <w:rsid w:val="00630ED2"/>
    <w:rsid w:val="00633314"/>
    <w:rsid w:val="00645B18"/>
    <w:rsid w:val="00656751"/>
    <w:rsid w:val="00667BA4"/>
    <w:rsid w:val="00673F2C"/>
    <w:rsid w:val="0067610A"/>
    <w:rsid w:val="00685B67"/>
    <w:rsid w:val="00687B34"/>
    <w:rsid w:val="00693025"/>
    <w:rsid w:val="00695586"/>
    <w:rsid w:val="006A06D5"/>
    <w:rsid w:val="006A0F92"/>
    <w:rsid w:val="006A4410"/>
    <w:rsid w:val="006B36B2"/>
    <w:rsid w:val="006B3FE2"/>
    <w:rsid w:val="006B6D64"/>
    <w:rsid w:val="006C30C5"/>
    <w:rsid w:val="006C3990"/>
    <w:rsid w:val="006D72D4"/>
    <w:rsid w:val="006F4738"/>
    <w:rsid w:val="00702AFD"/>
    <w:rsid w:val="0070696D"/>
    <w:rsid w:val="007078D8"/>
    <w:rsid w:val="0070793C"/>
    <w:rsid w:val="00722130"/>
    <w:rsid w:val="007233C1"/>
    <w:rsid w:val="00726C0D"/>
    <w:rsid w:val="0072708B"/>
    <w:rsid w:val="00741193"/>
    <w:rsid w:val="00750998"/>
    <w:rsid w:val="00766FBB"/>
    <w:rsid w:val="00772579"/>
    <w:rsid w:val="007839D4"/>
    <w:rsid w:val="00785357"/>
    <w:rsid w:val="00793064"/>
    <w:rsid w:val="007A0E16"/>
    <w:rsid w:val="007A1E65"/>
    <w:rsid w:val="007A5C49"/>
    <w:rsid w:val="007B0E8A"/>
    <w:rsid w:val="007B1936"/>
    <w:rsid w:val="007B3685"/>
    <w:rsid w:val="007C54E7"/>
    <w:rsid w:val="007D1987"/>
    <w:rsid w:val="007D7D10"/>
    <w:rsid w:val="007E563F"/>
    <w:rsid w:val="007E5C62"/>
    <w:rsid w:val="007F1A60"/>
    <w:rsid w:val="007F7A82"/>
    <w:rsid w:val="008304B6"/>
    <w:rsid w:val="00844B3A"/>
    <w:rsid w:val="00850669"/>
    <w:rsid w:val="00850ED5"/>
    <w:rsid w:val="0086407B"/>
    <w:rsid w:val="00873E0F"/>
    <w:rsid w:val="00876E17"/>
    <w:rsid w:val="008815E5"/>
    <w:rsid w:val="00882371"/>
    <w:rsid w:val="00884468"/>
    <w:rsid w:val="008937A4"/>
    <w:rsid w:val="00894EE2"/>
    <w:rsid w:val="008B6DE8"/>
    <w:rsid w:val="008E598B"/>
    <w:rsid w:val="008E6931"/>
    <w:rsid w:val="00903A97"/>
    <w:rsid w:val="00904609"/>
    <w:rsid w:val="00904E9B"/>
    <w:rsid w:val="00907851"/>
    <w:rsid w:val="0091154F"/>
    <w:rsid w:val="009126FC"/>
    <w:rsid w:val="00913AA3"/>
    <w:rsid w:val="009167A6"/>
    <w:rsid w:val="00923F1D"/>
    <w:rsid w:val="0093185A"/>
    <w:rsid w:val="00946B87"/>
    <w:rsid w:val="009472B6"/>
    <w:rsid w:val="00961E34"/>
    <w:rsid w:val="00966B1B"/>
    <w:rsid w:val="00970947"/>
    <w:rsid w:val="00973E43"/>
    <w:rsid w:val="00975FF2"/>
    <w:rsid w:val="009A2575"/>
    <w:rsid w:val="009A518D"/>
    <w:rsid w:val="009B678A"/>
    <w:rsid w:val="009C73E8"/>
    <w:rsid w:val="009D1207"/>
    <w:rsid w:val="009D3A84"/>
    <w:rsid w:val="00A0085A"/>
    <w:rsid w:val="00A04035"/>
    <w:rsid w:val="00A04892"/>
    <w:rsid w:val="00A112B1"/>
    <w:rsid w:val="00A12C14"/>
    <w:rsid w:val="00A20970"/>
    <w:rsid w:val="00A24C74"/>
    <w:rsid w:val="00A317CE"/>
    <w:rsid w:val="00A422B1"/>
    <w:rsid w:val="00A5269F"/>
    <w:rsid w:val="00A55A79"/>
    <w:rsid w:val="00A73B5E"/>
    <w:rsid w:val="00A7414C"/>
    <w:rsid w:val="00A821C8"/>
    <w:rsid w:val="00A90485"/>
    <w:rsid w:val="00A93F70"/>
    <w:rsid w:val="00A97616"/>
    <w:rsid w:val="00AA110C"/>
    <w:rsid w:val="00AA186B"/>
    <w:rsid w:val="00AA7A86"/>
    <w:rsid w:val="00AB3511"/>
    <w:rsid w:val="00AB4E05"/>
    <w:rsid w:val="00AC0498"/>
    <w:rsid w:val="00AC7186"/>
    <w:rsid w:val="00AC7CCC"/>
    <w:rsid w:val="00AD230E"/>
    <w:rsid w:val="00AD49D5"/>
    <w:rsid w:val="00AE18B5"/>
    <w:rsid w:val="00AE2011"/>
    <w:rsid w:val="00AF1E90"/>
    <w:rsid w:val="00AF6F94"/>
    <w:rsid w:val="00B03305"/>
    <w:rsid w:val="00B365DC"/>
    <w:rsid w:val="00B40191"/>
    <w:rsid w:val="00B5537D"/>
    <w:rsid w:val="00B5619E"/>
    <w:rsid w:val="00B6503C"/>
    <w:rsid w:val="00B7522D"/>
    <w:rsid w:val="00B82401"/>
    <w:rsid w:val="00B825D4"/>
    <w:rsid w:val="00B86B6E"/>
    <w:rsid w:val="00B9565B"/>
    <w:rsid w:val="00BA18D5"/>
    <w:rsid w:val="00BA5D45"/>
    <w:rsid w:val="00BB32C5"/>
    <w:rsid w:val="00BC5A28"/>
    <w:rsid w:val="00BD3FBF"/>
    <w:rsid w:val="00BD5FDC"/>
    <w:rsid w:val="00BE14B6"/>
    <w:rsid w:val="00BE6DCB"/>
    <w:rsid w:val="00BF4A7E"/>
    <w:rsid w:val="00C0270B"/>
    <w:rsid w:val="00C337D7"/>
    <w:rsid w:val="00C33BDF"/>
    <w:rsid w:val="00C43CBB"/>
    <w:rsid w:val="00C513B1"/>
    <w:rsid w:val="00C71365"/>
    <w:rsid w:val="00C83E72"/>
    <w:rsid w:val="00CD0AD7"/>
    <w:rsid w:val="00CF55C7"/>
    <w:rsid w:val="00CF600A"/>
    <w:rsid w:val="00D04F4B"/>
    <w:rsid w:val="00D05325"/>
    <w:rsid w:val="00D054FB"/>
    <w:rsid w:val="00D068C0"/>
    <w:rsid w:val="00D124D6"/>
    <w:rsid w:val="00D13127"/>
    <w:rsid w:val="00D14168"/>
    <w:rsid w:val="00D225EC"/>
    <w:rsid w:val="00D3245C"/>
    <w:rsid w:val="00D35E94"/>
    <w:rsid w:val="00D416D3"/>
    <w:rsid w:val="00D4257D"/>
    <w:rsid w:val="00D56E96"/>
    <w:rsid w:val="00D74A95"/>
    <w:rsid w:val="00D80257"/>
    <w:rsid w:val="00D80678"/>
    <w:rsid w:val="00D84A25"/>
    <w:rsid w:val="00D96FFE"/>
    <w:rsid w:val="00DA2A9E"/>
    <w:rsid w:val="00DB3BCC"/>
    <w:rsid w:val="00DB4C3B"/>
    <w:rsid w:val="00DB6741"/>
    <w:rsid w:val="00DC02BF"/>
    <w:rsid w:val="00DC3749"/>
    <w:rsid w:val="00DD317F"/>
    <w:rsid w:val="00DD6F1F"/>
    <w:rsid w:val="00E017C9"/>
    <w:rsid w:val="00E05CC1"/>
    <w:rsid w:val="00E1454F"/>
    <w:rsid w:val="00E250EF"/>
    <w:rsid w:val="00E276F1"/>
    <w:rsid w:val="00E537B1"/>
    <w:rsid w:val="00E61199"/>
    <w:rsid w:val="00E61DAE"/>
    <w:rsid w:val="00E625C9"/>
    <w:rsid w:val="00E63FF0"/>
    <w:rsid w:val="00E70765"/>
    <w:rsid w:val="00E92875"/>
    <w:rsid w:val="00EA3D9C"/>
    <w:rsid w:val="00EB69A3"/>
    <w:rsid w:val="00EC3B70"/>
    <w:rsid w:val="00ED1365"/>
    <w:rsid w:val="00EE2E6A"/>
    <w:rsid w:val="00EE35D9"/>
    <w:rsid w:val="00EE3CDA"/>
    <w:rsid w:val="00EE509B"/>
    <w:rsid w:val="00EE7663"/>
    <w:rsid w:val="00EF27A3"/>
    <w:rsid w:val="00EF365C"/>
    <w:rsid w:val="00EF5D73"/>
    <w:rsid w:val="00F04F64"/>
    <w:rsid w:val="00F20B03"/>
    <w:rsid w:val="00F23DD2"/>
    <w:rsid w:val="00F23F88"/>
    <w:rsid w:val="00F278A0"/>
    <w:rsid w:val="00F27B5B"/>
    <w:rsid w:val="00F33414"/>
    <w:rsid w:val="00F36718"/>
    <w:rsid w:val="00F37360"/>
    <w:rsid w:val="00F37782"/>
    <w:rsid w:val="00F43C02"/>
    <w:rsid w:val="00F551F4"/>
    <w:rsid w:val="00F55E70"/>
    <w:rsid w:val="00F60B2E"/>
    <w:rsid w:val="00F7064B"/>
    <w:rsid w:val="00F7221F"/>
    <w:rsid w:val="00F775EC"/>
    <w:rsid w:val="00F87F56"/>
    <w:rsid w:val="00F94ED6"/>
    <w:rsid w:val="00FB7025"/>
    <w:rsid w:val="00FC2459"/>
    <w:rsid w:val="00FC50CA"/>
    <w:rsid w:val="00FD6626"/>
    <w:rsid w:val="00FD72A6"/>
    <w:rsid w:val="00FE0E25"/>
    <w:rsid w:val="00FE24B5"/>
    <w:rsid w:val="00FE541A"/>
    <w:rsid w:val="00FF13D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24C"/>
  </w:style>
  <w:style w:type="paragraph" w:styleId="Titre1">
    <w:name w:val="heading 1"/>
    <w:basedOn w:val="Normal"/>
    <w:next w:val="Normal"/>
    <w:link w:val="Titre1Car"/>
    <w:uiPriority w:val="9"/>
    <w:qFormat/>
    <w:rsid w:val="004B724C"/>
    <w:pPr>
      <w:keepNext/>
      <w:keepLines/>
      <w:spacing w:before="400" w:after="120"/>
      <w:outlineLvl w:val="0"/>
    </w:pPr>
    <w:rPr>
      <w:sz w:val="40"/>
      <w:szCs w:val="40"/>
    </w:rPr>
  </w:style>
  <w:style w:type="paragraph" w:styleId="Titre2">
    <w:name w:val="heading 2"/>
    <w:basedOn w:val="Normal"/>
    <w:next w:val="Normal"/>
    <w:uiPriority w:val="9"/>
    <w:semiHidden/>
    <w:unhideWhenUsed/>
    <w:qFormat/>
    <w:rsid w:val="004B724C"/>
    <w:pPr>
      <w:keepNext/>
      <w:keepLines/>
      <w:spacing w:before="360" w:after="120"/>
      <w:outlineLvl w:val="1"/>
    </w:pPr>
    <w:rPr>
      <w:sz w:val="32"/>
      <w:szCs w:val="32"/>
    </w:rPr>
  </w:style>
  <w:style w:type="paragraph" w:styleId="Titre3">
    <w:name w:val="heading 3"/>
    <w:basedOn w:val="Normal"/>
    <w:next w:val="Normal"/>
    <w:uiPriority w:val="9"/>
    <w:semiHidden/>
    <w:unhideWhenUsed/>
    <w:qFormat/>
    <w:rsid w:val="004B724C"/>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rsid w:val="004B724C"/>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rsid w:val="004B724C"/>
    <w:pPr>
      <w:keepNext/>
      <w:keepLines/>
      <w:spacing w:before="240" w:after="80"/>
      <w:outlineLvl w:val="4"/>
    </w:pPr>
    <w:rPr>
      <w:color w:val="666666"/>
    </w:rPr>
  </w:style>
  <w:style w:type="paragraph" w:styleId="Titre6">
    <w:name w:val="heading 6"/>
    <w:basedOn w:val="Normal"/>
    <w:next w:val="Normal"/>
    <w:uiPriority w:val="9"/>
    <w:semiHidden/>
    <w:unhideWhenUsed/>
    <w:qFormat/>
    <w:rsid w:val="004B724C"/>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rsid w:val="004B724C"/>
    <w:pPr>
      <w:keepNext/>
      <w:keepLines/>
      <w:spacing w:after="60"/>
    </w:pPr>
    <w:rPr>
      <w:sz w:val="52"/>
      <w:szCs w:val="52"/>
    </w:rPr>
  </w:style>
  <w:style w:type="paragraph" w:styleId="Sous-titre">
    <w:name w:val="Subtitle"/>
    <w:basedOn w:val="Normal"/>
    <w:next w:val="Normal"/>
    <w:uiPriority w:val="11"/>
    <w:qFormat/>
    <w:rsid w:val="004B724C"/>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1B4F8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4F8B"/>
    <w:rPr>
      <w:rFonts w:ascii="Tahoma" w:hAnsi="Tahoma" w:cs="Tahoma"/>
      <w:sz w:val="16"/>
      <w:szCs w:val="16"/>
    </w:rPr>
  </w:style>
  <w:style w:type="paragraph" w:styleId="Paragraphedeliste">
    <w:name w:val="List Paragraph"/>
    <w:basedOn w:val="Normal"/>
    <w:uiPriority w:val="34"/>
    <w:qFormat/>
    <w:rsid w:val="009D3A84"/>
    <w:pPr>
      <w:ind w:left="720"/>
      <w:contextualSpacing/>
    </w:pPr>
  </w:style>
  <w:style w:type="paragraph" w:customStyle="1" w:styleId="MMTopic1">
    <w:name w:val="MM Topic 1"/>
    <w:basedOn w:val="Titre1"/>
    <w:rsid w:val="00873E0F"/>
    <w:pPr>
      <w:numPr>
        <w:numId w:val="2"/>
      </w:numPr>
      <w:spacing w:before="240" w:after="0" w:line="259" w:lineRule="auto"/>
    </w:pPr>
    <w:rPr>
      <w:rFonts w:asciiTheme="majorHAnsi" w:eastAsiaTheme="majorEastAsia" w:hAnsiTheme="majorHAnsi" w:cstheme="majorBidi"/>
      <w:color w:val="365F91" w:themeColor="accent1" w:themeShade="BF"/>
      <w:sz w:val="32"/>
      <w:szCs w:val="32"/>
      <w:lang w:eastAsia="en-US"/>
    </w:rPr>
  </w:style>
  <w:style w:type="paragraph" w:customStyle="1" w:styleId="MMTopic2">
    <w:name w:val="MM Topic 2"/>
    <w:basedOn w:val="Titre2"/>
    <w:link w:val="MMTopic2Car"/>
    <w:rsid w:val="00873E0F"/>
    <w:pPr>
      <w:numPr>
        <w:ilvl w:val="1"/>
        <w:numId w:val="2"/>
      </w:numPr>
      <w:spacing w:before="40" w:after="0" w:line="259" w:lineRule="auto"/>
    </w:pPr>
    <w:rPr>
      <w:rFonts w:asciiTheme="majorHAnsi" w:eastAsiaTheme="majorEastAsia" w:hAnsiTheme="majorHAnsi" w:cstheme="majorBidi"/>
      <w:color w:val="365F91" w:themeColor="accent1" w:themeShade="BF"/>
      <w:sz w:val="26"/>
      <w:szCs w:val="26"/>
      <w:lang w:eastAsia="en-US"/>
    </w:rPr>
  </w:style>
  <w:style w:type="character" w:customStyle="1" w:styleId="MMTopic2Car">
    <w:name w:val="MM Topic 2 Car"/>
    <w:basedOn w:val="Policepardfaut"/>
    <w:link w:val="MMTopic2"/>
    <w:rsid w:val="00873E0F"/>
    <w:rPr>
      <w:rFonts w:asciiTheme="majorHAnsi" w:eastAsiaTheme="majorEastAsia" w:hAnsiTheme="majorHAnsi" w:cstheme="majorBidi"/>
      <w:color w:val="365F91" w:themeColor="accent1" w:themeShade="BF"/>
      <w:sz w:val="26"/>
      <w:szCs w:val="26"/>
      <w:lang w:eastAsia="en-US"/>
    </w:rPr>
  </w:style>
  <w:style w:type="paragraph" w:customStyle="1" w:styleId="MMTopic3">
    <w:name w:val="MM Topic 3"/>
    <w:basedOn w:val="Titre3"/>
    <w:rsid w:val="00873E0F"/>
    <w:pPr>
      <w:numPr>
        <w:ilvl w:val="2"/>
        <w:numId w:val="2"/>
      </w:numPr>
      <w:spacing w:before="40" w:after="0" w:line="259" w:lineRule="auto"/>
      <w:ind w:left="360"/>
    </w:pPr>
    <w:rPr>
      <w:rFonts w:asciiTheme="majorHAnsi" w:eastAsiaTheme="majorEastAsia" w:hAnsiTheme="majorHAnsi" w:cstheme="majorBidi"/>
      <w:color w:val="243F60" w:themeColor="accent1" w:themeShade="7F"/>
      <w:sz w:val="24"/>
      <w:szCs w:val="24"/>
      <w:lang w:eastAsia="en-US"/>
    </w:rPr>
  </w:style>
  <w:style w:type="paragraph" w:customStyle="1" w:styleId="MMTopic4">
    <w:name w:val="MM Topic 4"/>
    <w:basedOn w:val="Titre4"/>
    <w:rsid w:val="00873E0F"/>
    <w:pPr>
      <w:numPr>
        <w:ilvl w:val="3"/>
        <w:numId w:val="2"/>
      </w:numPr>
      <w:spacing w:before="40" w:after="0" w:line="259" w:lineRule="auto"/>
      <w:ind w:left="540"/>
    </w:pPr>
    <w:rPr>
      <w:rFonts w:asciiTheme="majorHAnsi" w:eastAsiaTheme="majorEastAsia" w:hAnsiTheme="majorHAnsi" w:cstheme="majorBidi"/>
      <w:i/>
      <w:iCs/>
      <w:color w:val="365F91" w:themeColor="accent1" w:themeShade="BF"/>
      <w:sz w:val="28"/>
      <w:szCs w:val="28"/>
      <w:lang w:eastAsia="en-US"/>
    </w:rPr>
  </w:style>
  <w:style w:type="paragraph" w:customStyle="1" w:styleId="MMTopic5">
    <w:name w:val="MM Topic 5"/>
    <w:basedOn w:val="Titre5"/>
    <w:rsid w:val="00873E0F"/>
    <w:pPr>
      <w:numPr>
        <w:ilvl w:val="4"/>
        <w:numId w:val="2"/>
      </w:numPr>
      <w:spacing w:before="40" w:after="0" w:line="259" w:lineRule="auto"/>
      <w:ind w:left="720"/>
    </w:pPr>
    <w:rPr>
      <w:rFonts w:asciiTheme="majorHAnsi" w:eastAsiaTheme="majorEastAsia" w:hAnsiTheme="majorHAnsi" w:cstheme="majorBidi"/>
      <w:color w:val="365F91" w:themeColor="accent1" w:themeShade="BF"/>
      <w:sz w:val="28"/>
      <w:szCs w:val="28"/>
      <w:lang w:eastAsia="en-US"/>
    </w:rPr>
  </w:style>
  <w:style w:type="character" w:customStyle="1" w:styleId="Titre1Car">
    <w:name w:val="Titre 1 Car"/>
    <w:basedOn w:val="Policepardfaut"/>
    <w:link w:val="Titre1"/>
    <w:uiPriority w:val="9"/>
    <w:rsid w:val="00DB3BCC"/>
    <w:rPr>
      <w:sz w:val="40"/>
      <w:szCs w:val="40"/>
    </w:rPr>
  </w:style>
  <w:style w:type="paragraph" w:styleId="En-tte">
    <w:name w:val="header"/>
    <w:basedOn w:val="Normal"/>
    <w:link w:val="En-tteCar"/>
    <w:uiPriority w:val="99"/>
    <w:unhideWhenUsed/>
    <w:rsid w:val="00D4257D"/>
    <w:pPr>
      <w:tabs>
        <w:tab w:val="center" w:pos="4536"/>
        <w:tab w:val="right" w:pos="9072"/>
      </w:tabs>
      <w:spacing w:line="240" w:lineRule="auto"/>
    </w:pPr>
  </w:style>
  <w:style w:type="character" w:customStyle="1" w:styleId="En-tteCar">
    <w:name w:val="En-tête Car"/>
    <w:basedOn w:val="Policepardfaut"/>
    <w:link w:val="En-tte"/>
    <w:uiPriority w:val="99"/>
    <w:rsid w:val="00D4257D"/>
  </w:style>
  <w:style w:type="paragraph" w:styleId="Pieddepage">
    <w:name w:val="footer"/>
    <w:basedOn w:val="Normal"/>
    <w:link w:val="PieddepageCar"/>
    <w:uiPriority w:val="99"/>
    <w:unhideWhenUsed/>
    <w:rsid w:val="00D4257D"/>
    <w:pPr>
      <w:tabs>
        <w:tab w:val="center" w:pos="4536"/>
        <w:tab w:val="right" w:pos="9072"/>
      </w:tabs>
      <w:spacing w:line="240" w:lineRule="auto"/>
    </w:pPr>
  </w:style>
  <w:style w:type="character" w:customStyle="1" w:styleId="PieddepageCar">
    <w:name w:val="Pied de page Car"/>
    <w:basedOn w:val="Policepardfaut"/>
    <w:link w:val="Pieddepage"/>
    <w:uiPriority w:val="99"/>
    <w:rsid w:val="00D4257D"/>
  </w:style>
  <w:style w:type="table" w:styleId="Grilledutableau">
    <w:name w:val="Table Grid"/>
    <w:basedOn w:val="TableauNormal"/>
    <w:uiPriority w:val="39"/>
    <w:unhideWhenUsed/>
    <w:rsid w:val="002900E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EA3D9C"/>
    <w:pPr>
      <w:spacing w:line="240" w:lineRule="auto"/>
    </w:pPr>
    <w:rPr>
      <w:sz w:val="20"/>
      <w:szCs w:val="20"/>
    </w:rPr>
  </w:style>
  <w:style w:type="character" w:customStyle="1" w:styleId="NotedebasdepageCar">
    <w:name w:val="Note de bas de page Car"/>
    <w:basedOn w:val="Policepardfaut"/>
    <w:link w:val="Notedebasdepage"/>
    <w:uiPriority w:val="99"/>
    <w:semiHidden/>
    <w:rsid w:val="00EA3D9C"/>
    <w:rPr>
      <w:sz w:val="20"/>
      <w:szCs w:val="20"/>
    </w:rPr>
  </w:style>
  <w:style w:type="character" w:styleId="Appelnotedebasdep">
    <w:name w:val="footnote reference"/>
    <w:basedOn w:val="Policepardfaut"/>
    <w:uiPriority w:val="99"/>
    <w:semiHidden/>
    <w:unhideWhenUsed/>
    <w:rsid w:val="00EA3D9C"/>
    <w:rPr>
      <w:vertAlign w:val="superscript"/>
    </w:rPr>
  </w:style>
  <w:style w:type="character" w:styleId="Lienhypertexte">
    <w:name w:val="Hyperlink"/>
    <w:basedOn w:val="Policepardfaut"/>
    <w:uiPriority w:val="99"/>
    <w:semiHidden/>
    <w:unhideWhenUsed/>
    <w:rsid w:val="007A5C49"/>
    <w:rPr>
      <w:color w:val="0000FF"/>
      <w:u w:val="single"/>
    </w:rPr>
  </w:style>
  <w:style w:type="paragraph" w:styleId="Corpsdetexte">
    <w:name w:val="Body Text"/>
    <w:basedOn w:val="Normal"/>
    <w:link w:val="CorpsdetexteCar"/>
    <w:uiPriority w:val="99"/>
    <w:unhideWhenUsed/>
    <w:rsid w:val="00577B46"/>
    <w:pPr>
      <w:bidi/>
      <w:spacing w:after="120" w:line="240" w:lineRule="auto"/>
    </w:pPr>
    <w:rPr>
      <w:rFonts w:ascii="Times New Roman" w:eastAsia="Times New Roman" w:hAnsi="Times New Roman" w:cs="Traditional Arabic"/>
      <w:noProof/>
      <w:sz w:val="20"/>
      <w:szCs w:val="20"/>
    </w:rPr>
  </w:style>
  <w:style w:type="character" w:customStyle="1" w:styleId="CorpsdetexteCar">
    <w:name w:val="Corps de texte Car"/>
    <w:basedOn w:val="Policepardfaut"/>
    <w:link w:val="Corpsdetexte"/>
    <w:uiPriority w:val="99"/>
    <w:rsid w:val="00577B46"/>
    <w:rPr>
      <w:rFonts w:ascii="Times New Roman" w:eastAsia="Times New Roman" w:hAnsi="Times New Roman" w:cs="Traditional Arabic"/>
      <w:noProof/>
      <w:sz w:val="20"/>
      <w:szCs w:val="20"/>
    </w:rPr>
  </w:style>
</w:styles>
</file>

<file path=word/webSettings.xml><?xml version="1.0" encoding="utf-8"?>
<w:webSettings xmlns:r="http://schemas.openxmlformats.org/officeDocument/2006/relationships" xmlns:w="http://schemas.openxmlformats.org/wordprocessingml/2006/main">
  <w:divs>
    <w:div w:id="1520128">
      <w:bodyDiv w:val="1"/>
      <w:marLeft w:val="0"/>
      <w:marRight w:val="0"/>
      <w:marTop w:val="0"/>
      <w:marBottom w:val="0"/>
      <w:divBdr>
        <w:top w:val="none" w:sz="0" w:space="0" w:color="auto"/>
        <w:left w:val="none" w:sz="0" w:space="0" w:color="auto"/>
        <w:bottom w:val="none" w:sz="0" w:space="0" w:color="auto"/>
        <w:right w:val="none" w:sz="0" w:space="0" w:color="auto"/>
      </w:divBdr>
    </w:div>
    <w:div w:id="63380221">
      <w:bodyDiv w:val="1"/>
      <w:marLeft w:val="0"/>
      <w:marRight w:val="0"/>
      <w:marTop w:val="0"/>
      <w:marBottom w:val="0"/>
      <w:divBdr>
        <w:top w:val="none" w:sz="0" w:space="0" w:color="auto"/>
        <w:left w:val="none" w:sz="0" w:space="0" w:color="auto"/>
        <w:bottom w:val="none" w:sz="0" w:space="0" w:color="auto"/>
        <w:right w:val="none" w:sz="0" w:space="0" w:color="auto"/>
      </w:divBdr>
    </w:div>
    <w:div w:id="287056442">
      <w:bodyDiv w:val="1"/>
      <w:marLeft w:val="0"/>
      <w:marRight w:val="0"/>
      <w:marTop w:val="0"/>
      <w:marBottom w:val="0"/>
      <w:divBdr>
        <w:top w:val="none" w:sz="0" w:space="0" w:color="auto"/>
        <w:left w:val="none" w:sz="0" w:space="0" w:color="auto"/>
        <w:bottom w:val="none" w:sz="0" w:space="0" w:color="auto"/>
        <w:right w:val="none" w:sz="0" w:space="0" w:color="auto"/>
      </w:divBdr>
    </w:div>
    <w:div w:id="305596746">
      <w:bodyDiv w:val="1"/>
      <w:marLeft w:val="0"/>
      <w:marRight w:val="0"/>
      <w:marTop w:val="0"/>
      <w:marBottom w:val="0"/>
      <w:divBdr>
        <w:top w:val="none" w:sz="0" w:space="0" w:color="auto"/>
        <w:left w:val="none" w:sz="0" w:space="0" w:color="auto"/>
        <w:bottom w:val="none" w:sz="0" w:space="0" w:color="auto"/>
        <w:right w:val="none" w:sz="0" w:space="0" w:color="auto"/>
      </w:divBdr>
    </w:div>
    <w:div w:id="639574541">
      <w:bodyDiv w:val="1"/>
      <w:marLeft w:val="0"/>
      <w:marRight w:val="0"/>
      <w:marTop w:val="0"/>
      <w:marBottom w:val="0"/>
      <w:divBdr>
        <w:top w:val="none" w:sz="0" w:space="0" w:color="auto"/>
        <w:left w:val="none" w:sz="0" w:space="0" w:color="auto"/>
        <w:bottom w:val="none" w:sz="0" w:space="0" w:color="auto"/>
        <w:right w:val="none" w:sz="0" w:space="0" w:color="auto"/>
      </w:divBdr>
    </w:div>
    <w:div w:id="677656918">
      <w:bodyDiv w:val="1"/>
      <w:marLeft w:val="0"/>
      <w:marRight w:val="0"/>
      <w:marTop w:val="0"/>
      <w:marBottom w:val="0"/>
      <w:divBdr>
        <w:top w:val="none" w:sz="0" w:space="0" w:color="auto"/>
        <w:left w:val="none" w:sz="0" w:space="0" w:color="auto"/>
        <w:bottom w:val="none" w:sz="0" w:space="0" w:color="auto"/>
        <w:right w:val="none" w:sz="0" w:space="0" w:color="auto"/>
      </w:divBdr>
    </w:div>
    <w:div w:id="791945032">
      <w:bodyDiv w:val="1"/>
      <w:marLeft w:val="0"/>
      <w:marRight w:val="0"/>
      <w:marTop w:val="0"/>
      <w:marBottom w:val="0"/>
      <w:divBdr>
        <w:top w:val="none" w:sz="0" w:space="0" w:color="auto"/>
        <w:left w:val="none" w:sz="0" w:space="0" w:color="auto"/>
        <w:bottom w:val="none" w:sz="0" w:space="0" w:color="auto"/>
        <w:right w:val="none" w:sz="0" w:space="0" w:color="auto"/>
      </w:divBdr>
    </w:div>
    <w:div w:id="896624294">
      <w:bodyDiv w:val="1"/>
      <w:marLeft w:val="0"/>
      <w:marRight w:val="0"/>
      <w:marTop w:val="0"/>
      <w:marBottom w:val="0"/>
      <w:divBdr>
        <w:top w:val="none" w:sz="0" w:space="0" w:color="auto"/>
        <w:left w:val="none" w:sz="0" w:space="0" w:color="auto"/>
        <w:bottom w:val="none" w:sz="0" w:space="0" w:color="auto"/>
        <w:right w:val="none" w:sz="0" w:space="0" w:color="auto"/>
      </w:divBdr>
    </w:div>
    <w:div w:id="897134008">
      <w:bodyDiv w:val="1"/>
      <w:marLeft w:val="0"/>
      <w:marRight w:val="0"/>
      <w:marTop w:val="0"/>
      <w:marBottom w:val="0"/>
      <w:divBdr>
        <w:top w:val="none" w:sz="0" w:space="0" w:color="auto"/>
        <w:left w:val="none" w:sz="0" w:space="0" w:color="auto"/>
        <w:bottom w:val="none" w:sz="0" w:space="0" w:color="auto"/>
        <w:right w:val="none" w:sz="0" w:space="0" w:color="auto"/>
      </w:divBdr>
    </w:div>
    <w:div w:id="904611739">
      <w:bodyDiv w:val="1"/>
      <w:marLeft w:val="0"/>
      <w:marRight w:val="0"/>
      <w:marTop w:val="0"/>
      <w:marBottom w:val="0"/>
      <w:divBdr>
        <w:top w:val="none" w:sz="0" w:space="0" w:color="auto"/>
        <w:left w:val="none" w:sz="0" w:space="0" w:color="auto"/>
        <w:bottom w:val="none" w:sz="0" w:space="0" w:color="auto"/>
        <w:right w:val="none" w:sz="0" w:space="0" w:color="auto"/>
      </w:divBdr>
    </w:div>
    <w:div w:id="1136798618">
      <w:bodyDiv w:val="1"/>
      <w:marLeft w:val="0"/>
      <w:marRight w:val="0"/>
      <w:marTop w:val="0"/>
      <w:marBottom w:val="0"/>
      <w:divBdr>
        <w:top w:val="none" w:sz="0" w:space="0" w:color="auto"/>
        <w:left w:val="none" w:sz="0" w:space="0" w:color="auto"/>
        <w:bottom w:val="none" w:sz="0" w:space="0" w:color="auto"/>
        <w:right w:val="none" w:sz="0" w:space="0" w:color="auto"/>
      </w:divBdr>
    </w:div>
    <w:div w:id="1155876980">
      <w:bodyDiv w:val="1"/>
      <w:marLeft w:val="0"/>
      <w:marRight w:val="0"/>
      <w:marTop w:val="0"/>
      <w:marBottom w:val="0"/>
      <w:divBdr>
        <w:top w:val="none" w:sz="0" w:space="0" w:color="auto"/>
        <w:left w:val="none" w:sz="0" w:space="0" w:color="auto"/>
        <w:bottom w:val="none" w:sz="0" w:space="0" w:color="auto"/>
        <w:right w:val="none" w:sz="0" w:space="0" w:color="auto"/>
      </w:divBdr>
    </w:div>
    <w:div w:id="1253004278">
      <w:bodyDiv w:val="1"/>
      <w:marLeft w:val="0"/>
      <w:marRight w:val="0"/>
      <w:marTop w:val="0"/>
      <w:marBottom w:val="0"/>
      <w:divBdr>
        <w:top w:val="none" w:sz="0" w:space="0" w:color="auto"/>
        <w:left w:val="none" w:sz="0" w:space="0" w:color="auto"/>
        <w:bottom w:val="none" w:sz="0" w:space="0" w:color="auto"/>
        <w:right w:val="none" w:sz="0" w:space="0" w:color="auto"/>
      </w:divBdr>
    </w:div>
    <w:div w:id="1445231684">
      <w:bodyDiv w:val="1"/>
      <w:marLeft w:val="0"/>
      <w:marRight w:val="0"/>
      <w:marTop w:val="0"/>
      <w:marBottom w:val="0"/>
      <w:divBdr>
        <w:top w:val="none" w:sz="0" w:space="0" w:color="auto"/>
        <w:left w:val="none" w:sz="0" w:space="0" w:color="auto"/>
        <w:bottom w:val="none" w:sz="0" w:space="0" w:color="auto"/>
        <w:right w:val="none" w:sz="0" w:space="0" w:color="auto"/>
      </w:divBdr>
    </w:div>
    <w:div w:id="1527868522">
      <w:bodyDiv w:val="1"/>
      <w:marLeft w:val="0"/>
      <w:marRight w:val="0"/>
      <w:marTop w:val="0"/>
      <w:marBottom w:val="0"/>
      <w:divBdr>
        <w:top w:val="none" w:sz="0" w:space="0" w:color="auto"/>
        <w:left w:val="none" w:sz="0" w:space="0" w:color="auto"/>
        <w:bottom w:val="none" w:sz="0" w:space="0" w:color="auto"/>
        <w:right w:val="none" w:sz="0" w:space="0" w:color="auto"/>
      </w:divBdr>
    </w:div>
    <w:div w:id="1549874704">
      <w:bodyDiv w:val="1"/>
      <w:marLeft w:val="0"/>
      <w:marRight w:val="0"/>
      <w:marTop w:val="0"/>
      <w:marBottom w:val="0"/>
      <w:divBdr>
        <w:top w:val="none" w:sz="0" w:space="0" w:color="auto"/>
        <w:left w:val="none" w:sz="0" w:space="0" w:color="auto"/>
        <w:bottom w:val="none" w:sz="0" w:space="0" w:color="auto"/>
        <w:right w:val="none" w:sz="0" w:space="0" w:color="auto"/>
      </w:divBdr>
    </w:div>
    <w:div w:id="1575429099">
      <w:bodyDiv w:val="1"/>
      <w:marLeft w:val="0"/>
      <w:marRight w:val="0"/>
      <w:marTop w:val="0"/>
      <w:marBottom w:val="0"/>
      <w:divBdr>
        <w:top w:val="none" w:sz="0" w:space="0" w:color="auto"/>
        <w:left w:val="none" w:sz="0" w:space="0" w:color="auto"/>
        <w:bottom w:val="none" w:sz="0" w:space="0" w:color="auto"/>
        <w:right w:val="none" w:sz="0" w:space="0" w:color="auto"/>
      </w:divBdr>
    </w:div>
    <w:div w:id="1582760790">
      <w:bodyDiv w:val="1"/>
      <w:marLeft w:val="0"/>
      <w:marRight w:val="0"/>
      <w:marTop w:val="0"/>
      <w:marBottom w:val="0"/>
      <w:divBdr>
        <w:top w:val="none" w:sz="0" w:space="0" w:color="auto"/>
        <w:left w:val="none" w:sz="0" w:space="0" w:color="auto"/>
        <w:bottom w:val="none" w:sz="0" w:space="0" w:color="auto"/>
        <w:right w:val="none" w:sz="0" w:space="0" w:color="auto"/>
      </w:divBdr>
    </w:div>
    <w:div w:id="1621496308">
      <w:bodyDiv w:val="1"/>
      <w:marLeft w:val="0"/>
      <w:marRight w:val="0"/>
      <w:marTop w:val="0"/>
      <w:marBottom w:val="0"/>
      <w:divBdr>
        <w:top w:val="none" w:sz="0" w:space="0" w:color="auto"/>
        <w:left w:val="none" w:sz="0" w:space="0" w:color="auto"/>
        <w:bottom w:val="none" w:sz="0" w:space="0" w:color="auto"/>
        <w:right w:val="none" w:sz="0" w:space="0" w:color="auto"/>
      </w:divBdr>
    </w:div>
    <w:div w:id="1673529281">
      <w:bodyDiv w:val="1"/>
      <w:marLeft w:val="0"/>
      <w:marRight w:val="0"/>
      <w:marTop w:val="0"/>
      <w:marBottom w:val="0"/>
      <w:divBdr>
        <w:top w:val="none" w:sz="0" w:space="0" w:color="auto"/>
        <w:left w:val="none" w:sz="0" w:space="0" w:color="auto"/>
        <w:bottom w:val="none" w:sz="0" w:space="0" w:color="auto"/>
        <w:right w:val="none" w:sz="0" w:space="0" w:color="auto"/>
      </w:divBdr>
    </w:div>
    <w:div w:id="1739135835">
      <w:bodyDiv w:val="1"/>
      <w:marLeft w:val="0"/>
      <w:marRight w:val="0"/>
      <w:marTop w:val="0"/>
      <w:marBottom w:val="0"/>
      <w:divBdr>
        <w:top w:val="none" w:sz="0" w:space="0" w:color="auto"/>
        <w:left w:val="none" w:sz="0" w:space="0" w:color="auto"/>
        <w:bottom w:val="none" w:sz="0" w:space="0" w:color="auto"/>
        <w:right w:val="none" w:sz="0" w:space="0" w:color="auto"/>
      </w:divBdr>
    </w:div>
    <w:div w:id="1794782980">
      <w:bodyDiv w:val="1"/>
      <w:marLeft w:val="0"/>
      <w:marRight w:val="0"/>
      <w:marTop w:val="0"/>
      <w:marBottom w:val="0"/>
      <w:divBdr>
        <w:top w:val="none" w:sz="0" w:space="0" w:color="auto"/>
        <w:left w:val="none" w:sz="0" w:space="0" w:color="auto"/>
        <w:bottom w:val="none" w:sz="0" w:space="0" w:color="auto"/>
        <w:right w:val="none" w:sz="0" w:space="0" w:color="auto"/>
      </w:divBdr>
    </w:div>
    <w:div w:id="1822572788">
      <w:bodyDiv w:val="1"/>
      <w:marLeft w:val="0"/>
      <w:marRight w:val="0"/>
      <w:marTop w:val="0"/>
      <w:marBottom w:val="0"/>
      <w:divBdr>
        <w:top w:val="none" w:sz="0" w:space="0" w:color="auto"/>
        <w:left w:val="none" w:sz="0" w:space="0" w:color="auto"/>
        <w:bottom w:val="none" w:sz="0" w:space="0" w:color="auto"/>
        <w:right w:val="none" w:sz="0" w:space="0" w:color="auto"/>
      </w:divBdr>
    </w:div>
    <w:div w:id="1871261162">
      <w:bodyDiv w:val="1"/>
      <w:marLeft w:val="0"/>
      <w:marRight w:val="0"/>
      <w:marTop w:val="0"/>
      <w:marBottom w:val="0"/>
      <w:divBdr>
        <w:top w:val="none" w:sz="0" w:space="0" w:color="auto"/>
        <w:left w:val="none" w:sz="0" w:space="0" w:color="auto"/>
        <w:bottom w:val="none" w:sz="0" w:space="0" w:color="auto"/>
        <w:right w:val="none" w:sz="0" w:space="0" w:color="auto"/>
      </w:divBdr>
    </w:div>
    <w:div w:id="1883445657">
      <w:bodyDiv w:val="1"/>
      <w:marLeft w:val="0"/>
      <w:marRight w:val="0"/>
      <w:marTop w:val="0"/>
      <w:marBottom w:val="0"/>
      <w:divBdr>
        <w:top w:val="none" w:sz="0" w:space="0" w:color="auto"/>
        <w:left w:val="none" w:sz="0" w:space="0" w:color="auto"/>
        <w:bottom w:val="none" w:sz="0" w:space="0" w:color="auto"/>
        <w:right w:val="none" w:sz="0" w:space="0" w:color="auto"/>
      </w:divBdr>
    </w:div>
    <w:div w:id="1895895197">
      <w:bodyDiv w:val="1"/>
      <w:marLeft w:val="0"/>
      <w:marRight w:val="0"/>
      <w:marTop w:val="0"/>
      <w:marBottom w:val="0"/>
      <w:divBdr>
        <w:top w:val="none" w:sz="0" w:space="0" w:color="auto"/>
        <w:left w:val="none" w:sz="0" w:space="0" w:color="auto"/>
        <w:bottom w:val="none" w:sz="0" w:space="0" w:color="auto"/>
        <w:right w:val="none" w:sz="0" w:space="0" w:color="auto"/>
      </w:divBdr>
    </w:div>
    <w:div w:id="1950703284">
      <w:bodyDiv w:val="1"/>
      <w:marLeft w:val="0"/>
      <w:marRight w:val="0"/>
      <w:marTop w:val="0"/>
      <w:marBottom w:val="0"/>
      <w:divBdr>
        <w:top w:val="none" w:sz="0" w:space="0" w:color="auto"/>
        <w:left w:val="none" w:sz="0" w:space="0" w:color="auto"/>
        <w:bottom w:val="none" w:sz="0" w:space="0" w:color="auto"/>
        <w:right w:val="none" w:sz="0" w:space="0" w:color="auto"/>
      </w:divBdr>
    </w:div>
    <w:div w:id="2043432970">
      <w:bodyDiv w:val="1"/>
      <w:marLeft w:val="0"/>
      <w:marRight w:val="0"/>
      <w:marTop w:val="0"/>
      <w:marBottom w:val="0"/>
      <w:divBdr>
        <w:top w:val="none" w:sz="0" w:space="0" w:color="auto"/>
        <w:left w:val="none" w:sz="0" w:space="0" w:color="auto"/>
        <w:bottom w:val="none" w:sz="0" w:space="0" w:color="auto"/>
        <w:right w:val="none" w:sz="0" w:space="0" w:color="auto"/>
      </w:divBdr>
    </w:div>
    <w:div w:id="2131582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www.hcp.ma"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nlabroude\Downloads\2022T1%20-%20Note%20sur%20les%20chiffres%20cl&#233;s%20-%20Tabulation%20%231%20-DEE2204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aib\Desktop\T1%202022\2022T1%20-%20Note%20sur%20les%20chiffres%20cl&#233;s%20-%20Tabulation%20%231%20-DEE2204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aib\Desktop\T1%202022\2022T1%20-%20Note%20sur%20les%20chiffres%20cl&#233;s%20-%20Annexe%20-DEE2204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aib\Desktop\T1%202022\2022T1%20-%20Note%20sur%20les%20chiffres%20cl&#233;s%20-%20Tabulation%20%231%20-DEE22042022.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Users\Khomaissa\Downloads\2022T1%20-%20Note%20sur%20les%20chiffres%20cle&#769;s%20-%20Annexe%20-DEE22042022.xlsx"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oleObject" Target="file:///\\Users\Khomaissa\Downloads\2022T1%20-%20Note%20sur%20les%20chiffres%20cle&#769;s%20-%20Annexe%20-DEE2204202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Users\Khomaissa\Downloads\2022T1%20-%20Note%20sur%20les%20chiffres%20cle&#769;s%20-%20Annexe%20-DEE2204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'2021T1'!$J$17</c:f>
              <c:strCache>
                <c:ptCount val="1"/>
                <c:pt idx="0">
                  <c:v>Emploi rémunéré</c:v>
                </c:pt>
              </c:strCache>
            </c:strRef>
          </c:tx>
          <c:dLbls>
            <c:dLbl>
              <c:idx val="0"/>
              <c:tx>
                <c:rich>
                  <a:bodyPr/>
                  <a:lstStyle/>
                  <a:p>
                    <a:pPr>
                      <a:defRPr sz="900">
                        <a:latin typeface="Book Antiqua" pitchFamily="18" charset="0"/>
                      </a:defRPr>
                    </a:pPr>
                    <a:r>
                      <a:rPr lang="en-US" sz="900">
                        <a:latin typeface="Book Antiqua" pitchFamily="18" charset="0"/>
                      </a:rPr>
                      <a:t>108 000</a:t>
                    </a:r>
                  </a:p>
                </c:rich>
              </c:tx>
              <c:spPr/>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539E-4FC7-93CB-B666F9E988F0}"/>
                </c:ext>
              </c:extLst>
            </c:dLbl>
            <c:dLbl>
              <c:idx val="1"/>
              <c:tx>
                <c:rich>
                  <a:bodyPr/>
                  <a:lstStyle/>
                  <a:p>
                    <a:r>
                      <a:rPr lang="en-US" sz="900"/>
                      <a:t>-68 000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39E-4FC7-93CB-B666F9E988F0}"/>
                </c:ext>
              </c:extLst>
            </c:dLbl>
            <c:dLbl>
              <c:idx val="2"/>
              <c:tx>
                <c:rich>
                  <a:bodyPr/>
                  <a:lstStyle/>
                  <a:p>
                    <a:r>
                      <a:rPr lang="en-US" sz="900"/>
                      <a:t>40 000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539E-4FC7-93CB-B666F9E988F0}"/>
                </c:ext>
              </c:extLst>
            </c:dLbl>
            <c:spPr>
              <a:noFill/>
              <a:ln>
                <a:noFill/>
              </a:ln>
              <a:effectLst/>
            </c:spPr>
            <c:txPr>
              <a:bodyPr/>
              <a:lstStyle/>
              <a:p>
                <a:pPr>
                  <a:defRPr sz="900"/>
                </a:pPr>
                <a:endParaRPr lang="fr-FR"/>
              </a:p>
            </c:txPr>
            <c:showVal val="1"/>
            <c:extLst xmlns:c16r2="http://schemas.microsoft.com/office/drawing/2015/06/chart">
              <c:ext xmlns:c15="http://schemas.microsoft.com/office/drawing/2012/chart" uri="{CE6537A1-D6FC-4f65-9D91-7224C49458BB}">
                <c15:showLeaderLines val="0"/>
              </c:ext>
            </c:extLst>
          </c:dLbls>
          <c:cat>
            <c:strRef>
              <c:f>'2021T1'!$K$16:$M$16</c:f>
              <c:strCache>
                <c:ptCount val="3"/>
                <c:pt idx="0">
                  <c:v>Urbain</c:v>
                </c:pt>
                <c:pt idx="1">
                  <c:v>Rural</c:v>
                </c:pt>
                <c:pt idx="2">
                  <c:v>National</c:v>
                </c:pt>
              </c:strCache>
            </c:strRef>
          </c:cat>
          <c:val>
            <c:numRef>
              <c:f>'2021T1'!$K$17:$M$17</c:f>
              <c:numCache>
                <c:formatCode>0</c:formatCode>
                <c:ptCount val="3"/>
                <c:pt idx="0">
                  <c:v>108</c:v>
                </c:pt>
                <c:pt idx="1">
                  <c:v>-67.33540464466391</c:v>
                </c:pt>
                <c:pt idx="2">
                  <c:v>40.412591174263234</c:v>
                </c:pt>
              </c:numCache>
            </c:numRef>
          </c:val>
          <c:extLst xmlns:c16r2="http://schemas.microsoft.com/office/drawing/2015/06/chart">
            <c:ext xmlns:c16="http://schemas.microsoft.com/office/drawing/2014/chart" uri="{C3380CC4-5D6E-409C-BE32-E72D297353CC}">
              <c16:uniqueId val="{00000003-539E-4FC7-93CB-B666F9E988F0}"/>
            </c:ext>
          </c:extLst>
        </c:ser>
        <c:ser>
          <c:idx val="1"/>
          <c:order val="1"/>
          <c:tx>
            <c:strRef>
              <c:f>'2021T1'!$J$18</c:f>
              <c:strCache>
                <c:ptCount val="1"/>
                <c:pt idx="0">
                  <c:v>Emploi non rémunéré</c:v>
                </c:pt>
              </c:strCache>
            </c:strRef>
          </c:tx>
          <c:spPr>
            <a:solidFill>
              <a:schemeClr val="tx2">
                <a:lumMod val="40000"/>
                <a:lumOff val="60000"/>
              </a:schemeClr>
            </a:solidFill>
          </c:spPr>
          <c:dLbls>
            <c:dLbl>
              <c:idx val="0"/>
              <c:tx>
                <c:rich>
                  <a:bodyPr/>
                  <a:lstStyle/>
                  <a:p>
                    <a:r>
                      <a:rPr lang="en-US" sz="900"/>
                      <a:t>-18 000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539E-4FC7-93CB-B666F9E988F0}"/>
                </c:ext>
              </c:extLst>
            </c:dLbl>
            <c:dLbl>
              <c:idx val="1"/>
              <c:tx>
                <c:rich>
                  <a:bodyPr/>
                  <a:lstStyle/>
                  <a:p>
                    <a:r>
                      <a:rPr lang="en-US" sz="900"/>
                      <a:t>-80 000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539E-4FC7-93CB-B666F9E988F0}"/>
                </c:ext>
              </c:extLst>
            </c:dLbl>
            <c:dLbl>
              <c:idx val="2"/>
              <c:tx>
                <c:rich>
                  <a:bodyPr/>
                  <a:lstStyle/>
                  <a:p>
                    <a:r>
                      <a:rPr lang="en-US" sz="900"/>
                      <a:t>-98 000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539E-4FC7-93CB-B666F9E988F0}"/>
                </c:ext>
              </c:extLst>
            </c:dLbl>
            <c:spPr>
              <a:noFill/>
              <a:ln>
                <a:noFill/>
              </a:ln>
              <a:effectLst/>
            </c:spPr>
            <c:txPr>
              <a:bodyPr/>
              <a:lstStyle/>
              <a:p>
                <a:pPr>
                  <a:defRPr sz="900"/>
                </a:pPr>
                <a:endParaRPr lang="fr-FR"/>
              </a:p>
            </c:txPr>
            <c:showVal val="1"/>
            <c:extLst xmlns:c16r2="http://schemas.microsoft.com/office/drawing/2015/06/chart">
              <c:ext xmlns:c15="http://schemas.microsoft.com/office/drawing/2012/chart" uri="{CE6537A1-D6FC-4f65-9D91-7224C49458BB}">
                <c15:showLeaderLines val="0"/>
              </c:ext>
            </c:extLst>
          </c:dLbls>
          <c:cat>
            <c:strRef>
              <c:f>'2021T1'!$K$16:$M$16</c:f>
              <c:strCache>
                <c:ptCount val="3"/>
                <c:pt idx="0">
                  <c:v>Urbain</c:v>
                </c:pt>
                <c:pt idx="1">
                  <c:v>Rural</c:v>
                </c:pt>
                <c:pt idx="2">
                  <c:v>National</c:v>
                </c:pt>
              </c:strCache>
            </c:strRef>
          </c:cat>
          <c:val>
            <c:numRef>
              <c:f>'2021T1'!$K$18:$M$18</c:f>
              <c:numCache>
                <c:formatCode>0</c:formatCode>
                <c:ptCount val="3"/>
                <c:pt idx="0">
                  <c:v>-17.860509135226227</c:v>
                </c:pt>
                <c:pt idx="1">
                  <c:v>-80.166762901517572</c:v>
                </c:pt>
                <c:pt idx="2">
                  <c:v>-98.027272036740825</c:v>
                </c:pt>
              </c:numCache>
            </c:numRef>
          </c:val>
          <c:extLst xmlns:c16r2="http://schemas.microsoft.com/office/drawing/2015/06/chart">
            <c:ext xmlns:c16="http://schemas.microsoft.com/office/drawing/2014/chart" uri="{C3380CC4-5D6E-409C-BE32-E72D297353CC}">
              <c16:uniqueId val="{00000007-539E-4FC7-93CB-B666F9E988F0}"/>
            </c:ext>
          </c:extLst>
        </c:ser>
        <c:ser>
          <c:idx val="2"/>
          <c:order val="2"/>
          <c:tx>
            <c:strRef>
              <c:f>'2021T1'!$J$19</c:f>
              <c:strCache>
                <c:ptCount val="1"/>
                <c:pt idx="0">
                  <c:v>Ensemble</c:v>
                </c:pt>
              </c:strCache>
            </c:strRef>
          </c:tx>
          <c:spPr>
            <a:solidFill>
              <a:schemeClr val="bg1">
                <a:lumMod val="50000"/>
              </a:schemeClr>
            </a:solidFill>
          </c:spPr>
          <c:dLbls>
            <c:dLbl>
              <c:idx val="0"/>
              <c:tx>
                <c:rich>
                  <a:bodyPr/>
                  <a:lstStyle/>
                  <a:p>
                    <a:r>
                      <a:rPr lang="en-US" sz="900"/>
                      <a:t>90 000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539E-4FC7-93CB-B666F9E988F0}"/>
                </c:ext>
              </c:extLst>
            </c:dLbl>
            <c:dLbl>
              <c:idx val="1"/>
              <c:tx>
                <c:rich>
                  <a:bodyPr/>
                  <a:lstStyle/>
                  <a:p>
                    <a:r>
                      <a:rPr lang="en-US" sz="900"/>
                      <a:t>-148 000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539E-4FC7-93CB-B666F9E988F0}"/>
                </c:ext>
              </c:extLst>
            </c:dLbl>
            <c:dLbl>
              <c:idx val="2"/>
              <c:tx>
                <c:rich>
                  <a:bodyPr/>
                  <a:lstStyle/>
                  <a:p>
                    <a:r>
                      <a:rPr lang="en-US" sz="900"/>
                      <a:t>-58 000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539E-4FC7-93CB-B666F9E988F0}"/>
                </c:ext>
              </c:extLst>
            </c:dLbl>
            <c:spPr>
              <a:noFill/>
              <a:ln>
                <a:noFill/>
              </a:ln>
              <a:effectLst/>
            </c:spPr>
            <c:txPr>
              <a:bodyPr/>
              <a:lstStyle/>
              <a:p>
                <a:pPr>
                  <a:defRPr sz="900"/>
                </a:pPr>
                <a:endParaRPr lang="fr-FR"/>
              </a:p>
            </c:txPr>
            <c:showVal val="1"/>
            <c:extLst xmlns:c16r2="http://schemas.microsoft.com/office/drawing/2015/06/chart">
              <c:ext xmlns:c15="http://schemas.microsoft.com/office/drawing/2012/chart" uri="{CE6537A1-D6FC-4f65-9D91-7224C49458BB}">
                <c15:showLeaderLines val="0"/>
              </c:ext>
            </c:extLst>
          </c:dLbls>
          <c:cat>
            <c:strRef>
              <c:f>'2021T1'!$K$16:$M$16</c:f>
              <c:strCache>
                <c:ptCount val="3"/>
                <c:pt idx="0">
                  <c:v>Urbain</c:v>
                </c:pt>
                <c:pt idx="1">
                  <c:v>Rural</c:v>
                </c:pt>
                <c:pt idx="2">
                  <c:v>National</c:v>
                </c:pt>
              </c:strCache>
            </c:strRef>
          </c:cat>
          <c:val>
            <c:numRef>
              <c:f>'2021T1'!$K$19:$M$19</c:f>
              <c:numCache>
                <c:formatCode>0</c:formatCode>
                <c:ptCount val="3"/>
                <c:pt idx="0">
                  <c:v>89.887486683803616</c:v>
                </c:pt>
                <c:pt idx="1">
                  <c:v>-147.50216754616051</c:v>
                </c:pt>
                <c:pt idx="2">
                  <c:v>-57.614680862502944</c:v>
                </c:pt>
              </c:numCache>
            </c:numRef>
          </c:val>
          <c:extLst xmlns:c16r2="http://schemas.microsoft.com/office/drawing/2015/06/chart">
            <c:ext xmlns:c16="http://schemas.microsoft.com/office/drawing/2014/chart" uri="{C3380CC4-5D6E-409C-BE32-E72D297353CC}">
              <c16:uniqueId val="{0000000B-539E-4FC7-93CB-B666F9E988F0}"/>
            </c:ext>
          </c:extLst>
        </c:ser>
        <c:axId val="154471040"/>
        <c:axId val="154577536"/>
      </c:barChart>
      <c:catAx>
        <c:axId val="154471040"/>
        <c:scaling>
          <c:orientation val="minMax"/>
        </c:scaling>
        <c:axPos val="b"/>
        <c:numFmt formatCode="General" sourceLinked="0"/>
        <c:tickLblPos val="low"/>
        <c:crossAx val="154577536"/>
        <c:crosses val="autoZero"/>
        <c:auto val="1"/>
        <c:lblAlgn val="ctr"/>
        <c:lblOffset val="100"/>
      </c:catAx>
      <c:valAx>
        <c:axId val="154577536"/>
        <c:scaling>
          <c:orientation val="minMax"/>
        </c:scaling>
        <c:delete val="1"/>
        <c:axPos val="l"/>
        <c:numFmt formatCode="0" sourceLinked="1"/>
        <c:tickLblPos val="none"/>
        <c:crossAx val="154471040"/>
        <c:crosses val="autoZero"/>
        <c:crossBetween val="between"/>
      </c:valAx>
    </c:plotArea>
    <c:legend>
      <c:legendPos val="b"/>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Feuil1!$J$73</c:f>
              <c:strCache>
                <c:ptCount val="1"/>
                <c:pt idx="0">
                  <c:v>Urbain</c:v>
                </c:pt>
              </c:strCache>
            </c:strRef>
          </c:tx>
          <c:spPr>
            <a:solidFill>
              <a:schemeClr val="tx2"/>
            </a:solidFill>
          </c:spPr>
          <c:dLbls>
            <c:dLbl>
              <c:idx val="1"/>
              <c:layout>
                <c:manualLayout>
                  <c:x val="-6.9686411149826434E-3"/>
                  <c:y val="-4.2437781360067548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756-4F9F-A17F-DBDDF158EE74}"/>
                </c:ext>
              </c:extLst>
            </c:dLbl>
            <c:spPr>
              <a:noFill/>
              <a:ln>
                <a:noFill/>
              </a:ln>
              <a:effectLst/>
            </c:spPr>
            <c:txPr>
              <a:bodyPr/>
              <a:lstStyle/>
              <a:p>
                <a:pPr>
                  <a:defRPr sz="800"/>
                </a:pPr>
                <a:endParaRPr lang="fr-FR"/>
              </a:p>
            </c:txPr>
            <c:showVal val="1"/>
            <c:extLst xmlns:c16r2="http://schemas.microsoft.com/office/drawing/2015/06/chart">
              <c:ext xmlns:c15="http://schemas.microsoft.com/office/drawing/2012/chart" uri="{CE6537A1-D6FC-4f65-9D91-7224C49458BB}">
                <c15:showLeaderLines val="0"/>
              </c:ext>
            </c:extLst>
          </c:dLbls>
          <c:cat>
            <c:strRef>
              <c:f>Feuil1!$I$74:$I$78</c:f>
              <c:strCache>
                <c:ptCount val="5"/>
                <c:pt idx="0">
                  <c:v>Agriculture, forêt et pêche</c:v>
                </c:pt>
                <c:pt idx="1">
                  <c:v>Industrie </c:v>
                </c:pt>
                <c:pt idx="2">
                  <c:v>BTP</c:v>
                </c:pt>
                <c:pt idx="3">
                  <c:v>Services</c:v>
                </c:pt>
                <c:pt idx="4">
                  <c:v>Ensemble</c:v>
                </c:pt>
              </c:strCache>
            </c:strRef>
          </c:cat>
          <c:val>
            <c:numRef>
              <c:f>Feuil1!$J$74:$J$78</c:f>
              <c:numCache>
                <c:formatCode>#,##0</c:formatCode>
                <c:ptCount val="5"/>
                <c:pt idx="0">
                  <c:v>-48000</c:v>
                </c:pt>
                <c:pt idx="1">
                  <c:v>1000</c:v>
                </c:pt>
                <c:pt idx="2">
                  <c:v>29000</c:v>
                </c:pt>
                <c:pt idx="3">
                  <c:v>110000</c:v>
                </c:pt>
                <c:pt idx="4">
                  <c:v>90000</c:v>
                </c:pt>
              </c:numCache>
            </c:numRef>
          </c:val>
          <c:extLst xmlns:c16r2="http://schemas.microsoft.com/office/drawing/2015/06/chart">
            <c:ext xmlns:c16="http://schemas.microsoft.com/office/drawing/2014/chart" uri="{C3380CC4-5D6E-409C-BE32-E72D297353CC}">
              <c16:uniqueId val="{00000001-2756-4F9F-A17F-DBDDF158EE74}"/>
            </c:ext>
          </c:extLst>
        </c:ser>
        <c:ser>
          <c:idx val="1"/>
          <c:order val="1"/>
          <c:tx>
            <c:strRef>
              <c:f>Feuil1!$K$73</c:f>
              <c:strCache>
                <c:ptCount val="1"/>
                <c:pt idx="0">
                  <c:v>Rural</c:v>
                </c:pt>
              </c:strCache>
            </c:strRef>
          </c:tx>
          <c:spPr>
            <a:solidFill>
              <a:schemeClr val="tx2">
                <a:lumMod val="60000"/>
                <a:lumOff val="40000"/>
              </a:schemeClr>
            </a:solidFill>
          </c:spPr>
          <c:dLbls>
            <c:spPr>
              <a:noFill/>
              <a:ln>
                <a:noFill/>
              </a:ln>
              <a:effectLst/>
            </c:spPr>
            <c:txPr>
              <a:bodyPr/>
              <a:lstStyle/>
              <a:p>
                <a:pPr>
                  <a:defRPr sz="800"/>
                </a:pPr>
                <a:endParaRPr lang="fr-FR"/>
              </a:p>
            </c:txPr>
            <c:showVal val="1"/>
            <c:extLst xmlns:c16r2="http://schemas.microsoft.com/office/drawing/2015/06/chart">
              <c:ext xmlns:c15="http://schemas.microsoft.com/office/drawing/2012/chart" uri="{CE6537A1-D6FC-4f65-9D91-7224C49458BB}">
                <c15:showLeaderLines val="0"/>
              </c:ext>
            </c:extLst>
          </c:dLbls>
          <c:cat>
            <c:strRef>
              <c:f>Feuil1!$I$74:$I$78</c:f>
              <c:strCache>
                <c:ptCount val="5"/>
                <c:pt idx="0">
                  <c:v>Agriculture, forêt et pêche</c:v>
                </c:pt>
                <c:pt idx="1">
                  <c:v>Industrie </c:v>
                </c:pt>
                <c:pt idx="2">
                  <c:v>BTP</c:v>
                </c:pt>
                <c:pt idx="3">
                  <c:v>Services</c:v>
                </c:pt>
                <c:pt idx="4">
                  <c:v>Ensemble</c:v>
                </c:pt>
              </c:strCache>
            </c:strRef>
          </c:cat>
          <c:val>
            <c:numRef>
              <c:f>Feuil1!$K$74:$K$78</c:f>
              <c:numCache>
                <c:formatCode>#,##0</c:formatCode>
                <c:ptCount val="5"/>
                <c:pt idx="0">
                  <c:v>-135000</c:v>
                </c:pt>
                <c:pt idx="1">
                  <c:v>12000</c:v>
                </c:pt>
                <c:pt idx="3">
                  <c:v>-25000</c:v>
                </c:pt>
                <c:pt idx="4">
                  <c:v>-148000</c:v>
                </c:pt>
              </c:numCache>
            </c:numRef>
          </c:val>
          <c:extLst xmlns:c16r2="http://schemas.microsoft.com/office/drawing/2015/06/chart">
            <c:ext xmlns:c16="http://schemas.microsoft.com/office/drawing/2014/chart" uri="{C3380CC4-5D6E-409C-BE32-E72D297353CC}">
              <c16:uniqueId val="{00000002-2756-4F9F-A17F-DBDDF158EE74}"/>
            </c:ext>
          </c:extLst>
        </c:ser>
        <c:ser>
          <c:idx val="2"/>
          <c:order val="2"/>
          <c:tx>
            <c:strRef>
              <c:f>Feuil1!$L$73</c:f>
              <c:strCache>
                <c:ptCount val="1"/>
                <c:pt idx="0">
                  <c:v>Ensemble</c:v>
                </c:pt>
              </c:strCache>
            </c:strRef>
          </c:tx>
          <c:spPr>
            <a:solidFill>
              <a:schemeClr val="tx1">
                <a:lumMod val="50000"/>
                <a:lumOff val="50000"/>
              </a:schemeClr>
            </a:solidFill>
          </c:spPr>
          <c:dLbls>
            <c:dLbl>
              <c:idx val="1"/>
              <c:layout>
                <c:manualLayout>
                  <c:x val="1.8583042973286917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756-4F9F-A17F-DBDDF158EE74}"/>
                </c:ext>
              </c:extLst>
            </c:dLbl>
            <c:spPr>
              <a:noFill/>
              <a:ln>
                <a:noFill/>
              </a:ln>
              <a:effectLst/>
            </c:spPr>
            <c:txPr>
              <a:bodyPr/>
              <a:lstStyle/>
              <a:p>
                <a:pPr>
                  <a:defRPr sz="800"/>
                </a:pPr>
                <a:endParaRPr lang="fr-FR"/>
              </a:p>
            </c:txPr>
            <c:showVal val="1"/>
            <c:extLst xmlns:c16r2="http://schemas.microsoft.com/office/drawing/2015/06/chart">
              <c:ext xmlns:c15="http://schemas.microsoft.com/office/drawing/2012/chart" uri="{CE6537A1-D6FC-4f65-9D91-7224C49458BB}">
                <c15:showLeaderLines val="0"/>
              </c:ext>
            </c:extLst>
          </c:dLbls>
          <c:cat>
            <c:strRef>
              <c:f>Feuil1!$I$74:$I$78</c:f>
              <c:strCache>
                <c:ptCount val="5"/>
                <c:pt idx="0">
                  <c:v>Agriculture, forêt et pêche</c:v>
                </c:pt>
                <c:pt idx="1">
                  <c:v>Industrie </c:v>
                </c:pt>
                <c:pt idx="2">
                  <c:v>BTP</c:v>
                </c:pt>
                <c:pt idx="3">
                  <c:v>Services</c:v>
                </c:pt>
                <c:pt idx="4">
                  <c:v>Ensemble</c:v>
                </c:pt>
              </c:strCache>
            </c:strRef>
          </c:cat>
          <c:val>
            <c:numRef>
              <c:f>Feuil1!$L$74:$L$78</c:f>
              <c:numCache>
                <c:formatCode>#,##0</c:formatCode>
                <c:ptCount val="5"/>
                <c:pt idx="0">
                  <c:v>-183000</c:v>
                </c:pt>
                <c:pt idx="1">
                  <c:v>13000</c:v>
                </c:pt>
                <c:pt idx="2">
                  <c:v>29000</c:v>
                </c:pt>
                <c:pt idx="3">
                  <c:v>85000</c:v>
                </c:pt>
                <c:pt idx="4">
                  <c:v>-58000</c:v>
                </c:pt>
              </c:numCache>
            </c:numRef>
          </c:val>
          <c:extLst xmlns:c16r2="http://schemas.microsoft.com/office/drawing/2015/06/chart">
            <c:ext xmlns:c16="http://schemas.microsoft.com/office/drawing/2014/chart" uri="{C3380CC4-5D6E-409C-BE32-E72D297353CC}">
              <c16:uniqueId val="{00000004-2756-4F9F-A17F-DBDDF158EE74}"/>
            </c:ext>
          </c:extLst>
        </c:ser>
        <c:dLbls>
          <c:showVal val="1"/>
        </c:dLbls>
        <c:overlap val="-25"/>
        <c:axId val="154852736"/>
        <c:axId val="155018368"/>
      </c:barChart>
      <c:catAx>
        <c:axId val="154852736"/>
        <c:scaling>
          <c:orientation val="minMax"/>
        </c:scaling>
        <c:axPos val="b"/>
        <c:numFmt formatCode="General" sourceLinked="0"/>
        <c:majorTickMark val="none"/>
        <c:tickLblPos val="low"/>
        <c:crossAx val="155018368"/>
        <c:crosses val="autoZero"/>
        <c:auto val="1"/>
        <c:lblAlgn val="ctr"/>
        <c:lblOffset val="100"/>
      </c:catAx>
      <c:valAx>
        <c:axId val="155018368"/>
        <c:scaling>
          <c:orientation val="minMax"/>
        </c:scaling>
        <c:delete val="1"/>
        <c:axPos val="l"/>
        <c:numFmt formatCode="#,##0" sourceLinked="1"/>
        <c:tickLblPos val="none"/>
        <c:crossAx val="154852736"/>
        <c:crosses val="autoZero"/>
        <c:crossBetween val="between"/>
      </c:valAx>
    </c:plotArea>
    <c:legend>
      <c:legendPos val="t"/>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Feuil1!$C$7</c:f>
              <c:strCache>
                <c:ptCount val="1"/>
                <c:pt idx="0">
                  <c:v>2021</c:v>
                </c:pt>
              </c:strCache>
            </c:strRef>
          </c:tx>
          <c:dLbls>
            <c:spPr>
              <a:noFill/>
              <a:ln>
                <a:noFill/>
              </a:ln>
              <a:effectLst/>
            </c:spPr>
            <c:txPr>
              <a:bodyPr/>
              <a:lstStyle/>
              <a:p>
                <a:pPr>
                  <a:defRPr sz="900"/>
                </a:pPr>
                <a:endParaRPr lang="fr-FR"/>
              </a:p>
            </c:txPr>
            <c:showVal val="1"/>
            <c:extLst xmlns:c16r2="http://schemas.microsoft.com/office/drawing/2015/06/chart">
              <c:ext xmlns:c15="http://schemas.microsoft.com/office/drawing/2012/chart" uri="{CE6537A1-D6FC-4f65-9D91-7224C49458BB}">
                <c15:showLeaderLines val="0"/>
              </c:ext>
            </c:extLst>
          </c:dLbls>
          <c:cat>
            <c:strRef>
              <c:f>Feuil1!$B$8:$B$15</c:f>
              <c:strCache>
                <c:ptCount val="8"/>
                <c:pt idx="0">
                  <c:v>Masculin</c:v>
                </c:pt>
                <c:pt idx="1">
                  <c:v>Féminin</c:v>
                </c:pt>
                <c:pt idx="2">
                  <c:v>15-24 ans</c:v>
                </c:pt>
                <c:pt idx="3">
                  <c:v>Non diplômés</c:v>
                </c:pt>
                <c:pt idx="4">
                  <c:v>Diplômés</c:v>
                </c:pt>
                <c:pt idx="5">
                  <c:v>Urbain</c:v>
                </c:pt>
                <c:pt idx="6">
                  <c:v>Rural</c:v>
                </c:pt>
                <c:pt idx="7">
                  <c:v>National</c:v>
                </c:pt>
              </c:strCache>
            </c:strRef>
          </c:cat>
          <c:val>
            <c:numRef>
              <c:f>Feuil1!$C$8:$C$15</c:f>
              <c:numCache>
                <c:formatCode>0.0</c:formatCode>
                <c:ptCount val="8"/>
                <c:pt idx="0">
                  <c:v>10.922819428273169</c:v>
                </c:pt>
                <c:pt idx="1">
                  <c:v>17.523380335409279</c:v>
                </c:pt>
                <c:pt idx="2">
                  <c:v>32.522253519958511</c:v>
                </c:pt>
                <c:pt idx="3">
                  <c:v>5.0434933717994541</c:v>
                </c:pt>
                <c:pt idx="4">
                  <c:v>19.758688129027309</c:v>
                </c:pt>
                <c:pt idx="5">
                  <c:v>17.073658489920387</c:v>
                </c:pt>
                <c:pt idx="6">
                  <c:v>5.2839479953639534</c:v>
                </c:pt>
                <c:pt idx="7">
                  <c:v>12.483105735966452</c:v>
                </c:pt>
              </c:numCache>
            </c:numRef>
          </c:val>
          <c:extLst xmlns:c16r2="http://schemas.microsoft.com/office/drawing/2015/06/chart">
            <c:ext xmlns:c16="http://schemas.microsoft.com/office/drawing/2014/chart" uri="{C3380CC4-5D6E-409C-BE32-E72D297353CC}">
              <c16:uniqueId val="{00000000-A88D-43A5-9D97-B79BD4BBDB5F}"/>
            </c:ext>
          </c:extLst>
        </c:ser>
        <c:ser>
          <c:idx val="1"/>
          <c:order val="1"/>
          <c:tx>
            <c:strRef>
              <c:f>Feuil1!$D$7</c:f>
              <c:strCache>
                <c:ptCount val="1"/>
                <c:pt idx="0">
                  <c:v>2022</c:v>
                </c:pt>
              </c:strCache>
            </c:strRef>
          </c:tx>
          <c:spPr>
            <a:solidFill>
              <a:srgbClr val="002060"/>
            </a:solidFill>
          </c:spPr>
          <c:dLbls>
            <c:spPr>
              <a:noFill/>
              <a:ln>
                <a:noFill/>
              </a:ln>
              <a:effectLst/>
            </c:spPr>
            <c:txPr>
              <a:bodyPr/>
              <a:lstStyle/>
              <a:p>
                <a:pPr>
                  <a:defRPr sz="900"/>
                </a:pPr>
                <a:endParaRPr lang="fr-FR"/>
              </a:p>
            </c:txPr>
            <c:showVal val="1"/>
            <c:extLst xmlns:c16r2="http://schemas.microsoft.com/office/drawing/2015/06/chart">
              <c:ext xmlns:c15="http://schemas.microsoft.com/office/drawing/2012/chart" uri="{CE6537A1-D6FC-4f65-9D91-7224C49458BB}">
                <c15:showLeaderLines val="0"/>
              </c:ext>
            </c:extLst>
          </c:dLbls>
          <c:cat>
            <c:strRef>
              <c:f>Feuil1!$B$8:$B$15</c:f>
              <c:strCache>
                <c:ptCount val="8"/>
                <c:pt idx="0">
                  <c:v>Masculin</c:v>
                </c:pt>
                <c:pt idx="1">
                  <c:v>Féminin</c:v>
                </c:pt>
                <c:pt idx="2">
                  <c:v>15-24 ans</c:v>
                </c:pt>
                <c:pt idx="3">
                  <c:v>Non diplômés</c:v>
                </c:pt>
                <c:pt idx="4">
                  <c:v>Diplômés</c:v>
                </c:pt>
                <c:pt idx="5">
                  <c:v>Urbain</c:v>
                </c:pt>
                <c:pt idx="6">
                  <c:v>Rural</c:v>
                </c:pt>
                <c:pt idx="7">
                  <c:v>National</c:v>
                </c:pt>
              </c:strCache>
            </c:strRef>
          </c:cat>
          <c:val>
            <c:numRef>
              <c:f>Feuil1!$D$8:$D$15</c:f>
              <c:numCache>
                <c:formatCode>0.0</c:formatCode>
                <c:ptCount val="8"/>
                <c:pt idx="0">
                  <c:v>10.491538522826676</c:v>
                </c:pt>
                <c:pt idx="1">
                  <c:v>17.31381211184658</c:v>
                </c:pt>
                <c:pt idx="2">
                  <c:v>33.419809785590985</c:v>
                </c:pt>
                <c:pt idx="3">
                  <c:v>4.5917858793153714</c:v>
                </c:pt>
                <c:pt idx="4">
                  <c:v>18.920677638664113</c:v>
                </c:pt>
                <c:pt idx="5">
                  <c:v>16.297739329689726</c:v>
                </c:pt>
                <c:pt idx="6">
                  <c:v>5.1248580381176057</c:v>
                </c:pt>
                <c:pt idx="7">
                  <c:v>12.052595185819024</c:v>
                </c:pt>
              </c:numCache>
            </c:numRef>
          </c:val>
          <c:extLst xmlns:c16r2="http://schemas.microsoft.com/office/drawing/2015/06/chart">
            <c:ext xmlns:c16="http://schemas.microsoft.com/office/drawing/2014/chart" uri="{C3380CC4-5D6E-409C-BE32-E72D297353CC}">
              <c16:uniqueId val="{00000001-A88D-43A5-9D97-B79BD4BBDB5F}"/>
            </c:ext>
          </c:extLst>
        </c:ser>
        <c:gapWidth val="75"/>
        <c:overlap val="-25"/>
        <c:axId val="156636288"/>
        <c:axId val="156637824"/>
      </c:barChart>
      <c:catAx>
        <c:axId val="156636288"/>
        <c:scaling>
          <c:orientation val="minMax"/>
        </c:scaling>
        <c:axPos val="b"/>
        <c:numFmt formatCode="General" sourceLinked="0"/>
        <c:majorTickMark val="none"/>
        <c:tickLblPos val="nextTo"/>
        <c:crossAx val="156637824"/>
        <c:crosses val="autoZero"/>
        <c:auto val="1"/>
        <c:lblAlgn val="ctr"/>
        <c:lblOffset val="100"/>
      </c:catAx>
      <c:valAx>
        <c:axId val="156637824"/>
        <c:scaling>
          <c:orientation val="minMax"/>
        </c:scaling>
        <c:delete val="1"/>
        <c:axPos val="l"/>
        <c:numFmt formatCode="0.0" sourceLinked="1"/>
        <c:majorTickMark val="none"/>
        <c:tickLblPos val="none"/>
        <c:crossAx val="156636288"/>
        <c:crosses val="autoZero"/>
        <c:crossBetween val="between"/>
      </c:valAx>
    </c:plotArea>
    <c:legend>
      <c:legendPos val="b"/>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bar"/>
        <c:grouping val="clustered"/>
        <c:ser>
          <c:idx val="0"/>
          <c:order val="0"/>
          <c:tx>
            <c:strRef>
              <c:f>Feuil1!$D$4</c:f>
              <c:strCache>
                <c:ptCount val="1"/>
                <c:pt idx="0">
                  <c:v>2021</c:v>
                </c:pt>
              </c:strCache>
            </c:strRef>
          </c:tx>
          <c:spPr>
            <a:solidFill>
              <a:srgbClr val="002060"/>
            </a:solidFill>
          </c:spPr>
          <c:dLbls>
            <c:spPr>
              <a:noFill/>
              <a:ln>
                <a:noFill/>
              </a:ln>
              <a:effectLst/>
            </c:spPr>
            <c:txPr>
              <a:bodyPr/>
              <a:lstStyle/>
              <a:p>
                <a:pPr>
                  <a:defRPr sz="800"/>
                </a:pPr>
                <a:endParaRPr lang="fr-FR"/>
              </a:p>
            </c:txPr>
            <c:showVal val="1"/>
            <c:extLst xmlns:c16r2="http://schemas.microsoft.com/office/drawing/2015/06/chart">
              <c:ext xmlns:c15="http://schemas.microsoft.com/office/drawing/2012/chart" uri="{CE6537A1-D6FC-4f65-9D91-7224C49458BB}">
                <c15:showLeaderLines val="0"/>
              </c:ext>
            </c:extLst>
          </c:dLbls>
          <c:cat>
            <c:strRef>
              <c:f>Feuil1!$C$5:$C$13</c:f>
              <c:strCache>
                <c:ptCount val="9"/>
                <c:pt idx="0">
                  <c:v>Diplômes et certificats de l'enseignement primaire et secondaire collégial</c:v>
                </c:pt>
                <c:pt idx="1">
                  <c:v>Diplômes de l'enseignement secondaire qualifiant</c:v>
                </c:pt>
                <c:pt idx="2">
                  <c:v>Diplômes supérieurs délivrés par les facultés</c:v>
                </c:pt>
                <c:pt idx="3">
                  <c:v>Diplômes supérieurs délivrés par les écoles et les instituts </c:v>
                </c:pt>
                <c:pt idx="4">
                  <c:v>Diplômes de techniciens et de cadres moyens</c:v>
                </c:pt>
                <c:pt idx="5">
                  <c:v>Diplômes de techniciens spécialisés et supérieurs</c:v>
                </c:pt>
                <c:pt idx="6">
                  <c:v>Diplômes en qualification professionnelle</c:v>
                </c:pt>
                <c:pt idx="7">
                  <c:v>Certificats en spécialisation professionnelle</c:v>
                </c:pt>
                <c:pt idx="8">
                  <c:v>Aucun diplôme</c:v>
                </c:pt>
              </c:strCache>
            </c:strRef>
          </c:cat>
          <c:val>
            <c:numRef>
              <c:f>Feuil1!$D$5:$D$13</c:f>
              <c:numCache>
                <c:formatCode>###0.0</c:formatCode>
                <c:ptCount val="9"/>
                <c:pt idx="0">
                  <c:v>14.302933547569875</c:v>
                </c:pt>
                <c:pt idx="1">
                  <c:v>22.741554113747593</c:v>
                </c:pt>
                <c:pt idx="2">
                  <c:v>27.443132764035472</c:v>
                </c:pt>
                <c:pt idx="3">
                  <c:v>8.222144781870476</c:v>
                </c:pt>
                <c:pt idx="4">
                  <c:v>27.61027919420583</c:v>
                </c:pt>
                <c:pt idx="5">
                  <c:v>31.822919610823249</c:v>
                </c:pt>
                <c:pt idx="6">
                  <c:v>24.919934939365572</c:v>
                </c:pt>
                <c:pt idx="7">
                  <c:v>31.394647295306626</c:v>
                </c:pt>
                <c:pt idx="8">
                  <c:v>5.043493371799511</c:v>
                </c:pt>
              </c:numCache>
            </c:numRef>
          </c:val>
          <c:extLst xmlns:c16r2="http://schemas.microsoft.com/office/drawing/2015/06/chart">
            <c:ext xmlns:c16="http://schemas.microsoft.com/office/drawing/2014/chart" uri="{C3380CC4-5D6E-409C-BE32-E72D297353CC}">
              <c16:uniqueId val="{00000000-72BD-466A-8FD3-F6B988FB0003}"/>
            </c:ext>
          </c:extLst>
        </c:ser>
        <c:ser>
          <c:idx val="1"/>
          <c:order val="1"/>
          <c:tx>
            <c:strRef>
              <c:f>Feuil1!$E$4</c:f>
              <c:strCache>
                <c:ptCount val="1"/>
                <c:pt idx="0">
                  <c:v>2022</c:v>
                </c:pt>
              </c:strCache>
            </c:strRef>
          </c:tx>
          <c:spPr>
            <a:solidFill>
              <a:schemeClr val="accent1"/>
            </a:solidFill>
          </c:spPr>
          <c:dLbls>
            <c:spPr>
              <a:noFill/>
              <a:ln>
                <a:noFill/>
              </a:ln>
              <a:effectLst/>
            </c:spPr>
            <c:txPr>
              <a:bodyPr/>
              <a:lstStyle/>
              <a:p>
                <a:pPr>
                  <a:defRPr sz="800"/>
                </a:pPr>
                <a:endParaRPr lang="fr-FR"/>
              </a:p>
            </c:txPr>
            <c:showVal val="1"/>
            <c:extLst xmlns:c16r2="http://schemas.microsoft.com/office/drawing/2015/06/chart">
              <c:ext xmlns:c15="http://schemas.microsoft.com/office/drawing/2012/chart" uri="{CE6537A1-D6FC-4f65-9D91-7224C49458BB}">
                <c15:showLeaderLines val="0"/>
              </c:ext>
            </c:extLst>
          </c:dLbls>
          <c:cat>
            <c:strRef>
              <c:f>Feuil1!$C$5:$C$13</c:f>
              <c:strCache>
                <c:ptCount val="9"/>
                <c:pt idx="0">
                  <c:v>Diplômes et certificats de l'enseignement primaire et secondaire collégial</c:v>
                </c:pt>
                <c:pt idx="1">
                  <c:v>Diplômes de l'enseignement secondaire qualifiant</c:v>
                </c:pt>
                <c:pt idx="2">
                  <c:v>Diplômes supérieurs délivrés par les facultés</c:v>
                </c:pt>
                <c:pt idx="3">
                  <c:v>Diplômes supérieurs délivrés par les écoles et les instituts </c:v>
                </c:pt>
                <c:pt idx="4">
                  <c:v>Diplômes de techniciens et de cadres moyens</c:v>
                </c:pt>
                <c:pt idx="5">
                  <c:v>Diplômes de techniciens spécialisés et supérieurs</c:v>
                </c:pt>
                <c:pt idx="6">
                  <c:v>Diplômes en qualification professionnelle</c:v>
                </c:pt>
                <c:pt idx="7">
                  <c:v>Certificats en spécialisation professionnelle</c:v>
                </c:pt>
                <c:pt idx="8">
                  <c:v>Aucun diplôme</c:v>
                </c:pt>
              </c:strCache>
            </c:strRef>
          </c:cat>
          <c:val>
            <c:numRef>
              <c:f>Feuil1!$E$5:$E$13</c:f>
              <c:numCache>
                <c:formatCode>###0.0</c:formatCode>
                <c:ptCount val="9"/>
                <c:pt idx="0">
                  <c:v>12.928493289632828</c:v>
                </c:pt>
                <c:pt idx="1">
                  <c:v>21.514172748733092</c:v>
                </c:pt>
                <c:pt idx="2">
                  <c:v>28.637411888845236</c:v>
                </c:pt>
                <c:pt idx="3">
                  <c:v>8.983070190417461</c:v>
                </c:pt>
                <c:pt idx="4">
                  <c:v>27.308948623527883</c:v>
                </c:pt>
                <c:pt idx="5">
                  <c:v>35.003166250645997</c:v>
                </c:pt>
                <c:pt idx="6">
                  <c:v>22.285618789800189</c:v>
                </c:pt>
                <c:pt idx="7">
                  <c:v>30.933323374382997</c:v>
                </c:pt>
                <c:pt idx="8">
                  <c:v>4.5917858793153332</c:v>
                </c:pt>
              </c:numCache>
            </c:numRef>
          </c:val>
          <c:extLst xmlns:c16r2="http://schemas.microsoft.com/office/drawing/2015/06/chart">
            <c:ext xmlns:c16="http://schemas.microsoft.com/office/drawing/2014/chart" uri="{C3380CC4-5D6E-409C-BE32-E72D297353CC}">
              <c16:uniqueId val="{00000001-72BD-466A-8FD3-F6B988FB0003}"/>
            </c:ext>
          </c:extLst>
        </c:ser>
        <c:gapWidth val="75"/>
        <c:overlap val="-25"/>
        <c:axId val="78085504"/>
        <c:axId val="78087296"/>
      </c:barChart>
      <c:catAx>
        <c:axId val="78085504"/>
        <c:scaling>
          <c:orientation val="minMax"/>
        </c:scaling>
        <c:axPos val="l"/>
        <c:numFmt formatCode="General" sourceLinked="0"/>
        <c:majorTickMark val="none"/>
        <c:tickLblPos val="nextTo"/>
        <c:txPr>
          <a:bodyPr/>
          <a:lstStyle/>
          <a:p>
            <a:pPr>
              <a:defRPr sz="800"/>
            </a:pPr>
            <a:endParaRPr lang="fr-FR"/>
          </a:p>
        </c:txPr>
        <c:crossAx val="78087296"/>
        <c:crosses val="autoZero"/>
        <c:auto val="1"/>
        <c:lblAlgn val="ctr"/>
        <c:lblOffset val="100"/>
      </c:catAx>
      <c:valAx>
        <c:axId val="78087296"/>
        <c:scaling>
          <c:orientation val="minMax"/>
        </c:scaling>
        <c:delete val="1"/>
        <c:axPos val="b"/>
        <c:numFmt formatCode="###0.0" sourceLinked="1"/>
        <c:majorTickMark val="none"/>
        <c:tickLblPos val="none"/>
        <c:crossAx val="78085504"/>
        <c:crosses val="autoZero"/>
        <c:crossBetween val="between"/>
      </c:valAx>
    </c:plotArea>
    <c:legend>
      <c:legendPos val="b"/>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Sheet1!$H$3</c:f>
              <c:strCache>
                <c:ptCount val="1"/>
                <c:pt idx="0">
                  <c:v>2021</c:v>
                </c:pt>
              </c:strCache>
            </c:strRef>
          </c:tx>
          <c:spPr>
            <a:solidFill>
              <a:srgbClr val="4F81BD"/>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Sheet1!$G$4:$G$10</c:f>
              <c:strCache>
                <c:ptCount val="7"/>
                <c:pt idx="0">
                  <c:v>Urbain</c:v>
                </c:pt>
                <c:pt idx="1">
                  <c:v>Rural</c:v>
                </c:pt>
                <c:pt idx="2">
                  <c:v>Masculin</c:v>
                </c:pt>
                <c:pt idx="3">
                  <c:v>Féminin</c:v>
                </c:pt>
                <c:pt idx="4">
                  <c:v>15-24 ans</c:v>
                </c:pt>
                <c:pt idx="5">
                  <c:v>Ayant un diplôme</c:v>
                </c:pt>
                <c:pt idx="6">
                  <c:v>National</c:v>
                </c:pt>
              </c:strCache>
            </c:strRef>
          </c:cat>
          <c:val>
            <c:numRef>
              <c:f>Sheet1!$H$4:$H$10</c:f>
              <c:numCache>
                <c:formatCode>General</c:formatCode>
                <c:ptCount val="7"/>
                <c:pt idx="0">
                  <c:v>8.9</c:v>
                </c:pt>
                <c:pt idx="1">
                  <c:v>9.6</c:v>
                </c:pt>
                <c:pt idx="2" formatCode="###0.0">
                  <c:v>10.21693213923905</c:v>
                </c:pt>
                <c:pt idx="3" formatCode="###0.0">
                  <c:v>5.5789282046214499</c:v>
                </c:pt>
                <c:pt idx="4" formatCode="###0.0">
                  <c:v>13.599542247226092</c:v>
                </c:pt>
                <c:pt idx="5" formatCode="###0.0">
                  <c:v>9.7224980557124709</c:v>
                </c:pt>
                <c:pt idx="6" formatCode="###0.0">
                  <c:v>9.2000000000000011</c:v>
                </c:pt>
              </c:numCache>
            </c:numRef>
          </c:val>
          <c:extLst xmlns:c16r2="http://schemas.microsoft.com/office/drawing/2015/06/chart">
            <c:ext xmlns:c16="http://schemas.microsoft.com/office/drawing/2014/chart" uri="{C3380CC4-5D6E-409C-BE32-E72D297353CC}">
              <c16:uniqueId val="{00000000-E84B-AA49-A1B2-4D8EFC27E96C}"/>
            </c:ext>
          </c:extLst>
        </c:ser>
        <c:ser>
          <c:idx val="1"/>
          <c:order val="1"/>
          <c:tx>
            <c:strRef>
              <c:f>Sheet1!$I$3</c:f>
              <c:strCache>
                <c:ptCount val="1"/>
                <c:pt idx="0">
                  <c:v>2022</c:v>
                </c:pt>
              </c:strCache>
            </c:strRef>
          </c:tx>
          <c:spPr>
            <a:solidFill>
              <a:srgbClr val="00206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Sheet1!$G$4:$G$10</c:f>
              <c:strCache>
                <c:ptCount val="7"/>
                <c:pt idx="0">
                  <c:v>Urbain</c:v>
                </c:pt>
                <c:pt idx="1">
                  <c:v>Rural</c:v>
                </c:pt>
                <c:pt idx="2">
                  <c:v>Masculin</c:v>
                </c:pt>
                <c:pt idx="3">
                  <c:v>Féminin</c:v>
                </c:pt>
                <c:pt idx="4">
                  <c:v>15-24 ans</c:v>
                </c:pt>
                <c:pt idx="5">
                  <c:v>Ayant un diplôme</c:v>
                </c:pt>
                <c:pt idx="6">
                  <c:v>National</c:v>
                </c:pt>
              </c:strCache>
            </c:strRef>
          </c:cat>
          <c:val>
            <c:numRef>
              <c:f>Sheet1!$I$4:$I$10</c:f>
              <c:numCache>
                <c:formatCode>General</c:formatCode>
                <c:ptCount val="7"/>
                <c:pt idx="0">
                  <c:v>8.3000000000000007</c:v>
                </c:pt>
                <c:pt idx="1">
                  <c:v>10.6</c:v>
                </c:pt>
                <c:pt idx="2" formatCode="###0.0">
                  <c:v>10.452134515503685</c:v>
                </c:pt>
                <c:pt idx="3" formatCode="###0.0">
                  <c:v>4.7544993870804282</c:v>
                </c:pt>
                <c:pt idx="4" formatCode="###0.0">
                  <c:v>15.894877438085866</c:v>
                </c:pt>
                <c:pt idx="5" formatCode="###0.0">
                  <c:v>9.5889102956934913</c:v>
                </c:pt>
                <c:pt idx="6" formatCode="###0.0">
                  <c:v>9.2000000000000011</c:v>
                </c:pt>
              </c:numCache>
            </c:numRef>
          </c:val>
          <c:extLst xmlns:c16r2="http://schemas.microsoft.com/office/drawing/2015/06/chart">
            <c:ext xmlns:c16="http://schemas.microsoft.com/office/drawing/2014/chart" uri="{C3380CC4-5D6E-409C-BE32-E72D297353CC}">
              <c16:uniqueId val="{00000001-E84B-AA49-A1B2-4D8EFC27E96C}"/>
            </c:ext>
          </c:extLst>
        </c:ser>
        <c:dLbls>
          <c:showVal val="1"/>
        </c:dLbls>
        <c:gapWidth val="219"/>
        <c:overlap val="-27"/>
        <c:axId val="78129792"/>
        <c:axId val="78147968"/>
      </c:barChart>
      <c:catAx>
        <c:axId val="781297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r-FR"/>
          </a:p>
        </c:txPr>
        <c:crossAx val="78147968"/>
        <c:crosses val="autoZero"/>
        <c:auto val="1"/>
        <c:lblAlgn val="ctr"/>
        <c:lblOffset val="100"/>
      </c:catAx>
      <c:valAx>
        <c:axId val="78147968"/>
        <c:scaling>
          <c:orientation val="minMax"/>
        </c:scaling>
        <c:delete val="1"/>
        <c:axPos val="l"/>
        <c:numFmt formatCode="General" sourceLinked="1"/>
        <c:majorTickMark val="none"/>
        <c:tickLblPos val="none"/>
        <c:crossAx val="7812979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r-FR"/>
        </a:p>
      </c:txPr>
    </c:legend>
    <c:plotVisOnly val="1"/>
    <c:dispBlanksAs val="gap"/>
  </c:chart>
  <c:spPr>
    <a:noFill/>
    <a:ln w="9525" cap="flat" cmpd="sng" algn="ctr">
      <a:noFill/>
      <a:round/>
    </a:ln>
    <a:effectLst/>
  </c:spPr>
  <c:txPr>
    <a:bodyPr/>
    <a:lstStyle/>
    <a:p>
      <a:pPr>
        <a:defRPr/>
      </a:pPr>
      <a:endParaRPr lang="fr-FR"/>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bar"/>
        <c:grouping val="clustered"/>
        <c:ser>
          <c:idx val="0"/>
          <c:order val="0"/>
          <c:spPr>
            <a:solidFill>
              <a:schemeClr val="accent1"/>
            </a:solidFill>
            <a:ln>
              <a:noFill/>
            </a:ln>
            <a:effectLst/>
          </c:spPr>
          <c:dPt>
            <c:idx val="6"/>
            <c:spPr>
              <a:solidFill>
                <a:srgbClr val="C00000"/>
              </a:solidFill>
              <a:ln>
                <a:noFill/>
              </a:ln>
              <a:effectLst/>
            </c:spPr>
            <c:extLst xmlns:c16r2="http://schemas.microsoft.com/office/drawing/2015/06/chart">
              <c:ext xmlns:c16="http://schemas.microsoft.com/office/drawing/2014/chart" uri="{C3380CC4-5D6E-409C-BE32-E72D297353CC}">
                <c16:uniqueId val="{00000001-086A-BE44-8A03-94B7020DB562}"/>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Sheet1!$A$40:$A$50</c:f>
              <c:strCache>
                <c:ptCount val="11"/>
                <c:pt idx="0">
                  <c:v>Souss-Massa</c:v>
                </c:pt>
                <c:pt idx="1">
                  <c:v>Oriental</c:v>
                </c:pt>
                <c:pt idx="2">
                  <c:v>Fès-Meknès</c:v>
                </c:pt>
                <c:pt idx="3">
                  <c:v>Drâa-Tafilalet</c:v>
                </c:pt>
                <c:pt idx="4">
                  <c:v>Rabat-Salé-Kénitra</c:v>
                </c:pt>
                <c:pt idx="5">
                  <c:v>Régions du Sud</c:v>
                </c:pt>
                <c:pt idx="6">
                  <c:v>National</c:v>
                </c:pt>
                <c:pt idx="7">
                  <c:v>Marrakech-Safi</c:v>
                </c:pt>
                <c:pt idx="8">
                  <c:v>Béni Mellal-Khénifra</c:v>
                </c:pt>
                <c:pt idx="9">
                  <c:v>Casablanca-Settat</c:v>
                </c:pt>
                <c:pt idx="10">
                  <c:v>Tanger-Tétouan-Al Hoceïma</c:v>
                </c:pt>
              </c:strCache>
            </c:strRef>
          </c:cat>
          <c:val>
            <c:numRef>
              <c:f>Sheet1!$C$40:$C$50</c:f>
              <c:numCache>
                <c:formatCode>0.0</c:formatCode>
                <c:ptCount val="11"/>
                <c:pt idx="0">
                  <c:v>38.041293226593346</c:v>
                </c:pt>
                <c:pt idx="1">
                  <c:v>41.775389655118325</c:v>
                </c:pt>
                <c:pt idx="2">
                  <c:v>42.378618868567933</c:v>
                </c:pt>
                <c:pt idx="3">
                  <c:v>42.483905677929542</c:v>
                </c:pt>
                <c:pt idx="4">
                  <c:v>43.426723266364</c:v>
                </c:pt>
                <c:pt idx="5">
                  <c:v>43.542741342996365</c:v>
                </c:pt>
                <c:pt idx="6">
                  <c:v>44.454227771727439</c:v>
                </c:pt>
                <c:pt idx="7">
                  <c:v>44.641276723962854</c:v>
                </c:pt>
                <c:pt idx="8">
                  <c:v>44.740853139295474</c:v>
                </c:pt>
                <c:pt idx="9">
                  <c:v>46.810486713696143</c:v>
                </c:pt>
                <c:pt idx="10">
                  <c:v>50.798751325300394</c:v>
                </c:pt>
              </c:numCache>
            </c:numRef>
          </c:val>
          <c:extLst xmlns:c16r2="http://schemas.microsoft.com/office/drawing/2015/06/chart">
            <c:ext xmlns:c16="http://schemas.microsoft.com/office/drawing/2014/chart" uri="{C3380CC4-5D6E-409C-BE32-E72D297353CC}">
              <c16:uniqueId val="{00000002-086A-BE44-8A03-94B7020DB562}"/>
            </c:ext>
          </c:extLst>
        </c:ser>
        <c:dLbls>
          <c:showVal val="1"/>
        </c:dLbls>
        <c:gapWidth val="182"/>
        <c:axId val="78139776"/>
        <c:axId val="78141312"/>
      </c:barChart>
      <c:catAx>
        <c:axId val="7813977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r-FR"/>
          </a:p>
        </c:txPr>
        <c:crossAx val="78141312"/>
        <c:crosses val="autoZero"/>
        <c:auto val="1"/>
        <c:lblAlgn val="ctr"/>
        <c:lblOffset val="100"/>
      </c:catAx>
      <c:valAx>
        <c:axId val="78141312"/>
        <c:scaling>
          <c:orientation val="minMax"/>
        </c:scaling>
        <c:delete val="1"/>
        <c:axPos val="b"/>
        <c:numFmt formatCode="0.0" sourceLinked="1"/>
        <c:majorTickMark val="none"/>
        <c:tickLblPos val="none"/>
        <c:crossAx val="78139776"/>
        <c:crosses val="autoZero"/>
        <c:crossBetween val="between"/>
      </c:valAx>
      <c:spPr>
        <a:noFill/>
        <a:ln>
          <a:noFill/>
        </a:ln>
        <a:effectLst/>
      </c:spPr>
    </c:plotArea>
    <c:plotVisOnly val="1"/>
    <c:dispBlanksAs val="gap"/>
  </c:chart>
  <c:spPr>
    <a:noFill/>
    <a:ln w="9525" cap="flat" cmpd="sng" algn="ctr">
      <a:noFill/>
      <a:round/>
    </a:ln>
    <a:effectLst/>
  </c:spPr>
  <c:txPr>
    <a:bodyPr/>
    <a:lstStyle/>
    <a:p>
      <a:pPr>
        <a:defRPr/>
      </a:pPr>
      <a:endParaRPr lang="fr-F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bar"/>
        <c:grouping val="clustered"/>
        <c:ser>
          <c:idx val="0"/>
          <c:order val="0"/>
          <c:spPr>
            <a:solidFill>
              <a:schemeClr val="accent1"/>
            </a:solidFill>
            <a:ln>
              <a:noFill/>
            </a:ln>
            <a:effectLst/>
          </c:spPr>
          <c:dPt>
            <c:idx val="6"/>
            <c:spPr>
              <a:solidFill>
                <a:srgbClr val="C00000"/>
              </a:solidFill>
              <a:ln>
                <a:noFill/>
              </a:ln>
              <a:effectLst/>
            </c:spPr>
            <c:extLst xmlns:c16r2="http://schemas.microsoft.com/office/drawing/2015/06/chart">
              <c:ext xmlns:c16="http://schemas.microsoft.com/office/drawing/2014/chart" uri="{C3380CC4-5D6E-409C-BE32-E72D297353CC}">
                <c16:uniqueId val="{00000001-37F5-2246-BB58-ACA6EE5BB0F8}"/>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Sheet1!$A$64:$A$74</c:f>
              <c:strCache>
                <c:ptCount val="11"/>
                <c:pt idx="0">
                  <c:v>Marrakech-Safi</c:v>
                </c:pt>
                <c:pt idx="1">
                  <c:v>Drâa-Tafilalet</c:v>
                </c:pt>
                <c:pt idx="2">
                  <c:v>Béni Mellal-Khénifra</c:v>
                </c:pt>
                <c:pt idx="3">
                  <c:v>Tanger-Tétouan-Al Hoceïma</c:v>
                </c:pt>
                <c:pt idx="4">
                  <c:v>Rabat-Salé-Kénitra</c:v>
                </c:pt>
                <c:pt idx="5">
                  <c:v>Souss-Massa</c:v>
                </c:pt>
                <c:pt idx="6">
                  <c:v>National</c:v>
                </c:pt>
                <c:pt idx="7">
                  <c:v>Casablanca-Settat</c:v>
                </c:pt>
                <c:pt idx="8">
                  <c:v>Fès-Meknès</c:v>
                </c:pt>
                <c:pt idx="9">
                  <c:v>Régions du Sud</c:v>
                </c:pt>
                <c:pt idx="10">
                  <c:v>Oriental</c:v>
                </c:pt>
              </c:strCache>
            </c:strRef>
          </c:cat>
          <c:val>
            <c:numRef>
              <c:f>Sheet1!$C$64:$C$74</c:f>
              <c:numCache>
                <c:formatCode>0.0</c:formatCode>
                <c:ptCount val="11"/>
                <c:pt idx="0">
                  <c:v>6.8194767670147316</c:v>
                </c:pt>
                <c:pt idx="1">
                  <c:v>9.0390878400257026</c:v>
                </c:pt>
                <c:pt idx="2">
                  <c:v>9.408944718666854</c:v>
                </c:pt>
                <c:pt idx="3">
                  <c:v>9.6774296109057047</c:v>
                </c:pt>
                <c:pt idx="4">
                  <c:v>10.490740572118007</c:v>
                </c:pt>
                <c:pt idx="5">
                  <c:v>10.638379118643918</c:v>
                </c:pt>
                <c:pt idx="6">
                  <c:v>12.052595185819024</c:v>
                </c:pt>
                <c:pt idx="7">
                  <c:v>14.541685078689722</c:v>
                </c:pt>
                <c:pt idx="8">
                  <c:v>14.565576066197472</c:v>
                </c:pt>
                <c:pt idx="9">
                  <c:v>19.580338716127638</c:v>
                </c:pt>
                <c:pt idx="10">
                  <c:v>20.201636883606206</c:v>
                </c:pt>
              </c:numCache>
            </c:numRef>
          </c:val>
          <c:extLst xmlns:c16r2="http://schemas.microsoft.com/office/drawing/2015/06/chart">
            <c:ext xmlns:c16="http://schemas.microsoft.com/office/drawing/2014/chart" uri="{C3380CC4-5D6E-409C-BE32-E72D297353CC}">
              <c16:uniqueId val="{00000002-37F5-2246-BB58-ACA6EE5BB0F8}"/>
            </c:ext>
          </c:extLst>
        </c:ser>
        <c:dLbls>
          <c:showVal val="1"/>
        </c:dLbls>
        <c:gapWidth val="182"/>
        <c:axId val="78181888"/>
        <c:axId val="78183424"/>
      </c:barChart>
      <c:catAx>
        <c:axId val="7818188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fr-FR"/>
          </a:p>
        </c:txPr>
        <c:crossAx val="78183424"/>
        <c:crosses val="autoZero"/>
        <c:auto val="1"/>
        <c:lblAlgn val="ctr"/>
        <c:lblOffset val="100"/>
      </c:catAx>
      <c:valAx>
        <c:axId val="78183424"/>
        <c:scaling>
          <c:orientation val="minMax"/>
        </c:scaling>
        <c:delete val="1"/>
        <c:axPos val="b"/>
        <c:numFmt formatCode="0.0" sourceLinked="1"/>
        <c:majorTickMark val="none"/>
        <c:tickLblPos val="none"/>
        <c:crossAx val="78181888"/>
        <c:crosses val="autoZero"/>
        <c:crossBetween val="between"/>
      </c:valAx>
      <c:spPr>
        <a:noFill/>
        <a:ln>
          <a:noFill/>
        </a:ln>
        <a:effectLst/>
      </c:spPr>
    </c:plotArea>
    <c:plotVisOnly val="1"/>
    <c:dispBlanksAs val="gap"/>
  </c:chart>
  <c:spPr>
    <a:noFill/>
    <a:ln w="9525" cap="flat" cmpd="sng" algn="ctr">
      <a:noFill/>
      <a:round/>
    </a:ln>
    <a:effectLst/>
  </c:spPr>
  <c:txPr>
    <a:bodyPr/>
    <a:lstStyle/>
    <a:p>
      <a:pPr>
        <a:defRPr/>
      </a:pPr>
      <a:endParaRPr lang="fr-FR"/>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381C2-A4EF-4C76-882C-6DEF9029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1902</Words>
  <Characters>10466</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 AAI</cp:lastModifiedBy>
  <cp:revision>2</cp:revision>
  <cp:lastPrinted>2021-04-26T09:36:00Z</cp:lastPrinted>
  <dcterms:created xsi:type="dcterms:W3CDTF">2022-05-05T09:19:00Z</dcterms:created>
  <dcterms:modified xsi:type="dcterms:W3CDTF">2022-05-05T09:19:00Z</dcterms:modified>
</cp:coreProperties>
</file>