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B4" w:rsidRPr="001276D3" w:rsidRDefault="002067B4" w:rsidP="00E92414">
      <w:pPr>
        <w:pStyle w:val="Corpsdetexte2"/>
        <w:bidi/>
        <w:spacing w:after="0"/>
        <w:ind w:left="360"/>
        <w:jc w:val="center"/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2067B4" w:rsidRPr="001276D3" w:rsidRDefault="002067B4" w:rsidP="002067B4">
      <w:pPr>
        <w:pStyle w:val="Corpsdetexte2"/>
        <w:bidi/>
        <w:spacing w:after="0"/>
        <w:ind w:left="360"/>
        <w:jc w:val="center"/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E74B51" w:rsidRPr="001276D3" w:rsidRDefault="00E74B51" w:rsidP="00E74B51">
      <w:pPr>
        <w:pStyle w:val="Corpsdetexte2"/>
        <w:bidi/>
        <w:spacing w:after="0"/>
        <w:ind w:left="360"/>
        <w:jc w:val="center"/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E74B51" w:rsidRPr="001276D3" w:rsidRDefault="00E74B51" w:rsidP="00E74B51">
      <w:pPr>
        <w:pStyle w:val="Corpsdetexte2"/>
        <w:bidi/>
        <w:spacing w:after="0"/>
        <w:ind w:left="360"/>
        <w:jc w:val="center"/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2067B4" w:rsidRPr="001276D3" w:rsidRDefault="002067B4" w:rsidP="004A2C48">
      <w:pPr>
        <w:pStyle w:val="Corpsdetexte2"/>
        <w:bidi/>
        <w:spacing w:after="0"/>
        <w:rPr>
          <w:rFonts w:ascii="Simplified Arabic" w:eastAsia="Times New Roman" w:hAnsi="Simplified Arabic" w:cs="Simplified Arabic"/>
          <w:b/>
          <w:bCs/>
          <w:smallCaps/>
          <w:color w:val="943634" w:themeColor="accent2" w:themeShade="BF"/>
          <w:sz w:val="32"/>
          <w:szCs w:val="32"/>
          <w:rtl/>
          <w:lang w:bidi="ar-MA"/>
        </w:rPr>
      </w:pPr>
    </w:p>
    <w:p w:rsidR="00BD71F3" w:rsidRPr="001276D3" w:rsidRDefault="002067B4" w:rsidP="002067B4">
      <w:pPr>
        <w:jc w:val="center"/>
        <w:rPr>
          <w:rFonts w:ascii="Simplified Arabic" w:eastAsia="Times New Roman" w:hAnsi="Simplified Arabic" w:cs="Simplified Arabic"/>
          <w:b/>
          <w:bCs/>
          <w:smallCaps/>
          <w:color w:val="943634" w:themeColor="accent2" w:themeShade="BF"/>
          <w:sz w:val="48"/>
          <w:szCs w:val="48"/>
          <w:rtl/>
          <w:lang w:bidi="ar-MA"/>
        </w:rPr>
      </w:pPr>
      <w:r w:rsidRPr="001276D3">
        <w:rPr>
          <w:rFonts w:ascii="Simplified Arabic" w:eastAsia="Times New Roman" w:hAnsi="Simplified Arabic" w:cs="Simplified Arabic"/>
          <w:b/>
          <w:bCs/>
          <w:smallCaps/>
          <w:color w:val="943634" w:themeColor="accent2" w:themeShade="BF"/>
          <w:sz w:val="48"/>
          <w:szCs w:val="48"/>
          <w:rtl/>
          <w:lang w:bidi="ar-MA"/>
        </w:rPr>
        <w:t>تقديم نتائج البحث الوطني حول</w:t>
      </w:r>
    </w:p>
    <w:p w:rsidR="002067B4" w:rsidRPr="001276D3" w:rsidRDefault="002067B4" w:rsidP="002067B4">
      <w:pPr>
        <w:jc w:val="center"/>
        <w:rPr>
          <w:rFonts w:ascii="Simplified Arabic" w:eastAsia="Times New Roman" w:hAnsi="Simplified Arabic" w:cs="Simplified Arabic"/>
          <w:b/>
          <w:bCs/>
          <w:smallCaps/>
          <w:color w:val="943634" w:themeColor="accent2" w:themeShade="BF"/>
          <w:sz w:val="48"/>
          <w:szCs w:val="48"/>
          <w:rtl/>
          <w:lang w:bidi="ar-MA"/>
        </w:rPr>
      </w:pPr>
      <w:r w:rsidRPr="001276D3">
        <w:rPr>
          <w:rFonts w:ascii="Simplified Arabic" w:eastAsia="Times New Roman" w:hAnsi="Simplified Arabic" w:cs="Simplified Arabic"/>
          <w:b/>
          <w:bCs/>
          <w:smallCaps/>
          <w:color w:val="943634" w:themeColor="accent2" w:themeShade="BF"/>
          <w:sz w:val="48"/>
          <w:szCs w:val="48"/>
          <w:rtl/>
          <w:lang w:bidi="ar-MA"/>
        </w:rPr>
        <w:t xml:space="preserve"> القطاع غير المنظم 2013/2014</w:t>
      </w:r>
    </w:p>
    <w:p w:rsidR="002067B4" w:rsidRDefault="002067B4" w:rsidP="001276D3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4A2C48" w:rsidRDefault="004A2C48" w:rsidP="001276D3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4A2C48" w:rsidRDefault="004A2C48" w:rsidP="001276D3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4A2C48" w:rsidRDefault="004A2C48" w:rsidP="001276D3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4A2C48" w:rsidRPr="001276D3" w:rsidRDefault="004A2C48" w:rsidP="001276D3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2067B4" w:rsidRPr="001276D3" w:rsidRDefault="001276D3" w:rsidP="00C038C4">
      <w:pPr>
        <w:rPr>
          <w:rFonts w:ascii="Simplified Arabic" w:eastAsia="Times New Roman" w:hAnsi="Simplified Arabic" w:cs="Simplified Arabic"/>
          <w:b/>
          <w:bCs/>
          <w:smallCaps/>
          <w:color w:val="943634" w:themeColor="accent2" w:themeShade="BF"/>
          <w:sz w:val="28"/>
          <w:szCs w:val="28"/>
          <w:rtl/>
          <w:lang w:bidi="ar-MA"/>
        </w:rPr>
      </w:pPr>
      <w:r w:rsidRPr="001276D3">
        <w:rPr>
          <w:rFonts w:ascii="Simplified Arabic" w:eastAsia="Times New Roman" w:hAnsi="Simplified Arabic" w:cs="Simplified Arabic" w:hint="cs"/>
          <w:b/>
          <w:bCs/>
          <w:smallCaps/>
          <w:color w:val="943634" w:themeColor="accent2" w:themeShade="BF"/>
          <w:sz w:val="28"/>
          <w:szCs w:val="28"/>
          <w:rtl/>
          <w:lang w:bidi="ar-MA"/>
        </w:rPr>
        <w:t xml:space="preserve">12 </w:t>
      </w:r>
      <w:proofErr w:type="gramStart"/>
      <w:r w:rsidRPr="001276D3">
        <w:rPr>
          <w:rFonts w:ascii="Simplified Arabic" w:eastAsia="Times New Roman" w:hAnsi="Simplified Arabic" w:cs="Simplified Arabic" w:hint="cs"/>
          <w:b/>
          <w:bCs/>
          <w:smallCaps/>
          <w:color w:val="943634" w:themeColor="accent2" w:themeShade="BF"/>
          <w:sz w:val="28"/>
          <w:szCs w:val="28"/>
          <w:rtl/>
          <w:lang w:bidi="ar-MA"/>
        </w:rPr>
        <w:t>أكتوبر</w:t>
      </w:r>
      <w:proofErr w:type="gramEnd"/>
      <w:r w:rsidRPr="001276D3">
        <w:rPr>
          <w:rFonts w:ascii="Simplified Arabic" w:eastAsia="Times New Roman" w:hAnsi="Simplified Arabic" w:cs="Simplified Arabic" w:hint="cs"/>
          <w:b/>
          <w:bCs/>
          <w:smallCaps/>
          <w:color w:val="943634" w:themeColor="accent2" w:themeShade="BF"/>
          <w:sz w:val="28"/>
          <w:szCs w:val="28"/>
          <w:rtl/>
          <w:lang w:bidi="ar-MA"/>
        </w:rPr>
        <w:t xml:space="preserve"> 2016</w:t>
      </w:r>
    </w:p>
    <w:p w:rsidR="002067B4" w:rsidRPr="001276D3" w:rsidRDefault="002067B4" w:rsidP="002067B4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2067B4" w:rsidRDefault="002067B4" w:rsidP="002067B4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</w:p>
    <w:p w:rsidR="00C038C4" w:rsidRPr="001276D3" w:rsidRDefault="00C038C4" w:rsidP="00C038C4">
      <w:pP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</w:pPr>
      <w:r>
        <w:rPr>
          <w:rFonts w:ascii="Simplified Arabic" w:eastAsia="Times New Roman" w:hAnsi="Simplified Arabic" w:cs="Simplified Arabic"/>
          <w:b/>
          <w:bCs/>
          <w:smallCaps/>
          <w:color w:val="000000" w:themeColor="text1"/>
          <w:sz w:val="26"/>
          <w:szCs w:val="26"/>
          <w:rtl/>
          <w:lang w:bidi="ar-MA"/>
        </w:rPr>
        <w:br w:type="page"/>
      </w:r>
    </w:p>
    <w:p w:rsidR="00367466" w:rsidRPr="001276D3" w:rsidRDefault="00367466" w:rsidP="001276D3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lastRenderedPageBreak/>
        <w:t xml:space="preserve">يهدف البحث الوطني حول القطاع غير المنظم المنجز في 2013/2014 إلى تحيين المعلومات حول خصائص وحدات الإنتاج غير المنظمة و </w:t>
      </w:r>
      <w:r w:rsidR="00974029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كيفية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دمجها في الاقتصاد الوطني وتقييم إسهامها في مجالات خلق الثروة والشغل. </w:t>
      </w:r>
    </w:p>
    <w:p w:rsidR="00367466" w:rsidRPr="001276D3" w:rsidRDefault="00367466" w:rsidP="001276D3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تجدر الإشارة </w:t>
      </w:r>
      <w:r w:rsidR="007339D5" w:rsidRPr="001276D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إلى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أن البحث يشمل جميع وحدات الإنتاج غير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الفلاحية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التي لا تتوفر على محاسبة وفقا لنظام المحاسبة المعمول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به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في المغرب. و يقصد بالتوفر على محاسبة تقديم وثائق المحاسبة التي ترصد في آن واحد  التدفقات خلال السنة و</w:t>
      </w:r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ك</w:t>
      </w:r>
      <w:r w:rsidR="00E74B51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ذ</w:t>
      </w:r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 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ميزانية  </w:t>
      </w:r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الأصول و الخصوم 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في بداية ونهاية هذه الفترة. </w:t>
      </w:r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 </w:t>
      </w:r>
      <w:proofErr w:type="gramStart"/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كما</w:t>
      </w:r>
      <w:proofErr w:type="gramEnd"/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هو معرف في منهجية </w:t>
      </w:r>
      <w:proofErr w:type="spellStart"/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البحث،</w:t>
      </w:r>
      <w:proofErr w:type="spellEnd"/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لا يشمل القطاع غير المنظم</w:t>
      </w:r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الأنشطة الم</w:t>
      </w:r>
      <w:r w:rsidR="00297FA7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حظورة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 غير القانونية.</w:t>
      </w:r>
    </w:p>
    <w:p w:rsidR="00367466" w:rsidRPr="001276D3" w:rsidRDefault="00E74B51" w:rsidP="001276D3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تطلب</w:t>
      </w:r>
      <w:proofErr w:type="gramEnd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إنجاز البحث اعتماد مقاربة </w:t>
      </w:r>
      <w:r w:rsidR="00974029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مرحلتين </w:t>
      </w:r>
      <w:r w:rsidR="00974029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ل</w:t>
      </w:r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تحديد الوحدات غير المنظمة التي سيتم </w:t>
      </w:r>
      <w:proofErr w:type="spellStart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بحثها،</w:t>
      </w:r>
      <w:proofErr w:type="spellEnd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 ذلك نظرا لعدم توفر قاعدة </w:t>
      </w:r>
      <w:r w:rsidR="00974029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معاينة</w:t>
      </w:r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تشمل جميع مكونات القطاع غير المنظم (وحدات بمحل </w:t>
      </w:r>
      <w:proofErr w:type="spellStart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مهني،</w:t>
      </w:r>
      <w:proofErr w:type="spellEnd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وحدات بدون محل </w:t>
      </w:r>
      <w:proofErr w:type="spellStart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مهني،</w:t>
      </w:r>
      <w:proofErr w:type="spellEnd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وحدات تزاول نشاطها بالمنزل</w:t>
      </w:r>
      <w:proofErr w:type="spellStart"/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).</w:t>
      </w:r>
      <w:proofErr w:type="spellEnd"/>
      <w:r w:rsidR="00974029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974029" w:rsidRPr="001276D3">
        <w:rPr>
          <w:rFonts w:ascii="Simplified Arabic" w:eastAsia="Calibri" w:hAnsi="Simplified Arabic" w:cs="Simplified Arabic"/>
          <w:sz w:val="28"/>
          <w:szCs w:val="28"/>
          <w:rtl/>
          <w:lang w:bidi="ar-MA"/>
        </w:rPr>
        <w:t>وتمثلت</w:t>
      </w:r>
      <w:proofErr w:type="gramEnd"/>
      <w:r w:rsidR="00974029" w:rsidRPr="001276D3">
        <w:rPr>
          <w:rFonts w:ascii="Simplified Arabic" w:eastAsia="Calibri" w:hAnsi="Simplified Arabic" w:cs="Simplified Arabic"/>
          <w:sz w:val="28"/>
          <w:szCs w:val="28"/>
          <w:rtl/>
          <w:lang w:bidi="ar-MA"/>
        </w:rPr>
        <w:t xml:space="preserve"> هذه المقاربة في مرحلة أولى في استخراج عينة وحدات الإنتاج انطلاقا من البحث الوطني حول الشغل ثم بحث الوحدات المستخلصة في مرحلة ثانية</w:t>
      </w:r>
      <w:r w:rsidR="00367466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. وقد شمل البحث عينة مكونة من 10085 وحدة إنتاج غير منظمة.  </w:t>
      </w:r>
    </w:p>
    <w:p w:rsidR="00E97A97" w:rsidRPr="001276D3" w:rsidRDefault="00367466" w:rsidP="009740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وللأخذ بعين الاعتبار التغيرات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الموسمية،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تم جمع </w:t>
      </w:r>
      <w:r w:rsidR="00A26FCB"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المعطيات</w:t>
      </w: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ميدانيا على امتداد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سنة،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أي من يونيو 2013 إلى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>ماي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2014</w:t>
      </w:r>
      <w:r w:rsidRPr="001276D3">
        <w:rPr>
          <w:rFonts w:ascii="Simplified Arabic" w:hAnsi="Simplified Arabic" w:cs="Simplified Arabic"/>
          <w:sz w:val="28"/>
          <w:szCs w:val="28"/>
          <w:lang w:bidi="ar-MA"/>
        </w:rPr>
        <w:t>.</w:t>
      </w:r>
    </w:p>
    <w:p w:rsidR="00FB6F6B" w:rsidRPr="001276D3" w:rsidRDefault="00011538" w:rsidP="00011538">
      <w:pPr>
        <w:pStyle w:val="Paragraphedeliste"/>
        <w:numPr>
          <w:ilvl w:val="0"/>
          <w:numId w:val="17"/>
        </w:numPr>
        <w:bidi/>
        <w:spacing w:before="100" w:beforeAutospacing="1" w:after="100" w:afterAutospacing="1" w:line="480" w:lineRule="auto"/>
        <w:jc w:val="both"/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</w:rPr>
      </w:pPr>
      <w:r w:rsidRPr="001276D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3060C4" w:rsidRPr="001276D3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تقديم </w:t>
      </w:r>
      <w:r w:rsidR="00A26FCB" w:rsidRPr="001276D3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>وحدات الإنتاج غير المنظمة</w:t>
      </w:r>
    </w:p>
    <w:p w:rsidR="006E6A04" w:rsidRPr="001276D3" w:rsidRDefault="006E6A04" w:rsidP="004A2C48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1276D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سجل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عدد وحدات الإنتاج غير المنظمة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ارتفاعا،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حيث انتقل من</w:t>
      </w:r>
      <w:r w:rsidRPr="001276D3">
        <w:rPr>
          <w:rFonts w:ascii="Simplified Arabic" w:hAnsi="Simplified Arabic" w:cs="Simplified Arabic"/>
          <w:sz w:val="28"/>
          <w:szCs w:val="28"/>
        </w:rPr>
        <w:t>1</w:t>
      </w:r>
      <w:proofErr w:type="gramStart"/>
      <w:r w:rsidRPr="001276D3">
        <w:rPr>
          <w:rFonts w:ascii="Simplified Arabic" w:hAnsi="Simplified Arabic" w:cs="Simplified Arabic"/>
          <w:sz w:val="28"/>
          <w:szCs w:val="28"/>
        </w:rPr>
        <w:t>,55</w:t>
      </w:r>
      <w:proofErr w:type="gramEnd"/>
      <w:r w:rsidRPr="001276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مليون سنة 2007 إلى</w:t>
      </w:r>
      <w:r w:rsidRPr="001276D3">
        <w:rPr>
          <w:rFonts w:ascii="Simplified Arabic" w:hAnsi="Simplified Arabic" w:cs="Simplified Arabic"/>
          <w:sz w:val="28"/>
          <w:szCs w:val="28"/>
        </w:rPr>
        <w:t xml:space="preserve">1,68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مليون وحدة سنة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مسجلا بذلك  زيادة قدرها</w:t>
      </w:r>
      <w:r w:rsidRPr="001276D3">
        <w:rPr>
          <w:rFonts w:ascii="Simplified Arabic" w:hAnsi="Simplified Arabic" w:cs="Simplified Arabic"/>
          <w:sz w:val="28"/>
          <w:szCs w:val="28"/>
        </w:rPr>
        <w:t xml:space="preserve">19 000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وحدة سنويا</w:t>
      </w:r>
      <w:r w:rsidR="00974029" w:rsidRPr="001276D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"/>
      </w:r>
      <w:r w:rsidRPr="001276D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E6A04" w:rsidRPr="001276D3" w:rsidRDefault="006E6A04" w:rsidP="006E6A0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بلغت نسبة وحدات الإنتاج غير المنظمة التي تتوفر على محل مهني قار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43,7 سنة 2013 (عوض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44 سنة 2007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ونسبة الوحدات التي لا تتوفر على محل مهني قار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51,4 (عوض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49,2 سنة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lastRenderedPageBreak/>
        <w:t>2007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ونسبة الوحدات التي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تشتغل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بمحل السكنى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4,9 (عوض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6,7 سنة 2007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وتمثل الوحدات التي لا تتوفر على محل مهني قار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87,5  من مجموع الوحدات المشتغلة في قطاع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البناء،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58,7 من مجموع الوحدات المشتغلة في قطاع الخدمات و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51,9 من مجموع الوحدات المشتغلة في القطاع التجاري. ويضم قطاع الصناعة أكبر نسبة من الوحدات المتوفرة على محل مهني        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56</w:t>
      </w: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</w:rPr>
        <w:t>,9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proofErr w:type="gram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 وأكبر نسبة من الوحدات التي تمارس نشاطها بمحل السكنى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23,6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6E6A04" w:rsidRPr="001276D3" w:rsidRDefault="006E6A04" w:rsidP="005B04B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2C48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بلغت نسبة وحدات الإنتاج غير المنظمة المسجلة بالضريبة المهنية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18</w:t>
      </w: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</w:rPr>
        <w:t>,1</w:t>
      </w:r>
      <w:proofErr w:type="gram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سنة 2013 مقابل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18,6 سنة 2007</w:t>
      </w:r>
      <w:r w:rsidRPr="001276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1276D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</w:t>
      </w:r>
      <w:r w:rsidRPr="001276D3">
        <w:rPr>
          <w:rFonts w:ascii="Simplified Arabic" w:hAnsi="Simplified Arabic" w:cs="Simplified Arabic"/>
          <w:sz w:val="28"/>
          <w:szCs w:val="28"/>
        </w:rPr>
        <w:t>3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1276D3">
        <w:rPr>
          <w:rFonts w:ascii="Simplified Arabic" w:hAnsi="Simplified Arabic" w:cs="Simplified Arabic"/>
          <w:sz w:val="28"/>
          <w:szCs w:val="28"/>
        </w:rPr>
        <w:t>23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سنة 1999. </w:t>
      </w:r>
      <w:r w:rsidR="004C070C" w:rsidRPr="001276D3">
        <w:rPr>
          <w:rFonts w:ascii="Simplified Arabic" w:hAnsi="Simplified Arabic" w:cs="Simplified Arabic"/>
          <w:sz w:val="28"/>
          <w:szCs w:val="28"/>
          <w:rtl/>
        </w:rPr>
        <w:t xml:space="preserve">وتنتقل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هذه النسبة من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39</w:t>
      </w: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</w:rPr>
        <w:t>,2</w:t>
      </w:r>
      <w:proofErr w:type="gram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لدى الوحدات غير المنظمة  المتوفرة على محل مهني </w:t>
      </w:r>
      <w:r w:rsidR="007339D5" w:rsidRPr="001276D3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C62FBD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1,9 لدى الوحدات غير المتوفرة على محل مهني. </w:t>
      </w:r>
    </w:p>
    <w:p w:rsidR="001B0F6D" w:rsidRPr="001276D3" w:rsidRDefault="001B0F6D" w:rsidP="004A2C48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>و</w:t>
      </w:r>
      <w:r w:rsidR="00E97A97" w:rsidRPr="001276D3">
        <w:rPr>
          <w:rFonts w:ascii="Simplified Arabic" w:hAnsi="Simplified Arabic" w:cs="Simplified Arabic"/>
          <w:sz w:val="28"/>
          <w:szCs w:val="28"/>
          <w:rtl/>
        </w:rPr>
        <w:t xml:space="preserve">يظل المستوى الدراسي لأرباب الوحدات بالقطاع غير المنظم ضعيفا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رغم تحسنه 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منذ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2007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5B04B2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39D5">
        <w:rPr>
          <w:rFonts w:ascii="Simplified Arabic" w:hAnsi="Simplified Arabic" w:cs="Simplified Arabic"/>
          <w:sz w:val="28"/>
          <w:szCs w:val="28"/>
          <w:rtl/>
        </w:rPr>
        <w:t>حيث لا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يتوفر أكثر من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الثلث على أي مستوى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دراسي،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 في حين أن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33</w:t>
      </w:r>
      <w:proofErr w:type="gramStart"/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,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6</w:t>
      </w:r>
      <w:proofErr w:type="gram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يتوفرون على مستوى التعليم الابتدائي و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28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,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4  يتوفرون على مستوى التعليم الثانوي و 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3</w:t>
      </w:r>
      <w:r w:rsidR="00003072" w:rsidRPr="001276D3">
        <w:rPr>
          <w:rFonts w:ascii="Simplified Arabic" w:hAnsi="Simplified Arabic" w:cs="Simplified Arabic"/>
          <w:sz w:val="28"/>
          <w:szCs w:val="28"/>
        </w:rPr>
        <w:t>,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3  لديهم مستوى تعليم عالي.  </w:t>
      </w:r>
    </w:p>
    <w:p w:rsidR="00FE1D64" w:rsidRPr="001276D3" w:rsidRDefault="008D5625" w:rsidP="004A2C48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</w:rPr>
        <w:t>و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تظل</w:t>
      </w:r>
      <w:proofErr w:type="gramEnd"/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 تمثيلية النساء ضعيفة بين أرباب الوحدات غير المنظمة</w:t>
      </w:r>
      <w:r w:rsidR="005B04B2" w:rsidRPr="001276D3">
        <w:rPr>
          <w:rFonts w:ascii="Simplified Arabic" w:hAnsi="Simplified Arabic" w:cs="Simplified Arabic"/>
          <w:sz w:val="28"/>
          <w:szCs w:val="28"/>
          <w:rtl/>
        </w:rPr>
        <w:t xml:space="preserve"> حيث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 لا تتعدى 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>9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.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وتصل ه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>ذ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ه النسبة</w:t>
      </w:r>
      <w:r w:rsidR="005B04B2" w:rsidRPr="001276D3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="005B04B2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FE1D64" w:rsidRPr="001276D3">
        <w:rPr>
          <w:rFonts w:ascii="Simplified Arabic" w:hAnsi="Simplified Arabic" w:cs="Simplified Arabic"/>
          <w:sz w:val="28"/>
          <w:szCs w:val="28"/>
          <w:rtl/>
        </w:rPr>
        <w:t xml:space="preserve">23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E1D64" w:rsidRPr="001276D3">
        <w:rPr>
          <w:rFonts w:ascii="Simplified Arabic" w:hAnsi="Simplified Arabic" w:cs="Simplified Arabic"/>
          <w:sz w:val="28"/>
          <w:szCs w:val="28"/>
          <w:rtl/>
        </w:rPr>
        <w:t>قطاع الصناعة و</w:t>
      </w:r>
      <w:r w:rsidR="005B04B2" w:rsidRPr="001276D3">
        <w:rPr>
          <w:rFonts w:ascii="Simplified Arabic" w:hAnsi="Simplified Arabic" w:cs="Simplified Arabic"/>
          <w:sz w:val="28"/>
          <w:szCs w:val="28"/>
          <w:rtl/>
        </w:rPr>
        <w:t xml:space="preserve"> إلى</w:t>
      </w:r>
      <w:r w:rsidR="00FE1D64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="00FE1D64" w:rsidRPr="001276D3">
        <w:rPr>
          <w:rFonts w:ascii="Simplified Arabic" w:hAnsi="Simplified Arabic" w:cs="Simplified Arabic"/>
          <w:sz w:val="28"/>
          <w:szCs w:val="28"/>
          <w:rtl/>
        </w:rPr>
        <w:t xml:space="preserve">60  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بين 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>ا</w:t>
      </w:r>
      <w:r w:rsidR="00003072" w:rsidRPr="001276D3">
        <w:rPr>
          <w:rFonts w:ascii="Simplified Arabic" w:hAnsi="Simplified Arabic" w:cs="Simplified Arabic"/>
          <w:sz w:val="28"/>
          <w:szCs w:val="28"/>
          <w:rtl/>
        </w:rPr>
        <w:t xml:space="preserve">لوحدات التي </w:t>
      </w:r>
      <w:r w:rsidR="00FE1D64" w:rsidRPr="001276D3">
        <w:rPr>
          <w:rFonts w:ascii="Simplified Arabic" w:hAnsi="Simplified Arabic" w:cs="Simplified Arabic"/>
          <w:sz w:val="28"/>
          <w:szCs w:val="28"/>
          <w:rtl/>
        </w:rPr>
        <w:t>تزاول نشاطها بالمنزل.</w:t>
      </w:r>
    </w:p>
    <w:p w:rsidR="008D5625" w:rsidRPr="001276D3" w:rsidRDefault="008D5625" w:rsidP="004A2C48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>وت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 xml:space="preserve">بقى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المبادرة ل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 xml:space="preserve">تأسيس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الوحدات الإنتاجية فردية بالنسبة ل </w:t>
      </w:r>
      <w:r w:rsidR="005B04B2" w:rsidRPr="001276D3">
        <w:rPr>
          <w:rFonts w:ascii="Simplified Arabic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83 و بشراكة مع أشخاص آخرين بالنسبة ل</w:t>
      </w:r>
      <w:r w:rsidR="00367436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2C48" w:rsidRPr="001276D3">
        <w:rPr>
          <w:rFonts w:ascii="Simplified Arabic" w:hAnsi="Simplified Arabic" w:cs="Simplified Arabic"/>
          <w:sz w:val="28"/>
          <w:szCs w:val="28"/>
        </w:rPr>
        <w:t>%</w:t>
      </w:r>
      <w:r w:rsidR="004A2C48">
        <w:rPr>
          <w:rFonts w:ascii="Simplified Arabic" w:hAnsi="Simplified Arabic" w:cs="Simplified Arabic" w:hint="cs"/>
          <w:sz w:val="28"/>
          <w:szCs w:val="28"/>
          <w:rtl/>
        </w:rPr>
        <w:t>10,6</w:t>
      </w:r>
      <w:r w:rsidR="004A2C48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 نتاجا للمساهمة العائلية بالنسبة ل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 xml:space="preserve"> 5</w:t>
      </w:r>
      <w:r w:rsidR="00367436" w:rsidRPr="001276D3">
        <w:rPr>
          <w:rFonts w:ascii="Simplified Arabic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72AFB" w:rsidRPr="001276D3" w:rsidRDefault="0027788B" w:rsidP="004A2C48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>قبل إ</w:t>
      </w:r>
      <w:r w:rsidR="007A265C" w:rsidRPr="001276D3">
        <w:rPr>
          <w:rFonts w:ascii="Simplified Arabic" w:hAnsi="Simplified Arabic" w:cs="Simplified Arabic"/>
          <w:sz w:val="28"/>
          <w:szCs w:val="28"/>
          <w:rtl/>
        </w:rPr>
        <w:t>حداث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وحدات</w:t>
      </w:r>
      <w:r w:rsidR="00B4567A" w:rsidRPr="001276D3">
        <w:rPr>
          <w:rFonts w:ascii="Simplified Arabic" w:hAnsi="Simplified Arabic" w:cs="Simplified Arabic"/>
          <w:sz w:val="28"/>
          <w:szCs w:val="28"/>
          <w:rtl/>
        </w:rPr>
        <w:t>هم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="00B4567A" w:rsidRPr="001276D3">
        <w:rPr>
          <w:rFonts w:ascii="Simplified Arabic" w:hAnsi="Simplified Arabic" w:cs="Simplified Arabic"/>
          <w:sz w:val="28"/>
          <w:szCs w:val="28"/>
          <w:rtl/>
        </w:rPr>
        <w:t>ية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567A" w:rsidRPr="001276D3">
        <w:rPr>
          <w:rFonts w:ascii="Simplified Arabic" w:hAnsi="Simplified Arabic" w:cs="Simplified Arabic"/>
          <w:sz w:val="28"/>
          <w:szCs w:val="28"/>
          <w:rtl/>
        </w:rPr>
        <w:t xml:space="preserve">كان </w:t>
      </w:r>
      <w:r w:rsidR="00367436" w:rsidRPr="001276D3">
        <w:rPr>
          <w:rFonts w:ascii="Simplified Arabic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75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B4567A" w:rsidRPr="001276D3">
        <w:rPr>
          <w:rFonts w:ascii="Simplified Arabic" w:hAnsi="Simplified Arabic" w:cs="Simplified Arabic"/>
          <w:sz w:val="28"/>
          <w:szCs w:val="28"/>
          <w:rtl/>
        </w:rPr>
        <w:t xml:space="preserve">أربابها 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>نشيطين مشتغلين و</w:t>
      </w:r>
      <w:r w:rsidR="00872AFB" w:rsidRPr="001276D3">
        <w:rPr>
          <w:rFonts w:ascii="Simplified Arabic" w:hAnsi="Simplified Arabic" w:cs="Simplified Arabic"/>
          <w:sz w:val="28"/>
          <w:szCs w:val="28"/>
        </w:rPr>
        <w:t>%</w:t>
      </w:r>
      <w:r w:rsidR="007339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339D5">
        <w:rPr>
          <w:rFonts w:ascii="Simplified Arabic" w:hAnsi="Simplified Arabic" w:cs="Simplified Arabic"/>
          <w:sz w:val="28"/>
          <w:szCs w:val="28"/>
          <w:rtl/>
        </w:rPr>
        <w:t>12</w:t>
      </w:r>
      <w:r w:rsidR="007339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 طلبة</w:t>
      </w:r>
      <w:proofErr w:type="gramEnd"/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2C48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>و</w:t>
      </w:r>
      <w:r w:rsidR="00872AFB" w:rsidRPr="001276D3">
        <w:rPr>
          <w:rFonts w:ascii="Simplified Arabic" w:hAnsi="Simplified Arabic" w:cs="Simplified Arabic"/>
          <w:sz w:val="28"/>
          <w:szCs w:val="28"/>
        </w:rPr>
        <w:t>%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>8,3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  عاطلين و</w:t>
      </w:r>
      <w:r w:rsidR="00872AFB" w:rsidRPr="001276D3">
        <w:rPr>
          <w:rFonts w:ascii="Simplified Arabic" w:hAnsi="Simplified Arabic" w:cs="Simplified Arabic"/>
          <w:sz w:val="28"/>
          <w:szCs w:val="28"/>
        </w:rPr>
        <w:t>%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 3  ربات بيوت. ومن بين ال</w:t>
      </w:r>
      <w:r w:rsidR="00B4567A" w:rsidRPr="001276D3">
        <w:rPr>
          <w:rFonts w:ascii="Simplified Arabic" w:hAnsi="Simplified Arabic" w:cs="Simplified Arabic"/>
          <w:sz w:val="28"/>
          <w:szCs w:val="28"/>
          <w:rtl/>
        </w:rPr>
        <w:t>ذ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ين </w:t>
      </w:r>
      <w:r w:rsidR="00105F5C" w:rsidRPr="001276D3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لهم</w:t>
      </w:r>
      <w:r w:rsidR="00105F5C" w:rsidRPr="001276D3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 w:rsidR="00312F27" w:rsidRPr="001276D3">
        <w:rPr>
          <w:rFonts w:ascii="Simplified Arabic" w:hAnsi="Simplified Arabic" w:cs="Simplified Arabic"/>
          <w:sz w:val="28"/>
          <w:szCs w:val="28"/>
          <w:rtl/>
        </w:rPr>
        <w:t xml:space="preserve">زاولوا نشاطا </w:t>
      </w:r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 xml:space="preserve">قبل </w:t>
      </w:r>
      <w:r w:rsidR="007A265C" w:rsidRPr="001276D3">
        <w:rPr>
          <w:rFonts w:ascii="Simplified Arabic" w:hAnsi="Simplified Arabic" w:cs="Simplified Arabic"/>
          <w:sz w:val="28"/>
          <w:szCs w:val="28"/>
          <w:rtl/>
        </w:rPr>
        <w:t>إ</w:t>
      </w:r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>نشا</w:t>
      </w:r>
      <w:r w:rsidR="0078582B" w:rsidRPr="001276D3">
        <w:rPr>
          <w:rFonts w:ascii="Simplified Arabic" w:hAnsi="Simplified Arabic" w:cs="Simplified Arabic"/>
          <w:sz w:val="28"/>
          <w:szCs w:val="28"/>
          <w:rtl/>
        </w:rPr>
        <w:t>ء</w:t>
      </w:r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 xml:space="preserve"> وحداتهم </w:t>
      </w:r>
      <w:proofErr w:type="spellStart"/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>الخاصة،</w:t>
      </w:r>
      <w:proofErr w:type="spellEnd"/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>اشتغل</w:t>
      </w:r>
      <w:proofErr w:type="spellEnd"/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2AFB" w:rsidRPr="001276D3">
        <w:rPr>
          <w:rFonts w:ascii="Simplified Arabic" w:hAnsi="Simplified Arabic" w:cs="Simplified Arabic"/>
          <w:sz w:val="28"/>
          <w:szCs w:val="28"/>
        </w:rPr>
        <w:t>%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 xml:space="preserve">70 منهم كمستأجرين و </w:t>
      </w:r>
      <w:r w:rsidR="00CE269F" w:rsidRPr="001276D3">
        <w:rPr>
          <w:rFonts w:ascii="Simplified Arabic" w:hAnsi="Simplified Arabic" w:cs="Simplified Arabic"/>
          <w:sz w:val="28"/>
          <w:szCs w:val="28"/>
        </w:rPr>
        <w:t>%</w:t>
      </w:r>
      <w:r w:rsidR="00CE269F" w:rsidRPr="001276D3">
        <w:rPr>
          <w:rFonts w:ascii="Simplified Arabic" w:hAnsi="Simplified Arabic" w:cs="Simplified Arabic"/>
          <w:sz w:val="28"/>
          <w:szCs w:val="28"/>
          <w:rtl/>
        </w:rPr>
        <w:t>20 كمستقلين و</w:t>
      </w:r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>أغلبيتهم</w:t>
      </w:r>
      <w:r w:rsidR="00872AFB" w:rsidRPr="001276D3">
        <w:rPr>
          <w:rFonts w:ascii="Simplified Arabic" w:hAnsi="Simplified Arabic" w:cs="Simplified Arabic"/>
          <w:sz w:val="28"/>
          <w:szCs w:val="28"/>
        </w:rPr>
        <w:t>%</w:t>
      </w:r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8582B" w:rsidRPr="001276D3">
        <w:rPr>
          <w:rFonts w:ascii="Simplified Arabic" w:hAnsi="Simplified Arabic" w:cs="Simplified Arabic"/>
          <w:sz w:val="28"/>
          <w:szCs w:val="28"/>
          <w:rtl/>
        </w:rPr>
        <w:t>90</w:t>
      </w:r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265C" w:rsidRPr="001276D3">
        <w:rPr>
          <w:rFonts w:ascii="Simplified Arabic" w:hAnsi="Simplified Arabic" w:cs="Simplified Arabic"/>
          <w:sz w:val="28"/>
          <w:szCs w:val="28"/>
          <w:rtl/>
        </w:rPr>
        <w:t xml:space="preserve"> منهم </w:t>
      </w:r>
      <w:proofErr w:type="spellStart"/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>اشتغل</w:t>
      </w:r>
      <w:proofErr w:type="spellEnd"/>
      <w:r w:rsidR="00872AFB" w:rsidRPr="001276D3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7375F0" w:rsidRPr="001276D3">
        <w:rPr>
          <w:rFonts w:ascii="Simplified Arabic" w:hAnsi="Simplified Arabic" w:cs="Simplified Arabic"/>
          <w:sz w:val="28"/>
          <w:szCs w:val="28"/>
          <w:rtl/>
        </w:rPr>
        <w:t>القطاع غير المنظم.</w:t>
      </w:r>
    </w:p>
    <w:p w:rsidR="0058070B" w:rsidRPr="001276D3" w:rsidRDefault="00872AFB" w:rsidP="004A2C48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>بمعدل يقارب</w:t>
      </w:r>
      <w:r w:rsidR="00801BC2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 xml:space="preserve">245 ألف درهم كرقم </w:t>
      </w:r>
      <w:r w:rsidR="00801BC2" w:rsidRPr="001276D3">
        <w:rPr>
          <w:rFonts w:ascii="Simplified Arabic" w:hAnsi="Simplified Arabic" w:cs="Simplified Arabic"/>
          <w:sz w:val="28"/>
          <w:szCs w:val="28"/>
          <w:rtl/>
        </w:rPr>
        <w:t xml:space="preserve">معاملات  لكل وحدة إنتاجية </w:t>
      </w:r>
      <w:r w:rsidR="0058070B" w:rsidRPr="001276D3">
        <w:rPr>
          <w:rFonts w:ascii="Simplified Arabic" w:hAnsi="Simplified Arabic" w:cs="Simplified Arabic"/>
          <w:sz w:val="28"/>
          <w:szCs w:val="28"/>
          <w:rtl/>
        </w:rPr>
        <w:t xml:space="preserve"> في 2013  </w:t>
      </w:r>
      <w:r w:rsidR="00801BC2" w:rsidRPr="001276D3">
        <w:rPr>
          <w:rFonts w:ascii="Simplified Arabic" w:hAnsi="Simplified Arabic" w:cs="Simplified Arabic"/>
          <w:sz w:val="28"/>
          <w:szCs w:val="28"/>
          <w:rtl/>
        </w:rPr>
        <w:t xml:space="preserve">يبقى </w:t>
      </w:r>
      <w:r w:rsidR="00A361BE" w:rsidRPr="001276D3">
        <w:rPr>
          <w:rFonts w:ascii="Simplified Arabic" w:hAnsi="Simplified Arabic" w:cs="Simplified Arabic"/>
          <w:sz w:val="28"/>
          <w:szCs w:val="28"/>
          <w:rtl/>
        </w:rPr>
        <w:t xml:space="preserve">القطاع غير المنظم </w:t>
      </w:r>
      <w:r w:rsidR="00801BC2" w:rsidRPr="001276D3">
        <w:rPr>
          <w:rFonts w:ascii="Simplified Arabic" w:hAnsi="Simplified Arabic" w:cs="Simplified Arabic"/>
          <w:sz w:val="28"/>
          <w:szCs w:val="28"/>
          <w:rtl/>
        </w:rPr>
        <w:t>مكون</w:t>
      </w:r>
      <w:r w:rsidR="00BD71F3" w:rsidRPr="001276D3">
        <w:rPr>
          <w:rFonts w:ascii="Simplified Arabic" w:hAnsi="Simplified Arabic" w:cs="Simplified Arabic"/>
          <w:sz w:val="28"/>
          <w:szCs w:val="28"/>
          <w:rtl/>
        </w:rPr>
        <w:t>ا</w:t>
      </w:r>
      <w:r w:rsidR="00801BC2" w:rsidRPr="001276D3">
        <w:rPr>
          <w:rFonts w:ascii="Simplified Arabic" w:hAnsi="Simplified Arabic" w:cs="Simplified Arabic"/>
          <w:sz w:val="28"/>
          <w:szCs w:val="28"/>
          <w:rtl/>
        </w:rPr>
        <w:t xml:space="preserve"> في مجمله من</w:t>
      </w:r>
      <w:r w:rsidR="00A361BE" w:rsidRPr="001276D3">
        <w:rPr>
          <w:rFonts w:ascii="Simplified Arabic" w:hAnsi="Simplified Arabic" w:cs="Simplified Arabic"/>
          <w:sz w:val="28"/>
          <w:szCs w:val="28"/>
          <w:rtl/>
        </w:rPr>
        <w:t xml:space="preserve"> الوحدات الصغرى.</w:t>
      </w:r>
      <w:r w:rsidR="00ED572F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070B" w:rsidRPr="001276D3">
        <w:rPr>
          <w:rFonts w:ascii="Simplified Arabic" w:hAnsi="Simplified Arabic" w:cs="Simplified Arabic"/>
          <w:sz w:val="28"/>
          <w:szCs w:val="28"/>
          <w:rtl/>
        </w:rPr>
        <w:t xml:space="preserve">ويرتفع هذا المعدل </w:t>
      </w:r>
      <w:r w:rsidR="004A2C48" w:rsidRPr="001276D3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58070B" w:rsidRPr="001276D3">
        <w:rPr>
          <w:rFonts w:ascii="Simplified Arabic" w:hAnsi="Simplified Arabic" w:cs="Simplified Arabic"/>
          <w:sz w:val="28"/>
          <w:szCs w:val="28"/>
          <w:rtl/>
        </w:rPr>
        <w:t xml:space="preserve"> 337</w:t>
      </w:r>
      <w:r w:rsidR="007339D5">
        <w:rPr>
          <w:rFonts w:ascii="Simplified Arabic" w:hAnsi="Simplified Arabic" w:cs="Simplified Arabic"/>
          <w:sz w:val="28"/>
          <w:szCs w:val="28"/>
          <w:rtl/>
        </w:rPr>
        <w:t xml:space="preserve"> ألف درهم</w:t>
      </w:r>
      <w:r w:rsidR="00ED572F" w:rsidRPr="001276D3">
        <w:rPr>
          <w:rFonts w:ascii="Simplified Arabic" w:hAnsi="Simplified Arabic" w:cs="Simplified Arabic"/>
          <w:sz w:val="28"/>
          <w:szCs w:val="28"/>
          <w:rtl/>
        </w:rPr>
        <w:t xml:space="preserve"> بالنسبة للأنشطة التجارية </w:t>
      </w:r>
      <w:r w:rsidR="0058070B" w:rsidRPr="001276D3">
        <w:rPr>
          <w:rFonts w:ascii="Simplified Arabic" w:hAnsi="Simplified Arabic" w:cs="Simplified Arabic"/>
          <w:sz w:val="28"/>
          <w:szCs w:val="28"/>
          <w:rtl/>
        </w:rPr>
        <w:t xml:space="preserve">بينما لا يتعدى 90 ألف درهم  </w:t>
      </w:r>
      <w:r w:rsidR="00ED572F" w:rsidRPr="001276D3">
        <w:rPr>
          <w:rFonts w:ascii="Simplified Arabic" w:hAnsi="Simplified Arabic" w:cs="Simplified Arabic"/>
          <w:sz w:val="28"/>
          <w:szCs w:val="28"/>
          <w:rtl/>
        </w:rPr>
        <w:t xml:space="preserve">بالنسبة للخدمات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>.</w:t>
      </w:r>
      <w:r w:rsidR="00ED572F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361BE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8070B" w:rsidRPr="001276D3" w:rsidRDefault="0058070B" w:rsidP="004A2C48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lastRenderedPageBreak/>
        <w:t>وقد بلغ رقم معاملات القطاع غير المنظم </w:t>
      </w:r>
      <w:r w:rsidRPr="007339D5">
        <w:rPr>
          <w:rFonts w:ascii="Simplified Arabic" w:hAnsi="Simplified Arabic" w:cs="Simplified Arabic"/>
          <w:sz w:val="28"/>
          <w:szCs w:val="28"/>
          <w:rtl/>
        </w:rPr>
        <w:t>410</w:t>
      </w:r>
      <w:r w:rsidRPr="001276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مليار درهم </w:t>
      </w:r>
      <w:proofErr w:type="spellStart"/>
      <w:r w:rsidRPr="001276D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مسجلا بذلك ​​معدل نمو سنوي بلغ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 xml:space="preserve">%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6,5 </w:t>
      </w:r>
      <w:r w:rsidR="00F70001" w:rsidRPr="001276D3">
        <w:rPr>
          <w:rFonts w:ascii="Simplified Arabic" w:hAnsi="Simplified Arabic" w:cs="Simplified Arabic"/>
          <w:sz w:val="28"/>
          <w:szCs w:val="28"/>
          <w:rtl/>
        </w:rPr>
        <w:t xml:space="preserve">مقارنة مع سنة  2007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. وتظل التجارة أهم نشاط بهذا القطاع على الرغم من تراجع وزنها من </w:t>
      </w:r>
      <w:r w:rsidRPr="001276D3">
        <w:rPr>
          <w:rFonts w:ascii="Simplified Arabic" w:hAnsi="Simplified Arabic" w:cs="Simplified Arabic"/>
          <w:sz w:val="28"/>
          <w:szCs w:val="28"/>
        </w:rPr>
        <w:t>77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سنة 2007 إلى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69,8 سنة 2013. وحققت الوحدات العاملة في قطاع الصناعة رقم معاملات </w:t>
      </w:r>
      <w:r w:rsidR="00F70001" w:rsidRPr="001276D3">
        <w:rPr>
          <w:rFonts w:ascii="Simplified Arabic" w:hAnsi="Simplified Arabic" w:cs="Simplified Arabic"/>
          <w:sz w:val="28"/>
          <w:szCs w:val="28"/>
          <w:rtl/>
        </w:rPr>
        <w:t xml:space="preserve">بلغت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نسب</w:t>
      </w:r>
      <w:r w:rsidR="00F70001" w:rsidRPr="001276D3">
        <w:rPr>
          <w:rFonts w:ascii="Simplified Arabic" w:hAnsi="Simplified Arabic" w:cs="Simplified Arabic"/>
          <w:sz w:val="28"/>
          <w:szCs w:val="28"/>
          <w:rtl/>
        </w:rPr>
        <w:t>ته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13,1 عوض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11,5 سنة 2007. 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 xml:space="preserve">كما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بلغ رقم المعاملات ال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>خاص ب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الوحدات العاملة في قطاع الخدمات نسبة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9 عوض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7</w:t>
      </w: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</w:rPr>
        <w:t>,2</w:t>
      </w:r>
      <w:proofErr w:type="gram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سنة 2007.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 xml:space="preserve">في حين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ساهمت الوحدات العاملة في قطاع البناء والأشغال العمومية برقم معاملات </w:t>
      </w:r>
      <w:r w:rsidR="00F70001" w:rsidRPr="001276D3">
        <w:rPr>
          <w:rFonts w:ascii="Simplified Arabic" w:hAnsi="Simplified Arabic" w:cs="Simplified Arabic"/>
          <w:sz w:val="28"/>
          <w:szCs w:val="28"/>
          <w:rtl/>
        </w:rPr>
        <w:t xml:space="preserve">بلغ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نسبة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8</w:t>
      </w:r>
      <w:proofErr w:type="gramStart"/>
      <w:r w:rsidRPr="001276D3">
        <w:rPr>
          <w:rFonts w:ascii="Simplified Arabic" w:hAnsi="Simplified Arabic" w:cs="Simplified Arabic"/>
          <w:sz w:val="28"/>
          <w:szCs w:val="28"/>
          <w:rtl/>
        </w:rPr>
        <w:t>,1</w:t>
      </w:r>
      <w:proofErr w:type="gram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عوض </w:t>
      </w:r>
      <w:r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4,4 سنة  2007.</w:t>
      </w:r>
    </w:p>
    <w:p w:rsidR="004A2C48" w:rsidRPr="004A2C48" w:rsidRDefault="00F70001" w:rsidP="007339D5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ويحقق نصف الوحدات الإنتاجية </w:t>
      </w:r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>رقم معاملات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 xml:space="preserve"> سنوي ي</w:t>
      </w:r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 xml:space="preserve">قل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>عن</w:t>
      </w:r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 xml:space="preserve"> 100 ألف </w:t>
      </w:r>
      <w:proofErr w:type="spellStart"/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>درهم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76D3">
        <w:rPr>
          <w:rFonts w:ascii="Simplified Arabic" w:hAnsi="Simplified Arabic" w:cs="Simplified Arabic"/>
          <w:sz w:val="28"/>
          <w:szCs w:val="28"/>
          <w:rtl/>
        </w:rPr>
        <w:t>في حين أن أكثر من ثلثهم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18C8"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8618C8" w:rsidRPr="001276D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35</w:t>
      </w:r>
      <w:proofErr w:type="gramStart"/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,3</w:t>
      </w:r>
      <w:proofErr w:type="spellStart"/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proofErr w:type="gramEnd"/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 xml:space="preserve">يحقق رقم معاملات 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لا يصل 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>إلى</w:t>
      </w:r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 xml:space="preserve"> 60 ألف درهم 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بينما ترتفع نسبة الوحدات الإنتاجية المحققة لرقم معاملات يفوق</w:t>
      </w:r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 xml:space="preserve"> 360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501A" w:rsidRPr="001276D3">
        <w:rPr>
          <w:rFonts w:ascii="Simplified Arabic" w:hAnsi="Simplified Arabic" w:cs="Simplified Arabic"/>
          <w:sz w:val="28"/>
          <w:szCs w:val="28"/>
          <w:rtl/>
        </w:rPr>
        <w:t>ألف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درهم </w:t>
      </w:r>
      <w:r w:rsidR="004A2C48" w:rsidRPr="001276D3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8618C8" w:rsidRPr="001276D3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>16,2</w:t>
      </w:r>
      <w:r w:rsidR="0006223B" w:rsidRPr="001276D3">
        <w:rPr>
          <w:rFonts w:ascii="Simplified Arabic" w:hAnsi="Simplified Arabic" w:cs="Simplified Arabic"/>
          <w:sz w:val="28"/>
          <w:szCs w:val="28"/>
          <w:rtl/>
        </w:rPr>
        <w:t>.</w:t>
      </w:r>
      <w:r w:rsidR="008618C8" w:rsidRPr="001276D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3653F" w:rsidRPr="004A2C48" w:rsidRDefault="00011538" w:rsidP="00011538">
      <w:pPr>
        <w:pStyle w:val="Corpsdetexte2"/>
        <w:numPr>
          <w:ilvl w:val="0"/>
          <w:numId w:val="17"/>
        </w:numPr>
        <w:bidi/>
        <w:spacing w:after="0"/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lang w:bidi="ar-MA"/>
        </w:rPr>
      </w:pPr>
      <w:r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>علاقة</w:t>
      </w:r>
      <w:r w:rsidR="00DC5CF0"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 ا</w:t>
      </w:r>
      <w:r w:rsidR="0049466F" w:rsidRPr="004A2C48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>لقطاع غير المنظم</w:t>
      </w:r>
      <w:r w:rsidR="00DC5CF0" w:rsidRPr="004A2C48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 </w:t>
      </w:r>
      <w:r w:rsidRPr="004A2C48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>بمختلف مكونات</w:t>
      </w:r>
      <w:r w:rsidR="00DC5CF0" w:rsidRPr="004A2C48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 الاقتصاد الوطني</w:t>
      </w:r>
    </w:p>
    <w:p w:rsidR="002E7941" w:rsidRPr="004A2C48" w:rsidRDefault="002E7941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بلغت </w:t>
      </w:r>
      <w:r w:rsidRPr="004A2C4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قيمة إنتاج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القطاع غير المنظم من السلع والخدمات 185 مليار درهم سنة 2013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بزيادة سنوية متوسطة قدرها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7,9</w:t>
      </w:r>
      <w:r w:rsidR="00130CED" w:rsidRPr="004A2C48">
        <w:rPr>
          <w:rFonts w:ascii="Simplified Arabic" w:hAnsi="Simplified Arabic" w:cs="Simplified Arabic"/>
          <w:sz w:val="28"/>
          <w:szCs w:val="28"/>
          <w:rtl/>
        </w:rPr>
        <w:t xml:space="preserve"> مقارنة مع سنة 2007 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. ويظل وزن الأنشطة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التجارية،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ولاسيما تجارة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التقسيط،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مهما،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حيث مثل حوالي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34,7 عوض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37,5 سنة 2007. وقد ارتفعت حصص الأنشطة غير المنظمة لقطاعي الصناعة والخدمات منتقلة على التوالي من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27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,2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28,6 ومن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16,8 إلى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18,6،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في حين لم تعرف مساهمة الأنشطة غير المنظمة لقطاع البناء والأشغال العمومية تغييرا  مهما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18,1 في 2013 عوض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18,6 في 2007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F1804" w:rsidRPr="004A2C48" w:rsidRDefault="003C2359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ولتحقيق هذا 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الإ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>نتاج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 xml:space="preserve"> يستمد القطاع غير المنظم 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تموينه 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 xml:space="preserve">من القطاع غير المنظم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ذ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>اته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 xml:space="preserve"> بنسبة  </w:t>
      </w:r>
      <w:r w:rsidR="003F0C10" w:rsidRPr="004A2C48">
        <w:rPr>
          <w:rFonts w:ascii="Simplified Arabic" w:hAnsi="Simplified Arabic" w:cs="Simplified Arabic"/>
          <w:sz w:val="28"/>
          <w:szCs w:val="28"/>
        </w:rPr>
        <w:t>%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>71 و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 xml:space="preserve"> من القطاع المنظم بنسبة </w:t>
      </w:r>
      <w:r w:rsidR="009D2ABB" w:rsidRPr="004A2C48">
        <w:rPr>
          <w:rFonts w:ascii="Simplified Arabic" w:hAnsi="Simplified Arabic" w:cs="Simplified Arabic"/>
          <w:sz w:val="28"/>
          <w:szCs w:val="28"/>
        </w:rPr>
        <w:t>%</w:t>
      </w:r>
      <w:r w:rsidR="009D2ABB" w:rsidRPr="004A2C48">
        <w:rPr>
          <w:rFonts w:ascii="Simplified Arabic" w:hAnsi="Simplified Arabic" w:cs="Simplified Arabic"/>
          <w:sz w:val="28"/>
          <w:szCs w:val="28"/>
          <w:rtl/>
        </w:rPr>
        <w:t>,18,</w:t>
      </w:r>
      <w:proofErr w:type="spellStart"/>
      <w:r w:rsidR="009D2ABB" w:rsidRPr="004A2C48">
        <w:rPr>
          <w:rFonts w:ascii="Simplified Arabic" w:hAnsi="Simplified Arabic" w:cs="Simplified Arabic"/>
          <w:sz w:val="28"/>
          <w:szCs w:val="28"/>
          <w:rtl/>
        </w:rPr>
        <w:t>2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proofErr w:type="spellEnd"/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 xml:space="preserve"> من الأسر بنسبة 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971" w:rsidRPr="004A2C48">
        <w:rPr>
          <w:rFonts w:ascii="Simplified Arabic" w:hAnsi="Simplified Arabic" w:cs="Simplified Arabic"/>
          <w:sz w:val="28"/>
          <w:szCs w:val="28"/>
        </w:rPr>
        <w:t>%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 xml:space="preserve"> 7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بنسبة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971" w:rsidRPr="004A2C48">
        <w:rPr>
          <w:rFonts w:ascii="Simplified Arabic" w:hAnsi="Simplified Arabic" w:cs="Simplified Arabic"/>
          <w:sz w:val="28"/>
          <w:szCs w:val="28"/>
        </w:rPr>
        <w:t>%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D2ABB" w:rsidRPr="004A2C48">
        <w:rPr>
          <w:rFonts w:ascii="Simplified Arabic" w:hAnsi="Simplified Arabic" w:cs="Simplified Arabic"/>
          <w:sz w:val="28"/>
          <w:szCs w:val="28"/>
          <w:rtl/>
        </w:rPr>
        <w:t>1,4</w:t>
      </w:r>
      <w:r w:rsidR="00AC6971" w:rsidRPr="004A2C48">
        <w:rPr>
          <w:rFonts w:ascii="Simplified Arabic" w:hAnsi="Simplified Arabic" w:cs="Simplified Arabic"/>
          <w:sz w:val="28"/>
          <w:szCs w:val="28"/>
          <w:rtl/>
        </w:rPr>
        <w:t xml:space="preserve"> من القطاع العمومي</w:t>
      </w:r>
      <w:r w:rsidR="003F0C10" w:rsidRPr="004A2C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A74E6" w:rsidRPr="004A2C48" w:rsidRDefault="008A74E6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وتستمد الوحدات العاملة في قطاع الصناعة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81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,6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من مشترياتها من القطاع غير المنظم. وتبلغ هذه النسبة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77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,9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لدى الوحدات العاملة في قطاع البناء والأشغال العمومية و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70,7 لدى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lastRenderedPageBreak/>
        <w:t>الوحدات العاملة في قطاع التجارة و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52,2 لدى الوحدات العاملة في قطاع الخدمات. ويوفر القطاع المنظم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30 من مشتريات الوحدات العاملة في قطاع الخدمات و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19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,6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من مشتريات الوحدات العاملة في قطاع البناء والأشغال العمومية</w:t>
      </w:r>
      <w:r w:rsidR="009D2ABB" w:rsidRPr="004A2C48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</w:rPr>
        <w:t xml:space="preserve"> 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17,7 من مشتريات الوحدات العاملة في قطاع التجارة  و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12,1 من مشتريات الوحدات العاملة في قطاع الصناعة. و</w:t>
      </w:r>
      <w:r w:rsidR="009D2ABB" w:rsidRPr="004A2C48">
        <w:rPr>
          <w:rFonts w:ascii="Simplified Arabic" w:hAnsi="Simplified Arabic" w:cs="Simplified Arabic"/>
          <w:sz w:val="28"/>
          <w:szCs w:val="28"/>
          <w:rtl/>
        </w:rPr>
        <w:t xml:space="preserve">تبقى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الوحدات العاملة في قطاع الخدمات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 xml:space="preserve">أكبر 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م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 xml:space="preserve">تزود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القطاع العمومي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>ب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نسبة تصل إلى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8,1 .</w:t>
      </w:r>
    </w:p>
    <w:p w:rsidR="00002320" w:rsidRPr="004A2C48" w:rsidRDefault="00E43EA4" w:rsidP="007339D5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من جهة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أخرى</w:t>
      </w:r>
      <w:r w:rsidR="008D028E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8D028E" w:rsidRPr="004A2C48">
        <w:rPr>
          <w:rFonts w:ascii="Simplified Arabic" w:hAnsi="Simplified Arabic" w:cs="Simplified Arabic"/>
          <w:sz w:val="28"/>
          <w:szCs w:val="28"/>
          <w:rtl/>
        </w:rPr>
        <w:t xml:space="preserve"> تعتبر الأسر المستهلك الرئيسي لمنتجات القطاع غير المنظم</w:t>
      </w:r>
      <w:r w:rsidR="00DB22E6"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</w:t>
      </w:r>
      <w:proofErr w:type="gramStart"/>
      <w:r w:rsidR="00DB22E6" w:rsidRPr="004A2C48">
        <w:rPr>
          <w:rFonts w:ascii="Simplified Arabic" w:hAnsi="Simplified Arabic" w:cs="Simplified Arabic"/>
          <w:sz w:val="28"/>
          <w:szCs w:val="28"/>
          <w:rtl/>
        </w:rPr>
        <w:t>2013  حيث</w:t>
      </w:r>
      <w:proofErr w:type="gramEnd"/>
      <w:r w:rsidR="00DB22E6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بلغت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مبيعات القطاع غير المنظم</w:t>
      </w:r>
      <w:r w:rsidR="00196915" w:rsidRPr="004A2C48">
        <w:rPr>
          <w:rFonts w:ascii="Simplified Arabic" w:hAnsi="Simplified Arabic" w:cs="Simplified Arabic"/>
          <w:sz w:val="28"/>
          <w:szCs w:val="28"/>
          <w:rtl/>
        </w:rPr>
        <w:t xml:space="preserve"> الموجهة للأسر نسبة </w:t>
      </w:r>
      <w:r w:rsidR="000046BA" w:rsidRPr="004A2C48">
        <w:rPr>
          <w:rFonts w:ascii="Simplified Arabic" w:hAnsi="Simplified Arabic" w:cs="Simplified Arabic"/>
          <w:sz w:val="28"/>
          <w:szCs w:val="28"/>
        </w:rPr>
        <w:t>%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 xml:space="preserve">77,8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 xml:space="preserve">في حين بلغت </w:t>
      </w:r>
      <w:r w:rsidR="00196915" w:rsidRPr="004A2C48">
        <w:rPr>
          <w:rFonts w:ascii="Simplified Arabic" w:hAnsi="Simplified Arabic" w:cs="Simplified Arabic"/>
          <w:sz w:val="28"/>
          <w:szCs w:val="28"/>
          <w:rtl/>
        </w:rPr>
        <w:t>نسبة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 xml:space="preserve">المبيعات الموجهة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للمقاولات غير المنظمة </w:t>
      </w:r>
      <w:r w:rsidR="007339D5" w:rsidRPr="004A2C48">
        <w:rPr>
          <w:rFonts w:ascii="Simplified Arabic" w:hAnsi="Simplified Arabic" w:cs="Simplified Arabic"/>
          <w:sz w:val="28"/>
          <w:szCs w:val="28"/>
        </w:rPr>
        <w:t>%</w:t>
      </w:r>
      <w:r w:rsidR="007339D5">
        <w:rPr>
          <w:rFonts w:ascii="Simplified Arabic" w:hAnsi="Simplified Arabic" w:cs="Simplified Arabic" w:hint="cs"/>
          <w:sz w:val="28"/>
          <w:szCs w:val="28"/>
          <w:rtl/>
        </w:rPr>
        <w:t>21,3</w:t>
      </w:r>
      <w:r w:rsidR="007339D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19691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46BA" w:rsidRPr="004A2C48">
        <w:rPr>
          <w:rFonts w:ascii="Simplified Arabic" w:hAnsi="Simplified Arabic" w:cs="Simplified Arabic"/>
          <w:sz w:val="28"/>
          <w:szCs w:val="28"/>
        </w:rPr>
        <w:t>%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 xml:space="preserve">0,5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للمقاولات المنظمة</w:t>
      </w:r>
      <w:r w:rsidR="000046BA" w:rsidRPr="004A2C48">
        <w:rPr>
          <w:rFonts w:ascii="Simplified Arabic" w:hAnsi="Simplified Arabic" w:cs="Simplified Arabic"/>
          <w:sz w:val="28"/>
          <w:szCs w:val="28"/>
          <w:rtl/>
        </w:rPr>
        <w:t>.</w:t>
      </w:r>
      <w:r w:rsidR="0019691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196915" w:rsidRPr="004A2C48">
        <w:rPr>
          <w:rFonts w:ascii="Simplified Arabic" w:hAnsi="Simplified Arabic" w:cs="Simplified Arabic"/>
          <w:sz w:val="28"/>
          <w:szCs w:val="28"/>
          <w:rtl/>
        </w:rPr>
        <w:t>وتبقى  مبيعات</w:t>
      </w:r>
      <w:proofErr w:type="gramEnd"/>
      <w:r w:rsidR="00196915" w:rsidRPr="004A2C48">
        <w:rPr>
          <w:rFonts w:ascii="Simplified Arabic" w:hAnsi="Simplified Arabic" w:cs="Simplified Arabic"/>
          <w:sz w:val="28"/>
          <w:szCs w:val="28"/>
          <w:rtl/>
        </w:rPr>
        <w:t xml:space="preserve"> القطاع غير المنظم الموجهة للقطاع العمومي وللتصدير غير معبرة .</w:t>
      </w:r>
    </w:p>
    <w:p w:rsidR="00E9455E" w:rsidRDefault="00E43EA4" w:rsidP="003C2359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2C48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وتخصص الوحدات العاملة في قطاع الصناعة ما يقارب نصف مبيعاتها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49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,2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للمقاولات غير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المنظمة،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بينما 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>تبلغ هده النسبة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8,1 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>بالنسبة ل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لمقاولات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 العاملة في قطاع البناء والأشغال العمومية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14F43" w:rsidRPr="002B6807" w:rsidRDefault="00314F43" w:rsidP="00314F4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</w:t>
      </w:r>
      <w:proofErr w:type="gramEnd"/>
      <w:r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ووجهة مقتنيات ومبيعات القطاع غير المنظم في 2013 </w:t>
      </w:r>
      <w:r w:rsidR="002B6807"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(ب</w:t>
      </w:r>
      <w:r w:rsidR="002B6807" w:rsidRPr="002B6807">
        <w:rPr>
          <w:rFonts w:ascii="Simplified Arabic" w:hAnsi="Simplified Arabic" w:cs="Simplified Arabic"/>
          <w:b/>
          <w:bCs/>
          <w:sz w:val="28"/>
          <w:szCs w:val="28"/>
        </w:rPr>
        <w:t>%</w:t>
      </w:r>
      <w:proofErr w:type="spellStart"/>
      <w:r w:rsidR="002B6807"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tbl>
      <w:tblPr>
        <w:tblW w:w="7500" w:type="dxa"/>
        <w:tblInd w:w="785" w:type="dxa"/>
        <w:tblCellMar>
          <w:left w:w="70" w:type="dxa"/>
          <w:right w:w="70" w:type="dxa"/>
        </w:tblCellMar>
        <w:tblLook w:val="04A0"/>
      </w:tblPr>
      <w:tblGrid>
        <w:gridCol w:w="2500"/>
        <w:gridCol w:w="2500"/>
        <w:gridCol w:w="2500"/>
      </w:tblGrid>
      <w:tr w:rsidR="00314F43" w:rsidRPr="00314F43" w:rsidTr="002B6807">
        <w:trPr>
          <w:trHeight w:val="39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9795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الوجهة</w:t>
            </w:r>
            <w:proofErr w:type="gramEnd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المصدر</w:t>
            </w:r>
            <w:proofErr w:type="gramEnd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القطاع</w:t>
            </w:r>
            <w:proofErr w:type="gramEnd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1,4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القطاع العام</w:t>
            </w: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18,2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القطاع </w:t>
            </w: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المنظم</w:t>
            </w: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proofErr w:type="gramEnd"/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21,3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70,9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القطاع غير المنظم</w:t>
            </w: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77,8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الأسر</w:t>
            </w:r>
            <w:proofErr w:type="gramEnd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التصدير</w:t>
            </w: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proofErr w:type="gramEnd"/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الاستيراد</w:t>
            </w: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proofErr w:type="gramEnd"/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2,4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أخر</w:t>
            </w: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314F43" w:rsidRPr="00314F43" w:rsidTr="002B6807">
        <w:trPr>
          <w:trHeight w:val="3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F43" w:rsidRPr="00314F43" w:rsidRDefault="00314F43" w:rsidP="00314F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المجموع</w:t>
            </w:r>
            <w:proofErr w:type="gramEnd"/>
            <w:r w:rsidRPr="00314F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</w:tbl>
    <w:p w:rsidR="00314F43" w:rsidRPr="002B6807" w:rsidRDefault="002B6807" w:rsidP="002B6807">
      <w:pPr>
        <w:bidi/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rtl/>
        </w:rPr>
        <w:t xml:space="preserve">       </w:t>
      </w:r>
      <w:r w:rsidRPr="002B6807">
        <w:rPr>
          <w:rFonts w:ascii="Simplified Arabic" w:hAnsi="Simplified Arabic" w:cs="Simplified Arabic" w:hint="cs"/>
          <w:b/>
          <w:bCs/>
          <w:rtl/>
        </w:rPr>
        <w:t xml:space="preserve">  </w:t>
      </w:r>
      <w:proofErr w:type="spellStart"/>
      <w:proofErr w:type="gramStart"/>
      <w:r w:rsidRPr="002B6807">
        <w:rPr>
          <w:rFonts w:ascii="Simplified Arabic" w:hAnsi="Simplified Arabic" w:cs="Simplified Arabic" w:hint="cs"/>
          <w:b/>
          <w:bCs/>
          <w:rtl/>
        </w:rPr>
        <w:t>المصدر</w:t>
      </w:r>
      <w:proofErr w:type="gramEnd"/>
      <w:r w:rsidRPr="002B6807">
        <w:rPr>
          <w:rFonts w:ascii="Simplified Arabic" w:hAnsi="Simplified Arabic" w:cs="Simplified Arabic" w:hint="cs"/>
          <w:b/>
          <w:bCs/>
          <w:rtl/>
        </w:rPr>
        <w:t>:</w:t>
      </w:r>
      <w:proofErr w:type="spellEnd"/>
      <w:r w:rsidRPr="002B6807">
        <w:rPr>
          <w:rFonts w:ascii="Simplified Arabic" w:hAnsi="Simplified Arabic" w:cs="Simplified Arabic" w:hint="cs"/>
          <w:b/>
          <w:bCs/>
          <w:rtl/>
        </w:rPr>
        <w:t xml:space="preserve"> المندوبية السامية للتخطيط</w:t>
      </w:r>
    </w:p>
    <w:p w:rsidR="008D028E" w:rsidRPr="004A2C48" w:rsidRDefault="008D028E" w:rsidP="00B42F63">
      <w:pPr>
        <w:pStyle w:val="Corpsdetexte2"/>
        <w:numPr>
          <w:ilvl w:val="0"/>
          <w:numId w:val="17"/>
        </w:numPr>
        <w:bidi/>
        <w:spacing w:after="0"/>
        <w:jc w:val="both"/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</w:pPr>
      <w:r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>وزن القطاع غير المنظم في الاقتصاد الوطني</w:t>
      </w:r>
    </w:p>
    <w:p w:rsidR="008D028E" w:rsidRPr="004A2C48" w:rsidRDefault="008D028E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بلغ إجمالى الاستثمارات المنجزة من طرف وحدات الإنتاج غير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المنظمة،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>3,366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ملي</w:t>
      </w:r>
      <w:r w:rsidR="00674D0C" w:rsidRPr="004A2C48">
        <w:rPr>
          <w:rFonts w:ascii="Simplified Arabic" w:hAnsi="Simplified Arabic" w:cs="Simplified Arabic"/>
          <w:sz w:val="28"/>
          <w:szCs w:val="28"/>
          <w:rtl/>
        </w:rPr>
        <w:t>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مقابل  </w:t>
      </w:r>
      <w:r w:rsidR="00B42F63" w:rsidRPr="004A2C48">
        <w:rPr>
          <w:rFonts w:ascii="Simplified Arabic" w:hAnsi="Simplified Arabic" w:cs="Simplified Arabic"/>
          <w:sz w:val="28"/>
          <w:szCs w:val="28"/>
          <w:rtl/>
        </w:rPr>
        <w:t>2,741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ملي</w:t>
      </w:r>
      <w:r w:rsidR="00674D0C" w:rsidRPr="004A2C48">
        <w:rPr>
          <w:rFonts w:ascii="Simplified Arabic" w:hAnsi="Simplified Arabic" w:cs="Simplified Arabic"/>
          <w:sz w:val="28"/>
          <w:szCs w:val="28"/>
          <w:rtl/>
        </w:rPr>
        <w:t>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2007،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مسجلة بذلك ​​زيادة سنوية متوسطة قدرها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3,2. وقد ساهمت الأنشطة غير المنظمة سنة 2013 بنسبة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1,1 من إجمالي</w:t>
      </w:r>
      <w:r w:rsidR="00296059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 xml:space="preserve">تكوين </w:t>
      </w:r>
      <w:r w:rsidR="00296059" w:rsidRPr="004A2C48">
        <w:rPr>
          <w:rFonts w:ascii="Simplified Arabic" w:hAnsi="Simplified Arabic" w:cs="Simplified Arabic"/>
          <w:sz w:val="28"/>
          <w:szCs w:val="28"/>
          <w:rtl/>
        </w:rPr>
        <w:t>رأسمال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الاستثمار</w:t>
      </w:r>
      <w:proofErr w:type="spellStart"/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على المستوى الوطني عوض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1,2 سنة 2007.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 و ت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 xml:space="preserve">ساهم الوحدات العاملة في قطاع الخدمات بنسبة </w:t>
      </w:r>
      <w:r w:rsidR="00080EE8" w:rsidRPr="004A2C48">
        <w:rPr>
          <w:rFonts w:ascii="Simplified Arabic" w:hAnsi="Simplified Arabic" w:cs="Simplified Arabic"/>
          <w:sz w:val="28"/>
          <w:szCs w:val="28"/>
        </w:rPr>
        <w:t>%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>49</w:t>
      </w:r>
      <w:proofErr w:type="gramStart"/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>,2</w:t>
      </w:r>
      <w:proofErr w:type="gramEnd"/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 xml:space="preserve"> من مجموع 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>ا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ستثمار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ات 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>القطاع غير المنظم</w:t>
      </w:r>
      <w:r w:rsidR="00080EE8" w:rsidRPr="004A2C4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 xml:space="preserve">الوحدات العاملة في قطاع التجارة 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="00002320" w:rsidRPr="004A2C48">
        <w:rPr>
          <w:rFonts w:ascii="Simplified Arabic" w:hAnsi="Simplified Arabic" w:cs="Simplified Arabic"/>
          <w:sz w:val="28"/>
          <w:szCs w:val="28"/>
        </w:rPr>
        <w:t>%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 33,3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 xml:space="preserve"> الوحدات العاملة في قطاع  الصناعة ب </w:t>
      </w:r>
      <w:r w:rsidR="008A19A2" w:rsidRPr="004A2C48">
        <w:rPr>
          <w:rFonts w:ascii="Simplified Arabic" w:hAnsi="Simplified Arabic" w:cs="Simplified Arabic"/>
          <w:sz w:val="28"/>
          <w:szCs w:val="28"/>
        </w:rPr>
        <w:t>%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12,2 و  </w:t>
      </w:r>
      <w:r w:rsidR="00080EE8" w:rsidRPr="004A2C48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080EE8" w:rsidRPr="004A2C48">
        <w:rPr>
          <w:rFonts w:ascii="Simplified Arabic" w:hAnsi="Simplified Arabic" w:cs="Simplified Arabic"/>
          <w:sz w:val="28"/>
          <w:szCs w:val="28"/>
          <w:rtl/>
        </w:rPr>
        <w:t xml:space="preserve">الوحدات العاملة </w:t>
      </w:r>
      <w:r w:rsidR="008A19A2" w:rsidRPr="004A2C48">
        <w:rPr>
          <w:rFonts w:ascii="Simplified Arabic" w:hAnsi="Simplified Arabic" w:cs="Simplified Arabic"/>
          <w:sz w:val="28"/>
          <w:szCs w:val="28"/>
          <w:rtl/>
        </w:rPr>
        <w:t xml:space="preserve">في قطاع البناء والأشغال العمومية ب </w:t>
      </w:r>
      <w:r w:rsidR="00002320" w:rsidRPr="004A2C48">
        <w:rPr>
          <w:rFonts w:ascii="Simplified Arabic" w:hAnsi="Simplified Arabic" w:cs="Simplified Arabic"/>
          <w:sz w:val="28"/>
          <w:szCs w:val="28"/>
        </w:rPr>
        <w:t>%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 5,3</w:t>
      </w:r>
      <w:r w:rsidR="008A19A2" w:rsidRPr="004A2C48">
        <w:rPr>
          <w:rFonts w:ascii="Simplified Arabic" w:hAnsi="Simplified Arabic" w:cs="Simplified Arabic"/>
          <w:sz w:val="28"/>
          <w:szCs w:val="28"/>
          <w:rtl/>
        </w:rPr>
        <w:t>.</w:t>
      </w:r>
      <w:r w:rsidR="00002320" w:rsidRPr="004A2C48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E43EA4" w:rsidRDefault="00674D0C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انتقل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حجم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الشغل بهذا القطاع من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 xml:space="preserve">2,216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مليون إلى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2,37</w:t>
      </w:r>
      <w:r w:rsidR="006E07BD" w:rsidRPr="004A2C48">
        <w:rPr>
          <w:rFonts w:ascii="Simplified Arabic" w:hAnsi="Simplified Arabic" w:cs="Simplified Arabic"/>
          <w:sz w:val="28"/>
          <w:szCs w:val="28"/>
        </w:rPr>
        <w:t>6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 xml:space="preserve">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مليون بين سنتي 2007 </w:t>
      </w:r>
      <w:proofErr w:type="spellStart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و2013،</w:t>
      </w:r>
      <w:proofErr w:type="spellEnd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وهو ما يمثل إحداث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24,</w:t>
      </w:r>
      <w:r w:rsidR="002959A5" w:rsidRPr="004A2C48">
        <w:rPr>
          <w:rFonts w:ascii="Simplified Arabic" w:hAnsi="Simplified Arabic" w:cs="Simplified Arabic"/>
          <w:sz w:val="28"/>
          <w:szCs w:val="28"/>
        </w:rPr>
        <w:t>6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ألف منصب شغل سنويا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م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ساهم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في الشغل غير الفلاحي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ب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نسبة 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0665" w:rsidRPr="004A2C48">
        <w:rPr>
          <w:rFonts w:ascii="Simplified Arabic" w:hAnsi="Simplified Arabic" w:cs="Simplified Arabic"/>
          <w:sz w:val="28"/>
          <w:szCs w:val="28"/>
        </w:rPr>
        <w:t>%</w:t>
      </w:r>
      <w:proofErr w:type="spellStart"/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36,3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 xml:space="preserve">متراجعا 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 xml:space="preserve">بنقطة واحدة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مقارنة مع سنة 2007. و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 xml:space="preserve">سجل هدا التراجع </w:t>
      </w:r>
      <w:r w:rsidR="001A2358" w:rsidRPr="004A2C48">
        <w:rPr>
          <w:rFonts w:ascii="Simplified Arabic" w:hAnsi="Simplified Arabic" w:cs="Simplified Arabic"/>
          <w:sz w:val="28"/>
          <w:szCs w:val="28"/>
          <w:rtl/>
        </w:rPr>
        <w:t xml:space="preserve">بنسبة أكبر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في القطاع التجاري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 xml:space="preserve"> حيث انتقلت حصة الشغل غير المنظم م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81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1 إلى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68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4 </w:t>
      </w:r>
      <w:r w:rsidR="001A2358" w:rsidRPr="004A2C48">
        <w:rPr>
          <w:rFonts w:ascii="Simplified Arabic" w:hAnsi="Simplified Arabic" w:cs="Simplified Arabic"/>
          <w:sz w:val="28"/>
          <w:szCs w:val="28"/>
          <w:rtl/>
        </w:rPr>
        <w:t>.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proofErr w:type="spellStart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المقابل،</w:t>
      </w:r>
      <w:proofErr w:type="spellEnd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أظهرت القطاعات الأخرى اتجاها </w:t>
      </w:r>
      <w:proofErr w:type="spellStart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معاكسا،</w:t>
      </w:r>
      <w:proofErr w:type="spellEnd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حيث ارتفعت نسبة الشغل غير المنظم في قطاع البناء والأشغال العمومية من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17 إلى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proofErr w:type="spellStart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2</w:t>
      </w:r>
      <w:r w:rsidR="00FA068E" w:rsidRPr="004A2C48">
        <w:rPr>
          <w:rFonts w:ascii="Simplified Arabic" w:hAnsi="Simplified Arabic" w:cs="Simplified Arabic"/>
          <w:sz w:val="28"/>
          <w:szCs w:val="28"/>
          <w:rtl/>
        </w:rPr>
        <w:t>1</w:t>
      </w:r>
      <w:proofErr w:type="gramStart"/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A068E" w:rsidRPr="004A2C48">
        <w:rPr>
          <w:rFonts w:ascii="Simplified Arabic" w:hAnsi="Simplified Arabic" w:cs="Simplified Arabic"/>
          <w:sz w:val="28"/>
          <w:szCs w:val="28"/>
          <w:rtl/>
        </w:rPr>
        <w:t>7</w:t>
      </w:r>
      <w:proofErr w:type="gramEnd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وفي قطاع الصناعة من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34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5 إلى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37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A068E" w:rsidRPr="004A2C48">
        <w:rPr>
          <w:rFonts w:ascii="Simplified Arabic" w:hAnsi="Simplified Arabic" w:cs="Simplified Arabic"/>
          <w:sz w:val="28"/>
          <w:szCs w:val="28"/>
          <w:rtl/>
        </w:rPr>
        <w:t>2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 وفي الخدمات من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18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 xml:space="preserve">6 إلى 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%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21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4575CB" w:rsidRPr="004A2C48">
        <w:rPr>
          <w:rFonts w:ascii="Simplified Arabic" w:hAnsi="Simplified Arabic" w:cs="Simplified Arabic"/>
          <w:sz w:val="28"/>
          <w:szCs w:val="28"/>
          <w:rtl/>
        </w:rPr>
        <w:t>5</w:t>
      </w:r>
      <w:r w:rsidR="004575CB" w:rsidRPr="004A2C48">
        <w:rPr>
          <w:rFonts w:ascii="Simplified Arabic" w:hAnsi="Simplified Arabic" w:cs="Simplified Arabic"/>
          <w:sz w:val="28"/>
          <w:szCs w:val="28"/>
        </w:rPr>
        <w:t>.</w:t>
      </w:r>
    </w:p>
    <w:p w:rsidR="002B6807" w:rsidRPr="002B6807" w:rsidRDefault="002B6807" w:rsidP="002B6807">
      <w:pPr>
        <w:bidi/>
        <w:ind w:left="360" w:firstLine="34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تطور حجم الشغل </w:t>
      </w:r>
      <w:proofErr w:type="gramStart"/>
      <w:r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proofErr w:type="gramEnd"/>
      <w:r w:rsidRPr="002B6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القطاع غير المنظم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بين 2007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و2013</w:t>
      </w:r>
      <w:proofErr w:type="spellEnd"/>
    </w:p>
    <w:tbl>
      <w:tblPr>
        <w:tblW w:w="1026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552"/>
        <w:gridCol w:w="2268"/>
        <w:gridCol w:w="2268"/>
        <w:gridCol w:w="1843"/>
        <w:gridCol w:w="1338"/>
      </w:tblGrid>
      <w:tr w:rsidR="002B6807" w:rsidRPr="002B6807" w:rsidTr="002B6807">
        <w:trPr>
          <w:trHeight w:val="108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2B6807" w:rsidRPr="002B6807" w:rsidRDefault="002B6807" w:rsidP="002B68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مساهمة </w:t>
            </w:r>
            <w:proofErr w:type="gramStart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شغل  القطاع</w:t>
            </w:r>
            <w:proofErr w:type="gramEnd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غير المنظم في مجموع الشغل الغير فلاحي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2B6807" w:rsidRPr="002B6807" w:rsidRDefault="002B68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حجم </w:t>
            </w:r>
            <w:proofErr w:type="gramStart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الشغل  في</w:t>
            </w:r>
            <w:proofErr w:type="gramEnd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القطاع غير المنظم من حيث النسبة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2B6807" w:rsidRPr="002B6807" w:rsidRDefault="002B68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حجم </w:t>
            </w:r>
            <w:proofErr w:type="gramStart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الشغل  في</w:t>
            </w:r>
            <w:proofErr w:type="gramEnd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القطاع غير المنظم من حيث العدد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2B6807" w:rsidRPr="002B6807" w:rsidRDefault="002B68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القطاع</w:t>
            </w:r>
            <w:proofErr w:type="gramEnd"/>
            <w:r w:rsidRPr="002B680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2B6807" w:rsidRPr="002B6807" w:rsidRDefault="002B68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B680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السنة</w:t>
            </w:r>
            <w:proofErr w:type="gramEnd"/>
            <w:r w:rsidRPr="002B680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142 936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البناء والأشغال العمومية</w:t>
            </w:r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2007</w:t>
            </w: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81,1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1 128 852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التجارة</w:t>
            </w:r>
            <w:proofErr w:type="gramEnd"/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475 451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الصناعة</w:t>
            </w:r>
            <w:proofErr w:type="gramEnd"/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468 877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الخدمات</w:t>
            </w:r>
            <w:proofErr w:type="gramEnd"/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2 216 116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المجموع</w:t>
            </w:r>
            <w:proofErr w:type="gramEnd"/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212 736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البناء والأشغال العمومية</w:t>
            </w:r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2013</w:t>
            </w: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1 114 475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التجارة</w:t>
            </w:r>
            <w:proofErr w:type="gramEnd"/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476 505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الصناعة</w:t>
            </w:r>
            <w:proofErr w:type="gramEnd"/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572 207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الخدمات</w:t>
            </w:r>
            <w:proofErr w:type="gramEnd"/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2B6807" w:rsidRPr="002B6807" w:rsidTr="002B6807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807" w:rsidRPr="002B6807" w:rsidRDefault="002B6807" w:rsidP="002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2 375 922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2B6807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المجموع</w:t>
            </w:r>
            <w:proofErr w:type="gramEnd"/>
            <w:r w:rsidRPr="002B68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807" w:rsidRPr="002B6807" w:rsidRDefault="002B6807" w:rsidP="002B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C038C4" w:rsidRPr="002B6807" w:rsidRDefault="00C038C4" w:rsidP="00C038C4">
      <w:pPr>
        <w:bidi/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rtl/>
        </w:rPr>
        <w:lastRenderedPageBreak/>
        <w:t xml:space="preserve">       </w:t>
      </w:r>
      <w:r w:rsidRPr="002B6807">
        <w:rPr>
          <w:rFonts w:ascii="Simplified Arabic" w:hAnsi="Simplified Arabic" w:cs="Simplified Arabic" w:hint="cs"/>
          <w:b/>
          <w:bCs/>
          <w:rtl/>
        </w:rPr>
        <w:t xml:space="preserve">  </w:t>
      </w:r>
      <w:proofErr w:type="spellStart"/>
      <w:proofErr w:type="gramStart"/>
      <w:r w:rsidRPr="002B6807">
        <w:rPr>
          <w:rFonts w:ascii="Simplified Arabic" w:hAnsi="Simplified Arabic" w:cs="Simplified Arabic" w:hint="cs"/>
          <w:b/>
          <w:bCs/>
          <w:rtl/>
        </w:rPr>
        <w:t>المصدر</w:t>
      </w:r>
      <w:proofErr w:type="gramEnd"/>
      <w:r w:rsidRPr="002B6807">
        <w:rPr>
          <w:rFonts w:ascii="Simplified Arabic" w:hAnsi="Simplified Arabic" w:cs="Simplified Arabic" w:hint="cs"/>
          <w:b/>
          <w:bCs/>
          <w:rtl/>
        </w:rPr>
        <w:t>:</w:t>
      </w:r>
      <w:proofErr w:type="spellEnd"/>
      <w:r w:rsidRPr="002B6807">
        <w:rPr>
          <w:rFonts w:ascii="Simplified Arabic" w:hAnsi="Simplified Arabic" w:cs="Simplified Arabic" w:hint="cs"/>
          <w:b/>
          <w:bCs/>
          <w:rtl/>
        </w:rPr>
        <w:t xml:space="preserve"> المندوبية السامية للتخطيط</w:t>
      </w:r>
    </w:p>
    <w:p w:rsidR="002B6807" w:rsidRPr="004A2C48" w:rsidRDefault="002B6807" w:rsidP="002B6807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95229" w:rsidRPr="004A2C48" w:rsidRDefault="004A2F52" w:rsidP="007339D5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وساهم</w:t>
      </w:r>
      <w:r w:rsidR="00974F4F" w:rsidRPr="004A2C48">
        <w:rPr>
          <w:rFonts w:ascii="Simplified Arabic" w:hAnsi="Simplified Arabic" w:cs="Simplified Arabic"/>
          <w:sz w:val="28"/>
          <w:szCs w:val="28"/>
          <w:rtl/>
        </w:rPr>
        <w:t>ت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الأنشطة غير المنظمة بحصة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12</w:t>
      </w:r>
      <w:proofErr w:type="gramStart"/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2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من إجمالي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الوطني سنة 2013 عوض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10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9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2007،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 تحسنت مساهمتها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 xml:space="preserve">كذلك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حسب القطاعات مابين 2007 و 2013. وهكذا 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ساهم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ت أنشطة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القطاع التجاري 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ب</w:t>
      </w:r>
      <w:r w:rsidR="006403C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03C5" w:rsidRPr="004A2C48">
        <w:rPr>
          <w:rFonts w:ascii="Simplified Arabic" w:hAnsi="Simplified Arabic" w:cs="Simplified Arabic"/>
          <w:sz w:val="28"/>
          <w:szCs w:val="28"/>
        </w:rPr>
        <w:t>%</w:t>
      </w:r>
      <w:r w:rsidR="006403C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56</w:t>
      </w:r>
      <w:proofErr w:type="gramStart"/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,8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 من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الإجمالي للتجارة سنة 2013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عوض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47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6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2007.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وارتفعت حصة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 xml:space="preserve"> أنشطة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قطاع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البناء في إجمالي </w:t>
      </w:r>
      <w:r w:rsidR="007339D5" w:rsidRPr="004A2C48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قطاع ا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لبناء 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والأشغال العمومية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23</w:t>
      </w:r>
      <w:proofErr w:type="gramStart"/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8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2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6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9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. أما حصة الأنشطة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الصناعية فقد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ساهمت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03C5" w:rsidRPr="004A2C48">
        <w:rPr>
          <w:rFonts w:ascii="Simplified Arabic" w:hAnsi="Simplified Arabic" w:cs="Simplified Arabic"/>
          <w:sz w:val="28"/>
          <w:szCs w:val="28"/>
        </w:rPr>
        <w:t>%</w:t>
      </w:r>
      <w:r w:rsidR="007339D5">
        <w:rPr>
          <w:rFonts w:ascii="Simplified Arabic" w:hAnsi="Simplified Arabic" w:cs="Simplified Arabic" w:hint="cs"/>
          <w:sz w:val="28"/>
          <w:szCs w:val="28"/>
          <w:rtl/>
        </w:rPr>
        <w:t>9</w:t>
      </w:r>
      <w:proofErr w:type="gramStart"/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7339D5">
        <w:rPr>
          <w:rFonts w:ascii="Simplified Arabic" w:hAnsi="Simplified Arabic" w:cs="Simplified Arabic" w:hint="cs"/>
          <w:sz w:val="28"/>
          <w:szCs w:val="28"/>
          <w:rtl/>
        </w:rPr>
        <w:t>6</w:t>
      </w:r>
      <w:proofErr w:type="gramEnd"/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>سنة 2013 بدل</w:t>
      </w:r>
      <w:r w:rsidR="006403C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03C5" w:rsidRPr="004A2C48">
        <w:rPr>
          <w:rFonts w:ascii="Simplified Arabic" w:hAnsi="Simplified Arabic" w:cs="Simplified Arabic"/>
          <w:sz w:val="28"/>
          <w:szCs w:val="28"/>
        </w:rPr>
        <w:t>%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8</w:t>
      </w:r>
      <w:r w:rsidR="00C20665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3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 سنة 2007  من مجموع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الصناعي و ساهمت الخدمات ب </w:t>
      </w:r>
      <w:r w:rsidR="002959A5" w:rsidRPr="004A2C48">
        <w:rPr>
          <w:rFonts w:ascii="Simplified Arabic" w:hAnsi="Simplified Arabic" w:cs="Simplified Arabic"/>
          <w:sz w:val="28"/>
          <w:szCs w:val="28"/>
        </w:rPr>
        <w:t>%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7,9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2013 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بدل </w:t>
      </w:r>
      <w:r w:rsidR="00010AB0" w:rsidRPr="004A2C48">
        <w:rPr>
          <w:rFonts w:ascii="Simplified Arabic" w:hAnsi="Simplified Arabic" w:cs="Simplified Arabic"/>
          <w:sz w:val="28"/>
          <w:szCs w:val="28"/>
        </w:rPr>
        <w:t>%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 xml:space="preserve">6,1  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="00C51052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الإجمالي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 xml:space="preserve">لقطاع 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الخدمات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ب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استثناء </w:t>
      </w:r>
      <w:r w:rsidR="002959A5" w:rsidRPr="004A2C48">
        <w:rPr>
          <w:rFonts w:ascii="Simplified Arabic" w:hAnsi="Simplified Arabic" w:cs="Simplified Arabic"/>
          <w:sz w:val="28"/>
          <w:szCs w:val="28"/>
          <w:rtl/>
        </w:rPr>
        <w:t>الإدارات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العمومية.</w:t>
      </w:r>
    </w:p>
    <w:p w:rsidR="00E07A09" w:rsidRDefault="00095229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بلغت القيمة المضافة للقطاع غير المنظم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103,346</w:t>
      </w:r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 ملي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>ار</w:t>
      </w:r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سنة </w:t>
      </w:r>
      <w:proofErr w:type="spellStart"/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 مقابل 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70,985</w:t>
      </w:r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 ملي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>ار</w:t>
      </w:r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سنة </w:t>
      </w:r>
      <w:proofErr w:type="spellStart"/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>2007،</w:t>
      </w:r>
      <w:proofErr w:type="spellEnd"/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 أي بزيادة قدرها </w:t>
      </w:r>
      <w:r w:rsidR="00E07A09" w:rsidRPr="004A2C48">
        <w:rPr>
          <w:rFonts w:ascii="Simplified Arabic" w:hAnsi="Simplified Arabic" w:cs="Simplified Arabic"/>
          <w:sz w:val="28"/>
          <w:szCs w:val="28"/>
        </w:rPr>
        <w:t>%</w:t>
      </w:r>
      <w:r w:rsidR="00E07A09" w:rsidRPr="004A2C48">
        <w:rPr>
          <w:rFonts w:ascii="Simplified Arabic" w:hAnsi="Simplified Arabic" w:cs="Simplified Arabic"/>
          <w:sz w:val="28"/>
          <w:szCs w:val="28"/>
          <w:rtl/>
        </w:rPr>
        <w:t xml:space="preserve">6,5 سنويا في المتوسط. </w:t>
      </w:r>
    </w:p>
    <w:p w:rsidR="00C038C4" w:rsidRPr="00C038C4" w:rsidRDefault="00C038C4" w:rsidP="00C038C4">
      <w:pPr>
        <w:bidi/>
        <w:ind w:left="360" w:firstLine="34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تطور</w:t>
      </w:r>
      <w:r w:rsidRPr="00C038C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C038C4">
        <w:rPr>
          <w:rFonts w:ascii="Simplified Arabic" w:hAnsi="Simplified Arabic" w:cs="Simplified Arabic"/>
          <w:b/>
          <w:bCs/>
          <w:sz w:val="28"/>
          <w:szCs w:val="28"/>
          <w:rtl/>
        </w:rPr>
        <w:t>القيمة</w:t>
      </w:r>
      <w:proofErr w:type="gramEnd"/>
      <w:r w:rsidRPr="00C038C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المضافة للقطاع غير المنظم</w:t>
      </w:r>
      <w:r w:rsidRPr="00C03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بين 2007 </w:t>
      </w:r>
      <w:proofErr w:type="spellStart"/>
      <w:r w:rsidRPr="00C03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و2013</w:t>
      </w:r>
      <w:proofErr w:type="spellEnd"/>
    </w:p>
    <w:p w:rsidR="00C038C4" w:rsidRDefault="00C038C4" w:rsidP="00C038C4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38C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943600" cy="2924175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38C4" w:rsidRPr="00C038C4" w:rsidRDefault="00C038C4" w:rsidP="00C038C4">
      <w:pPr>
        <w:bidi/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rtl/>
        </w:rPr>
        <w:t xml:space="preserve">       </w:t>
      </w:r>
      <w:r w:rsidRPr="002B6807">
        <w:rPr>
          <w:rFonts w:ascii="Simplified Arabic" w:hAnsi="Simplified Arabic" w:cs="Simplified Arabic" w:hint="cs"/>
          <w:b/>
          <w:bCs/>
          <w:rtl/>
        </w:rPr>
        <w:t xml:space="preserve">  </w:t>
      </w:r>
      <w:proofErr w:type="spellStart"/>
      <w:proofErr w:type="gramStart"/>
      <w:r w:rsidRPr="002B6807">
        <w:rPr>
          <w:rFonts w:ascii="Simplified Arabic" w:hAnsi="Simplified Arabic" w:cs="Simplified Arabic" w:hint="cs"/>
          <w:b/>
          <w:bCs/>
          <w:rtl/>
        </w:rPr>
        <w:t>المصدر</w:t>
      </w:r>
      <w:proofErr w:type="gramEnd"/>
      <w:r w:rsidRPr="002B6807">
        <w:rPr>
          <w:rFonts w:ascii="Simplified Arabic" w:hAnsi="Simplified Arabic" w:cs="Simplified Arabic" w:hint="cs"/>
          <w:b/>
          <w:bCs/>
          <w:rtl/>
        </w:rPr>
        <w:t>:</w:t>
      </w:r>
      <w:proofErr w:type="spellEnd"/>
      <w:r w:rsidRPr="002B6807">
        <w:rPr>
          <w:rFonts w:ascii="Simplified Arabic" w:hAnsi="Simplified Arabic" w:cs="Simplified Arabic" w:hint="cs"/>
          <w:b/>
          <w:bCs/>
          <w:rtl/>
        </w:rPr>
        <w:t xml:space="preserve"> المندوبية السامية للتخطيط</w:t>
      </w:r>
    </w:p>
    <w:p w:rsidR="00E07A09" w:rsidRPr="004A2C48" w:rsidRDefault="00E07A09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ويبلغ معدل القيمة المضافة للقطاع غير المنظم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55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,9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ويظل مرتفعا مقارنة مع المعدل الوطني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53,9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والمعدل </w:t>
      </w:r>
      <w:r w:rsidRPr="004A2C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المسجل في القطاع المنظم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42,5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</w:rPr>
        <w:t>.</w:t>
      </w:r>
    </w:p>
    <w:p w:rsidR="00E07A09" w:rsidRPr="004A2C48" w:rsidRDefault="00E07A09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وتبلغ تكاليف اليد العاملة 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11,390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ملي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>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حيث تمثل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11 من مجموع القيمة المضافة للقطاع غير المنظم. وتنتقل هذه النسبة من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8,9 في قطاع البناء والأشغال العمومية إلى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15,8 في قطاع الصناعة. وتبلغ التكاليف الضريبية 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1,664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ملي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>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ممثلة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1,6 من مجموع القيمة المضافة للقطاع غير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المنظم،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نسبة تصل إلى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2,3 في التجارة وإلى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0,1</w:t>
      </w:r>
      <w:r w:rsidR="00010AB0" w:rsidRPr="004A2C48">
        <w:rPr>
          <w:rFonts w:ascii="Simplified Arabic" w:hAnsi="Simplified Arabic" w:cs="Simplified Arabic"/>
          <w:sz w:val="28"/>
          <w:szCs w:val="28"/>
          <w:rtl/>
        </w:rPr>
        <w:t xml:space="preserve">  في قطاع البناء والأشغال العمومية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07A09" w:rsidRPr="004A2C48" w:rsidRDefault="00E07A09" w:rsidP="004A2C48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وتس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ا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هم الأنشطة غير المنظمة بحصة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12</w:t>
      </w:r>
      <w:proofErr w:type="gramStart"/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6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من إجمالي القيمة المضافة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عوض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12,3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2007،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 xml:space="preserve">تحسنت هذه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المساهمة أيضا حسب القطاعات. وهكذا </w:t>
      </w:r>
      <w:r w:rsidR="007339D5" w:rsidRPr="004A2C48">
        <w:rPr>
          <w:rFonts w:ascii="Simplified Arabic" w:hAnsi="Simplified Arabic" w:cs="Simplified Arabic" w:hint="cs"/>
          <w:sz w:val="28"/>
          <w:szCs w:val="28"/>
          <w:rtl/>
        </w:rPr>
        <w:t>أنتجت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أنشطة القطاع التجاري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غير المنظم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ما يقارب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60 من القيمة المضافة الإجمالية للتجارة سنة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عوض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58</w:t>
      </w:r>
      <w:proofErr w:type="gramStart"/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3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2007. 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ارتفعت حص</w:t>
      </w:r>
      <w:r w:rsidR="00095229" w:rsidRPr="004A2C48">
        <w:rPr>
          <w:rFonts w:ascii="Simplified Arabic" w:hAnsi="Simplified Arabic" w:cs="Simplified Arabic"/>
          <w:sz w:val="28"/>
          <w:szCs w:val="28"/>
          <w:rtl/>
        </w:rPr>
        <w:t>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البناء والأشغال العمومية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في إجمالي القيمة المضافة للبناء من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>25</w:t>
      </w:r>
      <w:proofErr w:type="gramStart"/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>4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29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3 بين سنتي 2007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و2013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. أما حصة الأنشطة غير المنظمة في قطاعات الصناعة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والخدمات،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فقد ارتفعت على التوالي من </w:t>
      </w:r>
      <w:r w:rsidR="00CD0DC6" w:rsidRPr="004A2C48">
        <w:rPr>
          <w:rFonts w:ascii="Simplified Arabic" w:hAnsi="Simplified Arabic" w:cs="Simplified Arabic"/>
          <w:sz w:val="28"/>
          <w:szCs w:val="28"/>
        </w:rPr>
        <w:t>%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12</w:t>
      </w:r>
      <w:proofErr w:type="gramStart"/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,4</w:t>
      </w:r>
      <w:proofErr w:type="gramEnd"/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إلى  </w:t>
      </w:r>
      <w:r w:rsidR="00095229" w:rsidRPr="004A2C48">
        <w:rPr>
          <w:rFonts w:ascii="Simplified Arabic" w:hAnsi="Simplified Arabic" w:cs="Simplified Arabic"/>
          <w:sz w:val="28"/>
          <w:szCs w:val="28"/>
        </w:rPr>
        <w:t>%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13,3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CD0DC6" w:rsidRPr="004A2C48">
        <w:rPr>
          <w:rFonts w:ascii="Simplified Arabic" w:hAnsi="Simplified Arabic" w:cs="Simplified Arabic"/>
          <w:sz w:val="28"/>
          <w:szCs w:val="28"/>
        </w:rPr>
        <w:t>%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5,2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="00CD0DC6" w:rsidRPr="004A2C48">
        <w:rPr>
          <w:rFonts w:ascii="Simplified Arabic" w:hAnsi="Simplified Arabic" w:cs="Simplified Arabic"/>
          <w:sz w:val="28"/>
          <w:szCs w:val="28"/>
        </w:rPr>
        <w:t>%</w:t>
      </w:r>
      <w:r w:rsidR="00CD0DC6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6,4</w:t>
      </w:r>
      <w:r w:rsidRPr="004A2C48">
        <w:rPr>
          <w:rFonts w:ascii="Simplified Arabic" w:hAnsi="Simplified Arabic" w:cs="Simplified Arabic"/>
          <w:sz w:val="28"/>
          <w:szCs w:val="28"/>
        </w:rPr>
        <w:t>.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038C4" w:rsidRDefault="003E69B9" w:rsidP="007339D5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ي</w:t>
      </w:r>
      <w:r w:rsidR="005B4422" w:rsidRPr="004A2C48">
        <w:rPr>
          <w:rFonts w:ascii="Simplified Arabic" w:hAnsi="Simplified Arabic" w:cs="Simplified Arabic"/>
          <w:sz w:val="28"/>
          <w:szCs w:val="28"/>
          <w:rtl/>
        </w:rPr>
        <w:t xml:space="preserve">تبين 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 xml:space="preserve">من خلال هذه المعطيات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أن مساهمة القطاع غير</w:t>
      </w:r>
      <w:r w:rsidR="00BF3C49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7443" w:rsidRPr="004A2C48">
        <w:rPr>
          <w:rFonts w:ascii="Simplified Arabic" w:hAnsi="Simplified Arabic" w:cs="Simplified Arabic"/>
          <w:sz w:val="28"/>
          <w:szCs w:val="28"/>
          <w:rtl/>
        </w:rPr>
        <w:t xml:space="preserve">المنظم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في الناتج ال</w:t>
      </w:r>
      <w:r w:rsidR="005B4422" w:rsidRPr="004A2C48">
        <w:rPr>
          <w:rFonts w:ascii="Simplified Arabic" w:hAnsi="Simplified Arabic" w:cs="Simplified Arabic"/>
          <w:sz w:val="28"/>
          <w:szCs w:val="28"/>
          <w:rtl/>
        </w:rPr>
        <w:t xml:space="preserve">داخلي 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الخام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بلغت </w:t>
      </w:r>
      <w:r w:rsidRPr="004A2C48">
        <w:rPr>
          <w:rFonts w:ascii="Simplified Arabic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11</w:t>
      </w:r>
      <w:proofErr w:type="gramStart"/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5</w:t>
      </w:r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سنة 2013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عوض </w:t>
      </w:r>
      <w:r w:rsidR="00A40BE3" w:rsidRPr="004A2C48">
        <w:rPr>
          <w:rFonts w:ascii="Simplified Arabic" w:hAnsi="Simplified Arabic" w:cs="Simplified Arabic"/>
          <w:sz w:val="28"/>
          <w:szCs w:val="28"/>
        </w:rPr>
        <w:t>%</w:t>
      </w:r>
      <w:r w:rsidR="00A40BE3" w:rsidRPr="004A2C48">
        <w:rPr>
          <w:rFonts w:ascii="Simplified Arabic" w:hAnsi="Simplified Arabic" w:cs="Simplified Arabic"/>
          <w:sz w:val="28"/>
          <w:szCs w:val="28"/>
          <w:rtl/>
        </w:rPr>
        <w:t xml:space="preserve">11 </w:t>
      </w:r>
      <w:r w:rsidR="00F97B82" w:rsidRPr="004A2C48">
        <w:rPr>
          <w:rFonts w:ascii="Simplified Arabic" w:hAnsi="Simplified Arabic" w:cs="Simplified Arabic"/>
          <w:sz w:val="28"/>
          <w:szCs w:val="28"/>
          <w:rtl/>
        </w:rPr>
        <w:t xml:space="preserve">سنة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2007</w:t>
      </w:r>
      <w:r w:rsidR="00F26EA3" w:rsidRPr="004A2C48">
        <w:rPr>
          <w:rFonts w:ascii="Simplified Arabic" w:hAnsi="Simplified Arabic" w:cs="Simplified Arabic"/>
          <w:sz w:val="28"/>
          <w:szCs w:val="28"/>
        </w:rPr>
        <w:t>.</w:t>
      </w:r>
    </w:p>
    <w:p w:rsidR="00C038C4" w:rsidRPr="00C038C4" w:rsidRDefault="00C038C4" w:rsidP="00C038C4">
      <w:pPr>
        <w:bidi/>
        <w:ind w:left="360" w:firstLine="34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8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مساهمة القطاع غير المنظم في الاقتصاد الوطني</w:t>
      </w: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124"/>
        <w:gridCol w:w="3827"/>
        <w:gridCol w:w="1559"/>
      </w:tblGrid>
      <w:tr w:rsidR="00C038C4" w:rsidRPr="00C038C4" w:rsidTr="00C038C4">
        <w:trPr>
          <w:trHeight w:val="94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مساهمة القطاع غير المنظم في الناتج الداخلي الخام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38C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مساهمة </w:t>
            </w:r>
            <w:proofErr w:type="gramStart"/>
            <w:r w:rsidRPr="00C038C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شغل  القطاع</w:t>
            </w:r>
            <w:proofErr w:type="gramEnd"/>
            <w:r w:rsidRPr="00C038C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غير المنظم في مجموع الشغل الغير فلاحي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السنة</w:t>
            </w:r>
            <w:proofErr w:type="gramEnd"/>
          </w:p>
        </w:tc>
      </w:tr>
      <w:tr w:rsidR="00C038C4" w:rsidRPr="00C038C4" w:rsidTr="00C038C4">
        <w:trPr>
          <w:trHeight w:val="45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11%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37,3</w:t>
            </w: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2007</w:t>
            </w:r>
          </w:p>
        </w:tc>
      </w:tr>
      <w:tr w:rsidR="00C038C4" w:rsidRPr="00C038C4" w:rsidTr="00C038C4">
        <w:trPr>
          <w:trHeight w:val="45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11,5</w:t>
            </w: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36,3</w:t>
            </w: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4" w:rsidRPr="00C038C4" w:rsidRDefault="00C038C4" w:rsidP="00C03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38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2013</w:t>
            </w:r>
          </w:p>
        </w:tc>
      </w:tr>
    </w:tbl>
    <w:p w:rsidR="00C038C4" w:rsidRDefault="00C038C4" w:rsidP="007339D5">
      <w:pPr>
        <w:bidi/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rtl/>
        </w:rPr>
        <w:t xml:space="preserve">       </w:t>
      </w:r>
      <w:r w:rsidRPr="002B6807">
        <w:rPr>
          <w:rFonts w:ascii="Simplified Arabic" w:hAnsi="Simplified Arabic" w:cs="Simplified Arabic" w:hint="cs"/>
          <w:b/>
          <w:bCs/>
          <w:rtl/>
        </w:rPr>
        <w:t xml:space="preserve">  </w:t>
      </w:r>
      <w:proofErr w:type="spellStart"/>
      <w:proofErr w:type="gramStart"/>
      <w:r w:rsidRPr="002B6807">
        <w:rPr>
          <w:rFonts w:ascii="Simplified Arabic" w:hAnsi="Simplified Arabic" w:cs="Simplified Arabic" w:hint="cs"/>
          <w:b/>
          <w:bCs/>
          <w:rtl/>
        </w:rPr>
        <w:t>المصدر</w:t>
      </w:r>
      <w:proofErr w:type="gramEnd"/>
      <w:r w:rsidRPr="002B6807">
        <w:rPr>
          <w:rFonts w:ascii="Simplified Arabic" w:hAnsi="Simplified Arabic" w:cs="Simplified Arabic" w:hint="cs"/>
          <w:b/>
          <w:bCs/>
          <w:rtl/>
        </w:rPr>
        <w:t>:</w:t>
      </w:r>
      <w:proofErr w:type="spellEnd"/>
      <w:r w:rsidRPr="002B6807">
        <w:rPr>
          <w:rFonts w:ascii="Simplified Arabic" w:hAnsi="Simplified Arabic" w:cs="Simplified Arabic" w:hint="cs"/>
          <w:b/>
          <w:bCs/>
          <w:rtl/>
        </w:rPr>
        <w:t xml:space="preserve"> المندوبية السامية للتخطيط</w:t>
      </w:r>
    </w:p>
    <w:p w:rsidR="007339D5" w:rsidRPr="007339D5" w:rsidRDefault="007339D5" w:rsidP="007339D5">
      <w:pPr>
        <w:bidi/>
        <w:ind w:left="360"/>
        <w:rPr>
          <w:rFonts w:ascii="Simplified Arabic" w:hAnsi="Simplified Arabic" w:cs="Simplified Arabic"/>
          <w:b/>
          <w:bCs/>
        </w:rPr>
      </w:pPr>
    </w:p>
    <w:p w:rsidR="000C570C" w:rsidRPr="004A2C48" w:rsidRDefault="000C570C" w:rsidP="00011538">
      <w:pPr>
        <w:pStyle w:val="Paragraphedeliste"/>
        <w:numPr>
          <w:ilvl w:val="0"/>
          <w:numId w:val="17"/>
        </w:numPr>
        <w:tabs>
          <w:tab w:val="left" w:pos="1382"/>
        </w:tabs>
        <w:autoSpaceDE w:val="0"/>
        <w:autoSpaceDN w:val="0"/>
        <w:bidi/>
        <w:adjustRightInd w:val="0"/>
        <w:spacing w:after="0" w:line="480" w:lineRule="auto"/>
        <w:jc w:val="both"/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</w:pPr>
      <w:r w:rsidRPr="004A2C48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>خصائص الشغل في القطاع غير المنظم</w:t>
      </w:r>
    </w:p>
    <w:p w:rsidR="00A1337B" w:rsidRPr="004A2C48" w:rsidRDefault="000C570C" w:rsidP="004A2C48">
      <w:pPr>
        <w:bidi/>
        <w:spacing w:after="0"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يتميز القطاع غير المنظم 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>ب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ضعف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 xml:space="preserve"> حصة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>ا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لعمل </w:t>
      </w:r>
      <w:proofErr w:type="spellStart"/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المأجور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>حيث لم يمثل عدد المأجورين سنة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2013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سوى </w:t>
      </w:r>
      <w:r w:rsidR="001B57B4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17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2 من </w:t>
      </w:r>
      <w:r w:rsidR="00431DB5" w:rsidRPr="004A2C48">
        <w:rPr>
          <w:rFonts w:ascii="Simplified Arabic" w:hAnsi="Simplified Arabic" w:cs="Simplified Arabic"/>
          <w:sz w:val="28"/>
          <w:szCs w:val="28"/>
          <w:rtl/>
        </w:rPr>
        <w:t xml:space="preserve">عدد العاملين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>بهذا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القطاع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مقابل </w:t>
      </w:r>
      <w:r w:rsidR="001B57B4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64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4 </w:t>
      </w:r>
      <w:r w:rsidR="00797A10" w:rsidRPr="004A2C48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ال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شغل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غير ال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>فلاحي الإجمالي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و سجل وزن </w:t>
      </w:r>
      <w:r w:rsidR="00333F52" w:rsidRPr="004A2C48">
        <w:rPr>
          <w:rFonts w:ascii="Simplified Arabic" w:hAnsi="Simplified Arabic" w:cs="Simplified Arabic"/>
          <w:sz w:val="28"/>
          <w:szCs w:val="28"/>
          <w:rtl/>
        </w:rPr>
        <w:t xml:space="preserve">اليد العاملة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المأجور</w:t>
      </w:r>
      <w:r w:rsidR="00333F52" w:rsidRPr="004A2C48">
        <w:rPr>
          <w:rFonts w:ascii="Simplified Arabic" w:hAnsi="Simplified Arabic" w:cs="Simplified Arabic"/>
          <w:sz w:val="28"/>
          <w:szCs w:val="28"/>
          <w:rtl/>
        </w:rPr>
        <w:t>ة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ارتفاعا طفيفا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مقارنة مع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سنة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2007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حيث بلغ </w:t>
      </w:r>
      <w:r w:rsidR="001B57B4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15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8.</w:t>
      </w:r>
    </w:p>
    <w:p w:rsidR="003060C4" w:rsidRPr="004A2C48" w:rsidRDefault="00135752" w:rsidP="004A2C48">
      <w:pPr>
        <w:bidi/>
        <w:spacing w:after="0"/>
        <w:ind w:left="360" w:firstLine="348"/>
        <w:jc w:val="both"/>
        <w:rPr>
          <w:rFonts w:ascii="Simplified Arabic" w:hAnsi="Simplified Arabic" w:cs="Simplified Arabic"/>
          <w:sz w:val="28"/>
          <w:szCs w:val="28"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إلى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361BA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ذ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لك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تظل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>نسبة الإناث المشتغلات ب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القطاع غير </w:t>
      </w:r>
      <w:r w:rsidR="00247443" w:rsidRPr="004A2C48">
        <w:rPr>
          <w:rFonts w:ascii="Simplified Arabic" w:hAnsi="Simplified Arabic" w:cs="Simplified Arabic"/>
          <w:sz w:val="28"/>
          <w:szCs w:val="28"/>
          <w:rtl/>
        </w:rPr>
        <w:t>المنظم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>ضعيفة،</w:t>
      </w:r>
      <w:proofErr w:type="spellEnd"/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 حيث لم تتعد هذه النسبة </w:t>
      </w:r>
      <w:r w:rsidR="001B57B4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10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5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>سنة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2013،</w:t>
      </w:r>
      <w:proofErr w:type="spellEnd"/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0E17" w:rsidRPr="004A2C48">
        <w:rPr>
          <w:rFonts w:ascii="Simplified Arabic" w:hAnsi="Simplified Arabic" w:cs="Simplified Arabic"/>
          <w:sz w:val="28"/>
          <w:szCs w:val="28"/>
          <w:rtl/>
        </w:rPr>
        <w:t xml:space="preserve">عوض </w:t>
      </w:r>
      <w:r w:rsidR="001B57B4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17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4 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>بالنسبة ل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إجمالي ال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شغل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غير ال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>فلاحي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ومع </w:t>
      </w:r>
      <w:proofErr w:type="spellStart"/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>ذلك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 تسجل تباينات كبيرة حسب </w:t>
      </w:r>
      <w:proofErr w:type="spellStart"/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>القطاعات،</w:t>
      </w:r>
      <w:proofErr w:type="spellEnd"/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 حيث تشغل النساء 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واحد من بين كل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 خمس مناصب 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ل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لشغل بقطاع الصناعة </w:t>
      </w:r>
      <w:r w:rsidR="00333F52" w:rsidRPr="004A2C48">
        <w:rPr>
          <w:rFonts w:ascii="Simplified Arabic" w:hAnsi="Simplified Arabic" w:cs="Simplified Arabic"/>
          <w:sz w:val="28"/>
          <w:szCs w:val="28"/>
          <w:rtl/>
        </w:rPr>
        <w:t xml:space="preserve">في حين 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 xml:space="preserve">أنهن </w:t>
      </w:r>
      <w:r w:rsidR="00333F52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شبه 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 xml:space="preserve">غائبات </w:t>
      </w:r>
      <w:r w:rsidR="00BB3A01" w:rsidRPr="004A2C48">
        <w:rPr>
          <w:rFonts w:ascii="Simplified Arabic" w:hAnsi="Simplified Arabic" w:cs="Simplified Arabic"/>
          <w:sz w:val="28"/>
          <w:szCs w:val="28"/>
          <w:rtl/>
        </w:rPr>
        <w:t xml:space="preserve">بقطاع البناء والأشغال العمومية.          </w:t>
      </w:r>
    </w:p>
    <w:p w:rsidR="00011538" w:rsidRPr="004A2C48" w:rsidRDefault="00A1337B" w:rsidP="001276D3">
      <w:pPr>
        <w:bidi/>
        <w:spacing w:after="0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يتميز القطاع غير المنظم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بهشاشته بسبب ضعف نسبة التغطية الصحية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98</w:t>
      </w:r>
      <w:r w:rsidR="0024300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ال</w:t>
      </w:r>
      <w:r w:rsidR="00243005" w:rsidRPr="004A2C48">
        <w:rPr>
          <w:rFonts w:ascii="Simplified Arabic" w:hAnsi="Simplified Arabic" w:cs="Simplified Arabic"/>
          <w:sz w:val="28"/>
          <w:szCs w:val="28"/>
          <w:rtl/>
        </w:rPr>
        <w:t xml:space="preserve">يد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العاملة</w:t>
      </w:r>
      <w:r w:rsidR="00243005" w:rsidRPr="004A2C48">
        <w:rPr>
          <w:rFonts w:ascii="Simplified Arabic" w:hAnsi="Simplified Arabic" w:cs="Simplified Arabic"/>
          <w:sz w:val="28"/>
          <w:szCs w:val="28"/>
          <w:rtl/>
        </w:rPr>
        <w:t xml:space="preserve"> المشتغلة ب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القطاع غير </w:t>
      </w:r>
      <w:r w:rsidR="00247443" w:rsidRPr="004A2C48">
        <w:rPr>
          <w:rFonts w:ascii="Simplified Arabic" w:hAnsi="Simplified Arabic" w:cs="Simplified Arabic"/>
          <w:sz w:val="28"/>
          <w:szCs w:val="28"/>
          <w:rtl/>
        </w:rPr>
        <w:t xml:space="preserve">المنظم </w:t>
      </w:r>
      <w:r w:rsidR="00243005" w:rsidRPr="004A2C48">
        <w:rPr>
          <w:rFonts w:ascii="Simplified Arabic" w:hAnsi="Simplified Arabic" w:cs="Simplified Arabic"/>
          <w:sz w:val="28"/>
          <w:szCs w:val="28"/>
          <w:rtl/>
        </w:rPr>
        <w:t xml:space="preserve">لا تستفيد من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التغطية الصحية</w:t>
      </w:r>
      <w:proofErr w:type="spellStart"/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1538" w:rsidRPr="004A2C48">
        <w:rPr>
          <w:rFonts w:ascii="Simplified Arabic" w:hAnsi="Simplified Arabic" w:cs="Simplified Arabic"/>
          <w:sz w:val="28"/>
          <w:szCs w:val="28"/>
          <w:rtl/>
        </w:rPr>
        <w:t>الاستقرار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أكثر من </w:t>
      </w:r>
      <w:r w:rsidR="000E6585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97</w:t>
      </w:r>
      <w:r w:rsidR="000E658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من العاملين </w:t>
      </w:r>
      <w:r w:rsidR="00243005" w:rsidRPr="004A2C48">
        <w:rPr>
          <w:rFonts w:ascii="Simplified Arabic" w:hAnsi="Simplified Arabic" w:cs="Simplified Arabic"/>
          <w:sz w:val="28"/>
          <w:szCs w:val="28"/>
          <w:rtl/>
        </w:rPr>
        <w:t xml:space="preserve">بهذا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القطاع </w:t>
      </w:r>
      <w:r w:rsidR="00243005" w:rsidRPr="004A2C48">
        <w:rPr>
          <w:rFonts w:ascii="Simplified Arabic" w:hAnsi="Simplified Arabic" w:cs="Simplified Arabic"/>
          <w:sz w:val="28"/>
          <w:szCs w:val="28"/>
          <w:rtl/>
        </w:rPr>
        <w:t>لا يتوفرون على أي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عقد مكتوب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243005" w:rsidRPr="004A2C48" w:rsidRDefault="00D677DB" w:rsidP="004A2C48">
      <w:pPr>
        <w:bidi/>
        <w:spacing w:after="0"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>يتميز القطاع غير المنظم أيضا بضعف المستوى الدراسي لليد العاملة حيث تصل نسبة الأشخاص ال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ذ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ين لا يتوفرون على أي مستوى دراسي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23,4 و 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 xml:space="preserve">نسبة الذين بلغوا المستوى </w:t>
      </w:r>
      <w:proofErr w:type="spellStart"/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>الإبتدائي</w:t>
      </w:r>
      <w:proofErr w:type="spellEnd"/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135752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 xml:space="preserve">34,2 و المستوى الثانوي </w:t>
      </w:r>
      <w:r w:rsidR="00135752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 xml:space="preserve">30,2 و المستوى العالي </w:t>
      </w:r>
      <w:r w:rsidR="00135752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135752" w:rsidRPr="004A2C48">
        <w:rPr>
          <w:rFonts w:ascii="Simplified Arabic" w:hAnsi="Simplified Arabic" w:cs="Simplified Arabic"/>
          <w:sz w:val="28"/>
          <w:szCs w:val="28"/>
          <w:rtl/>
        </w:rPr>
        <w:t xml:space="preserve"> 1.</w:t>
      </w:r>
    </w:p>
    <w:p w:rsidR="00A1337B" w:rsidRPr="004A2C48" w:rsidRDefault="00135752" w:rsidP="004A2C48">
      <w:pPr>
        <w:bidi/>
        <w:spacing w:after="0"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إجمالا</w:t>
      </w:r>
      <w:proofErr w:type="gramEnd"/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 xml:space="preserve"> تعتبر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إنتاجية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 xml:space="preserve"> القطاع غير المنظم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ضعيفة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حيث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أن كل نشيط مشتغل بالقطاع غير المنظم ينتج في المتوسط قيمة مضافة سنوية تبلغ 43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497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دره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ما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وهي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ت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قل بكثير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ع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ن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 xml:space="preserve"> المعدل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المسجل على الصعيد الوطني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 xml:space="preserve"> (76393 درهم 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سنة 2013</w:t>
      </w:r>
      <w:proofErr w:type="spellStart"/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يعتبر</w:t>
      </w:r>
      <w:proofErr w:type="gram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النشيطون المشتغلون بالبناء والأشغال العمومية الأكثر إنتاجية في القطاع غير </w:t>
      </w:r>
      <w:proofErr w:type="spellStart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المنظم،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حيث أحدث كل نشيط مشتغل بهذا القطاع قيمة مضافة </w:t>
      </w:r>
      <w:r w:rsidR="00A1337B" w:rsidRPr="004A2C48">
        <w:rPr>
          <w:rFonts w:ascii="Simplified Arabic" w:hAnsi="Simplified Arabic" w:cstheme="majorBidi"/>
          <w:sz w:val="28"/>
          <w:szCs w:val="28"/>
          <w:rtl/>
        </w:rPr>
        <w:t>​​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تناهز 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69333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في المتوسط </w:t>
      </w:r>
      <w:proofErr w:type="spellStart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سنويا،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في حين لم تتعد هذه الإنتاجية 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35868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 في المتوسط بقطاع ا</w:t>
      </w:r>
      <w:r w:rsidR="00487A8F" w:rsidRPr="004A2C48">
        <w:rPr>
          <w:rFonts w:ascii="Simplified Arabic" w:hAnsi="Simplified Arabic" w:cs="Simplified Arabic"/>
          <w:sz w:val="28"/>
          <w:szCs w:val="28"/>
          <w:rtl/>
        </w:rPr>
        <w:t>لخدمات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. إضافة إلى </w:t>
      </w:r>
      <w:proofErr w:type="spellStart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خلق 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كل ساعة عمل في القطاع غير المنظم من إنتاج قيمة مضافة تبلغ حوالي 19 </w:t>
      </w:r>
      <w:proofErr w:type="spellStart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درهم،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أي ما يقارب نصف الإنتاجية الناتجة عن ساعة من العمل على الصعيد الوطني (35</w:t>
      </w:r>
      <w:proofErr w:type="gramStart"/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5</w:t>
      </w:r>
      <w:proofErr w:type="gramEnd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 xml:space="preserve"> درهم</w:t>
      </w:r>
      <w:proofErr w:type="spellStart"/>
      <w:r w:rsidR="00A1337B"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A1337B" w:rsidRPr="004A2C48">
        <w:rPr>
          <w:rFonts w:ascii="Simplified Arabic" w:hAnsi="Simplified Arabic" w:cs="Simplified Arabic"/>
          <w:sz w:val="28"/>
          <w:szCs w:val="28"/>
        </w:rPr>
        <w:t>.</w:t>
      </w:r>
    </w:p>
    <w:p w:rsidR="00AA3B4A" w:rsidRPr="004A2C48" w:rsidRDefault="00AA3B4A" w:rsidP="004A2C48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:rsidR="0023195A" w:rsidRPr="004A2C48" w:rsidRDefault="00FF581F" w:rsidP="001276D3">
      <w:pPr>
        <w:pStyle w:val="Corpsdetexte2"/>
        <w:numPr>
          <w:ilvl w:val="0"/>
          <w:numId w:val="17"/>
        </w:numPr>
        <w:bidi/>
        <w:spacing w:after="0" w:line="276" w:lineRule="auto"/>
        <w:jc w:val="both"/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</w:pPr>
      <w:r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 </w:t>
      </w:r>
      <w:proofErr w:type="gramStart"/>
      <w:r w:rsidR="00F26EA3"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>تصور</w:t>
      </w:r>
      <w:proofErr w:type="gramEnd"/>
      <w:r w:rsidR="00F26EA3"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 ظروف </w:t>
      </w:r>
      <w:r w:rsidR="009501A7"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>العمل</w:t>
      </w:r>
      <w:r w:rsidR="00F26EA3"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 في القطاع غير </w:t>
      </w:r>
      <w:r w:rsidR="00247443" w:rsidRPr="004A2C48">
        <w:rPr>
          <w:rFonts w:ascii="Simplified Arabic" w:eastAsiaTheme="minorHAnsi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المنظم </w:t>
      </w:r>
    </w:p>
    <w:p w:rsidR="00A51668" w:rsidRPr="004A2C48" w:rsidRDefault="00A51668" w:rsidP="004A2C48">
      <w:pPr>
        <w:pStyle w:val="Corpsdetexte2"/>
        <w:bidi/>
        <w:spacing w:after="0" w:line="276" w:lineRule="auto"/>
        <w:ind w:left="360" w:firstLine="348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لإنشاء وحدات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جديدة</w:t>
      </w:r>
      <w:r w:rsidR="00D96EA5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BD00F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ا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عتمد 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82,2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من أربابها عل</w:t>
      </w:r>
      <w:r w:rsidR="00D96EA5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ى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التمويل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الذاتي،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بينما لجأ 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9,6 إلى</w:t>
      </w:r>
      <w:r w:rsidR="00D96EA5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لاقتراض من البنوك.</w:t>
      </w:r>
    </w:p>
    <w:p w:rsidR="00BD00F6" w:rsidRPr="004A2C48" w:rsidRDefault="00BD00F6" w:rsidP="004A2C48">
      <w:pPr>
        <w:pStyle w:val="Corpsdetexte2"/>
        <w:bidi/>
        <w:spacing w:after="0" w:line="276" w:lineRule="auto"/>
        <w:ind w:left="360" w:firstLine="348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A2C48">
        <w:rPr>
          <w:rFonts w:ascii="Simplified Arabic" w:eastAsiaTheme="minorHAnsi" w:hAnsi="Simplified Arabic" w:cs="Simplified Arabic"/>
          <w:sz w:val="28"/>
          <w:szCs w:val="28"/>
          <w:rtl/>
        </w:rPr>
        <w:lastRenderedPageBreak/>
        <w:t xml:space="preserve">ولتمويل أنشطتهم </w:t>
      </w:r>
      <w:proofErr w:type="spellStart"/>
      <w:r w:rsidRPr="004A2C48">
        <w:rPr>
          <w:rFonts w:ascii="Simplified Arabic" w:eastAsiaTheme="minorHAnsi" w:hAnsi="Simplified Arabic" w:cs="Simplified Arabic"/>
          <w:sz w:val="28"/>
          <w:szCs w:val="28"/>
          <w:rtl/>
        </w:rPr>
        <w:t>الحالية،</w:t>
      </w:r>
      <w:proofErr w:type="spellEnd"/>
      <w:r w:rsidRPr="004A2C48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صرح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9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من أرباب الوحدات أنهم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لجؤوا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للاقتراض من البنوك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proofErr w:type="spellEnd"/>
      <w:r w:rsidR="00915B36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11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قطاع الصناعة و 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5,9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في قطاع البناء و الأشغال العمومية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).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و قد 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استطاع 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58,3 منهم الاستفادة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ه</w:t>
      </w:r>
      <w:r w:rsidR="00915B3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ذ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ه القروض .</w:t>
      </w:r>
    </w:p>
    <w:p w:rsidR="00F80F80" w:rsidRPr="004A2C48" w:rsidRDefault="000D11E9" w:rsidP="004A2C48">
      <w:pPr>
        <w:bidi/>
        <w:spacing w:after="0"/>
        <w:ind w:left="360" w:firstLine="348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يشكل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نقص السيولة العقبة الرئيسية </w:t>
      </w:r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ل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5823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44</w:t>
      </w:r>
      <w:proofErr w:type="gramStart"/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5</w:t>
      </w:r>
      <w:proofErr w:type="gramEnd"/>
      <w:r w:rsidR="00F0582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من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 xml:space="preserve"> أرباب الوحدات غير </w:t>
      </w:r>
      <w:proofErr w:type="spellStart"/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كما أن قلة الزبائن تشكل </w:t>
      </w:r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 xml:space="preserve">الصعوبة الرئيسية ل </w:t>
      </w:r>
      <w:r w:rsidR="00F05823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25 </w:t>
      </w:r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proofErr w:type="spellStart"/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هؤلاء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في حين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اعتبر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5823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13</w:t>
      </w:r>
      <w:r w:rsidR="00F05823" w:rsidRPr="004A2C48">
        <w:rPr>
          <w:rFonts w:ascii="Simplified Arabic" w:hAnsi="Simplified Arabic" w:cs="Simplified Arabic"/>
          <w:sz w:val="28"/>
          <w:szCs w:val="28"/>
        </w:rPr>
        <w:t xml:space="preserve">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مسيري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الوحدات 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 xml:space="preserve">أن المنافسة </w:t>
      </w:r>
      <w:r w:rsidR="00FD4B57" w:rsidRPr="004A2C48">
        <w:rPr>
          <w:rFonts w:ascii="Simplified Arabic" w:hAnsi="Simplified Arabic" w:cs="Simplified Arabic"/>
          <w:sz w:val="28"/>
          <w:szCs w:val="28"/>
          <w:rtl/>
        </w:rPr>
        <w:t>ت</w:t>
      </w:r>
      <w:r w:rsidR="00F26EA3" w:rsidRPr="004A2C48">
        <w:rPr>
          <w:rFonts w:ascii="Simplified Arabic" w:hAnsi="Simplified Arabic" w:cs="Simplified Arabic"/>
          <w:sz w:val="28"/>
          <w:szCs w:val="28"/>
          <w:rtl/>
        </w:rPr>
        <w:t>شكل ع</w:t>
      </w:r>
      <w:r w:rsidR="00915B36" w:rsidRPr="004A2C48">
        <w:rPr>
          <w:rFonts w:ascii="Simplified Arabic" w:hAnsi="Simplified Arabic" w:cs="Simplified Arabic"/>
          <w:sz w:val="28"/>
          <w:szCs w:val="28"/>
          <w:rtl/>
        </w:rPr>
        <w:t>ائقا رئيسيا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لنشاطهم</w:t>
      </w:r>
      <w:r w:rsidR="00F26EA3" w:rsidRPr="004A2C48">
        <w:rPr>
          <w:rFonts w:ascii="Simplified Arabic" w:hAnsi="Simplified Arabic" w:cs="Simplified Arabic"/>
          <w:sz w:val="28"/>
          <w:szCs w:val="28"/>
        </w:rPr>
        <w:t>.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و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>يعتب</w:t>
      </w:r>
      <w:r w:rsidR="00417CA4" w:rsidRPr="004A2C48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>نقص الس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يولة العقبة الرئيسية التي تعترض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48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>من أرباب الوحدات الغير متوفرة على محل مهني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37</w:t>
      </w:r>
      <w:proofErr w:type="gramStart"/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,2</w:t>
      </w:r>
      <w:proofErr w:type="gramEnd"/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 xml:space="preserve">من أرباب الوحدات التي تتوفر على محل و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مسجلة بال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 xml:space="preserve">ضريبة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ال</w:t>
      </w:r>
      <w:r w:rsidR="00D96EA5" w:rsidRPr="004A2C48">
        <w:rPr>
          <w:rFonts w:ascii="Simplified Arabic" w:hAnsi="Simplified Arabic" w:cs="Simplified Arabic"/>
          <w:sz w:val="28"/>
          <w:szCs w:val="28"/>
          <w:rtl/>
        </w:rPr>
        <w:t>مهنية</w:t>
      </w:r>
      <w:r w:rsidR="00F80F80" w:rsidRPr="004A2C48">
        <w:rPr>
          <w:rFonts w:ascii="Simplified Arabic" w:hAnsi="Simplified Arabic" w:cs="Simplified Arabic"/>
          <w:sz w:val="28"/>
          <w:szCs w:val="28"/>
          <w:rtl/>
        </w:rPr>
        <w:t>.</w:t>
      </w:r>
      <w:r w:rsidR="00F80F80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</w:t>
      </w:r>
    </w:p>
    <w:p w:rsidR="00F26EA3" w:rsidRPr="004A2C48" w:rsidRDefault="00F80F80" w:rsidP="004A2C48">
      <w:pPr>
        <w:bidi/>
        <w:spacing w:after="0"/>
        <w:ind w:left="360" w:firstLine="348"/>
        <w:jc w:val="both"/>
        <w:rPr>
          <w:rFonts w:ascii="Simplified Arabic" w:hAnsi="Simplified Arabic" w:cs="Simplified Arabic"/>
          <w:sz w:val="28"/>
          <w:szCs w:val="28"/>
        </w:rPr>
      </w:pP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eastAsia="Times New Roman" w:hAnsi="Simplified Arabic" w:cs="Simplified Arabic"/>
          <w:sz w:val="28"/>
          <w:szCs w:val="28"/>
        </w:rPr>
        <w:t xml:space="preserve"> %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10 من أرباب الوحدات صرحوا بمواجهتهم لمشاكل مع </w:t>
      </w:r>
      <w:proofErr w:type="spellStart"/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الإدارة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وتصل هذه النسبة إلى 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13,5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لدى ال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وحد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ات التي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لا تتوفر على محل و 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3,3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لدى ال</w:t>
      </w:r>
      <w:r w:rsidR="00DB705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وحدات التي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تتوفر على محل مهني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80F80" w:rsidRPr="004A2C48" w:rsidRDefault="00F80F80" w:rsidP="004A2C48">
      <w:pPr>
        <w:bidi/>
        <w:spacing w:after="0"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ويظل "احتلال الفضاء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العام"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37</w:t>
      </w:r>
      <w:proofErr w:type="gramStart"/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,6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proofErr w:type="spellEnd"/>
      <w:proofErr w:type="gram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و"عرقلة المرور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بالطريق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26 </w:t>
      </w:r>
      <w:proofErr w:type="spellStart"/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السبب الرئيسي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للمشاكل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التي تعاني منها</w:t>
      </w:r>
      <w:r w:rsidRPr="004A2C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الوحدات التجارية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مع </w:t>
      </w:r>
      <w:proofErr w:type="spellStart"/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الإدارة،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في حين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ت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شكل "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اعتبار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غير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قانوني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ي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37,6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 و "تجاوزات بعض رجال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السلطة"</w:t>
      </w:r>
      <w:proofErr w:type="spellEnd"/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DB705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>26,4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proofErr w:type="spellEnd"/>
      <w:r w:rsidR="00DB705D" w:rsidRPr="004A2C48">
        <w:rPr>
          <w:rFonts w:ascii="Simplified Arabic" w:hAnsi="Simplified Arabic" w:cs="Simplified Arabic"/>
          <w:sz w:val="28"/>
          <w:szCs w:val="28"/>
          <w:rtl/>
        </w:rPr>
        <w:t xml:space="preserve"> السببين الرئيسيين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>للنزاعات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بالنسبة للوحدات المنتمية لقطاع الخدمات.</w:t>
      </w:r>
    </w:p>
    <w:p w:rsidR="00F16B96" w:rsidRPr="004A2C48" w:rsidRDefault="00F16B96" w:rsidP="004A2C48">
      <w:pPr>
        <w:bidi/>
        <w:spacing w:after="0"/>
        <w:ind w:left="360" w:firstLine="348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وعبر </w:t>
      </w:r>
      <w:r w:rsidR="00065AC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 xml:space="preserve">90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من أرباب الوحدات التجارية الغير متوفرة على محل عن رغبتهم في الاستفادة من الأسواق النموذجية </w:t>
      </w:r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مع التأكيد على ضرورة التوفر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شرطين أساسين عند </w:t>
      </w:r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إنشاء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</w:t>
      </w:r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ذ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 </w:t>
      </w:r>
      <w:proofErr w:type="spellStart"/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الأسواق:</w:t>
      </w:r>
      <w:proofErr w:type="spellEnd"/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"القرب من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الزبائن"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proofErr w:type="spellEnd"/>
      <w:r w:rsidR="00065AC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>47</w:t>
      </w:r>
      <w:proofErr w:type="gramStart"/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>,3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proofErr w:type="spellEnd"/>
      <w:proofErr w:type="gram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و"التكلفة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المناسبة"</w:t>
      </w:r>
      <w:proofErr w:type="spell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proofErr w:type="spellEnd"/>
      <w:r w:rsidR="00065AC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>34,1</w:t>
      </w:r>
      <w:proofErr w:type="spellStart"/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DE2405" w:rsidRPr="004A2C48" w:rsidRDefault="001276D3" w:rsidP="004A2C48">
      <w:pPr>
        <w:bidi/>
        <w:spacing w:after="0"/>
        <w:ind w:left="360" w:firstLine="34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MA"/>
        </w:rPr>
      </w:pPr>
      <w:proofErr w:type="gramStart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يعتبر</w:t>
      </w:r>
      <w:proofErr w:type="gramEnd"/>
      <w:r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أقل من نصف أرباب الوحدات</w:t>
      </w:r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proofErr w:type="spellEnd"/>
      <w:r w:rsidR="00065ACD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065ACD" w:rsidRPr="004A2C48">
        <w:rPr>
          <w:rFonts w:ascii="Simplified Arabic" w:hAnsi="Simplified Arabic" w:cs="Simplified Arabic"/>
          <w:sz w:val="28"/>
          <w:szCs w:val="28"/>
          <w:rtl/>
        </w:rPr>
        <w:t>44</w:t>
      </w:r>
      <w:proofErr w:type="spellStart"/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proofErr w:type="spellEnd"/>
      <w:r w:rsidR="00065ACD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43A0B" w:rsidRPr="004A2C48">
        <w:rPr>
          <w:rFonts w:ascii="Simplified Arabic" w:eastAsia="Times New Roman" w:hAnsi="Simplified Arabic" w:cs="Simplified Arabic"/>
          <w:sz w:val="28"/>
          <w:szCs w:val="28"/>
          <w:rtl/>
          <w:lang w:bidi="ar-MA"/>
        </w:rPr>
        <w:t>أن الوحدات المشابهة لوحداتهم قادرة على تطوير ذاتها.</w:t>
      </w:r>
      <w:r w:rsidR="00DE2405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43A0B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 xml:space="preserve">يعتبر </w:t>
      </w:r>
      <w:r w:rsidR="00DE2405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>51</w:t>
      </w:r>
      <w:r w:rsidR="00943A0B" w:rsidRPr="004A2C48">
        <w:rPr>
          <w:rFonts w:ascii="Simplified Arabic" w:hAnsi="Simplified Arabic" w:cs="Simplified Arabic"/>
          <w:sz w:val="28"/>
          <w:szCs w:val="28"/>
          <w:rtl/>
        </w:rPr>
        <w:t>,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>7 منهم</w:t>
      </w:r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 xml:space="preserve"> زيادة رأسمال الاستثمار</w:t>
      </w:r>
      <w:r w:rsidRPr="004A2C48">
        <w:rPr>
          <w:rFonts w:ascii="Simplified Arabic" w:hAnsi="Simplified Arabic" w:cs="Simplified Arabic"/>
          <w:sz w:val="28"/>
          <w:szCs w:val="28"/>
          <w:rtl/>
        </w:rPr>
        <w:t xml:space="preserve"> هو </w:t>
      </w:r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B2999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أهم سبب لتحقيق هذا التطور</w:t>
      </w:r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 xml:space="preserve"> فيما يرجع 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B2999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 xml:space="preserve">18,4  أسباب </w:t>
      </w:r>
      <w:r w:rsidR="00BB2999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تحقيق هذا التطور</w:t>
      </w:r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 xml:space="preserve">اختيار موقع استراتيجي و </w:t>
      </w:r>
      <w:r w:rsidR="00BB2999" w:rsidRPr="004A2C48">
        <w:rPr>
          <w:rFonts w:ascii="Simplified Arabic" w:eastAsia="Times New Roman" w:hAnsi="Simplified Arabic" w:cs="Simplified Arabic"/>
          <w:sz w:val="28"/>
          <w:szCs w:val="28"/>
        </w:rPr>
        <w:t>%</w:t>
      </w:r>
      <w:r w:rsidR="00BB2999" w:rsidRPr="004A2C48">
        <w:rPr>
          <w:rFonts w:ascii="Simplified Arabic" w:hAnsi="Simplified Arabic" w:cs="Simplified Arabic"/>
          <w:sz w:val="28"/>
          <w:szCs w:val="28"/>
          <w:rtl/>
        </w:rPr>
        <w:t>12,7 ل</w:t>
      </w:r>
      <w:r w:rsidR="00DE2405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تحسين جودة  </w:t>
      </w:r>
      <w:r w:rsidR="00BD00F6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DE2405" w:rsidRPr="004A2C48">
        <w:rPr>
          <w:rFonts w:ascii="Simplified Arabic" w:eastAsia="Times New Roman" w:hAnsi="Simplified Arabic" w:cs="Simplified Arabic"/>
          <w:sz w:val="28"/>
          <w:szCs w:val="28"/>
          <w:rtl/>
        </w:rPr>
        <w:t>نتاجهم</w:t>
      </w:r>
      <w:r w:rsidR="00DE2405" w:rsidRPr="004A2C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E2405" w:rsidRPr="004A2C48" w:rsidRDefault="00DE2405" w:rsidP="001276D3">
      <w:pPr>
        <w:bidi/>
        <w:spacing w:after="0"/>
        <w:ind w:left="360"/>
        <w:jc w:val="both"/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</w:pPr>
    </w:p>
    <w:p w:rsidR="00F63652" w:rsidRPr="004A2C48" w:rsidRDefault="00F63652" w:rsidP="001276D3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EE6F57" w:rsidRPr="004A2C48" w:rsidRDefault="00EE6F57" w:rsidP="001276D3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943A0B" w:rsidRPr="001276D3" w:rsidRDefault="00943A0B" w:rsidP="001276D3">
      <w:pPr>
        <w:bidi/>
        <w:spacing w:after="0"/>
        <w:jc w:val="both"/>
        <w:rPr>
          <w:rFonts w:ascii="Simplified Arabic" w:eastAsia="Times New Roman" w:hAnsi="Simplified Arabic" w:cs="Simplified Arabic"/>
          <w:sz w:val="26"/>
          <w:szCs w:val="26"/>
        </w:rPr>
      </w:pPr>
    </w:p>
    <w:sectPr w:rsidR="00943A0B" w:rsidRPr="001276D3" w:rsidSect="001276D3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91" w:rsidRDefault="00D92991" w:rsidP="003C4A83">
      <w:pPr>
        <w:spacing w:after="0" w:line="240" w:lineRule="auto"/>
      </w:pPr>
      <w:r>
        <w:separator/>
      </w:r>
    </w:p>
  </w:endnote>
  <w:endnote w:type="continuationSeparator" w:id="0">
    <w:p w:rsidR="00D92991" w:rsidRDefault="00D92991" w:rsidP="003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063"/>
      <w:docPartObj>
        <w:docPartGallery w:val="Page Numbers (Bottom of Page)"/>
        <w:docPartUnique/>
      </w:docPartObj>
    </w:sdtPr>
    <w:sdtContent>
      <w:p w:rsidR="00DB705D" w:rsidRDefault="00E85DC2">
        <w:pPr>
          <w:pStyle w:val="Pieddepage"/>
          <w:jc w:val="right"/>
        </w:pPr>
        <w:fldSimple w:instr=" PAGE   \* MERGEFORMAT ">
          <w:r w:rsidR="00CE149A">
            <w:rPr>
              <w:noProof/>
            </w:rPr>
            <w:t>2</w:t>
          </w:r>
        </w:fldSimple>
      </w:p>
    </w:sdtContent>
  </w:sdt>
  <w:p w:rsidR="00DB705D" w:rsidRDefault="00DB70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91" w:rsidRDefault="00D92991" w:rsidP="003C4A83">
      <w:pPr>
        <w:spacing w:after="0" w:line="240" w:lineRule="auto"/>
      </w:pPr>
      <w:r>
        <w:separator/>
      </w:r>
    </w:p>
  </w:footnote>
  <w:footnote w:type="continuationSeparator" w:id="0">
    <w:p w:rsidR="00D92991" w:rsidRDefault="00D92991" w:rsidP="003C4A83">
      <w:pPr>
        <w:spacing w:after="0" w:line="240" w:lineRule="auto"/>
      </w:pPr>
      <w:r>
        <w:continuationSeparator/>
      </w:r>
    </w:p>
  </w:footnote>
  <w:footnote w:id="1">
    <w:p w:rsidR="00DB705D" w:rsidRPr="00DE0F52" w:rsidRDefault="00DB705D" w:rsidP="00974029">
      <w:pPr>
        <w:bidi/>
        <w:spacing w:after="0" w:line="480" w:lineRule="auto"/>
        <w:ind w:left="360"/>
        <w:jc w:val="right"/>
        <w:rPr>
          <w:rFonts w:asciiTheme="majorBidi" w:hAnsiTheme="majorBidi" w:cstheme="majorBidi"/>
          <w:sz w:val="26"/>
          <w:szCs w:val="26"/>
          <w:rtl/>
        </w:rPr>
      </w:pPr>
      <w:r w:rsidRPr="00974029">
        <w:rPr>
          <w:rStyle w:val="Appelnotedebasdep"/>
        </w:rPr>
        <w:footnoteRef/>
      </w:r>
      <w:r w:rsidRPr="00974029">
        <w:rPr>
          <w:rFonts w:asciiTheme="majorBidi" w:hAnsiTheme="majorBidi" w:cstheme="majorBidi" w:hint="cs"/>
          <w:vertAlign w:val="superscript"/>
          <w:rtl/>
        </w:rPr>
        <w:t xml:space="preserve">  </w:t>
      </w:r>
      <w:r w:rsidRPr="00974029">
        <w:rPr>
          <w:rFonts w:asciiTheme="majorBidi" w:hAnsiTheme="majorBidi" w:cstheme="majorBidi" w:hint="cs"/>
          <w:rtl/>
        </w:rPr>
        <w:t xml:space="preserve">الفترة التي تفصل بين إنجاز البحثين </w:t>
      </w:r>
      <w:r>
        <w:rPr>
          <w:rFonts w:asciiTheme="majorBidi" w:hAnsiTheme="majorBidi" w:cstheme="majorBidi" w:hint="cs"/>
          <w:rtl/>
        </w:rPr>
        <w:t xml:space="preserve">هي </w:t>
      </w:r>
      <w:r w:rsidRPr="00974029">
        <w:rPr>
          <w:rFonts w:asciiTheme="majorBidi" w:hAnsiTheme="majorBidi" w:cstheme="majorBidi" w:hint="cs"/>
          <w:rtl/>
        </w:rPr>
        <w:t>6 سنوات و نصف</w:t>
      </w:r>
    </w:p>
    <w:p w:rsidR="00DB705D" w:rsidRDefault="00DB705D">
      <w:pPr>
        <w:pStyle w:val="Notedebasdepage"/>
        <w:rPr>
          <w:rtl/>
          <w:lang w:bidi="ar-M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46" w:rsidRDefault="00580446">
    <w:pPr>
      <w:pStyle w:val="En-tte"/>
    </w:pPr>
    <w:r w:rsidRPr="00580446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-1473051</wp:posOffset>
          </wp:positionH>
          <wp:positionV relativeFrom="paragraph">
            <wp:posOffset>-223109</wp:posOffset>
          </wp:positionV>
          <wp:extent cx="8703422" cy="5038165"/>
          <wp:effectExtent l="19050" t="0" r="317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C7D"/>
    <w:multiLevelType w:val="hybridMultilevel"/>
    <w:tmpl w:val="A3DA7D68"/>
    <w:lvl w:ilvl="0" w:tplc="67C80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51C"/>
    <w:multiLevelType w:val="hybridMultilevel"/>
    <w:tmpl w:val="EEC80324"/>
    <w:lvl w:ilvl="0" w:tplc="2C7274A8">
      <w:start w:val="4"/>
      <w:numFmt w:val="bullet"/>
      <w:lvlText w:val="-"/>
      <w:lvlJc w:val="left"/>
      <w:pPr>
        <w:ind w:left="49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>
    <w:nsid w:val="1CAE777C"/>
    <w:multiLevelType w:val="hybridMultilevel"/>
    <w:tmpl w:val="75188252"/>
    <w:lvl w:ilvl="0" w:tplc="3898A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1734"/>
    <w:multiLevelType w:val="hybridMultilevel"/>
    <w:tmpl w:val="AD865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F0EDA"/>
    <w:multiLevelType w:val="hybridMultilevel"/>
    <w:tmpl w:val="F8A45C40"/>
    <w:lvl w:ilvl="0" w:tplc="D2CEB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0BC"/>
    <w:multiLevelType w:val="hybridMultilevel"/>
    <w:tmpl w:val="3D0427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30AE"/>
    <w:multiLevelType w:val="hybridMultilevel"/>
    <w:tmpl w:val="9A2031BA"/>
    <w:lvl w:ilvl="0" w:tplc="FEC8007E">
      <w:start w:val="1"/>
      <w:numFmt w:val="bullet"/>
      <w:pStyle w:val="ListepucesMi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476"/>
    <w:multiLevelType w:val="hybridMultilevel"/>
    <w:tmpl w:val="F430595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E27B3"/>
    <w:multiLevelType w:val="hybridMultilevel"/>
    <w:tmpl w:val="B92ECD10"/>
    <w:lvl w:ilvl="0" w:tplc="6000641A">
      <w:start w:val="1"/>
      <w:numFmt w:val="upperRoman"/>
      <w:lvlText w:val="%1-"/>
      <w:lvlJc w:val="left"/>
      <w:pPr>
        <w:ind w:left="862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64D40"/>
    <w:multiLevelType w:val="hybridMultilevel"/>
    <w:tmpl w:val="D08ADC5E"/>
    <w:lvl w:ilvl="0" w:tplc="F572B4B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0C6352C"/>
    <w:multiLevelType w:val="hybridMultilevel"/>
    <w:tmpl w:val="2A5088BC"/>
    <w:lvl w:ilvl="0" w:tplc="24C0244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2481650"/>
    <w:multiLevelType w:val="hybridMultilevel"/>
    <w:tmpl w:val="2F7CFD1E"/>
    <w:lvl w:ilvl="0" w:tplc="28B6255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31926"/>
    <w:multiLevelType w:val="hybridMultilevel"/>
    <w:tmpl w:val="AAC614B8"/>
    <w:lvl w:ilvl="0" w:tplc="BE74053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E8F16DA"/>
    <w:multiLevelType w:val="hybridMultilevel"/>
    <w:tmpl w:val="B92ECD10"/>
    <w:lvl w:ilvl="0" w:tplc="6000641A">
      <w:start w:val="1"/>
      <w:numFmt w:val="upperRoman"/>
      <w:lvlText w:val="%1-"/>
      <w:lvlJc w:val="left"/>
      <w:pPr>
        <w:ind w:left="862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339F2"/>
    <w:multiLevelType w:val="hybridMultilevel"/>
    <w:tmpl w:val="EE1E8CBC"/>
    <w:lvl w:ilvl="0" w:tplc="981ABD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56ED4"/>
    <w:multiLevelType w:val="hybridMultilevel"/>
    <w:tmpl w:val="D53AAD26"/>
    <w:lvl w:ilvl="0" w:tplc="09C2C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8603A"/>
    <w:multiLevelType w:val="hybridMultilevel"/>
    <w:tmpl w:val="2A5088BC"/>
    <w:lvl w:ilvl="0" w:tplc="24C02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5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17C"/>
    <w:rsid w:val="00002320"/>
    <w:rsid w:val="00003072"/>
    <w:rsid w:val="000046BA"/>
    <w:rsid w:val="00010AB0"/>
    <w:rsid w:val="00011538"/>
    <w:rsid w:val="0001660E"/>
    <w:rsid w:val="000327AC"/>
    <w:rsid w:val="00054D85"/>
    <w:rsid w:val="000575D8"/>
    <w:rsid w:val="00061BC7"/>
    <w:rsid w:val="0006223B"/>
    <w:rsid w:val="00065ACD"/>
    <w:rsid w:val="000708F0"/>
    <w:rsid w:val="00080810"/>
    <w:rsid w:val="00080EE8"/>
    <w:rsid w:val="00081E31"/>
    <w:rsid w:val="00094672"/>
    <w:rsid w:val="00095229"/>
    <w:rsid w:val="000976B4"/>
    <w:rsid w:val="000C5582"/>
    <w:rsid w:val="000C570C"/>
    <w:rsid w:val="000C6C1D"/>
    <w:rsid w:val="000C7C50"/>
    <w:rsid w:val="000D11E9"/>
    <w:rsid w:val="000D2065"/>
    <w:rsid w:val="000D5C41"/>
    <w:rsid w:val="000D7D2D"/>
    <w:rsid w:val="000E09B4"/>
    <w:rsid w:val="000E6585"/>
    <w:rsid w:val="000F1804"/>
    <w:rsid w:val="000F244F"/>
    <w:rsid w:val="00101D92"/>
    <w:rsid w:val="00105F5C"/>
    <w:rsid w:val="00112B64"/>
    <w:rsid w:val="001275EA"/>
    <w:rsid w:val="001276D3"/>
    <w:rsid w:val="00130CED"/>
    <w:rsid w:val="00135752"/>
    <w:rsid w:val="0013653F"/>
    <w:rsid w:val="001435CE"/>
    <w:rsid w:val="001635C5"/>
    <w:rsid w:val="00164040"/>
    <w:rsid w:val="00175676"/>
    <w:rsid w:val="0019566D"/>
    <w:rsid w:val="00196915"/>
    <w:rsid w:val="001A2358"/>
    <w:rsid w:val="001B0F6D"/>
    <w:rsid w:val="001B20E1"/>
    <w:rsid w:val="001B23AB"/>
    <w:rsid w:val="001B3EA1"/>
    <w:rsid w:val="001B533A"/>
    <w:rsid w:val="001B57B4"/>
    <w:rsid w:val="001D0AC1"/>
    <w:rsid w:val="001D5161"/>
    <w:rsid w:val="001E194C"/>
    <w:rsid w:val="001F7236"/>
    <w:rsid w:val="002020EA"/>
    <w:rsid w:val="002067B4"/>
    <w:rsid w:val="00214A9B"/>
    <w:rsid w:val="002173EF"/>
    <w:rsid w:val="00217B17"/>
    <w:rsid w:val="0023195A"/>
    <w:rsid w:val="00231EAA"/>
    <w:rsid w:val="002342E6"/>
    <w:rsid w:val="00243005"/>
    <w:rsid w:val="0024670D"/>
    <w:rsid w:val="00247443"/>
    <w:rsid w:val="00251254"/>
    <w:rsid w:val="00263BA6"/>
    <w:rsid w:val="00273D74"/>
    <w:rsid w:val="00273EFC"/>
    <w:rsid w:val="0027514C"/>
    <w:rsid w:val="00275AD8"/>
    <w:rsid w:val="00276917"/>
    <w:rsid w:val="0027788B"/>
    <w:rsid w:val="0028217C"/>
    <w:rsid w:val="0028219F"/>
    <w:rsid w:val="00282640"/>
    <w:rsid w:val="0028685D"/>
    <w:rsid w:val="00295631"/>
    <w:rsid w:val="00295655"/>
    <w:rsid w:val="002959A5"/>
    <w:rsid w:val="00296059"/>
    <w:rsid w:val="002964DE"/>
    <w:rsid w:val="00297FA7"/>
    <w:rsid w:val="002B6807"/>
    <w:rsid w:val="002C0E84"/>
    <w:rsid w:val="002C6CD5"/>
    <w:rsid w:val="002D2809"/>
    <w:rsid w:val="002E2F6C"/>
    <w:rsid w:val="002E4F23"/>
    <w:rsid w:val="002E7941"/>
    <w:rsid w:val="002F468C"/>
    <w:rsid w:val="00302313"/>
    <w:rsid w:val="003060C4"/>
    <w:rsid w:val="00312F27"/>
    <w:rsid w:val="00314F43"/>
    <w:rsid w:val="0031572E"/>
    <w:rsid w:val="0032793A"/>
    <w:rsid w:val="00333F52"/>
    <w:rsid w:val="00334A66"/>
    <w:rsid w:val="00345F31"/>
    <w:rsid w:val="003533ED"/>
    <w:rsid w:val="003617E3"/>
    <w:rsid w:val="00362F80"/>
    <w:rsid w:val="0036387D"/>
    <w:rsid w:val="00364C8A"/>
    <w:rsid w:val="00367436"/>
    <w:rsid w:val="00367466"/>
    <w:rsid w:val="00381BF0"/>
    <w:rsid w:val="0038686A"/>
    <w:rsid w:val="00390888"/>
    <w:rsid w:val="00391749"/>
    <w:rsid w:val="00391B7F"/>
    <w:rsid w:val="0039586A"/>
    <w:rsid w:val="003A5F10"/>
    <w:rsid w:val="003C2359"/>
    <w:rsid w:val="003C4A83"/>
    <w:rsid w:val="003E3953"/>
    <w:rsid w:val="003E69B9"/>
    <w:rsid w:val="003F0C10"/>
    <w:rsid w:val="003F25A3"/>
    <w:rsid w:val="0040098A"/>
    <w:rsid w:val="00417CA4"/>
    <w:rsid w:val="00427D76"/>
    <w:rsid w:val="00431DB5"/>
    <w:rsid w:val="0044698C"/>
    <w:rsid w:val="00452FA7"/>
    <w:rsid w:val="00453124"/>
    <w:rsid w:val="00453867"/>
    <w:rsid w:val="0045470C"/>
    <w:rsid w:val="004575CB"/>
    <w:rsid w:val="0048256D"/>
    <w:rsid w:val="00483128"/>
    <w:rsid w:val="00483FF5"/>
    <w:rsid w:val="00487A8F"/>
    <w:rsid w:val="00493E45"/>
    <w:rsid w:val="0049466F"/>
    <w:rsid w:val="004A21AF"/>
    <w:rsid w:val="004A2C48"/>
    <w:rsid w:val="004A2F52"/>
    <w:rsid w:val="004B5C53"/>
    <w:rsid w:val="004C070C"/>
    <w:rsid w:val="004C768B"/>
    <w:rsid w:val="004D5C0C"/>
    <w:rsid w:val="004E2ACB"/>
    <w:rsid w:val="004E4587"/>
    <w:rsid w:val="004E757D"/>
    <w:rsid w:val="004E7E74"/>
    <w:rsid w:val="004F05A9"/>
    <w:rsid w:val="004F0A45"/>
    <w:rsid w:val="004F16E5"/>
    <w:rsid w:val="00501FF2"/>
    <w:rsid w:val="00502533"/>
    <w:rsid w:val="005041D2"/>
    <w:rsid w:val="00521734"/>
    <w:rsid w:val="00525C26"/>
    <w:rsid w:val="00532B3B"/>
    <w:rsid w:val="00533306"/>
    <w:rsid w:val="00536AA4"/>
    <w:rsid w:val="00554B64"/>
    <w:rsid w:val="005573F7"/>
    <w:rsid w:val="005662F5"/>
    <w:rsid w:val="0057171F"/>
    <w:rsid w:val="005729DF"/>
    <w:rsid w:val="00580446"/>
    <w:rsid w:val="0058070B"/>
    <w:rsid w:val="0058167A"/>
    <w:rsid w:val="00592E49"/>
    <w:rsid w:val="0059353F"/>
    <w:rsid w:val="00595B75"/>
    <w:rsid w:val="005973C3"/>
    <w:rsid w:val="005B04B2"/>
    <w:rsid w:val="005B30EF"/>
    <w:rsid w:val="005B4422"/>
    <w:rsid w:val="005B5C6F"/>
    <w:rsid w:val="005B7767"/>
    <w:rsid w:val="005C60D1"/>
    <w:rsid w:val="005F3078"/>
    <w:rsid w:val="005F344F"/>
    <w:rsid w:val="005F5522"/>
    <w:rsid w:val="0060038E"/>
    <w:rsid w:val="006045F4"/>
    <w:rsid w:val="0062501A"/>
    <w:rsid w:val="00627FB7"/>
    <w:rsid w:val="00635C15"/>
    <w:rsid w:val="006361BA"/>
    <w:rsid w:val="006403C5"/>
    <w:rsid w:val="006412BF"/>
    <w:rsid w:val="0065259E"/>
    <w:rsid w:val="00653349"/>
    <w:rsid w:val="00660ED3"/>
    <w:rsid w:val="006641D1"/>
    <w:rsid w:val="00670A29"/>
    <w:rsid w:val="00674D0C"/>
    <w:rsid w:val="00692C7D"/>
    <w:rsid w:val="006A5AA8"/>
    <w:rsid w:val="006A7E52"/>
    <w:rsid w:val="006B17FB"/>
    <w:rsid w:val="006B71FB"/>
    <w:rsid w:val="006B7B16"/>
    <w:rsid w:val="006C09D2"/>
    <w:rsid w:val="006D0F0B"/>
    <w:rsid w:val="006E07BD"/>
    <w:rsid w:val="006E2DEF"/>
    <w:rsid w:val="006E5480"/>
    <w:rsid w:val="006E6A04"/>
    <w:rsid w:val="007012C3"/>
    <w:rsid w:val="00703248"/>
    <w:rsid w:val="007070E6"/>
    <w:rsid w:val="0072559E"/>
    <w:rsid w:val="0072665D"/>
    <w:rsid w:val="007325A8"/>
    <w:rsid w:val="00732DB9"/>
    <w:rsid w:val="007339D5"/>
    <w:rsid w:val="007375F0"/>
    <w:rsid w:val="00740F7F"/>
    <w:rsid w:val="00741B85"/>
    <w:rsid w:val="00761972"/>
    <w:rsid w:val="0077137E"/>
    <w:rsid w:val="00772AE7"/>
    <w:rsid w:val="007747B6"/>
    <w:rsid w:val="00780144"/>
    <w:rsid w:val="00780C16"/>
    <w:rsid w:val="0078582B"/>
    <w:rsid w:val="007859B4"/>
    <w:rsid w:val="00797A10"/>
    <w:rsid w:val="007A265C"/>
    <w:rsid w:val="007A76EC"/>
    <w:rsid w:val="007B15C1"/>
    <w:rsid w:val="007B3228"/>
    <w:rsid w:val="007C06B6"/>
    <w:rsid w:val="007C3E5A"/>
    <w:rsid w:val="007D2616"/>
    <w:rsid w:val="007F106F"/>
    <w:rsid w:val="007F1BC0"/>
    <w:rsid w:val="007F36EF"/>
    <w:rsid w:val="007F4C5F"/>
    <w:rsid w:val="00801910"/>
    <w:rsid w:val="00801BC2"/>
    <w:rsid w:val="008219E4"/>
    <w:rsid w:val="00824A2E"/>
    <w:rsid w:val="00826B8E"/>
    <w:rsid w:val="00830AC5"/>
    <w:rsid w:val="00837D52"/>
    <w:rsid w:val="00841215"/>
    <w:rsid w:val="00844483"/>
    <w:rsid w:val="00851311"/>
    <w:rsid w:val="008562AC"/>
    <w:rsid w:val="0086035B"/>
    <w:rsid w:val="008618C8"/>
    <w:rsid w:val="00872AFB"/>
    <w:rsid w:val="008773D5"/>
    <w:rsid w:val="008822C0"/>
    <w:rsid w:val="0089606D"/>
    <w:rsid w:val="008A19A2"/>
    <w:rsid w:val="008A2A15"/>
    <w:rsid w:val="008A74E6"/>
    <w:rsid w:val="008B1320"/>
    <w:rsid w:val="008C0BC1"/>
    <w:rsid w:val="008C0E17"/>
    <w:rsid w:val="008C159E"/>
    <w:rsid w:val="008C4BC3"/>
    <w:rsid w:val="008C62C7"/>
    <w:rsid w:val="008D028E"/>
    <w:rsid w:val="008D5625"/>
    <w:rsid w:val="008E0E52"/>
    <w:rsid w:val="008E1B58"/>
    <w:rsid w:val="00915B36"/>
    <w:rsid w:val="0092695F"/>
    <w:rsid w:val="009274B7"/>
    <w:rsid w:val="00932273"/>
    <w:rsid w:val="00935CAB"/>
    <w:rsid w:val="00937616"/>
    <w:rsid w:val="009413FB"/>
    <w:rsid w:val="00943A0B"/>
    <w:rsid w:val="009501A7"/>
    <w:rsid w:val="00951DCE"/>
    <w:rsid w:val="00952243"/>
    <w:rsid w:val="00954E6A"/>
    <w:rsid w:val="009578B0"/>
    <w:rsid w:val="0096453F"/>
    <w:rsid w:val="00967D49"/>
    <w:rsid w:val="009712B7"/>
    <w:rsid w:val="00972791"/>
    <w:rsid w:val="00974029"/>
    <w:rsid w:val="00974F4F"/>
    <w:rsid w:val="009765DD"/>
    <w:rsid w:val="00976A9E"/>
    <w:rsid w:val="00980A71"/>
    <w:rsid w:val="00986DBC"/>
    <w:rsid w:val="00987755"/>
    <w:rsid w:val="00992FC9"/>
    <w:rsid w:val="009946F5"/>
    <w:rsid w:val="009B1582"/>
    <w:rsid w:val="009B4071"/>
    <w:rsid w:val="009C4387"/>
    <w:rsid w:val="009C5B3C"/>
    <w:rsid w:val="009D2ABB"/>
    <w:rsid w:val="009D7FBD"/>
    <w:rsid w:val="009E5D58"/>
    <w:rsid w:val="00A009D4"/>
    <w:rsid w:val="00A050AD"/>
    <w:rsid w:val="00A05BC2"/>
    <w:rsid w:val="00A1337B"/>
    <w:rsid w:val="00A23E8C"/>
    <w:rsid w:val="00A252F4"/>
    <w:rsid w:val="00A26FCB"/>
    <w:rsid w:val="00A361BE"/>
    <w:rsid w:val="00A40BE3"/>
    <w:rsid w:val="00A41A2B"/>
    <w:rsid w:val="00A44187"/>
    <w:rsid w:val="00A46D88"/>
    <w:rsid w:val="00A51668"/>
    <w:rsid w:val="00A529F1"/>
    <w:rsid w:val="00A54F0A"/>
    <w:rsid w:val="00A72C66"/>
    <w:rsid w:val="00A740AF"/>
    <w:rsid w:val="00AA3B4A"/>
    <w:rsid w:val="00AA76F1"/>
    <w:rsid w:val="00AB1633"/>
    <w:rsid w:val="00AB23C8"/>
    <w:rsid w:val="00AC2A7C"/>
    <w:rsid w:val="00AC6971"/>
    <w:rsid w:val="00AC7298"/>
    <w:rsid w:val="00AD3910"/>
    <w:rsid w:val="00AE051C"/>
    <w:rsid w:val="00AE236C"/>
    <w:rsid w:val="00B01279"/>
    <w:rsid w:val="00B060AF"/>
    <w:rsid w:val="00B12136"/>
    <w:rsid w:val="00B13888"/>
    <w:rsid w:val="00B14096"/>
    <w:rsid w:val="00B16F29"/>
    <w:rsid w:val="00B238C9"/>
    <w:rsid w:val="00B31157"/>
    <w:rsid w:val="00B34E9B"/>
    <w:rsid w:val="00B42F63"/>
    <w:rsid w:val="00B44C51"/>
    <w:rsid w:val="00B4567A"/>
    <w:rsid w:val="00B574E1"/>
    <w:rsid w:val="00B862B4"/>
    <w:rsid w:val="00B87C7A"/>
    <w:rsid w:val="00B90749"/>
    <w:rsid w:val="00B92861"/>
    <w:rsid w:val="00B9359B"/>
    <w:rsid w:val="00B9444F"/>
    <w:rsid w:val="00B9568C"/>
    <w:rsid w:val="00B968FC"/>
    <w:rsid w:val="00BA309A"/>
    <w:rsid w:val="00BA31EA"/>
    <w:rsid w:val="00BA5AE9"/>
    <w:rsid w:val="00BA5F8F"/>
    <w:rsid w:val="00BA70E8"/>
    <w:rsid w:val="00BB2999"/>
    <w:rsid w:val="00BB3A01"/>
    <w:rsid w:val="00BD00F6"/>
    <w:rsid w:val="00BD4C45"/>
    <w:rsid w:val="00BD71F3"/>
    <w:rsid w:val="00BE68E1"/>
    <w:rsid w:val="00BF1D45"/>
    <w:rsid w:val="00BF3C49"/>
    <w:rsid w:val="00C038C4"/>
    <w:rsid w:val="00C06EC6"/>
    <w:rsid w:val="00C10DD1"/>
    <w:rsid w:val="00C13996"/>
    <w:rsid w:val="00C15382"/>
    <w:rsid w:val="00C15528"/>
    <w:rsid w:val="00C20665"/>
    <w:rsid w:val="00C51052"/>
    <w:rsid w:val="00C622A9"/>
    <w:rsid w:val="00C62FBD"/>
    <w:rsid w:val="00C73CFA"/>
    <w:rsid w:val="00C90E30"/>
    <w:rsid w:val="00C93FFB"/>
    <w:rsid w:val="00CA044D"/>
    <w:rsid w:val="00CA3340"/>
    <w:rsid w:val="00CA5221"/>
    <w:rsid w:val="00CA7BD5"/>
    <w:rsid w:val="00CB0E27"/>
    <w:rsid w:val="00CB2AD5"/>
    <w:rsid w:val="00CC3AE5"/>
    <w:rsid w:val="00CD0DC6"/>
    <w:rsid w:val="00CD5592"/>
    <w:rsid w:val="00CE149A"/>
    <w:rsid w:val="00CE1C94"/>
    <w:rsid w:val="00CE2374"/>
    <w:rsid w:val="00CE269F"/>
    <w:rsid w:val="00CF278D"/>
    <w:rsid w:val="00CF28F9"/>
    <w:rsid w:val="00CF449A"/>
    <w:rsid w:val="00D003F7"/>
    <w:rsid w:val="00D0501D"/>
    <w:rsid w:val="00D27882"/>
    <w:rsid w:val="00D27BA9"/>
    <w:rsid w:val="00D33D70"/>
    <w:rsid w:val="00D4293A"/>
    <w:rsid w:val="00D42FB8"/>
    <w:rsid w:val="00D4544D"/>
    <w:rsid w:val="00D63E5C"/>
    <w:rsid w:val="00D65C2C"/>
    <w:rsid w:val="00D677DB"/>
    <w:rsid w:val="00D72ABE"/>
    <w:rsid w:val="00D834C7"/>
    <w:rsid w:val="00D85037"/>
    <w:rsid w:val="00D908E1"/>
    <w:rsid w:val="00D9269D"/>
    <w:rsid w:val="00D92827"/>
    <w:rsid w:val="00D92991"/>
    <w:rsid w:val="00D95494"/>
    <w:rsid w:val="00D96EA5"/>
    <w:rsid w:val="00DA1A5C"/>
    <w:rsid w:val="00DB1325"/>
    <w:rsid w:val="00DB1E06"/>
    <w:rsid w:val="00DB22E6"/>
    <w:rsid w:val="00DB705D"/>
    <w:rsid w:val="00DC5CF0"/>
    <w:rsid w:val="00DE0F52"/>
    <w:rsid w:val="00DE2405"/>
    <w:rsid w:val="00DE2ABC"/>
    <w:rsid w:val="00DE30DF"/>
    <w:rsid w:val="00DF4914"/>
    <w:rsid w:val="00E036F8"/>
    <w:rsid w:val="00E04591"/>
    <w:rsid w:val="00E07A09"/>
    <w:rsid w:val="00E2317C"/>
    <w:rsid w:val="00E27FDE"/>
    <w:rsid w:val="00E36897"/>
    <w:rsid w:val="00E42450"/>
    <w:rsid w:val="00E43EA4"/>
    <w:rsid w:val="00E7076B"/>
    <w:rsid w:val="00E74B51"/>
    <w:rsid w:val="00E85DC2"/>
    <w:rsid w:val="00E917A6"/>
    <w:rsid w:val="00E92414"/>
    <w:rsid w:val="00E924D9"/>
    <w:rsid w:val="00E9455E"/>
    <w:rsid w:val="00E946F0"/>
    <w:rsid w:val="00E9543F"/>
    <w:rsid w:val="00E95775"/>
    <w:rsid w:val="00E97A97"/>
    <w:rsid w:val="00EC37F6"/>
    <w:rsid w:val="00EC4D1E"/>
    <w:rsid w:val="00EC5668"/>
    <w:rsid w:val="00ED572F"/>
    <w:rsid w:val="00EE3956"/>
    <w:rsid w:val="00EE6F57"/>
    <w:rsid w:val="00EE75F6"/>
    <w:rsid w:val="00F013A5"/>
    <w:rsid w:val="00F029B4"/>
    <w:rsid w:val="00F05823"/>
    <w:rsid w:val="00F06550"/>
    <w:rsid w:val="00F13B4A"/>
    <w:rsid w:val="00F143DB"/>
    <w:rsid w:val="00F16B96"/>
    <w:rsid w:val="00F228C3"/>
    <w:rsid w:val="00F256FD"/>
    <w:rsid w:val="00F26EA3"/>
    <w:rsid w:val="00F327EF"/>
    <w:rsid w:val="00F33F9C"/>
    <w:rsid w:val="00F468F5"/>
    <w:rsid w:val="00F61F84"/>
    <w:rsid w:val="00F63652"/>
    <w:rsid w:val="00F70001"/>
    <w:rsid w:val="00F80F80"/>
    <w:rsid w:val="00F928CE"/>
    <w:rsid w:val="00F95FF5"/>
    <w:rsid w:val="00F96F49"/>
    <w:rsid w:val="00F97B82"/>
    <w:rsid w:val="00FA068E"/>
    <w:rsid w:val="00FA7471"/>
    <w:rsid w:val="00FB1965"/>
    <w:rsid w:val="00FB2167"/>
    <w:rsid w:val="00FB6F6B"/>
    <w:rsid w:val="00FC0672"/>
    <w:rsid w:val="00FD1152"/>
    <w:rsid w:val="00FD2B7C"/>
    <w:rsid w:val="00FD4B57"/>
    <w:rsid w:val="00FD702D"/>
    <w:rsid w:val="00FD7494"/>
    <w:rsid w:val="00FE1D64"/>
    <w:rsid w:val="00FF581F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unhideWhenUsed/>
    <w:rsid w:val="00E2317C"/>
    <w:pPr>
      <w:spacing w:after="120" w:line="480" w:lineRule="auto"/>
    </w:pPr>
    <w:rPr>
      <w:rFonts w:ascii="Arial" w:eastAsia="Calibri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2317C"/>
    <w:rPr>
      <w:rFonts w:ascii="Arial" w:eastAsia="Calibri" w:hAnsi="Arial" w:cs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533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1B53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B533A"/>
  </w:style>
  <w:style w:type="paragraph" w:customStyle="1" w:styleId="ListepucesMien">
    <w:name w:val="Liste à puces (Mien)"/>
    <w:basedOn w:val="Normal"/>
    <w:link w:val="ListepucesMienCar"/>
    <w:qFormat/>
    <w:rsid w:val="001B533A"/>
    <w:pPr>
      <w:numPr>
        <w:numId w:val="3"/>
      </w:numPr>
      <w:spacing w:after="0" w:line="240" w:lineRule="auto"/>
      <w:jc w:val="both"/>
    </w:pPr>
    <w:rPr>
      <w:rFonts w:ascii="Calibri" w:eastAsia="Times New Roman" w:hAnsi="Calibri" w:cs="Times New Roman"/>
      <w:b/>
      <w:color w:val="0000FF"/>
      <w:sz w:val="24"/>
      <w:szCs w:val="24"/>
      <w:lang w:eastAsia="fr-FR"/>
    </w:rPr>
  </w:style>
  <w:style w:type="character" w:customStyle="1" w:styleId="ListepucesMienCar">
    <w:name w:val="Liste à puces (Mien) Car"/>
    <w:basedOn w:val="Policepardfaut"/>
    <w:link w:val="ListepucesMien"/>
    <w:rsid w:val="001B533A"/>
    <w:rPr>
      <w:rFonts w:ascii="Calibri" w:eastAsia="Times New Roman" w:hAnsi="Calibri" w:cs="Times New Roman"/>
      <w:b/>
      <w:color w:val="0000F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C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4A83"/>
  </w:style>
  <w:style w:type="paragraph" w:styleId="Pieddepage">
    <w:name w:val="footer"/>
    <w:basedOn w:val="Normal"/>
    <w:link w:val="PieddepageCar"/>
    <w:uiPriority w:val="99"/>
    <w:unhideWhenUsed/>
    <w:rsid w:val="003C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A83"/>
  </w:style>
  <w:style w:type="paragraph" w:styleId="Textedebulles">
    <w:name w:val="Balloon Text"/>
    <w:basedOn w:val="Normal"/>
    <w:link w:val="TextedebullesCar"/>
    <w:uiPriority w:val="99"/>
    <w:semiHidden/>
    <w:unhideWhenUsed/>
    <w:rsid w:val="00CC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AE5"/>
    <w:rPr>
      <w:rFonts w:ascii="Tahoma" w:hAnsi="Tahoma" w:cs="Tahoma"/>
      <w:sz w:val="16"/>
      <w:szCs w:val="16"/>
    </w:rPr>
  </w:style>
  <w:style w:type="character" w:customStyle="1" w:styleId="alt-edited1">
    <w:name w:val="alt-edited1"/>
    <w:basedOn w:val="Policepardfaut"/>
    <w:rsid w:val="00263BA6"/>
    <w:rPr>
      <w:color w:val="4D90F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26FC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6FC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6FC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0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40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40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benayad\Desktop\SECTEUR%20INFORMEL%202014\premiers%20r&#233;sulta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Feuil9!$B$65</c:f>
              <c:strCache>
                <c:ptCount val="1"/>
                <c:pt idx="0">
                  <c:v>2007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Feuil9!$A$66:$A$69</c:f>
              <c:strCache>
                <c:ptCount val="4"/>
                <c:pt idx="0">
                  <c:v>البناء والأشغال العمومية </c:v>
                </c:pt>
                <c:pt idx="1">
                  <c:v>التجارة </c:v>
                </c:pt>
                <c:pt idx="2">
                  <c:v>الصناعة</c:v>
                </c:pt>
                <c:pt idx="3">
                  <c:v>الخدمات </c:v>
                </c:pt>
              </c:strCache>
            </c:strRef>
          </c:cat>
          <c:val>
            <c:numRef>
              <c:f>Feuil9!$B$66:$B$69</c:f>
              <c:numCache>
                <c:formatCode>0.0%</c:formatCode>
                <c:ptCount val="4"/>
                <c:pt idx="0">
                  <c:v>0.12876022469535819</c:v>
                </c:pt>
                <c:pt idx="1">
                  <c:v>0.49000875975206093</c:v>
                </c:pt>
                <c:pt idx="2">
                  <c:v>0.20133716658448989</c:v>
                </c:pt>
                <c:pt idx="3">
                  <c:v>0.17989384896809191</c:v>
                </c:pt>
              </c:numCache>
            </c:numRef>
          </c:val>
        </c:ser>
        <c:ser>
          <c:idx val="1"/>
          <c:order val="1"/>
          <c:tx>
            <c:strRef>
              <c:f>Feuil9!$C$65</c:f>
              <c:strCache>
                <c:ptCount val="1"/>
                <c:pt idx="0">
                  <c:v>2013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Feuil9!$A$66:$A$69</c:f>
              <c:strCache>
                <c:ptCount val="4"/>
                <c:pt idx="0">
                  <c:v>البناء والأشغال العمومية </c:v>
                </c:pt>
                <c:pt idx="1">
                  <c:v>التجارة </c:v>
                </c:pt>
                <c:pt idx="2">
                  <c:v>الصناعة</c:v>
                </c:pt>
                <c:pt idx="3">
                  <c:v>الخدمات </c:v>
                </c:pt>
              </c:strCache>
            </c:strRef>
          </c:cat>
          <c:val>
            <c:numRef>
              <c:f>Feuil9!$C$66:$C$69</c:f>
              <c:numCache>
                <c:formatCode>0.0%</c:formatCode>
                <c:ptCount val="4"/>
                <c:pt idx="0">
                  <c:v>0.14272236996140591</c:v>
                </c:pt>
                <c:pt idx="1">
                  <c:v>0.43061445103026774</c:v>
                </c:pt>
                <c:pt idx="2">
                  <c:v>0.2280705817941934</c:v>
                </c:pt>
                <c:pt idx="3">
                  <c:v>0.19859259721413389</c:v>
                </c:pt>
              </c:numCache>
            </c:numRef>
          </c:val>
        </c:ser>
        <c:dLbls>
          <c:showVal val="1"/>
        </c:dLbls>
        <c:gapWidth val="75"/>
        <c:shape val="box"/>
        <c:axId val="144603776"/>
        <c:axId val="144617856"/>
        <c:axId val="0"/>
      </c:bar3DChart>
      <c:catAx>
        <c:axId val="144603776"/>
        <c:scaling>
          <c:orientation val="minMax"/>
        </c:scaling>
        <c:axPos val="b"/>
        <c:majorTickMark val="none"/>
        <c:tickLblPos val="nextTo"/>
        <c:crossAx val="144617856"/>
        <c:crosses val="autoZero"/>
        <c:auto val="1"/>
        <c:lblAlgn val="ctr"/>
        <c:lblOffset val="100"/>
      </c:catAx>
      <c:valAx>
        <c:axId val="14461785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446037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100"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80F7-F80D-4169-B29E-5471E779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sdrissi</dc:creator>
  <cp:lastModifiedBy>mbennani</cp:lastModifiedBy>
  <cp:revision>2</cp:revision>
  <cp:lastPrinted>2016-09-30T10:07:00Z</cp:lastPrinted>
  <dcterms:created xsi:type="dcterms:W3CDTF">2016-10-14T08:34:00Z</dcterms:created>
  <dcterms:modified xsi:type="dcterms:W3CDTF">2016-10-14T08:34:00Z</dcterms:modified>
</cp:coreProperties>
</file>