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CE4" w:rsidRPr="007E1CE4" w:rsidRDefault="007E1CE4" w:rsidP="007E1CE4">
      <w:pPr>
        <w:jc w:val="center"/>
        <w:rPr>
          <w:b/>
          <w:bCs/>
          <w:color w:val="ED7D31" w:themeColor="accent2"/>
          <w:sz w:val="36"/>
          <w:szCs w:val="36"/>
        </w:rPr>
      </w:pPr>
      <w:r w:rsidRPr="007E1CE4">
        <w:rPr>
          <w:b/>
          <w:bCs/>
          <w:color w:val="ED7D31" w:themeColor="accent2"/>
          <w:sz w:val="36"/>
          <w:szCs w:val="36"/>
        </w:rPr>
        <w:t>Royaume du Maroc</w:t>
      </w:r>
    </w:p>
    <w:p w:rsidR="007E1CE4" w:rsidRPr="007E1CE4" w:rsidRDefault="007E1CE4" w:rsidP="007E1CE4">
      <w:pPr>
        <w:jc w:val="center"/>
        <w:rPr>
          <w:b/>
          <w:bCs/>
          <w:color w:val="ED7D31" w:themeColor="accent2"/>
          <w:sz w:val="36"/>
          <w:szCs w:val="36"/>
        </w:rPr>
      </w:pPr>
      <w:r w:rsidRPr="007E1CE4">
        <w:rPr>
          <w:b/>
          <w:bCs/>
          <w:color w:val="ED7D31" w:themeColor="accent2"/>
          <w:sz w:val="36"/>
          <w:szCs w:val="36"/>
        </w:rPr>
        <w:t>Haut-Commissariat au Plan</w:t>
      </w:r>
    </w:p>
    <w:p w:rsidR="007E1CE4" w:rsidRDefault="007E1CE4"/>
    <w:p w:rsidR="007E1CE4" w:rsidRDefault="007E1CE4"/>
    <w:p w:rsidR="007E1CE4" w:rsidRDefault="007E1CE4"/>
    <w:p w:rsidR="007E1CE4" w:rsidRDefault="007E1CE4"/>
    <w:p w:rsidR="007E1CE4" w:rsidRDefault="007E1CE4"/>
    <w:p w:rsidR="007E1CE4" w:rsidRDefault="007E1CE4"/>
    <w:p w:rsidR="007E1CE4" w:rsidRDefault="007E1CE4"/>
    <w:p w:rsidR="007E1CE4" w:rsidRDefault="007E1CE4"/>
    <w:p w:rsidR="007E1CE4" w:rsidRDefault="007E1CE4"/>
    <w:p w:rsidR="007E1CE4" w:rsidRDefault="007E1CE4"/>
    <w:p w:rsidR="00C83888" w:rsidRDefault="007E1CE4" w:rsidP="007E1CE4">
      <w:pPr>
        <w:jc w:val="center"/>
        <w:rPr>
          <w:b/>
          <w:bCs/>
          <w:color w:val="4472C4" w:themeColor="accent1"/>
          <w:sz w:val="36"/>
          <w:szCs w:val="36"/>
        </w:rPr>
      </w:pPr>
      <w:r w:rsidRPr="00C21983">
        <w:rPr>
          <w:b/>
          <w:bCs/>
          <w:color w:val="4472C4" w:themeColor="accent1"/>
          <w:sz w:val="36"/>
          <w:szCs w:val="36"/>
        </w:rPr>
        <w:t>Principaux indicateurs du marché de travail relatifs à l'activité, à l'emploi et au chômage au titre du quatrième trimestre 2021</w:t>
      </w:r>
    </w:p>
    <w:p w:rsidR="00C83888" w:rsidRDefault="00C83888">
      <w:pPr>
        <w:rPr>
          <w:b/>
          <w:bCs/>
          <w:color w:val="4472C4" w:themeColor="accent1"/>
          <w:sz w:val="36"/>
          <w:szCs w:val="36"/>
        </w:rPr>
      </w:pPr>
      <w:r>
        <w:rPr>
          <w:b/>
          <w:bCs/>
          <w:color w:val="4472C4" w:themeColor="accent1"/>
          <w:sz w:val="36"/>
          <w:szCs w:val="36"/>
        </w:rPr>
        <w:br w:type="page"/>
      </w:r>
    </w:p>
    <w:p w:rsidR="00C83888" w:rsidRDefault="00C83888" w:rsidP="00C83888">
      <w:pPr>
        <w:autoSpaceDE w:val="0"/>
        <w:autoSpaceDN w:val="0"/>
        <w:adjustRightInd w:val="0"/>
        <w:spacing w:before="120" w:after="120" w:line="360" w:lineRule="auto"/>
        <w:jc w:val="both"/>
        <w:rPr>
          <w:rFonts w:ascii="Book Antiqua" w:eastAsia="Times New Roman" w:hAnsi="Book Antiqua" w:cs="Times New Roman"/>
          <w:b/>
          <w:bCs/>
          <w:noProof/>
          <w:color w:val="0070C0"/>
          <w:lang w:eastAsia="fr-FR"/>
        </w:rPr>
      </w:pPr>
    </w:p>
    <w:p w:rsidR="00C83888" w:rsidRPr="00C83888" w:rsidRDefault="00C83888" w:rsidP="00C83888">
      <w:pPr>
        <w:autoSpaceDE w:val="0"/>
        <w:autoSpaceDN w:val="0"/>
        <w:adjustRightInd w:val="0"/>
        <w:spacing w:before="120" w:after="120" w:line="360" w:lineRule="auto"/>
        <w:jc w:val="both"/>
        <w:rPr>
          <w:rFonts w:ascii="Book Antiqua" w:eastAsia="Times New Roman" w:hAnsi="Book Antiqua" w:cs="Times New Roman"/>
          <w:b/>
          <w:bCs/>
          <w:noProof/>
          <w:color w:val="0070C0"/>
          <w:lang w:eastAsia="fr-FR"/>
        </w:rPr>
      </w:pPr>
      <w:r w:rsidRPr="00C83888">
        <w:rPr>
          <w:rFonts w:ascii="Book Antiqua" w:eastAsia="Times New Roman" w:hAnsi="Book Antiqua" w:cs="Times New Roman"/>
          <w:b/>
          <w:bCs/>
          <w:noProof/>
          <w:color w:val="0070C0"/>
          <w:lang w:eastAsia="fr-FR"/>
        </w:rPr>
        <w:t>Traits saillants</w:t>
      </w:r>
    </w:p>
    <w:p w:rsidR="00C83888" w:rsidRDefault="00C83888" w:rsidP="00C83888">
      <w:pPr>
        <w:autoSpaceDE w:val="0"/>
        <w:autoSpaceDN w:val="0"/>
        <w:adjustRightInd w:val="0"/>
        <w:spacing w:before="120" w:after="120" w:line="360" w:lineRule="auto"/>
        <w:jc w:val="both"/>
        <w:rPr>
          <w:rFonts w:ascii="Book Antiqua" w:eastAsia="Times New Roman" w:hAnsi="Book Antiqua" w:cs="Times New Roman"/>
          <w:b/>
          <w:bCs/>
          <w:noProof/>
          <w:color w:val="0070C0"/>
          <w:sz w:val="24"/>
          <w:szCs w:val="24"/>
          <w:lang w:eastAsia="fr-FR"/>
        </w:rPr>
      </w:pPr>
    </w:p>
    <w:p w:rsidR="00C83888" w:rsidRPr="00C83888" w:rsidRDefault="00C83888" w:rsidP="00C83888">
      <w:pPr>
        <w:autoSpaceDE w:val="0"/>
        <w:autoSpaceDN w:val="0"/>
        <w:adjustRightInd w:val="0"/>
        <w:spacing w:before="120" w:after="120" w:line="360" w:lineRule="auto"/>
        <w:jc w:val="both"/>
        <w:rPr>
          <w:rFonts w:ascii="Book Antiqua" w:eastAsia="Times New Roman" w:hAnsi="Book Antiqua" w:cs="Times New Roman"/>
          <w:b/>
          <w:bCs/>
          <w:noProof/>
          <w:color w:val="0070C0"/>
          <w:sz w:val="24"/>
          <w:szCs w:val="24"/>
          <w:lang w:eastAsia="fr-FR"/>
        </w:rPr>
      </w:pPr>
      <w:r w:rsidRPr="00C83888">
        <w:rPr>
          <w:rFonts w:ascii="Book Antiqua" w:eastAsia="Times New Roman" w:hAnsi="Book Antiqua" w:cs="Times New Roman"/>
          <w:b/>
          <w:bCs/>
          <w:noProof/>
          <w:color w:val="0070C0"/>
          <w:sz w:val="24"/>
          <w:szCs w:val="24"/>
          <w:lang w:eastAsia="fr-FR"/>
        </w:rPr>
        <w:t>Entre quatrième trimestre de 2020 et la même période de 2021, l’économie nationale a créé 153.000 postes d’emploi, résultant d’une création de 65.000 en milieu rural et de 88.000 postes en milieu urbain, contre une perte de 451.000 postes d’emploi une année auparavant.</w:t>
      </w:r>
    </w:p>
    <w:p w:rsidR="00C83888" w:rsidRPr="00C83888" w:rsidRDefault="00C83888" w:rsidP="00C83888">
      <w:pPr>
        <w:autoSpaceDE w:val="0"/>
        <w:autoSpaceDN w:val="0"/>
        <w:adjustRightInd w:val="0"/>
        <w:spacing w:before="120" w:after="120" w:line="360" w:lineRule="auto"/>
        <w:jc w:val="both"/>
        <w:rPr>
          <w:rFonts w:ascii="Book Antiqua" w:eastAsia="Times New Roman" w:hAnsi="Book Antiqua" w:cs="Times New Roman"/>
          <w:b/>
          <w:bCs/>
          <w:noProof/>
          <w:color w:val="0070C0"/>
          <w:sz w:val="24"/>
          <w:szCs w:val="24"/>
          <w:lang w:eastAsia="fr-FR"/>
        </w:rPr>
      </w:pPr>
      <w:r w:rsidRPr="00C83888">
        <w:rPr>
          <w:rFonts w:ascii="Book Antiqua" w:eastAsia="Times New Roman" w:hAnsi="Book Antiqua" w:cs="Times New Roman"/>
          <w:b/>
          <w:bCs/>
          <w:noProof/>
          <w:color w:val="0070C0"/>
          <w:sz w:val="24"/>
          <w:szCs w:val="24"/>
          <w:lang w:eastAsia="fr-FR"/>
        </w:rPr>
        <w:t>Avec une baisse de 23.000 chômeurs, résultant d’une réduction de 63.000 chômeurs en milieu rural et d’une augmentation de 40.000 en milieu urbain, le volume de chômage a atteint 1.438.000 personnes au niveau national.</w:t>
      </w:r>
    </w:p>
    <w:p w:rsidR="00C83888" w:rsidRPr="00C83888" w:rsidRDefault="00C83888" w:rsidP="00C83888">
      <w:pPr>
        <w:autoSpaceDE w:val="0"/>
        <w:autoSpaceDN w:val="0"/>
        <w:adjustRightInd w:val="0"/>
        <w:spacing w:before="120" w:after="120" w:line="360" w:lineRule="auto"/>
        <w:jc w:val="both"/>
        <w:rPr>
          <w:rFonts w:ascii="Book Antiqua" w:eastAsia="Times New Roman" w:hAnsi="Book Antiqua" w:cs="Times New Roman"/>
          <w:b/>
          <w:bCs/>
          <w:noProof/>
          <w:color w:val="0070C0"/>
          <w:sz w:val="24"/>
          <w:szCs w:val="24"/>
          <w:lang w:eastAsia="fr-FR"/>
        </w:rPr>
      </w:pPr>
      <w:r w:rsidRPr="00C83888">
        <w:rPr>
          <w:rFonts w:ascii="Book Antiqua" w:eastAsia="Times New Roman" w:hAnsi="Book Antiqua" w:cs="Times New Roman"/>
          <w:b/>
          <w:bCs/>
          <w:noProof/>
          <w:color w:val="0070C0"/>
          <w:sz w:val="24"/>
          <w:szCs w:val="24"/>
          <w:lang w:eastAsia="fr-FR"/>
        </w:rPr>
        <w:t>Le taux de chômage est ainsi passé de 12,2% à 11,9% au niveau national, de 16,3% à 16,5% en milieu urbain et de 5,9% à 4,5% en milieu rural. Il est plus élevé parmi les jeunes âgés de 15 à 24 ans (32,7%), les diplômés (19,5%) et les femmes (17,3%).</w:t>
      </w:r>
    </w:p>
    <w:p w:rsidR="007705ED" w:rsidRDefault="00C83888" w:rsidP="00C83888">
      <w:pPr>
        <w:autoSpaceDE w:val="0"/>
        <w:autoSpaceDN w:val="0"/>
        <w:adjustRightInd w:val="0"/>
        <w:spacing w:before="120" w:after="120" w:line="360" w:lineRule="auto"/>
        <w:jc w:val="both"/>
        <w:rPr>
          <w:b/>
          <w:bCs/>
          <w:sz w:val="36"/>
          <w:szCs w:val="36"/>
        </w:rPr>
      </w:pPr>
      <w:r>
        <w:rPr>
          <w:rFonts w:ascii="Book Antiqua" w:eastAsia="Times New Roman" w:hAnsi="Book Antiqua" w:cs="Times New Roman"/>
          <w:b/>
          <w:bCs/>
          <w:noProof/>
          <w:color w:val="0070C0"/>
          <w:sz w:val="24"/>
          <w:szCs w:val="24"/>
          <w:lang w:eastAsia="fr-FR"/>
        </w:rPr>
        <w:t>Le volume du sous-emploi</w:t>
      </w:r>
      <w:r w:rsidRPr="00C83888">
        <w:rPr>
          <w:rFonts w:ascii="Book Antiqua" w:eastAsia="Times New Roman" w:hAnsi="Book Antiqua" w:cs="Times New Roman"/>
          <w:b/>
          <w:bCs/>
          <w:noProof/>
          <w:color w:val="0070C0"/>
          <w:sz w:val="24"/>
          <w:szCs w:val="24"/>
          <w:lang w:eastAsia="fr-FR"/>
        </w:rPr>
        <w:t>, a atteint 1.013.000 personnes.  Le taux global de sous-emploi est ainsi baissé de 9,7% à 9,5% au niveau national, de 10,9% à 10,5% en milieu rural, et il a stagné à 8,9% en milieu urbain.</w:t>
      </w:r>
      <w:r w:rsidR="007E1CE4" w:rsidRPr="007E1CE4">
        <w:rPr>
          <w:b/>
          <w:bCs/>
          <w:sz w:val="36"/>
          <w:szCs w:val="36"/>
        </w:rPr>
        <w:br w:type="page"/>
      </w:r>
    </w:p>
    <w:tbl>
      <w:tblPr>
        <w:tblpPr w:leftFromText="141" w:rightFromText="141" w:horzAnchor="margin" w:tblpXSpec="center" w:tblpY="-1134"/>
        <w:tblW w:w="9329" w:type="dxa"/>
        <w:tblCellMar>
          <w:left w:w="70" w:type="dxa"/>
          <w:right w:w="70" w:type="dxa"/>
        </w:tblCellMar>
        <w:tblLook w:val="04A0"/>
      </w:tblPr>
      <w:tblGrid>
        <w:gridCol w:w="5608"/>
        <w:gridCol w:w="1266"/>
        <w:gridCol w:w="1203"/>
        <w:gridCol w:w="1252"/>
      </w:tblGrid>
      <w:tr w:rsidR="007705ED" w:rsidRPr="007705ED" w:rsidTr="00277604">
        <w:trPr>
          <w:trHeight w:val="108"/>
        </w:trPr>
        <w:tc>
          <w:tcPr>
            <w:tcW w:w="9329" w:type="dxa"/>
            <w:gridSpan w:val="4"/>
            <w:tcBorders>
              <w:top w:val="nil"/>
              <w:left w:val="nil"/>
              <w:bottom w:val="nil"/>
              <w:right w:val="nil"/>
            </w:tcBorders>
            <w:shd w:val="clear" w:color="auto" w:fill="auto"/>
            <w:noWrap/>
            <w:hideMark/>
          </w:tcPr>
          <w:p w:rsidR="007705ED" w:rsidRPr="00C83888" w:rsidRDefault="007705ED" w:rsidP="007705ED">
            <w:pPr>
              <w:spacing w:after="0" w:line="240" w:lineRule="auto"/>
              <w:jc w:val="center"/>
              <w:rPr>
                <w:rFonts w:ascii="Garamond" w:eastAsia="Times New Roman" w:hAnsi="Garamond" w:cs="Calibri"/>
                <w:b/>
                <w:bCs/>
                <w:color w:val="1F497D"/>
                <w:sz w:val="20"/>
                <w:szCs w:val="20"/>
                <w:lang w:eastAsia="fr-FR"/>
              </w:rPr>
            </w:pPr>
            <w:r w:rsidRPr="00C83888">
              <w:rPr>
                <w:rFonts w:ascii="Garamond" w:eastAsia="Times New Roman" w:hAnsi="Garamond" w:cs="Calibri"/>
                <w:b/>
                <w:bCs/>
                <w:color w:val="1F497D"/>
                <w:sz w:val="24"/>
                <w:szCs w:val="24"/>
                <w:lang w:eastAsia="fr-FR"/>
              </w:rPr>
              <w:lastRenderedPageBreak/>
              <w:t>Indicateurs trimestriels d'activité, d'emploi et de chômage par milieu de résidence</w:t>
            </w:r>
          </w:p>
        </w:tc>
      </w:tr>
      <w:tr w:rsidR="007705ED" w:rsidRPr="007705ED" w:rsidTr="00277604">
        <w:trPr>
          <w:trHeight w:val="163"/>
        </w:trPr>
        <w:tc>
          <w:tcPr>
            <w:tcW w:w="9329" w:type="dxa"/>
            <w:gridSpan w:val="4"/>
            <w:tcBorders>
              <w:top w:val="nil"/>
              <w:left w:val="nil"/>
              <w:bottom w:val="nil"/>
              <w:right w:val="nil"/>
            </w:tcBorders>
            <w:shd w:val="clear" w:color="auto" w:fill="auto"/>
            <w:noWrap/>
            <w:hideMark/>
          </w:tcPr>
          <w:p w:rsidR="007705ED" w:rsidRPr="007705ED" w:rsidRDefault="007705ED" w:rsidP="007705ED">
            <w:pPr>
              <w:spacing w:after="0" w:line="240" w:lineRule="auto"/>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(Effectifs en milliers ; Taux en %)</w:t>
            </w:r>
          </w:p>
        </w:tc>
      </w:tr>
      <w:tr w:rsidR="007705ED" w:rsidRPr="007705ED" w:rsidTr="00277604">
        <w:trPr>
          <w:trHeight w:val="108"/>
        </w:trPr>
        <w:tc>
          <w:tcPr>
            <w:tcW w:w="56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705ED" w:rsidRPr="007705ED" w:rsidRDefault="007705ED" w:rsidP="007705ED">
            <w:pPr>
              <w:bidi/>
              <w:spacing w:after="0" w:line="240" w:lineRule="auto"/>
              <w:rPr>
                <w:rFonts w:ascii="Garamond" w:eastAsia="Times New Roman" w:hAnsi="Garamond" w:cs="Calibri"/>
                <w:b/>
                <w:bCs/>
                <w:color w:val="000000"/>
                <w:sz w:val="20"/>
                <w:szCs w:val="20"/>
                <w:lang w:eastAsia="fr-FR"/>
              </w:rPr>
            </w:pPr>
            <w:r w:rsidRPr="007705ED">
              <w:rPr>
                <w:rFonts w:ascii="Garamond" w:eastAsia="Times New Roman" w:hAnsi="Garamond" w:cs="Calibri"/>
                <w:b/>
                <w:bCs/>
                <w:color w:val="000000"/>
                <w:sz w:val="20"/>
                <w:szCs w:val="20"/>
                <w:rtl/>
                <w:lang w:eastAsia="fr-FR"/>
              </w:rPr>
              <w:t> </w:t>
            </w:r>
          </w:p>
        </w:tc>
        <w:tc>
          <w:tcPr>
            <w:tcW w:w="3720" w:type="dxa"/>
            <w:gridSpan w:val="3"/>
            <w:tcBorders>
              <w:top w:val="single" w:sz="4" w:space="0" w:color="auto"/>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jc w:val="center"/>
              <w:rPr>
                <w:rFonts w:ascii="Garamond" w:eastAsia="Times New Roman" w:hAnsi="Garamond" w:cs="Calibri"/>
                <w:b/>
                <w:bCs/>
                <w:color w:val="000000"/>
                <w:sz w:val="20"/>
                <w:szCs w:val="20"/>
                <w:rtl/>
                <w:lang w:eastAsia="fr-FR"/>
              </w:rPr>
            </w:pPr>
            <w:r w:rsidRPr="007705ED">
              <w:rPr>
                <w:rFonts w:ascii="Garamond" w:eastAsia="Times New Roman" w:hAnsi="Garamond" w:cs="Calibri"/>
                <w:b/>
                <w:bCs/>
                <w:color w:val="000000"/>
                <w:sz w:val="20"/>
                <w:szCs w:val="20"/>
                <w:lang w:eastAsia="fr-FR"/>
              </w:rPr>
              <w:t>2021T4</w:t>
            </w:r>
          </w:p>
        </w:tc>
      </w:tr>
      <w:tr w:rsidR="00277604" w:rsidRPr="00277604" w:rsidTr="00277604">
        <w:trPr>
          <w:trHeight w:val="67"/>
        </w:trPr>
        <w:tc>
          <w:tcPr>
            <w:tcW w:w="5608" w:type="dxa"/>
            <w:vMerge/>
            <w:tcBorders>
              <w:top w:val="single" w:sz="4" w:space="0" w:color="auto"/>
              <w:left w:val="single" w:sz="4" w:space="0" w:color="auto"/>
              <w:bottom w:val="single" w:sz="4" w:space="0" w:color="auto"/>
              <w:right w:val="single" w:sz="4" w:space="0" w:color="auto"/>
            </w:tcBorders>
            <w:vAlign w:val="center"/>
            <w:hideMark/>
          </w:tcPr>
          <w:p w:rsidR="007705ED" w:rsidRPr="007705ED" w:rsidRDefault="007705ED" w:rsidP="007705ED">
            <w:pPr>
              <w:spacing w:after="0" w:line="240" w:lineRule="auto"/>
              <w:rPr>
                <w:rFonts w:ascii="Garamond" w:eastAsia="Times New Roman" w:hAnsi="Garamond" w:cs="Calibri"/>
                <w:b/>
                <w:bCs/>
                <w:color w:val="000000"/>
                <w:sz w:val="20"/>
                <w:szCs w:val="20"/>
                <w:lang w:eastAsia="fr-FR"/>
              </w:rPr>
            </w:pPr>
          </w:p>
        </w:tc>
        <w:tc>
          <w:tcPr>
            <w:tcW w:w="1266" w:type="dxa"/>
            <w:tcBorders>
              <w:top w:val="nil"/>
              <w:left w:val="nil"/>
              <w:bottom w:val="single" w:sz="4" w:space="0" w:color="auto"/>
              <w:right w:val="single" w:sz="4" w:space="0" w:color="auto"/>
            </w:tcBorders>
            <w:shd w:val="clear" w:color="auto" w:fill="auto"/>
            <w:hideMark/>
          </w:tcPr>
          <w:p w:rsidR="007705ED" w:rsidRPr="007705ED" w:rsidRDefault="007705ED" w:rsidP="007705ED">
            <w:pPr>
              <w:bidi/>
              <w:spacing w:after="0" w:line="240" w:lineRule="auto"/>
              <w:jc w:val="center"/>
              <w:rPr>
                <w:rFonts w:ascii="Garamond" w:eastAsia="Times New Roman" w:hAnsi="Garamond" w:cs="Calibri"/>
                <w:b/>
                <w:bCs/>
                <w:color w:val="000000"/>
                <w:sz w:val="20"/>
                <w:szCs w:val="20"/>
                <w:lang w:eastAsia="fr-FR"/>
              </w:rPr>
            </w:pPr>
            <w:r w:rsidRPr="007705ED">
              <w:rPr>
                <w:rFonts w:ascii="Garamond" w:eastAsia="Times New Roman" w:hAnsi="Garamond" w:cs="Calibri"/>
                <w:b/>
                <w:bCs/>
                <w:color w:val="000000"/>
                <w:sz w:val="20"/>
                <w:szCs w:val="20"/>
                <w:lang w:eastAsia="fr-FR"/>
              </w:rPr>
              <w:t>Urbain</w:t>
            </w:r>
          </w:p>
        </w:tc>
        <w:tc>
          <w:tcPr>
            <w:tcW w:w="1203" w:type="dxa"/>
            <w:tcBorders>
              <w:top w:val="nil"/>
              <w:left w:val="nil"/>
              <w:bottom w:val="single" w:sz="4" w:space="0" w:color="auto"/>
              <w:right w:val="single" w:sz="4" w:space="0" w:color="auto"/>
            </w:tcBorders>
            <w:shd w:val="clear" w:color="auto" w:fill="auto"/>
            <w:hideMark/>
          </w:tcPr>
          <w:p w:rsidR="007705ED" w:rsidRPr="007705ED" w:rsidRDefault="007705ED" w:rsidP="007705ED">
            <w:pPr>
              <w:bidi/>
              <w:spacing w:after="0" w:line="240" w:lineRule="auto"/>
              <w:jc w:val="center"/>
              <w:rPr>
                <w:rFonts w:ascii="Garamond" w:eastAsia="Times New Roman" w:hAnsi="Garamond" w:cs="Calibri"/>
                <w:b/>
                <w:bCs/>
                <w:color w:val="000000"/>
                <w:sz w:val="20"/>
                <w:szCs w:val="20"/>
                <w:rtl/>
                <w:lang w:eastAsia="fr-FR"/>
              </w:rPr>
            </w:pPr>
            <w:r w:rsidRPr="007705ED">
              <w:rPr>
                <w:rFonts w:ascii="Garamond" w:eastAsia="Times New Roman" w:hAnsi="Garamond" w:cs="Calibri"/>
                <w:b/>
                <w:bCs/>
                <w:color w:val="000000"/>
                <w:sz w:val="20"/>
                <w:szCs w:val="20"/>
                <w:lang w:eastAsia="fr-FR"/>
              </w:rPr>
              <w:t>Rural</w:t>
            </w:r>
          </w:p>
        </w:tc>
        <w:tc>
          <w:tcPr>
            <w:tcW w:w="1251" w:type="dxa"/>
            <w:tcBorders>
              <w:top w:val="nil"/>
              <w:left w:val="nil"/>
              <w:bottom w:val="single" w:sz="4" w:space="0" w:color="auto"/>
              <w:right w:val="single" w:sz="4" w:space="0" w:color="auto"/>
            </w:tcBorders>
            <w:shd w:val="clear" w:color="auto" w:fill="auto"/>
            <w:hideMark/>
          </w:tcPr>
          <w:p w:rsidR="007705ED" w:rsidRPr="007705ED" w:rsidRDefault="007705ED" w:rsidP="007705ED">
            <w:pPr>
              <w:bidi/>
              <w:spacing w:after="0" w:line="240" w:lineRule="auto"/>
              <w:jc w:val="center"/>
              <w:rPr>
                <w:rFonts w:ascii="Garamond" w:eastAsia="Times New Roman" w:hAnsi="Garamond" w:cs="Calibri"/>
                <w:b/>
                <w:bCs/>
                <w:color w:val="000000"/>
                <w:sz w:val="20"/>
                <w:szCs w:val="20"/>
                <w:rtl/>
                <w:lang w:eastAsia="fr-FR"/>
              </w:rPr>
            </w:pPr>
            <w:r w:rsidRPr="007705ED">
              <w:rPr>
                <w:rFonts w:ascii="Garamond" w:eastAsia="Times New Roman" w:hAnsi="Garamond" w:cs="Calibri"/>
                <w:b/>
                <w:bCs/>
                <w:color w:val="000000"/>
                <w:sz w:val="20"/>
                <w:szCs w:val="20"/>
                <w:lang w:eastAsia="fr-FR"/>
              </w:rPr>
              <w:t>Ensemble</w:t>
            </w:r>
          </w:p>
        </w:tc>
      </w:tr>
      <w:tr w:rsidR="007705ED" w:rsidRPr="007705ED" w:rsidTr="00277604">
        <w:trPr>
          <w:trHeight w:val="67"/>
        </w:trPr>
        <w:tc>
          <w:tcPr>
            <w:tcW w:w="932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rPr>
                <w:rFonts w:ascii="Garamond" w:eastAsia="Times New Roman" w:hAnsi="Garamond" w:cs="Calibri"/>
                <w:b/>
                <w:bCs/>
                <w:color w:val="1F497D"/>
                <w:sz w:val="20"/>
                <w:szCs w:val="20"/>
                <w:rtl/>
                <w:lang w:eastAsia="fr-FR"/>
              </w:rPr>
            </w:pPr>
            <w:r w:rsidRPr="007705ED">
              <w:rPr>
                <w:rFonts w:ascii="Garamond" w:eastAsia="Times New Roman" w:hAnsi="Garamond" w:cs="Calibri"/>
                <w:b/>
                <w:bCs/>
                <w:color w:val="1F497D"/>
                <w:sz w:val="20"/>
                <w:szCs w:val="20"/>
                <w:lang w:eastAsia="fr-FR"/>
              </w:rPr>
              <w:t>Activité (des 15 ans et plus)</w:t>
            </w:r>
          </w:p>
        </w:tc>
      </w:tr>
      <w:tr w:rsidR="00277604" w:rsidRPr="00277604" w:rsidTr="00277604">
        <w:trPr>
          <w:trHeight w:val="108"/>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rPr>
                <w:rFonts w:ascii="Garamond" w:eastAsia="Times New Roman" w:hAnsi="Garamond" w:cs="Calibri"/>
                <w:b/>
                <w:bCs/>
                <w:color w:val="000000"/>
                <w:sz w:val="20"/>
                <w:szCs w:val="20"/>
                <w:lang w:eastAsia="fr-FR"/>
              </w:rPr>
            </w:pPr>
            <w:r w:rsidRPr="007705ED">
              <w:rPr>
                <w:rFonts w:ascii="Garamond" w:eastAsia="Times New Roman" w:hAnsi="Garamond" w:cs="Calibri"/>
                <w:b/>
                <w:bCs/>
                <w:color w:val="000000"/>
                <w:sz w:val="20"/>
                <w:szCs w:val="20"/>
                <w:lang w:eastAsia="fr-FR"/>
              </w:rPr>
              <w:t>Population active</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7 436</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4 626</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12 062</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Taux de féminisation de la population active</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22,1</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22,4</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22,2</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Taux d'activité</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41,6</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49,4</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44,2</w:t>
            </w:r>
          </w:p>
        </w:tc>
      </w:tr>
      <w:tr w:rsidR="007705ED" w:rsidRPr="007705ED" w:rsidTr="00277604">
        <w:trPr>
          <w:trHeight w:val="163"/>
        </w:trPr>
        <w:tc>
          <w:tcPr>
            <w:tcW w:w="9329"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i/>
                <w:iCs/>
                <w:color w:val="000000"/>
                <w:sz w:val="20"/>
                <w:szCs w:val="20"/>
                <w:lang w:eastAsia="fr-FR"/>
              </w:rPr>
            </w:pPr>
            <w:r w:rsidRPr="007705ED">
              <w:rPr>
                <w:rFonts w:ascii="Garamond" w:eastAsia="Times New Roman" w:hAnsi="Garamond" w:cs="Calibri"/>
                <w:i/>
                <w:iCs/>
                <w:color w:val="000000"/>
                <w:sz w:val="20"/>
                <w:szCs w:val="20"/>
                <w:lang w:eastAsia="fr-FR"/>
              </w:rPr>
              <w:t>• Selon le sexe</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Hommes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66,7</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75,6</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69,9</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Femmes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17,9</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22,4</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19,4</w:t>
            </w:r>
          </w:p>
        </w:tc>
      </w:tr>
      <w:tr w:rsidR="007705ED" w:rsidRPr="007705ED" w:rsidTr="00277604">
        <w:trPr>
          <w:trHeight w:val="163"/>
        </w:trPr>
        <w:tc>
          <w:tcPr>
            <w:tcW w:w="9329"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i/>
                <w:iCs/>
                <w:color w:val="000000"/>
                <w:sz w:val="20"/>
                <w:szCs w:val="20"/>
                <w:lang w:eastAsia="fr-FR"/>
              </w:rPr>
            </w:pPr>
            <w:r w:rsidRPr="007705ED">
              <w:rPr>
                <w:rFonts w:ascii="Garamond" w:eastAsia="Times New Roman" w:hAnsi="Garamond" w:cs="Calibri"/>
                <w:i/>
                <w:iCs/>
                <w:color w:val="000000"/>
                <w:sz w:val="20"/>
                <w:szCs w:val="20"/>
                <w:lang w:eastAsia="fr-FR"/>
              </w:rPr>
              <w:t>• Selon l'âge</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15-24 ans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20,3</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27,6</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23,2</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25-34 ans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58,4</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60,3</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59,0</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35-44 ans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57,6</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63,9</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59,6</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45 ans et plus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35,0</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51,5</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40,5</w:t>
            </w:r>
          </w:p>
        </w:tc>
      </w:tr>
      <w:tr w:rsidR="007705ED" w:rsidRPr="007705ED" w:rsidTr="00277604">
        <w:trPr>
          <w:trHeight w:val="163"/>
        </w:trPr>
        <w:tc>
          <w:tcPr>
            <w:tcW w:w="9329"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i/>
                <w:iCs/>
                <w:color w:val="000000"/>
                <w:sz w:val="20"/>
                <w:szCs w:val="20"/>
                <w:lang w:eastAsia="fr-FR"/>
              </w:rPr>
            </w:pPr>
            <w:r w:rsidRPr="007705ED">
              <w:rPr>
                <w:rFonts w:ascii="Garamond" w:eastAsia="Times New Roman" w:hAnsi="Garamond" w:cs="Calibri"/>
                <w:i/>
                <w:iCs/>
                <w:color w:val="000000"/>
                <w:sz w:val="20"/>
                <w:szCs w:val="20"/>
                <w:lang w:eastAsia="fr-FR"/>
              </w:rPr>
              <w:t>• Selon le diplôme</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Non diplômés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34,5</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51,6</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42,5</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Diplômés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46,4</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44,7</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46,0</w:t>
            </w:r>
          </w:p>
        </w:tc>
      </w:tr>
      <w:tr w:rsidR="007705ED" w:rsidRPr="007705ED" w:rsidTr="00277604">
        <w:trPr>
          <w:trHeight w:val="163"/>
        </w:trPr>
        <w:tc>
          <w:tcPr>
            <w:tcW w:w="9329"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7705ED" w:rsidRPr="007705ED" w:rsidRDefault="007705ED" w:rsidP="007705ED">
            <w:pPr>
              <w:spacing w:after="0" w:line="240" w:lineRule="auto"/>
              <w:rPr>
                <w:rFonts w:ascii="Garamond" w:eastAsia="Times New Roman" w:hAnsi="Garamond" w:cs="Calibri"/>
                <w:b/>
                <w:bCs/>
                <w:color w:val="1F497D"/>
                <w:sz w:val="20"/>
                <w:szCs w:val="20"/>
                <w:lang w:eastAsia="fr-FR"/>
              </w:rPr>
            </w:pPr>
            <w:r w:rsidRPr="007705ED">
              <w:rPr>
                <w:rFonts w:ascii="Garamond" w:eastAsia="Times New Roman" w:hAnsi="Garamond" w:cs="Calibri"/>
                <w:b/>
                <w:bCs/>
                <w:color w:val="1F497D"/>
                <w:sz w:val="20"/>
                <w:szCs w:val="20"/>
                <w:lang w:eastAsia="fr-FR"/>
              </w:rPr>
              <w:t>Emploi (des 15 ans et plus)</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rPr>
                <w:rFonts w:ascii="Garamond" w:eastAsia="Times New Roman" w:hAnsi="Garamond" w:cs="Calibri"/>
                <w:b/>
                <w:bCs/>
                <w:color w:val="000000"/>
                <w:sz w:val="20"/>
                <w:szCs w:val="20"/>
                <w:lang w:eastAsia="fr-FR"/>
              </w:rPr>
            </w:pPr>
            <w:r w:rsidRPr="007705ED">
              <w:rPr>
                <w:rFonts w:ascii="Garamond" w:eastAsia="Times New Roman" w:hAnsi="Garamond" w:cs="Calibri"/>
                <w:b/>
                <w:bCs/>
                <w:color w:val="000000"/>
                <w:sz w:val="20"/>
                <w:szCs w:val="20"/>
                <w:lang w:eastAsia="fr-FR"/>
              </w:rPr>
              <w:t>Population active occupée</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6 208</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4 416</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10 624</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Taux d'emploi</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34,7</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47,1</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39,0</w:t>
            </w:r>
          </w:p>
        </w:tc>
      </w:tr>
      <w:tr w:rsidR="007705ED" w:rsidRPr="007705ED" w:rsidTr="00277604">
        <w:trPr>
          <w:trHeight w:val="163"/>
        </w:trPr>
        <w:tc>
          <w:tcPr>
            <w:tcW w:w="9329"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i/>
                <w:iCs/>
                <w:color w:val="000000"/>
                <w:sz w:val="20"/>
                <w:szCs w:val="20"/>
                <w:lang w:eastAsia="fr-FR"/>
              </w:rPr>
            </w:pPr>
            <w:r w:rsidRPr="007705ED">
              <w:rPr>
                <w:rFonts w:ascii="Garamond" w:eastAsia="Times New Roman" w:hAnsi="Garamond" w:cs="Calibri"/>
                <w:i/>
                <w:iCs/>
                <w:color w:val="000000"/>
                <w:sz w:val="20"/>
                <w:szCs w:val="20"/>
                <w:lang w:eastAsia="fr-FR"/>
              </w:rPr>
              <w:t>• Selon le sexe</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Hommes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57,4</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72,1</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62,6</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Femmes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13,3</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21,4</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16,0</w:t>
            </w:r>
          </w:p>
        </w:tc>
      </w:tr>
      <w:tr w:rsidR="007705ED" w:rsidRPr="007705ED" w:rsidTr="00277604">
        <w:trPr>
          <w:trHeight w:val="163"/>
        </w:trPr>
        <w:tc>
          <w:tcPr>
            <w:tcW w:w="9329"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7705ED" w:rsidRPr="007705ED" w:rsidRDefault="007705ED" w:rsidP="007705ED">
            <w:pPr>
              <w:spacing w:after="0" w:line="240" w:lineRule="auto"/>
              <w:ind w:firstLineChars="100" w:firstLine="2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Structure de l'emploi selon les secteurs d'activité économique</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Agriculture,</w:t>
            </w:r>
            <w:r w:rsidRPr="00277604">
              <w:rPr>
                <w:rFonts w:ascii="Garamond" w:eastAsia="Times New Roman" w:hAnsi="Garamond" w:cs="Calibri"/>
                <w:color w:val="000000"/>
                <w:sz w:val="20"/>
                <w:szCs w:val="20"/>
                <w:lang w:eastAsia="fr-FR"/>
              </w:rPr>
              <w:t xml:space="preserve"> forêt et</w:t>
            </w:r>
            <w:r w:rsidRPr="007705ED">
              <w:rPr>
                <w:rFonts w:ascii="Garamond" w:eastAsia="Times New Roman" w:hAnsi="Garamond" w:cs="Calibri"/>
                <w:color w:val="000000"/>
                <w:sz w:val="20"/>
                <w:szCs w:val="20"/>
                <w:lang w:eastAsia="fr-FR"/>
              </w:rPr>
              <w:t xml:space="preserve"> pêche</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4,8</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66,1</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30,3</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Industrie (y compris artisanat)</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17,2</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5,1</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12,1</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BTP</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13,0</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10,7</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12,0</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Services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65,1</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18,2</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45,6</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Activités non déterminées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0,0</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0,0</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0,0</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Part de l'emploi rémunéré dans l'emploi total, dont :</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97,6</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71,4</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86,7</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Salariés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66,6</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48,5</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60,4</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Auto-employés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33,4</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51,5</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39,6</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rPr>
                <w:rFonts w:ascii="Garamond" w:eastAsia="Times New Roman" w:hAnsi="Garamond" w:cs="Calibri"/>
                <w:b/>
                <w:bCs/>
                <w:color w:val="000000"/>
                <w:sz w:val="20"/>
                <w:szCs w:val="20"/>
                <w:lang w:eastAsia="fr-FR"/>
              </w:rPr>
            </w:pPr>
            <w:r w:rsidRPr="007705ED">
              <w:rPr>
                <w:rFonts w:ascii="Garamond" w:eastAsia="Times New Roman" w:hAnsi="Garamond" w:cs="Calibri"/>
                <w:b/>
                <w:bCs/>
                <w:color w:val="000000"/>
                <w:sz w:val="20"/>
                <w:szCs w:val="20"/>
                <w:lang w:eastAsia="fr-FR"/>
              </w:rPr>
              <w:t>Population active occupée en sous-emploi</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552</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462</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1 013</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Taux de sous-emploi</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8,9</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10,5</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9,5</w:t>
            </w:r>
          </w:p>
        </w:tc>
      </w:tr>
      <w:tr w:rsidR="007705ED" w:rsidRPr="007705ED" w:rsidTr="00277604">
        <w:trPr>
          <w:trHeight w:val="163"/>
        </w:trPr>
        <w:tc>
          <w:tcPr>
            <w:tcW w:w="9329"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7705ED" w:rsidRPr="007705ED" w:rsidRDefault="007705ED" w:rsidP="007705ED">
            <w:pPr>
              <w:spacing w:after="0" w:line="240" w:lineRule="auto"/>
              <w:rPr>
                <w:rFonts w:ascii="Garamond" w:eastAsia="Times New Roman" w:hAnsi="Garamond" w:cs="Calibri"/>
                <w:b/>
                <w:bCs/>
                <w:color w:val="1F497D"/>
                <w:sz w:val="20"/>
                <w:szCs w:val="20"/>
                <w:lang w:eastAsia="fr-FR"/>
              </w:rPr>
            </w:pPr>
            <w:r w:rsidRPr="007705ED">
              <w:rPr>
                <w:rFonts w:ascii="Garamond" w:eastAsia="Times New Roman" w:hAnsi="Garamond" w:cs="Calibri"/>
                <w:b/>
                <w:bCs/>
                <w:color w:val="1F497D"/>
                <w:sz w:val="20"/>
                <w:szCs w:val="20"/>
                <w:lang w:eastAsia="fr-FR"/>
              </w:rPr>
              <w:t>Chômage</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rPr>
                <w:rFonts w:ascii="Garamond" w:eastAsia="Times New Roman" w:hAnsi="Garamond" w:cs="Calibri"/>
                <w:b/>
                <w:bCs/>
                <w:color w:val="000000"/>
                <w:sz w:val="20"/>
                <w:szCs w:val="20"/>
                <w:lang w:eastAsia="fr-FR"/>
              </w:rPr>
            </w:pPr>
            <w:r w:rsidRPr="007705ED">
              <w:rPr>
                <w:rFonts w:ascii="Garamond" w:eastAsia="Times New Roman" w:hAnsi="Garamond" w:cs="Calibri"/>
                <w:b/>
                <w:bCs/>
                <w:color w:val="000000"/>
                <w:sz w:val="20"/>
                <w:szCs w:val="20"/>
                <w:lang w:eastAsia="fr-FR"/>
              </w:rPr>
              <w:t>Population active en chômage</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1 228</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209</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1"/>
              <w:jc w:val="right"/>
              <w:rPr>
                <w:rFonts w:ascii="Garamond" w:eastAsia="Times New Roman" w:hAnsi="Garamond" w:cs="Calibri"/>
                <w:b/>
                <w:bCs/>
                <w:color w:val="010205"/>
                <w:sz w:val="20"/>
                <w:szCs w:val="20"/>
                <w:lang w:eastAsia="fr-FR"/>
              </w:rPr>
            </w:pPr>
            <w:r w:rsidRPr="007705ED">
              <w:rPr>
                <w:rFonts w:ascii="Garamond" w:eastAsia="Times New Roman" w:hAnsi="Garamond" w:cs="Calibri"/>
                <w:b/>
                <w:bCs/>
                <w:color w:val="010205"/>
                <w:sz w:val="20"/>
                <w:szCs w:val="20"/>
                <w:lang w:eastAsia="fr-FR"/>
              </w:rPr>
              <w:t>1 438</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Taux de féminisation de la population active en chômage</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34,1</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22,0</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32,3</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Taux de chômage</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16,5</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4,5</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11,9</w:t>
            </w:r>
          </w:p>
        </w:tc>
      </w:tr>
      <w:tr w:rsidR="007705ED" w:rsidRPr="007705ED" w:rsidTr="00277604">
        <w:trPr>
          <w:trHeight w:val="163"/>
        </w:trPr>
        <w:tc>
          <w:tcPr>
            <w:tcW w:w="9329"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i/>
                <w:iCs/>
                <w:color w:val="000000"/>
                <w:sz w:val="20"/>
                <w:szCs w:val="20"/>
                <w:lang w:eastAsia="fr-FR"/>
              </w:rPr>
            </w:pPr>
            <w:r w:rsidRPr="007705ED">
              <w:rPr>
                <w:rFonts w:ascii="Garamond" w:eastAsia="Times New Roman" w:hAnsi="Garamond" w:cs="Calibri"/>
                <w:i/>
                <w:iCs/>
                <w:color w:val="000000"/>
                <w:sz w:val="20"/>
                <w:szCs w:val="20"/>
                <w:lang w:eastAsia="fr-FR"/>
              </w:rPr>
              <w:t>• Selon le sexe</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Hommes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14,0</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4,5</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10,4</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Femmes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25,4</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4,5</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17,3</w:t>
            </w:r>
          </w:p>
        </w:tc>
      </w:tr>
      <w:tr w:rsidR="007705ED" w:rsidRPr="007705ED" w:rsidTr="00277604">
        <w:trPr>
          <w:trHeight w:val="163"/>
        </w:trPr>
        <w:tc>
          <w:tcPr>
            <w:tcW w:w="9329"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i/>
                <w:iCs/>
                <w:color w:val="000000"/>
                <w:sz w:val="20"/>
                <w:szCs w:val="20"/>
                <w:lang w:eastAsia="fr-FR"/>
              </w:rPr>
            </w:pPr>
            <w:r w:rsidRPr="007705ED">
              <w:rPr>
                <w:rFonts w:ascii="Garamond" w:eastAsia="Times New Roman" w:hAnsi="Garamond" w:cs="Calibri"/>
                <w:i/>
                <w:iCs/>
                <w:color w:val="000000"/>
                <w:sz w:val="20"/>
                <w:szCs w:val="20"/>
                <w:lang w:eastAsia="fr-FR"/>
              </w:rPr>
              <w:t>• Selon l'âge</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15-24 ans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48,5</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15,2</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32,7</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25-34 ans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25,3</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6,5</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19,1</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35-44 ans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9,3</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1,8</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6,7</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45 ans et plus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4,8</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1,0</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3,2</w:t>
            </w:r>
          </w:p>
        </w:tc>
      </w:tr>
      <w:tr w:rsidR="007705ED" w:rsidRPr="007705ED" w:rsidTr="00277604">
        <w:trPr>
          <w:trHeight w:val="163"/>
        </w:trPr>
        <w:tc>
          <w:tcPr>
            <w:tcW w:w="9329"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rsidR="007705ED" w:rsidRPr="007705ED" w:rsidRDefault="007705ED" w:rsidP="007705ED">
            <w:pPr>
              <w:spacing w:after="0" w:line="240" w:lineRule="auto"/>
              <w:ind w:firstLineChars="200" w:firstLine="400"/>
              <w:rPr>
                <w:rFonts w:ascii="Garamond" w:eastAsia="Times New Roman" w:hAnsi="Garamond" w:cs="Calibri"/>
                <w:i/>
                <w:iCs/>
                <w:color w:val="000000"/>
                <w:sz w:val="20"/>
                <w:szCs w:val="20"/>
                <w:lang w:eastAsia="fr-FR"/>
              </w:rPr>
            </w:pPr>
            <w:r w:rsidRPr="007705ED">
              <w:rPr>
                <w:rFonts w:ascii="Garamond" w:eastAsia="Times New Roman" w:hAnsi="Garamond" w:cs="Calibri"/>
                <w:i/>
                <w:iCs/>
                <w:color w:val="000000"/>
                <w:sz w:val="20"/>
                <w:szCs w:val="20"/>
                <w:lang w:eastAsia="fr-FR"/>
              </w:rPr>
              <w:t>• Selon le diplôme</w:t>
            </w:r>
          </w:p>
        </w:tc>
      </w:tr>
      <w:tr w:rsidR="00277604" w:rsidRPr="00277604" w:rsidTr="00277604">
        <w:trPr>
          <w:trHeight w:val="163"/>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Non diplômés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6,5</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1,5</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3,7</w:t>
            </w:r>
          </w:p>
        </w:tc>
      </w:tr>
      <w:tr w:rsidR="00277604" w:rsidRPr="00277604" w:rsidTr="00277604">
        <w:trPr>
          <w:trHeight w:val="67"/>
        </w:trPr>
        <w:tc>
          <w:tcPr>
            <w:tcW w:w="5608" w:type="dxa"/>
            <w:tcBorders>
              <w:top w:val="nil"/>
              <w:left w:val="single" w:sz="4" w:space="0" w:color="auto"/>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400" w:firstLine="800"/>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Diplômés</w:t>
            </w:r>
          </w:p>
        </w:tc>
        <w:tc>
          <w:tcPr>
            <w:tcW w:w="1266"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21,6</w:t>
            </w:r>
          </w:p>
        </w:tc>
        <w:tc>
          <w:tcPr>
            <w:tcW w:w="1203"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11,6</w:t>
            </w:r>
          </w:p>
        </w:tc>
        <w:tc>
          <w:tcPr>
            <w:tcW w:w="1251" w:type="dxa"/>
            <w:tcBorders>
              <w:top w:val="nil"/>
              <w:left w:val="nil"/>
              <w:bottom w:val="single" w:sz="4" w:space="0" w:color="auto"/>
              <w:right w:val="single" w:sz="4" w:space="0" w:color="auto"/>
            </w:tcBorders>
            <w:shd w:val="clear" w:color="auto" w:fill="auto"/>
            <w:noWrap/>
            <w:hideMark/>
          </w:tcPr>
          <w:p w:rsidR="007705ED" w:rsidRPr="007705ED" w:rsidRDefault="007705ED" w:rsidP="007705ED">
            <w:pPr>
              <w:spacing w:after="0" w:line="240" w:lineRule="auto"/>
              <w:ind w:firstLineChars="100" w:firstLine="200"/>
              <w:jc w:val="right"/>
              <w:rPr>
                <w:rFonts w:ascii="Garamond" w:eastAsia="Times New Roman" w:hAnsi="Garamond" w:cs="Calibri"/>
                <w:color w:val="000000"/>
                <w:sz w:val="20"/>
                <w:szCs w:val="20"/>
                <w:lang w:eastAsia="fr-FR"/>
              </w:rPr>
            </w:pPr>
            <w:r w:rsidRPr="007705ED">
              <w:rPr>
                <w:rFonts w:ascii="Garamond" w:eastAsia="Times New Roman" w:hAnsi="Garamond" w:cs="Calibri"/>
                <w:color w:val="000000"/>
                <w:sz w:val="20"/>
                <w:szCs w:val="20"/>
                <w:lang w:eastAsia="fr-FR"/>
              </w:rPr>
              <w:t>19,5</w:t>
            </w:r>
          </w:p>
        </w:tc>
      </w:tr>
    </w:tbl>
    <w:p w:rsidR="00EC73A6" w:rsidRPr="00EC73A6" w:rsidRDefault="00EC73A6" w:rsidP="007705ED">
      <w:pPr>
        <w:rPr>
          <w:rFonts w:ascii="Times New Roman" w:eastAsia="Calibri" w:hAnsi="Times New Roman" w:cs="Times New Roman"/>
          <w:color w:val="222222"/>
          <w:sz w:val="16"/>
          <w:szCs w:val="16"/>
          <w:shd w:val="clear" w:color="auto" w:fill="FFFFFF"/>
        </w:rPr>
      </w:pPr>
      <w:r w:rsidRPr="00EC73A6">
        <w:rPr>
          <w:rFonts w:ascii="Times New Roman" w:eastAsia="Calibri" w:hAnsi="Times New Roman" w:cs="Times New Roman"/>
          <w:color w:val="222222"/>
          <w:sz w:val="16"/>
          <w:szCs w:val="16"/>
          <w:shd w:val="clear" w:color="auto" w:fill="FFFFFF"/>
        </w:rPr>
        <w:t xml:space="preserve">Source : Enquête nationale sur l'emploi, Haut-Commissariat au Plan </w:t>
      </w:r>
    </w:p>
    <w:p w:rsidR="00EC73A6" w:rsidRPr="00EC73A6" w:rsidRDefault="00EC73A6" w:rsidP="00EC73A6">
      <w:pPr>
        <w:numPr>
          <w:ilvl w:val="0"/>
          <w:numId w:val="1"/>
        </w:numPr>
        <w:tabs>
          <w:tab w:val="left" w:pos="-720"/>
        </w:tabs>
        <w:suppressAutoHyphens/>
        <w:spacing w:after="0" w:line="256" w:lineRule="auto"/>
        <w:contextualSpacing/>
        <w:jc w:val="both"/>
        <w:rPr>
          <w:rFonts w:ascii="Times New Roman" w:eastAsia="Calibri" w:hAnsi="Times New Roman" w:cs="Times New Roman"/>
          <w:color w:val="222222"/>
          <w:sz w:val="16"/>
          <w:szCs w:val="16"/>
          <w:shd w:val="clear" w:color="auto" w:fill="FFFFFF"/>
        </w:rPr>
      </w:pPr>
      <w:r w:rsidRPr="00EC73A6">
        <w:rPr>
          <w:rFonts w:ascii="Times New Roman" w:eastAsia="Calibri" w:hAnsi="Times New Roman" w:cs="Times New Roman"/>
          <w:color w:val="222222"/>
          <w:sz w:val="16"/>
          <w:szCs w:val="16"/>
          <w:shd w:val="clear" w:color="auto" w:fill="FFFFFF"/>
        </w:rPr>
        <w:t>Pour les définitions des concepts et indicateurs utilisés, se référer au glossaire disponible sur le site web du HCP </w:t>
      </w:r>
      <w:r w:rsidRPr="00EC73A6">
        <w:rPr>
          <w:rFonts w:ascii="Times New Roman" w:eastAsia="Calibri" w:hAnsi="Times New Roman" w:cs="Times New Roman"/>
          <w:b/>
          <w:bCs/>
          <w:color w:val="222222"/>
          <w:sz w:val="16"/>
          <w:szCs w:val="16"/>
          <w:shd w:val="clear" w:color="auto" w:fill="FFFFFF"/>
        </w:rPr>
        <w:t xml:space="preserve">: </w:t>
      </w:r>
      <w:hyperlink r:id="rId5" w:history="1">
        <w:r w:rsidRPr="00EC73A6">
          <w:rPr>
            <w:rStyle w:val="Lienhypertexte"/>
            <w:rFonts w:ascii="Times New Roman" w:eastAsia="Calibri" w:hAnsi="Times New Roman" w:cs="Times New Roman"/>
            <w:b/>
            <w:bCs/>
            <w:color w:val="222222"/>
            <w:sz w:val="16"/>
            <w:szCs w:val="16"/>
            <w:shd w:val="clear" w:color="auto" w:fill="FFFFFF"/>
          </w:rPr>
          <w:t>http://www.hcp.ma</w:t>
        </w:r>
      </w:hyperlink>
      <w:r w:rsidRPr="00EC73A6">
        <w:rPr>
          <w:rFonts w:ascii="Times New Roman" w:eastAsia="Calibri" w:hAnsi="Times New Roman" w:cs="Times New Roman"/>
          <w:color w:val="222222"/>
          <w:sz w:val="16"/>
          <w:szCs w:val="16"/>
          <w:shd w:val="clear" w:color="auto" w:fill="FFFFFF"/>
        </w:rPr>
        <w:t>.</w:t>
      </w:r>
    </w:p>
    <w:p w:rsidR="00EC73A6" w:rsidRPr="00EC73A6" w:rsidRDefault="00EC73A6" w:rsidP="00EC73A6">
      <w:pPr>
        <w:numPr>
          <w:ilvl w:val="0"/>
          <w:numId w:val="1"/>
        </w:numPr>
        <w:tabs>
          <w:tab w:val="left" w:pos="-720"/>
        </w:tabs>
        <w:suppressAutoHyphens/>
        <w:spacing w:after="0" w:line="256" w:lineRule="auto"/>
        <w:contextualSpacing/>
        <w:jc w:val="both"/>
        <w:rPr>
          <w:rFonts w:ascii="Book Antiqua" w:eastAsiaTheme="minorEastAsia" w:hAnsi="Book Antiqua" w:cs="Times New Roman"/>
          <w:sz w:val="22"/>
          <w:szCs w:val="22"/>
        </w:rPr>
      </w:pPr>
      <w:r w:rsidRPr="00EC73A6">
        <w:rPr>
          <w:rFonts w:ascii="Times New Roman" w:eastAsia="Calibri" w:hAnsi="Times New Roman" w:cs="Times New Roman"/>
          <w:color w:val="222222"/>
          <w:sz w:val="16"/>
          <w:szCs w:val="16"/>
          <w:shd w:val="clear" w:color="auto" w:fill="FFFFFF"/>
        </w:rPr>
        <w:t>Les données chiffrées sont arrondies. Le résultat arrondi d’une combinaison de données chiffrées (qui fait intervenir leurs valeurs réelles) peut se trouver légèrement différent de celui que donnerait la combinaison de leurs valeurs arrondies.</w:t>
      </w:r>
    </w:p>
    <w:p w:rsidR="00EC73A6" w:rsidRDefault="00EC73A6" w:rsidP="00EC73A6"/>
    <w:sectPr w:rsidR="00EC73A6" w:rsidSect="00E658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7B4F"/>
    <w:multiLevelType w:val="hybridMultilevel"/>
    <w:tmpl w:val="8402E466"/>
    <w:lvl w:ilvl="0" w:tplc="E270901A">
      <w:start w:val="1"/>
      <w:numFmt w:val="decimal"/>
      <w:lvlText w:val="(%1)"/>
      <w:lvlJc w:val="left"/>
      <w:pPr>
        <w:ind w:left="360" w:hanging="360"/>
      </w:pPr>
      <w:rPr>
        <w:sz w:val="16"/>
        <w:szCs w:val="16"/>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73A6"/>
    <w:rsid w:val="00277604"/>
    <w:rsid w:val="004A7A7A"/>
    <w:rsid w:val="00704F5A"/>
    <w:rsid w:val="007705ED"/>
    <w:rsid w:val="00770B1F"/>
    <w:rsid w:val="007E1CE4"/>
    <w:rsid w:val="0092728C"/>
    <w:rsid w:val="00C21983"/>
    <w:rsid w:val="00C83888"/>
    <w:rsid w:val="00CA4A9D"/>
    <w:rsid w:val="00E6586C"/>
    <w:rsid w:val="00EC73A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86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C73A6"/>
    <w:rPr>
      <w:sz w:val="16"/>
      <w:szCs w:val="16"/>
    </w:rPr>
  </w:style>
  <w:style w:type="paragraph" w:styleId="Commentaire">
    <w:name w:val="annotation text"/>
    <w:basedOn w:val="Normal"/>
    <w:link w:val="CommentaireCar"/>
    <w:uiPriority w:val="99"/>
    <w:semiHidden/>
    <w:unhideWhenUsed/>
    <w:rsid w:val="00EC73A6"/>
    <w:pPr>
      <w:spacing w:line="240" w:lineRule="auto"/>
    </w:pPr>
    <w:rPr>
      <w:sz w:val="20"/>
      <w:szCs w:val="20"/>
    </w:rPr>
  </w:style>
  <w:style w:type="character" w:customStyle="1" w:styleId="CommentaireCar">
    <w:name w:val="Commentaire Car"/>
    <w:basedOn w:val="Policepardfaut"/>
    <w:link w:val="Commentaire"/>
    <w:uiPriority w:val="99"/>
    <w:semiHidden/>
    <w:rsid w:val="00EC73A6"/>
    <w:rPr>
      <w:sz w:val="20"/>
      <w:szCs w:val="20"/>
    </w:rPr>
  </w:style>
  <w:style w:type="paragraph" w:styleId="Objetducommentaire">
    <w:name w:val="annotation subject"/>
    <w:basedOn w:val="Commentaire"/>
    <w:next w:val="Commentaire"/>
    <w:link w:val="ObjetducommentaireCar"/>
    <w:uiPriority w:val="99"/>
    <w:semiHidden/>
    <w:unhideWhenUsed/>
    <w:rsid w:val="00EC73A6"/>
    <w:rPr>
      <w:b/>
      <w:bCs/>
    </w:rPr>
  </w:style>
  <w:style w:type="character" w:customStyle="1" w:styleId="ObjetducommentaireCar">
    <w:name w:val="Objet du commentaire Car"/>
    <w:basedOn w:val="CommentaireCar"/>
    <w:link w:val="Objetducommentaire"/>
    <w:uiPriority w:val="99"/>
    <w:semiHidden/>
    <w:rsid w:val="00EC73A6"/>
    <w:rPr>
      <w:b/>
      <w:bCs/>
      <w:sz w:val="20"/>
      <w:szCs w:val="20"/>
    </w:rPr>
  </w:style>
  <w:style w:type="character" w:styleId="Lienhypertexte">
    <w:name w:val="Hyperlink"/>
    <w:basedOn w:val="Policepardfaut"/>
    <w:uiPriority w:val="99"/>
    <w:semiHidden/>
    <w:unhideWhenUsed/>
    <w:rsid w:val="00EC73A6"/>
    <w:rPr>
      <w:color w:val="0000FF"/>
      <w:u w:val="single"/>
    </w:rPr>
  </w:style>
</w:styles>
</file>

<file path=word/webSettings.xml><?xml version="1.0" encoding="utf-8"?>
<w:webSettings xmlns:r="http://schemas.openxmlformats.org/officeDocument/2006/relationships" xmlns:w="http://schemas.openxmlformats.org/wordprocessingml/2006/main">
  <w:divs>
    <w:div w:id="943609832">
      <w:bodyDiv w:val="1"/>
      <w:marLeft w:val="0"/>
      <w:marRight w:val="0"/>
      <w:marTop w:val="0"/>
      <w:marBottom w:val="0"/>
      <w:divBdr>
        <w:top w:val="none" w:sz="0" w:space="0" w:color="auto"/>
        <w:left w:val="none" w:sz="0" w:space="0" w:color="auto"/>
        <w:bottom w:val="none" w:sz="0" w:space="0" w:color="auto"/>
        <w:right w:val="none" w:sz="0" w:space="0" w:color="auto"/>
      </w:divBdr>
    </w:div>
    <w:div w:id="18327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cp.m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499</Words>
  <Characters>2746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AAI</dc:creator>
  <cp:lastModifiedBy>MAH AAI</cp:lastModifiedBy>
  <cp:revision>2</cp:revision>
  <dcterms:created xsi:type="dcterms:W3CDTF">2022-04-25T11:09:00Z</dcterms:created>
  <dcterms:modified xsi:type="dcterms:W3CDTF">2022-04-25T11:09:00Z</dcterms:modified>
</cp:coreProperties>
</file>