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999" w:rsidRDefault="000F4999" w:rsidP="00F51F24">
      <w:pPr>
        <w:spacing w:before="240" w:line="312" w:lineRule="auto"/>
        <w:ind w:left="-181"/>
        <w:jc w:val="center"/>
        <w:rPr>
          <w:rFonts w:ascii="Book Antiqua" w:eastAsia="Book Antiqua" w:hAnsi="Book Antiqua" w:cs="Book Antiqua"/>
          <w:b/>
          <w:color w:val="323E4F" w:themeColor="text2" w:themeShade="BF"/>
          <w:sz w:val="26"/>
          <w:szCs w:val="26"/>
        </w:rPr>
      </w:pPr>
    </w:p>
    <w:p w:rsidR="00027887" w:rsidRDefault="00027887" w:rsidP="00F51F24">
      <w:pPr>
        <w:spacing w:before="240" w:line="312" w:lineRule="auto"/>
        <w:ind w:left="-181"/>
        <w:jc w:val="center"/>
        <w:rPr>
          <w:rFonts w:ascii="Book Antiqua" w:eastAsia="Book Antiqua" w:hAnsi="Book Antiqua" w:cs="Book Antiqua"/>
          <w:b/>
          <w:color w:val="323E4F" w:themeColor="text2" w:themeShade="BF"/>
          <w:sz w:val="26"/>
          <w:szCs w:val="26"/>
        </w:rPr>
      </w:pPr>
    </w:p>
    <w:p w:rsidR="00F51F24" w:rsidRPr="00DE167A" w:rsidRDefault="00F51F24" w:rsidP="00AF3462">
      <w:pPr>
        <w:spacing w:before="240" w:line="312" w:lineRule="auto"/>
        <w:ind w:left="-181"/>
        <w:jc w:val="center"/>
        <w:rPr>
          <w:rFonts w:ascii="Book Antiqua" w:eastAsia="Book Antiqua" w:hAnsi="Book Antiqua" w:cs="Book Antiqua"/>
          <w:b/>
          <w:color w:val="ED7D31" w:themeColor="accent2"/>
          <w:sz w:val="26"/>
          <w:szCs w:val="26"/>
        </w:rPr>
      </w:pPr>
      <w:r w:rsidRPr="00DE167A">
        <w:rPr>
          <w:rFonts w:ascii="Book Antiqua" w:eastAsia="Book Antiqua" w:hAnsi="Book Antiqua" w:cs="Book Antiqua"/>
          <w:b/>
          <w:color w:val="ED7D31" w:themeColor="accent2"/>
          <w:sz w:val="26"/>
          <w:szCs w:val="26"/>
        </w:rPr>
        <w:t>NOTE D’INFORMATION DU HAUT-COMMISSARIATAUPLAN RELATIVE A LA SITUATION DU MARCHÉ DU TRAVAIL</w:t>
      </w:r>
      <w:r w:rsidR="00964164">
        <w:rPr>
          <w:rFonts w:ascii="Book Antiqua" w:eastAsia="Book Antiqua" w:hAnsi="Book Antiqua" w:cs="Book Antiqua"/>
          <w:b/>
          <w:color w:val="ED7D31" w:themeColor="accent2"/>
          <w:sz w:val="26"/>
          <w:szCs w:val="26"/>
        </w:rPr>
        <w:t>AUDE</w:t>
      </w:r>
      <w:r w:rsidR="00AF3462">
        <w:rPr>
          <w:rFonts w:ascii="Book Antiqua" w:eastAsia="Book Antiqua" w:hAnsi="Book Antiqua" w:cs="Book Antiqua"/>
          <w:b/>
          <w:color w:val="ED7D31" w:themeColor="accent2"/>
          <w:sz w:val="26"/>
          <w:szCs w:val="26"/>
        </w:rPr>
        <w:t>U</w:t>
      </w:r>
      <w:r w:rsidR="00964164">
        <w:rPr>
          <w:rFonts w:ascii="Book Antiqua" w:eastAsia="Book Antiqua" w:hAnsi="Book Antiqua" w:cs="Book Antiqua"/>
          <w:b/>
          <w:color w:val="ED7D31" w:themeColor="accent2"/>
          <w:sz w:val="26"/>
          <w:szCs w:val="26"/>
        </w:rPr>
        <w:t>XIEME TRIMESTRE DE 2022</w:t>
      </w:r>
    </w:p>
    <w:p w:rsidR="00486B5D" w:rsidRDefault="00486B5D" w:rsidP="002B65C2">
      <w:pPr>
        <w:spacing w:before="240" w:after="240" w:line="288" w:lineRule="auto"/>
        <w:jc w:val="both"/>
        <w:rPr>
          <w:rFonts w:ascii="Book Antiqua" w:eastAsia="Book Antiqua" w:hAnsi="Book Antiqua" w:cs="Book Antiqua"/>
          <w:b/>
          <w:bCs/>
          <w:color w:val="4472C4" w:themeColor="accent1"/>
          <w:sz w:val="26"/>
          <w:szCs w:val="26"/>
        </w:rPr>
      </w:pPr>
      <w:r w:rsidRPr="00750952">
        <w:rPr>
          <w:rFonts w:ascii="Book Antiqua" w:eastAsia="Book Antiqua" w:hAnsi="Book Antiqua" w:cs="Book Antiqua"/>
          <w:b/>
          <w:bCs/>
          <w:color w:val="4472C4" w:themeColor="accent1"/>
          <w:sz w:val="26"/>
          <w:szCs w:val="26"/>
        </w:rPr>
        <w:t>Entre le deuxième trimestre de 2021 et la même période de 2022</w:t>
      </w:r>
      <w:r w:rsidR="000D15FF" w:rsidRPr="00750952">
        <w:rPr>
          <w:rFonts w:ascii="Book Antiqua" w:eastAsia="Book Antiqua" w:hAnsi="Book Antiqua" w:cs="Book Antiqua"/>
          <w:b/>
          <w:bCs/>
          <w:color w:val="4472C4" w:themeColor="accent1"/>
          <w:sz w:val="26"/>
          <w:szCs w:val="26"/>
        </w:rPr>
        <w:t xml:space="preserve">, l’économie nationale </w:t>
      </w:r>
      <w:r w:rsidR="000D15FF" w:rsidRPr="002B65C2">
        <w:rPr>
          <w:rFonts w:ascii="Book Antiqua" w:eastAsia="Book Antiqua" w:hAnsi="Book Antiqua" w:cs="Book Antiqua"/>
          <w:b/>
          <w:bCs/>
          <w:color w:val="4472C4" w:themeColor="accent1"/>
          <w:sz w:val="26"/>
          <w:szCs w:val="26"/>
        </w:rPr>
        <w:t xml:space="preserve">a créé </w:t>
      </w:r>
      <w:r w:rsidRPr="002B65C2">
        <w:rPr>
          <w:rFonts w:ascii="Book Antiqua" w:eastAsia="Book Antiqua" w:hAnsi="Book Antiqua" w:cs="Book Antiqua"/>
          <w:b/>
          <w:bCs/>
          <w:color w:val="4472C4" w:themeColor="accent1"/>
          <w:sz w:val="26"/>
          <w:szCs w:val="26"/>
        </w:rPr>
        <w:t>13</w:t>
      </w:r>
      <w:r w:rsidR="004F641F" w:rsidRPr="002B65C2">
        <w:rPr>
          <w:rFonts w:ascii="Book Antiqua" w:eastAsia="Book Antiqua" w:hAnsi="Book Antiqua" w:cs="Book Antiqua"/>
          <w:b/>
          <w:bCs/>
          <w:color w:val="4472C4" w:themeColor="accent1"/>
          <w:sz w:val="26"/>
          <w:szCs w:val="26"/>
        </w:rPr>
        <w:t>3</w:t>
      </w:r>
      <w:r w:rsidR="000D15FF" w:rsidRPr="002B65C2">
        <w:rPr>
          <w:rFonts w:ascii="Book Antiqua" w:eastAsia="Book Antiqua" w:hAnsi="Book Antiqua" w:cs="Book Antiqua"/>
          <w:b/>
          <w:bCs/>
          <w:color w:val="4472C4" w:themeColor="accent1"/>
          <w:sz w:val="26"/>
          <w:szCs w:val="26"/>
        </w:rPr>
        <w:t xml:space="preserve">.000 postes d’emploi, résultant d’une création de </w:t>
      </w:r>
      <w:r w:rsidRPr="002B65C2">
        <w:rPr>
          <w:rFonts w:ascii="Book Antiqua" w:eastAsia="Book Antiqua" w:hAnsi="Book Antiqua" w:cs="Book Antiqua"/>
          <w:b/>
          <w:bCs/>
          <w:color w:val="4472C4" w:themeColor="accent1"/>
          <w:sz w:val="26"/>
          <w:szCs w:val="26"/>
        </w:rPr>
        <w:t>285</w:t>
      </w:r>
      <w:r w:rsidR="000D15FF" w:rsidRPr="002B65C2">
        <w:rPr>
          <w:rFonts w:ascii="Book Antiqua" w:eastAsia="Book Antiqua" w:hAnsi="Book Antiqua" w:cs="Book Antiqua"/>
          <w:b/>
          <w:bCs/>
          <w:color w:val="4472C4" w:themeColor="accent1"/>
          <w:sz w:val="26"/>
          <w:szCs w:val="26"/>
        </w:rPr>
        <w:t xml:space="preserve">.000 en milieu </w:t>
      </w:r>
      <w:r w:rsidRPr="002B65C2">
        <w:rPr>
          <w:rFonts w:ascii="Book Antiqua" w:eastAsia="Book Antiqua" w:hAnsi="Book Antiqua" w:cs="Book Antiqua"/>
          <w:b/>
          <w:bCs/>
          <w:color w:val="4472C4" w:themeColor="accent1"/>
          <w:sz w:val="26"/>
          <w:szCs w:val="26"/>
        </w:rPr>
        <w:t>urbain et d’une perte de 152</w:t>
      </w:r>
      <w:r w:rsidR="000D15FF" w:rsidRPr="002B65C2">
        <w:rPr>
          <w:rFonts w:ascii="Book Antiqua" w:eastAsia="Book Antiqua" w:hAnsi="Book Antiqua" w:cs="Book Antiqua"/>
          <w:b/>
          <w:bCs/>
          <w:color w:val="4472C4" w:themeColor="accent1"/>
          <w:sz w:val="26"/>
          <w:szCs w:val="26"/>
        </w:rPr>
        <w:t xml:space="preserve">.000 postes en milieu </w:t>
      </w:r>
      <w:r w:rsidRPr="002B65C2">
        <w:rPr>
          <w:rFonts w:ascii="Book Antiqua" w:eastAsia="Book Antiqua" w:hAnsi="Book Antiqua" w:cs="Book Antiqua"/>
          <w:b/>
          <w:bCs/>
          <w:color w:val="4472C4" w:themeColor="accent1"/>
          <w:sz w:val="26"/>
          <w:szCs w:val="26"/>
        </w:rPr>
        <w:t>rural, contre une création</w:t>
      </w:r>
      <w:r w:rsidR="000D15FF" w:rsidRPr="002B65C2">
        <w:rPr>
          <w:rFonts w:ascii="Book Antiqua" w:eastAsia="Book Antiqua" w:hAnsi="Book Antiqua" w:cs="Book Antiqua"/>
          <w:b/>
          <w:bCs/>
          <w:color w:val="4472C4" w:themeColor="accent1"/>
          <w:sz w:val="26"/>
          <w:szCs w:val="26"/>
        </w:rPr>
        <w:t xml:space="preserve"> de </w:t>
      </w:r>
      <w:r w:rsidRPr="002B65C2">
        <w:rPr>
          <w:rFonts w:ascii="Book Antiqua" w:eastAsia="Book Antiqua" w:hAnsi="Book Antiqua" w:cs="Book Antiqua"/>
          <w:b/>
          <w:bCs/>
          <w:color w:val="4472C4" w:themeColor="accent1"/>
          <w:sz w:val="26"/>
          <w:szCs w:val="26"/>
        </w:rPr>
        <w:t>405.000 postes d’emploi</w:t>
      </w:r>
      <w:r w:rsidR="002B65C2" w:rsidRPr="002B65C2">
        <w:rPr>
          <w:rFonts w:ascii="Book Antiqua" w:eastAsia="Book Antiqua" w:hAnsi="Book Antiqua" w:cs="Book Antiqua"/>
          <w:b/>
          <w:bCs/>
          <w:color w:val="4472C4" w:themeColor="accent1"/>
          <w:sz w:val="26"/>
          <w:szCs w:val="26"/>
        </w:rPr>
        <w:t xml:space="preserve"> au deuxième </w:t>
      </w:r>
      <w:r w:rsidR="00757BE9" w:rsidRPr="002B65C2">
        <w:rPr>
          <w:rFonts w:ascii="Book Antiqua" w:eastAsia="Book Antiqua" w:hAnsi="Book Antiqua" w:cs="Book Antiqua"/>
          <w:b/>
          <w:bCs/>
          <w:color w:val="4472C4" w:themeColor="accent1"/>
          <w:sz w:val="26"/>
          <w:szCs w:val="26"/>
        </w:rPr>
        <w:t>trimestre</w:t>
      </w:r>
      <w:r w:rsidR="002B65C2" w:rsidRPr="002B65C2">
        <w:rPr>
          <w:rFonts w:ascii="Book Antiqua" w:eastAsia="Book Antiqua" w:hAnsi="Book Antiqua" w:cs="Book Antiqua"/>
          <w:b/>
          <w:bCs/>
          <w:color w:val="4472C4" w:themeColor="accent1"/>
          <w:sz w:val="26"/>
          <w:szCs w:val="26"/>
        </w:rPr>
        <w:t xml:space="preserve"> de 2</w:t>
      </w:r>
      <w:r w:rsidR="00757BE9" w:rsidRPr="002B65C2">
        <w:rPr>
          <w:rFonts w:ascii="Book Antiqua" w:eastAsia="Book Antiqua" w:hAnsi="Book Antiqua" w:cs="Book Antiqua"/>
          <w:b/>
          <w:bCs/>
          <w:color w:val="4472C4" w:themeColor="accent1"/>
          <w:sz w:val="26"/>
          <w:szCs w:val="26"/>
        </w:rPr>
        <w:t xml:space="preserve">021 et </w:t>
      </w:r>
      <w:r w:rsidR="002B65C2" w:rsidRPr="002B65C2">
        <w:rPr>
          <w:rFonts w:ascii="Book Antiqua" w:eastAsia="Book Antiqua" w:hAnsi="Book Antiqua" w:cs="Book Antiqua"/>
          <w:b/>
          <w:bCs/>
          <w:color w:val="4472C4" w:themeColor="accent1"/>
          <w:sz w:val="26"/>
          <w:szCs w:val="26"/>
        </w:rPr>
        <w:t>d’</w:t>
      </w:r>
      <w:r w:rsidR="002B65C2">
        <w:rPr>
          <w:rFonts w:ascii="Book Antiqua" w:eastAsia="Book Antiqua" w:hAnsi="Book Antiqua" w:cs="Book Antiqua"/>
          <w:b/>
          <w:bCs/>
          <w:color w:val="4472C4" w:themeColor="accent1"/>
          <w:sz w:val="26"/>
          <w:szCs w:val="26"/>
        </w:rPr>
        <w:t xml:space="preserve">une perte de </w:t>
      </w:r>
      <w:r w:rsidR="002B65C2" w:rsidRPr="002B65C2">
        <w:rPr>
          <w:rFonts w:ascii="Book Antiqua" w:eastAsia="Book Antiqua" w:hAnsi="Book Antiqua" w:cs="Book Antiqua"/>
          <w:b/>
          <w:bCs/>
          <w:color w:val="4472C4" w:themeColor="accent1"/>
          <w:sz w:val="26"/>
          <w:szCs w:val="26"/>
        </w:rPr>
        <w:t>589</w:t>
      </w:r>
      <w:r w:rsidR="00EE0059">
        <w:rPr>
          <w:rFonts w:ascii="Book Antiqua" w:eastAsia="Book Antiqua" w:hAnsi="Book Antiqua" w:cs="Book Antiqua"/>
          <w:b/>
          <w:bCs/>
          <w:color w:val="4472C4" w:themeColor="accent1"/>
          <w:sz w:val="26"/>
          <w:szCs w:val="26"/>
        </w:rPr>
        <w:t>.000</w:t>
      </w:r>
      <w:r w:rsidR="002B65C2" w:rsidRPr="002B65C2">
        <w:rPr>
          <w:rFonts w:ascii="Book Antiqua" w:eastAsia="Book Antiqua" w:hAnsi="Book Antiqua" w:cs="Book Antiqua"/>
          <w:b/>
          <w:bCs/>
          <w:color w:val="4472C4" w:themeColor="accent1"/>
          <w:sz w:val="26"/>
          <w:szCs w:val="26"/>
        </w:rPr>
        <w:t xml:space="preserve"> postes au </w:t>
      </w:r>
      <w:r w:rsidR="00757BE9" w:rsidRPr="002B65C2">
        <w:rPr>
          <w:rFonts w:ascii="Book Antiqua" w:eastAsia="Book Antiqua" w:hAnsi="Book Antiqua" w:cs="Book Antiqua"/>
          <w:b/>
          <w:bCs/>
          <w:color w:val="4472C4" w:themeColor="accent1"/>
          <w:sz w:val="26"/>
          <w:szCs w:val="26"/>
        </w:rPr>
        <w:t>deuxième</w:t>
      </w:r>
      <w:r w:rsidR="00EE0059">
        <w:rPr>
          <w:rFonts w:ascii="Book Antiqua" w:eastAsia="Book Antiqua" w:hAnsi="Book Antiqua" w:cs="Book Antiqua"/>
          <w:b/>
          <w:bCs/>
          <w:color w:val="4472C4" w:themeColor="accent1"/>
          <w:sz w:val="26"/>
          <w:szCs w:val="26"/>
        </w:rPr>
        <w:t xml:space="preserve"> </w:t>
      </w:r>
      <w:r w:rsidR="00EE0059" w:rsidRPr="002B65C2">
        <w:rPr>
          <w:rFonts w:ascii="Book Antiqua" w:eastAsia="Book Antiqua" w:hAnsi="Book Antiqua" w:cs="Book Antiqua"/>
          <w:b/>
          <w:bCs/>
          <w:color w:val="4472C4" w:themeColor="accent1"/>
          <w:sz w:val="26"/>
          <w:szCs w:val="26"/>
        </w:rPr>
        <w:t>trimestre</w:t>
      </w:r>
      <w:r w:rsidR="002B65C2" w:rsidRPr="002B65C2">
        <w:rPr>
          <w:rFonts w:ascii="Book Antiqua" w:eastAsia="Book Antiqua" w:hAnsi="Book Antiqua" w:cs="Book Antiqua"/>
          <w:b/>
          <w:bCs/>
          <w:color w:val="4472C4" w:themeColor="accent1"/>
          <w:sz w:val="26"/>
          <w:szCs w:val="26"/>
        </w:rPr>
        <w:t xml:space="preserve"> de </w:t>
      </w:r>
      <w:r w:rsidR="00757BE9" w:rsidRPr="002B65C2">
        <w:rPr>
          <w:rFonts w:ascii="Book Antiqua" w:eastAsia="Book Antiqua" w:hAnsi="Book Antiqua" w:cs="Book Antiqua"/>
          <w:b/>
          <w:bCs/>
          <w:color w:val="4472C4" w:themeColor="accent1"/>
          <w:sz w:val="26"/>
          <w:szCs w:val="26"/>
        </w:rPr>
        <w:t>2020</w:t>
      </w:r>
      <w:r w:rsidRPr="002B65C2">
        <w:rPr>
          <w:rFonts w:ascii="Book Antiqua" w:eastAsia="Book Antiqua" w:hAnsi="Book Antiqua" w:cs="Book Antiqua"/>
          <w:b/>
          <w:bCs/>
          <w:color w:val="4472C4" w:themeColor="accent1"/>
          <w:sz w:val="26"/>
          <w:szCs w:val="26"/>
        </w:rPr>
        <w:t>.</w:t>
      </w:r>
    </w:p>
    <w:p w:rsidR="000D15FF" w:rsidRPr="00750952" w:rsidRDefault="000D15FF" w:rsidP="009D1FFA">
      <w:pPr>
        <w:spacing w:before="240" w:after="240" w:line="288" w:lineRule="auto"/>
        <w:jc w:val="both"/>
        <w:rPr>
          <w:rFonts w:ascii="Book Antiqua" w:eastAsia="Book Antiqua" w:hAnsi="Book Antiqua" w:cs="Book Antiqua"/>
          <w:b/>
          <w:bCs/>
          <w:color w:val="4472C4" w:themeColor="accent1"/>
          <w:sz w:val="26"/>
          <w:szCs w:val="26"/>
        </w:rPr>
      </w:pPr>
      <w:r w:rsidRPr="002B65C2">
        <w:rPr>
          <w:rFonts w:ascii="Book Antiqua" w:eastAsia="Book Antiqua" w:hAnsi="Book Antiqua" w:cs="Book Antiqua"/>
          <w:b/>
          <w:bCs/>
          <w:color w:val="4472C4" w:themeColor="accent1"/>
          <w:sz w:val="26"/>
          <w:szCs w:val="26"/>
        </w:rPr>
        <w:t xml:space="preserve">Le </w:t>
      </w:r>
      <w:r w:rsidR="009107AD" w:rsidRPr="002B65C2">
        <w:rPr>
          <w:rFonts w:ascii="Book Antiqua" w:eastAsia="Book Antiqua" w:hAnsi="Book Antiqua" w:cs="Book Antiqua"/>
          <w:b/>
          <w:bCs/>
          <w:color w:val="4472C4" w:themeColor="accent1"/>
          <w:sz w:val="26"/>
          <w:szCs w:val="26"/>
        </w:rPr>
        <w:t>secteur des</w:t>
      </w:r>
      <w:r w:rsidRPr="002B65C2">
        <w:rPr>
          <w:rFonts w:ascii="Book Antiqua" w:eastAsia="Book Antiqua" w:hAnsi="Book Antiqua" w:cs="Book Antiqua"/>
          <w:b/>
          <w:bCs/>
          <w:color w:val="4472C4" w:themeColor="accent1"/>
          <w:sz w:val="26"/>
          <w:szCs w:val="26"/>
        </w:rPr>
        <w:t xml:space="preserve"> services a créé </w:t>
      </w:r>
      <w:r w:rsidR="000D0B48" w:rsidRPr="002B65C2">
        <w:rPr>
          <w:rFonts w:ascii="Book Antiqua" w:eastAsia="Book Antiqua" w:hAnsi="Book Antiqua" w:cs="Book Antiqua"/>
          <w:b/>
          <w:bCs/>
          <w:color w:val="4472C4" w:themeColor="accent1"/>
          <w:sz w:val="26"/>
          <w:szCs w:val="26"/>
        </w:rPr>
        <w:t>237</w:t>
      </w:r>
      <w:r w:rsidRPr="002B65C2">
        <w:rPr>
          <w:rFonts w:ascii="Book Antiqua" w:eastAsia="Book Antiqua" w:hAnsi="Book Antiqua" w:cs="Book Antiqua"/>
          <w:b/>
          <w:bCs/>
          <w:color w:val="4472C4" w:themeColor="accent1"/>
          <w:sz w:val="26"/>
          <w:szCs w:val="26"/>
        </w:rPr>
        <w:t>.000 postes,</w:t>
      </w:r>
      <w:r w:rsidR="002B65C2" w:rsidRPr="002B65C2">
        <w:rPr>
          <w:rFonts w:ascii="Book Antiqua" w:eastAsia="Book Antiqua" w:hAnsi="Book Antiqua" w:cs="Book Antiqua"/>
          <w:b/>
          <w:bCs/>
          <w:color w:val="4472C4" w:themeColor="accent1"/>
          <w:sz w:val="26"/>
          <w:szCs w:val="26"/>
        </w:rPr>
        <w:t xml:space="preserve"> </w:t>
      </w:r>
      <w:r w:rsidR="00757BE9" w:rsidRPr="002B65C2">
        <w:rPr>
          <w:rFonts w:ascii="Book Antiqua" w:eastAsia="Book Antiqua" w:hAnsi="Book Antiqua" w:cs="Book Antiqua"/>
          <w:b/>
          <w:bCs/>
          <w:color w:val="4472C4" w:themeColor="accent1"/>
          <w:sz w:val="26"/>
          <w:szCs w:val="26"/>
        </w:rPr>
        <w:t xml:space="preserve">celui de </w:t>
      </w:r>
      <w:r w:rsidR="000D0B48" w:rsidRPr="002B65C2">
        <w:rPr>
          <w:rFonts w:ascii="Book Antiqua" w:eastAsia="Book Antiqua" w:hAnsi="Book Antiqua" w:cs="Book Antiqua"/>
          <w:b/>
          <w:bCs/>
          <w:color w:val="4472C4" w:themeColor="accent1"/>
          <w:sz w:val="26"/>
          <w:szCs w:val="26"/>
        </w:rPr>
        <w:t xml:space="preserve">l’"industrie" 76.000 postes, </w:t>
      </w:r>
      <w:r w:rsidR="00757BE9" w:rsidRPr="002B65C2">
        <w:rPr>
          <w:rFonts w:ascii="Book Antiqua" w:eastAsia="Book Antiqua" w:hAnsi="Book Antiqua" w:cs="Book Antiqua"/>
          <w:b/>
          <w:bCs/>
          <w:color w:val="4472C4" w:themeColor="accent1"/>
          <w:sz w:val="26"/>
          <w:szCs w:val="26"/>
        </w:rPr>
        <w:t>d</w:t>
      </w:r>
      <w:r w:rsidRPr="002B65C2">
        <w:rPr>
          <w:rFonts w:ascii="Book Antiqua" w:eastAsia="Book Antiqua" w:hAnsi="Book Antiqua" w:cs="Book Antiqua"/>
          <w:b/>
          <w:bCs/>
          <w:color w:val="4472C4" w:themeColor="accent1"/>
          <w:sz w:val="26"/>
          <w:szCs w:val="26"/>
        </w:rPr>
        <w:t xml:space="preserve">es BTP </w:t>
      </w:r>
      <w:r w:rsidR="000D0B48" w:rsidRPr="002B65C2">
        <w:rPr>
          <w:rFonts w:ascii="Book Antiqua" w:eastAsia="Book Antiqua" w:hAnsi="Book Antiqua" w:cs="Book Antiqua"/>
          <w:b/>
          <w:bCs/>
          <w:color w:val="4472C4" w:themeColor="accent1"/>
          <w:sz w:val="26"/>
          <w:szCs w:val="26"/>
        </w:rPr>
        <w:t>30</w:t>
      </w:r>
      <w:r w:rsidRPr="002B65C2">
        <w:rPr>
          <w:rFonts w:ascii="Book Antiqua" w:eastAsia="Book Antiqua" w:hAnsi="Book Antiqua" w:cs="Book Antiqua"/>
          <w:b/>
          <w:bCs/>
          <w:color w:val="4472C4" w:themeColor="accent1"/>
          <w:sz w:val="26"/>
          <w:szCs w:val="26"/>
        </w:rPr>
        <w:t>.000 postes</w:t>
      </w:r>
      <w:r w:rsidR="002F4D68" w:rsidRPr="002B65C2">
        <w:rPr>
          <w:rFonts w:ascii="Book Antiqua" w:eastAsia="Book Antiqua" w:hAnsi="Book Antiqua" w:cs="Book Antiqua"/>
          <w:b/>
          <w:bCs/>
          <w:color w:val="4472C4" w:themeColor="accent1"/>
          <w:sz w:val="26"/>
          <w:szCs w:val="26"/>
        </w:rPr>
        <w:t xml:space="preserve">, </w:t>
      </w:r>
      <w:r w:rsidR="00757BE9" w:rsidRPr="002B65C2">
        <w:rPr>
          <w:rFonts w:ascii="Book Antiqua" w:eastAsia="Book Antiqua" w:hAnsi="Book Antiqua" w:cs="Book Antiqua"/>
          <w:b/>
          <w:bCs/>
          <w:color w:val="4472C4" w:themeColor="accent1"/>
          <w:sz w:val="26"/>
          <w:szCs w:val="26"/>
        </w:rPr>
        <w:t>alors que</w:t>
      </w:r>
      <w:r w:rsidR="002F4D68" w:rsidRPr="002B65C2">
        <w:rPr>
          <w:rFonts w:ascii="Book Antiqua" w:eastAsia="Book Antiqua" w:hAnsi="Book Antiqua" w:cs="Book Antiqua"/>
          <w:b/>
          <w:bCs/>
          <w:color w:val="4472C4" w:themeColor="accent1"/>
          <w:sz w:val="26"/>
          <w:szCs w:val="26"/>
        </w:rPr>
        <w:t xml:space="preserve"> l’"agriculture, forêt et pêche" </w:t>
      </w:r>
      <w:r w:rsidR="000D0B48" w:rsidRPr="002B65C2">
        <w:rPr>
          <w:rFonts w:ascii="Book Antiqua" w:eastAsia="Book Antiqua" w:hAnsi="Book Antiqua" w:cs="Book Antiqua"/>
          <w:b/>
          <w:bCs/>
          <w:color w:val="4472C4" w:themeColor="accent1"/>
          <w:sz w:val="26"/>
          <w:szCs w:val="26"/>
        </w:rPr>
        <w:t>a en perdu 2</w:t>
      </w:r>
      <w:r w:rsidR="009D1FFA" w:rsidRPr="002B65C2">
        <w:rPr>
          <w:rFonts w:ascii="Book Antiqua" w:eastAsia="Book Antiqua" w:hAnsi="Book Antiqua" w:cs="Book Antiqua"/>
          <w:b/>
          <w:bCs/>
          <w:color w:val="4472C4" w:themeColor="accent1"/>
          <w:sz w:val="26"/>
          <w:szCs w:val="26"/>
        </w:rPr>
        <w:t>10</w:t>
      </w:r>
      <w:r w:rsidR="002F4D68" w:rsidRPr="002B65C2">
        <w:rPr>
          <w:rFonts w:ascii="Book Antiqua" w:eastAsia="Book Antiqua" w:hAnsi="Book Antiqua" w:cs="Book Antiqua"/>
          <w:b/>
          <w:bCs/>
          <w:color w:val="4472C4" w:themeColor="accent1"/>
          <w:sz w:val="26"/>
          <w:szCs w:val="26"/>
        </w:rPr>
        <w:t>.000</w:t>
      </w:r>
      <w:r w:rsidR="000D0B48" w:rsidRPr="002B65C2">
        <w:rPr>
          <w:rFonts w:ascii="Book Antiqua" w:eastAsia="Book Antiqua" w:hAnsi="Book Antiqua" w:cs="Book Antiqua"/>
          <w:b/>
          <w:bCs/>
          <w:color w:val="4472C4" w:themeColor="accent1"/>
          <w:sz w:val="26"/>
          <w:szCs w:val="26"/>
        </w:rPr>
        <w:t>.</w:t>
      </w:r>
    </w:p>
    <w:p w:rsidR="00AC2D21" w:rsidRPr="00750952" w:rsidRDefault="00AC2D21" w:rsidP="004F641F">
      <w:pPr>
        <w:autoSpaceDE w:val="0"/>
        <w:autoSpaceDN w:val="0"/>
        <w:adjustRightInd w:val="0"/>
        <w:spacing w:before="120" w:after="120" w:line="288" w:lineRule="auto"/>
        <w:jc w:val="both"/>
        <w:rPr>
          <w:rFonts w:ascii="Book Antiqua" w:eastAsia="Book Antiqua" w:hAnsi="Book Antiqua" w:cs="Book Antiqua"/>
          <w:b/>
          <w:bCs/>
          <w:color w:val="4472C4" w:themeColor="accent1"/>
          <w:sz w:val="26"/>
          <w:szCs w:val="26"/>
        </w:rPr>
      </w:pPr>
      <w:r w:rsidRPr="004F641F">
        <w:rPr>
          <w:rFonts w:ascii="Book Antiqua" w:eastAsia="Book Antiqua" w:hAnsi="Book Antiqua" w:cs="Book Antiqua"/>
          <w:b/>
          <w:bCs/>
          <w:color w:val="4472C4" w:themeColor="accent1"/>
          <w:sz w:val="26"/>
          <w:szCs w:val="26"/>
        </w:rPr>
        <w:t xml:space="preserve">Par ailleurs, </w:t>
      </w:r>
      <w:r w:rsidR="0023300C" w:rsidRPr="004F641F">
        <w:rPr>
          <w:rFonts w:ascii="Book Antiqua" w:eastAsia="Book Antiqua" w:hAnsi="Book Antiqua" w:cs="Book Antiqua"/>
          <w:b/>
          <w:bCs/>
          <w:color w:val="4472C4" w:themeColor="accent1"/>
          <w:sz w:val="26"/>
          <w:szCs w:val="26"/>
        </w:rPr>
        <w:t>a</w:t>
      </w:r>
      <w:r w:rsidRPr="004F641F">
        <w:rPr>
          <w:rFonts w:ascii="Book Antiqua" w:eastAsia="Book Antiqua" w:hAnsi="Book Antiqua" w:cs="Book Antiqua"/>
          <w:b/>
          <w:bCs/>
          <w:color w:val="4472C4" w:themeColor="accent1"/>
          <w:sz w:val="26"/>
          <w:szCs w:val="26"/>
        </w:rPr>
        <w:t xml:space="preserve">vec une </w:t>
      </w:r>
      <w:r w:rsidR="000D0B48" w:rsidRPr="004F641F">
        <w:rPr>
          <w:rFonts w:ascii="Book Antiqua" w:eastAsia="Book Antiqua" w:hAnsi="Book Antiqua" w:cs="Book Antiqua"/>
          <w:b/>
          <w:bCs/>
          <w:color w:val="4472C4" w:themeColor="accent1"/>
          <w:sz w:val="26"/>
          <w:szCs w:val="26"/>
        </w:rPr>
        <w:t>baisse</w:t>
      </w:r>
      <w:r w:rsidRPr="004F641F">
        <w:rPr>
          <w:rFonts w:ascii="Book Antiqua" w:eastAsia="Book Antiqua" w:hAnsi="Book Antiqua" w:cs="Book Antiqua"/>
          <w:b/>
          <w:bCs/>
          <w:color w:val="4472C4" w:themeColor="accent1"/>
          <w:sz w:val="26"/>
          <w:szCs w:val="26"/>
        </w:rPr>
        <w:t xml:space="preserve"> de </w:t>
      </w:r>
      <w:r w:rsidR="000D0B48" w:rsidRPr="004F641F">
        <w:rPr>
          <w:rFonts w:ascii="Book Antiqua" w:eastAsia="Book Antiqua" w:hAnsi="Book Antiqua" w:cs="Book Antiqua"/>
          <w:b/>
          <w:bCs/>
          <w:color w:val="4472C4" w:themeColor="accent1"/>
          <w:sz w:val="26"/>
          <w:szCs w:val="26"/>
        </w:rPr>
        <w:t>21</w:t>
      </w:r>
      <w:r w:rsidR="004F641F" w:rsidRPr="004F641F">
        <w:rPr>
          <w:rFonts w:ascii="Book Antiqua" w:eastAsia="Book Antiqua" w:hAnsi="Book Antiqua" w:cs="Book Antiqua"/>
          <w:b/>
          <w:bCs/>
          <w:color w:val="4472C4" w:themeColor="accent1"/>
          <w:sz w:val="26"/>
          <w:szCs w:val="26"/>
        </w:rPr>
        <w:t>8</w:t>
      </w:r>
      <w:r w:rsidRPr="004F641F">
        <w:rPr>
          <w:rFonts w:ascii="Book Antiqua" w:eastAsia="Book Antiqua" w:hAnsi="Book Antiqua" w:cs="Book Antiqua"/>
          <w:b/>
          <w:bCs/>
          <w:color w:val="4472C4" w:themeColor="accent1"/>
          <w:sz w:val="26"/>
          <w:szCs w:val="26"/>
        </w:rPr>
        <w:t xml:space="preserve">.000 chômeurs, résultant d’une réduction de </w:t>
      </w:r>
      <w:r w:rsidR="000D0B48" w:rsidRPr="004F641F">
        <w:rPr>
          <w:rFonts w:ascii="Book Antiqua" w:eastAsia="Book Antiqua" w:hAnsi="Book Antiqua" w:cs="Book Antiqua"/>
          <w:b/>
          <w:bCs/>
          <w:color w:val="4472C4" w:themeColor="accent1"/>
          <w:sz w:val="26"/>
          <w:szCs w:val="26"/>
        </w:rPr>
        <w:t>182</w:t>
      </w:r>
      <w:r w:rsidRPr="004F641F">
        <w:rPr>
          <w:rFonts w:ascii="Book Antiqua" w:eastAsia="Book Antiqua" w:hAnsi="Book Antiqua" w:cs="Book Antiqua"/>
          <w:b/>
          <w:bCs/>
          <w:color w:val="4472C4" w:themeColor="accent1"/>
          <w:sz w:val="26"/>
          <w:szCs w:val="26"/>
        </w:rPr>
        <w:t xml:space="preserve">.000 chômeurs en milieu </w:t>
      </w:r>
      <w:r w:rsidR="000D0B48" w:rsidRPr="004F641F">
        <w:rPr>
          <w:rFonts w:ascii="Book Antiqua" w:eastAsia="Book Antiqua" w:hAnsi="Book Antiqua" w:cs="Book Antiqua"/>
          <w:b/>
          <w:bCs/>
          <w:color w:val="4472C4" w:themeColor="accent1"/>
          <w:sz w:val="26"/>
          <w:szCs w:val="26"/>
        </w:rPr>
        <w:t xml:space="preserve">urbain et </w:t>
      </w:r>
      <w:r w:rsidRPr="004F641F">
        <w:rPr>
          <w:rFonts w:ascii="Book Antiqua" w:eastAsia="Book Antiqua" w:hAnsi="Book Antiqua" w:cs="Book Antiqua"/>
          <w:b/>
          <w:bCs/>
          <w:color w:val="4472C4" w:themeColor="accent1"/>
          <w:sz w:val="26"/>
          <w:szCs w:val="26"/>
        </w:rPr>
        <w:t xml:space="preserve">de </w:t>
      </w:r>
      <w:r w:rsidR="000D0B48" w:rsidRPr="004F641F">
        <w:rPr>
          <w:rFonts w:ascii="Book Antiqua" w:eastAsia="Book Antiqua" w:hAnsi="Book Antiqua" w:cs="Book Antiqua"/>
          <w:b/>
          <w:bCs/>
          <w:color w:val="4472C4" w:themeColor="accent1"/>
          <w:sz w:val="26"/>
          <w:szCs w:val="26"/>
        </w:rPr>
        <w:t>36</w:t>
      </w:r>
      <w:r w:rsidRPr="004F641F">
        <w:rPr>
          <w:rFonts w:ascii="Book Antiqua" w:eastAsia="Book Antiqua" w:hAnsi="Book Antiqua" w:cs="Book Antiqua"/>
          <w:b/>
          <w:bCs/>
          <w:color w:val="4472C4" w:themeColor="accent1"/>
          <w:sz w:val="26"/>
          <w:szCs w:val="26"/>
        </w:rPr>
        <w:t xml:space="preserve">.000 en milieu </w:t>
      </w:r>
      <w:r w:rsidR="000D0B48" w:rsidRPr="004F641F">
        <w:rPr>
          <w:rFonts w:ascii="Book Antiqua" w:eastAsia="Book Antiqua" w:hAnsi="Book Antiqua" w:cs="Book Antiqua"/>
          <w:b/>
          <w:bCs/>
          <w:color w:val="4472C4" w:themeColor="accent1"/>
          <w:sz w:val="26"/>
          <w:szCs w:val="26"/>
        </w:rPr>
        <w:t>rural</w:t>
      </w:r>
      <w:r w:rsidRPr="004F641F">
        <w:rPr>
          <w:rFonts w:ascii="Book Antiqua" w:eastAsia="Book Antiqua" w:hAnsi="Book Antiqua" w:cs="Book Antiqua"/>
          <w:b/>
          <w:bCs/>
          <w:color w:val="4472C4" w:themeColor="accent1"/>
          <w:sz w:val="26"/>
          <w:szCs w:val="26"/>
        </w:rPr>
        <w:t>, le volume de chômage a atteint 1.</w:t>
      </w:r>
      <w:r w:rsidR="000D0B48" w:rsidRPr="004F641F">
        <w:rPr>
          <w:rFonts w:ascii="Book Antiqua" w:eastAsia="Book Antiqua" w:hAnsi="Book Antiqua" w:cs="Book Antiqua"/>
          <w:b/>
          <w:bCs/>
          <w:color w:val="4472C4" w:themeColor="accent1"/>
          <w:sz w:val="26"/>
          <w:szCs w:val="26"/>
        </w:rPr>
        <w:t>387</w:t>
      </w:r>
      <w:r w:rsidRPr="004F641F">
        <w:rPr>
          <w:rFonts w:ascii="Book Antiqua" w:eastAsia="Book Antiqua" w:hAnsi="Book Antiqua" w:cs="Book Antiqua"/>
          <w:b/>
          <w:bCs/>
          <w:color w:val="4472C4" w:themeColor="accent1"/>
          <w:sz w:val="26"/>
          <w:szCs w:val="26"/>
        </w:rPr>
        <w:t>.000 personnes au niveau</w:t>
      </w:r>
      <w:r w:rsidRPr="00750952">
        <w:rPr>
          <w:rFonts w:ascii="Book Antiqua" w:eastAsia="Book Antiqua" w:hAnsi="Book Antiqua" w:cs="Book Antiqua"/>
          <w:b/>
          <w:bCs/>
          <w:color w:val="4472C4" w:themeColor="accent1"/>
          <w:sz w:val="26"/>
          <w:szCs w:val="26"/>
        </w:rPr>
        <w:t xml:space="preserve"> national.</w:t>
      </w:r>
    </w:p>
    <w:p w:rsidR="003F5612" w:rsidRPr="00750952" w:rsidRDefault="00AC2D21" w:rsidP="000D0B48">
      <w:pPr>
        <w:autoSpaceDE w:val="0"/>
        <w:autoSpaceDN w:val="0"/>
        <w:adjustRightInd w:val="0"/>
        <w:spacing w:before="120" w:after="120" w:line="288" w:lineRule="auto"/>
        <w:jc w:val="both"/>
        <w:rPr>
          <w:rFonts w:ascii="Book Antiqua" w:eastAsia="Book Antiqua" w:hAnsi="Book Antiqua" w:cs="Book Antiqua"/>
          <w:b/>
          <w:bCs/>
          <w:color w:val="4472C4" w:themeColor="accent1"/>
          <w:sz w:val="26"/>
          <w:szCs w:val="26"/>
        </w:rPr>
      </w:pPr>
      <w:r w:rsidRPr="00750952">
        <w:rPr>
          <w:rFonts w:ascii="Book Antiqua" w:eastAsia="Book Antiqua" w:hAnsi="Book Antiqua" w:cs="Book Antiqua"/>
          <w:b/>
          <w:bCs/>
          <w:color w:val="4472C4" w:themeColor="accent1"/>
          <w:sz w:val="26"/>
          <w:szCs w:val="26"/>
        </w:rPr>
        <w:t>Le taux de chômage est ainsi passé de 1</w:t>
      </w:r>
      <w:r w:rsidR="000D0B48" w:rsidRPr="00750952">
        <w:rPr>
          <w:rFonts w:ascii="Book Antiqua" w:eastAsia="Book Antiqua" w:hAnsi="Book Antiqua" w:cs="Book Antiqua"/>
          <w:b/>
          <w:bCs/>
          <w:color w:val="4472C4" w:themeColor="accent1"/>
          <w:sz w:val="26"/>
          <w:szCs w:val="26"/>
        </w:rPr>
        <w:t>2</w:t>
      </w:r>
      <w:r w:rsidRPr="00750952">
        <w:rPr>
          <w:rFonts w:ascii="Book Antiqua" w:eastAsia="Book Antiqua" w:hAnsi="Book Antiqua" w:cs="Book Antiqua"/>
          <w:b/>
          <w:bCs/>
          <w:color w:val="4472C4" w:themeColor="accent1"/>
          <w:sz w:val="26"/>
          <w:szCs w:val="26"/>
        </w:rPr>
        <w:t>,</w:t>
      </w:r>
      <w:r w:rsidR="000D0B48" w:rsidRPr="00750952">
        <w:rPr>
          <w:rFonts w:ascii="Book Antiqua" w:eastAsia="Book Antiqua" w:hAnsi="Book Antiqua" w:cs="Book Antiqua"/>
          <w:b/>
          <w:bCs/>
          <w:color w:val="4472C4" w:themeColor="accent1"/>
          <w:sz w:val="26"/>
          <w:szCs w:val="26"/>
        </w:rPr>
        <w:t>8% à 11</w:t>
      </w:r>
      <w:r w:rsidRPr="00750952">
        <w:rPr>
          <w:rFonts w:ascii="Book Antiqua" w:eastAsia="Book Antiqua" w:hAnsi="Book Antiqua" w:cs="Book Antiqua"/>
          <w:b/>
          <w:bCs/>
          <w:color w:val="4472C4" w:themeColor="accent1"/>
          <w:sz w:val="26"/>
          <w:szCs w:val="26"/>
        </w:rPr>
        <w:t>,</w:t>
      </w:r>
      <w:r w:rsidR="000D0B48" w:rsidRPr="00750952">
        <w:rPr>
          <w:rFonts w:ascii="Book Antiqua" w:eastAsia="Book Antiqua" w:hAnsi="Book Antiqua" w:cs="Book Antiqua"/>
          <w:b/>
          <w:bCs/>
          <w:color w:val="4472C4" w:themeColor="accent1"/>
          <w:sz w:val="26"/>
          <w:szCs w:val="26"/>
        </w:rPr>
        <w:t>2</w:t>
      </w:r>
      <w:r w:rsidRPr="00750952">
        <w:rPr>
          <w:rFonts w:ascii="Book Antiqua" w:eastAsia="Book Antiqua" w:hAnsi="Book Antiqua" w:cs="Book Antiqua"/>
          <w:b/>
          <w:bCs/>
          <w:color w:val="4472C4" w:themeColor="accent1"/>
          <w:sz w:val="26"/>
          <w:szCs w:val="26"/>
        </w:rPr>
        <w:t>% au niveau national, de 1</w:t>
      </w:r>
      <w:r w:rsidR="000D0B48" w:rsidRPr="00750952">
        <w:rPr>
          <w:rFonts w:ascii="Book Antiqua" w:eastAsia="Book Antiqua" w:hAnsi="Book Antiqua" w:cs="Book Antiqua"/>
          <w:b/>
          <w:bCs/>
          <w:color w:val="4472C4" w:themeColor="accent1"/>
          <w:sz w:val="26"/>
          <w:szCs w:val="26"/>
        </w:rPr>
        <w:t>8</w:t>
      </w:r>
      <w:r w:rsidRPr="00750952">
        <w:rPr>
          <w:rFonts w:ascii="Book Antiqua" w:eastAsia="Book Antiqua" w:hAnsi="Book Antiqua" w:cs="Book Antiqua"/>
          <w:b/>
          <w:bCs/>
          <w:color w:val="4472C4" w:themeColor="accent1"/>
          <w:sz w:val="26"/>
          <w:szCs w:val="26"/>
        </w:rPr>
        <w:t>,</w:t>
      </w:r>
      <w:r w:rsidR="000D0B48" w:rsidRPr="00750952">
        <w:rPr>
          <w:rFonts w:ascii="Book Antiqua" w:eastAsia="Book Antiqua" w:hAnsi="Book Antiqua" w:cs="Book Antiqua"/>
          <w:b/>
          <w:bCs/>
          <w:color w:val="4472C4" w:themeColor="accent1"/>
          <w:sz w:val="26"/>
          <w:szCs w:val="26"/>
        </w:rPr>
        <w:t>2</w:t>
      </w:r>
      <w:r w:rsidRPr="00750952">
        <w:rPr>
          <w:rFonts w:ascii="Book Antiqua" w:eastAsia="Book Antiqua" w:hAnsi="Book Antiqua" w:cs="Book Antiqua"/>
          <w:b/>
          <w:bCs/>
          <w:color w:val="4472C4" w:themeColor="accent1"/>
          <w:sz w:val="26"/>
          <w:szCs w:val="26"/>
        </w:rPr>
        <w:t>% à 1</w:t>
      </w:r>
      <w:r w:rsidR="000D0B48" w:rsidRPr="00750952">
        <w:rPr>
          <w:rFonts w:ascii="Book Antiqua" w:eastAsia="Book Antiqua" w:hAnsi="Book Antiqua" w:cs="Book Antiqua"/>
          <w:b/>
          <w:bCs/>
          <w:color w:val="4472C4" w:themeColor="accent1"/>
          <w:sz w:val="26"/>
          <w:szCs w:val="26"/>
        </w:rPr>
        <w:t>5,5</w:t>
      </w:r>
      <w:r w:rsidRPr="00750952">
        <w:rPr>
          <w:rFonts w:ascii="Book Antiqua" w:eastAsia="Book Antiqua" w:hAnsi="Book Antiqua" w:cs="Book Antiqua"/>
          <w:b/>
          <w:bCs/>
          <w:color w:val="4472C4" w:themeColor="accent1"/>
          <w:sz w:val="26"/>
          <w:szCs w:val="26"/>
        </w:rPr>
        <w:t xml:space="preserve">% en milieu urbain et de </w:t>
      </w:r>
      <w:r w:rsidR="000D0B48" w:rsidRPr="00750952">
        <w:rPr>
          <w:rFonts w:ascii="Book Antiqua" w:eastAsia="Book Antiqua" w:hAnsi="Book Antiqua" w:cs="Book Antiqua"/>
          <w:b/>
          <w:bCs/>
          <w:color w:val="4472C4" w:themeColor="accent1"/>
          <w:sz w:val="26"/>
          <w:szCs w:val="26"/>
        </w:rPr>
        <w:t>4,8</w:t>
      </w:r>
      <w:r w:rsidRPr="00750952">
        <w:rPr>
          <w:rFonts w:ascii="Book Antiqua" w:eastAsia="Book Antiqua" w:hAnsi="Book Antiqua" w:cs="Book Antiqua"/>
          <w:b/>
          <w:bCs/>
          <w:color w:val="4472C4" w:themeColor="accent1"/>
          <w:sz w:val="26"/>
          <w:szCs w:val="26"/>
        </w:rPr>
        <w:t xml:space="preserve">% à </w:t>
      </w:r>
      <w:r w:rsidR="000D0B48" w:rsidRPr="00750952">
        <w:rPr>
          <w:rFonts w:ascii="Book Antiqua" w:eastAsia="Book Antiqua" w:hAnsi="Book Antiqua" w:cs="Book Antiqua"/>
          <w:b/>
          <w:bCs/>
          <w:color w:val="4472C4" w:themeColor="accent1"/>
          <w:sz w:val="26"/>
          <w:szCs w:val="26"/>
        </w:rPr>
        <w:t>4,2</w:t>
      </w:r>
      <w:r w:rsidRPr="00750952">
        <w:rPr>
          <w:rFonts w:ascii="Book Antiqua" w:eastAsia="Book Antiqua" w:hAnsi="Book Antiqua" w:cs="Book Antiqua"/>
          <w:b/>
          <w:bCs/>
          <w:color w:val="4472C4" w:themeColor="accent1"/>
          <w:sz w:val="26"/>
          <w:szCs w:val="26"/>
        </w:rPr>
        <w:t>% en milieu rural. Il est plus élevé parmi les jeunes âgés de 15 à 24 ans (3</w:t>
      </w:r>
      <w:r w:rsidR="000D0B48" w:rsidRPr="00750952">
        <w:rPr>
          <w:rFonts w:ascii="Book Antiqua" w:eastAsia="Book Antiqua" w:hAnsi="Book Antiqua" w:cs="Book Antiqua"/>
          <w:b/>
          <w:bCs/>
          <w:color w:val="4472C4" w:themeColor="accent1"/>
          <w:sz w:val="26"/>
          <w:szCs w:val="26"/>
        </w:rPr>
        <w:t>0,2</w:t>
      </w:r>
      <w:r w:rsidRPr="00750952">
        <w:rPr>
          <w:rFonts w:ascii="Book Antiqua" w:eastAsia="Book Antiqua" w:hAnsi="Book Antiqua" w:cs="Book Antiqua"/>
          <w:b/>
          <w:bCs/>
          <w:color w:val="4472C4" w:themeColor="accent1"/>
          <w:sz w:val="26"/>
          <w:szCs w:val="26"/>
        </w:rPr>
        <w:t>%), les diplômés (</w:t>
      </w:r>
      <w:r w:rsidR="000D0B48" w:rsidRPr="00750952">
        <w:rPr>
          <w:rFonts w:ascii="Book Antiqua" w:eastAsia="Book Antiqua" w:hAnsi="Book Antiqua" w:cs="Book Antiqua"/>
          <w:b/>
          <w:bCs/>
          <w:color w:val="4472C4" w:themeColor="accent1"/>
          <w:sz w:val="26"/>
          <w:szCs w:val="26"/>
        </w:rPr>
        <w:t>18</w:t>
      </w:r>
      <w:r w:rsidRPr="00750952">
        <w:rPr>
          <w:rFonts w:ascii="Book Antiqua" w:eastAsia="Book Antiqua" w:hAnsi="Book Antiqua" w:cs="Book Antiqua"/>
          <w:b/>
          <w:bCs/>
          <w:color w:val="4472C4" w:themeColor="accent1"/>
          <w:sz w:val="26"/>
          <w:szCs w:val="26"/>
        </w:rPr>
        <w:t>%) et les femmes (1</w:t>
      </w:r>
      <w:r w:rsidR="000D0B48" w:rsidRPr="00750952">
        <w:rPr>
          <w:rFonts w:ascii="Book Antiqua" w:eastAsia="Book Antiqua" w:hAnsi="Book Antiqua" w:cs="Book Antiqua"/>
          <w:b/>
          <w:bCs/>
          <w:color w:val="4472C4" w:themeColor="accent1"/>
          <w:sz w:val="26"/>
          <w:szCs w:val="26"/>
        </w:rPr>
        <w:t>5,1</w:t>
      </w:r>
      <w:r w:rsidRPr="00750952">
        <w:rPr>
          <w:rFonts w:ascii="Book Antiqua" w:eastAsia="Book Antiqua" w:hAnsi="Book Antiqua" w:cs="Book Antiqua"/>
          <w:b/>
          <w:bCs/>
          <w:color w:val="4472C4" w:themeColor="accent1"/>
          <w:sz w:val="26"/>
          <w:szCs w:val="26"/>
        </w:rPr>
        <w:t>%).</w:t>
      </w:r>
    </w:p>
    <w:p w:rsidR="000D0B48" w:rsidRDefault="00134746" w:rsidP="00A44163">
      <w:pPr>
        <w:autoSpaceDE w:val="0"/>
        <w:autoSpaceDN w:val="0"/>
        <w:adjustRightInd w:val="0"/>
        <w:spacing w:before="120" w:after="120" w:line="288" w:lineRule="auto"/>
        <w:jc w:val="both"/>
        <w:rPr>
          <w:rFonts w:ascii="Book Antiqua" w:eastAsia="Book Antiqua" w:hAnsi="Book Antiqua" w:cs="Book Antiqua"/>
          <w:b/>
          <w:bCs/>
          <w:color w:val="4472C4" w:themeColor="accent1"/>
          <w:sz w:val="26"/>
          <w:szCs w:val="26"/>
        </w:rPr>
      </w:pPr>
      <w:r w:rsidRPr="00750952">
        <w:rPr>
          <w:rFonts w:ascii="Book Antiqua" w:eastAsia="Book Antiqua" w:hAnsi="Book Antiqua" w:cs="Book Antiqua"/>
          <w:b/>
          <w:bCs/>
          <w:color w:val="4472C4" w:themeColor="accent1"/>
          <w:sz w:val="26"/>
          <w:szCs w:val="26"/>
        </w:rPr>
        <w:t xml:space="preserve">Le volume du sous-emploi </w:t>
      </w:r>
      <w:r w:rsidR="00371123">
        <w:rPr>
          <w:rFonts w:ascii="Book Antiqua" w:eastAsia="Book Antiqua" w:hAnsi="Book Antiqua" w:cs="Book Antiqua"/>
          <w:b/>
          <w:bCs/>
          <w:color w:val="4472C4" w:themeColor="accent1"/>
          <w:sz w:val="26"/>
          <w:szCs w:val="26"/>
        </w:rPr>
        <w:t>a reculé</w:t>
      </w:r>
      <w:r w:rsidRPr="00750952">
        <w:rPr>
          <w:rFonts w:ascii="Book Antiqua" w:eastAsia="Book Antiqua" w:hAnsi="Book Antiqua" w:cs="Book Antiqua"/>
          <w:b/>
          <w:bCs/>
          <w:color w:val="4472C4" w:themeColor="accent1"/>
          <w:sz w:val="26"/>
          <w:szCs w:val="26"/>
        </w:rPr>
        <w:t xml:space="preserve">, durant la même période, de </w:t>
      </w:r>
      <w:r w:rsidR="00A44163" w:rsidRPr="00750952">
        <w:rPr>
          <w:rFonts w:ascii="Book Antiqua" w:eastAsia="Book Antiqua" w:hAnsi="Book Antiqua" w:cs="Book Antiqua"/>
          <w:b/>
          <w:bCs/>
          <w:color w:val="4472C4" w:themeColor="accent1"/>
          <w:sz w:val="26"/>
          <w:szCs w:val="26"/>
        </w:rPr>
        <w:t>999</w:t>
      </w:r>
      <w:r w:rsidRPr="00750952">
        <w:rPr>
          <w:rFonts w:ascii="Book Antiqua" w:eastAsia="Book Antiqua" w:hAnsi="Book Antiqua" w:cs="Book Antiqua"/>
          <w:b/>
          <w:bCs/>
          <w:color w:val="4472C4" w:themeColor="accent1"/>
          <w:sz w:val="26"/>
          <w:szCs w:val="26"/>
        </w:rPr>
        <w:t xml:space="preserve">.000 à </w:t>
      </w:r>
      <w:r w:rsidR="00A44163" w:rsidRPr="00750952">
        <w:rPr>
          <w:rFonts w:ascii="Book Antiqua" w:eastAsia="Book Antiqua" w:hAnsi="Book Antiqua" w:cs="Book Antiqua"/>
          <w:b/>
          <w:bCs/>
          <w:color w:val="4472C4" w:themeColor="accent1"/>
          <w:sz w:val="26"/>
          <w:szCs w:val="26"/>
        </w:rPr>
        <w:t>939.000 personnes, de 551.000 à 500.000 dans les villes et de 448.000 à 439</w:t>
      </w:r>
      <w:r w:rsidRPr="00750952">
        <w:rPr>
          <w:rFonts w:ascii="Book Antiqua" w:eastAsia="Book Antiqua" w:hAnsi="Book Antiqua" w:cs="Book Antiqua"/>
          <w:b/>
          <w:bCs/>
          <w:color w:val="4472C4" w:themeColor="accent1"/>
          <w:sz w:val="26"/>
          <w:szCs w:val="26"/>
        </w:rPr>
        <w:t>.000</w:t>
      </w:r>
      <w:r w:rsidR="008B60A3">
        <w:rPr>
          <w:rFonts w:ascii="Book Antiqua" w:eastAsia="Book Antiqua" w:hAnsi="Book Antiqua" w:cstheme="minorBidi" w:hint="cs"/>
          <w:b/>
          <w:bCs/>
          <w:color w:val="4472C4" w:themeColor="accent1"/>
          <w:sz w:val="26"/>
          <w:szCs w:val="26"/>
          <w:rtl/>
          <w:lang w:bidi="tzm-Arab-MA"/>
        </w:rPr>
        <w:t xml:space="preserve"> </w:t>
      </w:r>
      <w:r w:rsidRPr="00750952">
        <w:rPr>
          <w:rFonts w:ascii="Book Antiqua" w:eastAsia="Book Antiqua" w:hAnsi="Book Antiqua" w:cs="Book Antiqua"/>
          <w:b/>
          <w:bCs/>
          <w:color w:val="4472C4" w:themeColor="accent1"/>
          <w:sz w:val="26"/>
          <w:szCs w:val="26"/>
        </w:rPr>
        <w:t>à la campagne. Le taux de sous-emploi est ainsi pa</w:t>
      </w:r>
      <w:r w:rsidR="00A44163" w:rsidRPr="00750952">
        <w:rPr>
          <w:rFonts w:ascii="Book Antiqua" w:eastAsia="Book Antiqua" w:hAnsi="Book Antiqua" w:cs="Book Antiqua"/>
          <w:b/>
          <w:bCs/>
          <w:color w:val="4472C4" w:themeColor="accent1"/>
          <w:sz w:val="26"/>
          <w:szCs w:val="26"/>
        </w:rPr>
        <w:t>ssé, au niveau national, de 9,2% à 8,5</w:t>
      </w:r>
      <w:r w:rsidRPr="00750952">
        <w:rPr>
          <w:rFonts w:ascii="Book Antiqua" w:eastAsia="Book Antiqua" w:hAnsi="Book Antiqua" w:cs="Book Antiqua"/>
          <w:b/>
          <w:bCs/>
          <w:color w:val="4472C4" w:themeColor="accent1"/>
          <w:sz w:val="26"/>
          <w:szCs w:val="26"/>
        </w:rPr>
        <w:t xml:space="preserve">%, de </w:t>
      </w:r>
      <w:r w:rsidR="00A44163" w:rsidRPr="00750952">
        <w:rPr>
          <w:rFonts w:ascii="Book Antiqua" w:eastAsia="Book Antiqua" w:hAnsi="Book Antiqua" w:cs="Book Antiqua"/>
          <w:b/>
          <w:bCs/>
          <w:color w:val="4472C4" w:themeColor="accent1"/>
          <w:sz w:val="26"/>
          <w:szCs w:val="26"/>
        </w:rPr>
        <w:t>8,9% à 7,7</w:t>
      </w:r>
      <w:r w:rsidRPr="00750952">
        <w:rPr>
          <w:rFonts w:ascii="Book Antiqua" w:eastAsia="Book Antiqua" w:hAnsi="Book Antiqua" w:cs="Book Antiqua"/>
          <w:b/>
          <w:bCs/>
          <w:color w:val="4472C4" w:themeColor="accent1"/>
          <w:sz w:val="26"/>
          <w:szCs w:val="26"/>
        </w:rPr>
        <w:t xml:space="preserve">% en milieu urbain </w:t>
      </w:r>
      <w:r w:rsidR="00A44163" w:rsidRPr="00750952">
        <w:rPr>
          <w:rFonts w:ascii="Book Antiqua" w:eastAsia="Book Antiqua" w:hAnsi="Book Antiqua" w:cs="Book Antiqua"/>
          <w:b/>
          <w:bCs/>
          <w:color w:val="4472C4" w:themeColor="accent1"/>
          <w:sz w:val="26"/>
          <w:szCs w:val="26"/>
        </w:rPr>
        <w:t>et de 9,5% à 9,6</w:t>
      </w:r>
      <w:r w:rsidRPr="00750952">
        <w:rPr>
          <w:rFonts w:ascii="Book Antiqua" w:eastAsia="Book Antiqua" w:hAnsi="Book Antiqua" w:cs="Book Antiqua"/>
          <w:b/>
          <w:bCs/>
          <w:color w:val="4472C4" w:themeColor="accent1"/>
          <w:sz w:val="26"/>
          <w:szCs w:val="26"/>
        </w:rPr>
        <w:t>% en milieu rural.</w:t>
      </w:r>
    </w:p>
    <w:p w:rsidR="000D0B48" w:rsidRPr="003F5612" w:rsidRDefault="000C22AC" w:rsidP="003F5612">
      <w:pPr>
        <w:autoSpaceDE w:val="0"/>
        <w:autoSpaceDN w:val="0"/>
        <w:adjustRightInd w:val="0"/>
        <w:spacing w:before="120" w:after="120" w:line="288" w:lineRule="auto"/>
        <w:jc w:val="both"/>
        <w:rPr>
          <w:rFonts w:ascii="Book Antiqua" w:eastAsia="Book Antiqua" w:hAnsi="Book Antiqua" w:cs="Book Antiqua"/>
          <w:b/>
          <w:bCs/>
          <w:color w:val="4472C4" w:themeColor="accent1"/>
          <w:sz w:val="26"/>
          <w:szCs w:val="26"/>
        </w:rPr>
      </w:pPr>
      <w:r w:rsidRPr="0033732A">
        <w:rPr>
          <w:rFonts w:ascii="Book Antiqua" w:eastAsia="Book Antiqua" w:hAnsi="Book Antiqua" w:cs="Book Antiqua"/>
          <w:b/>
          <w:bCs/>
          <w:color w:val="4472C4" w:themeColor="accent1"/>
          <w:sz w:val="28"/>
          <w:szCs w:val="28"/>
        </w:rPr>
        <w:br w:type="page"/>
      </w:r>
    </w:p>
    <w:p w:rsidR="004E2812" w:rsidRPr="000C22AC" w:rsidRDefault="000C22AC" w:rsidP="000C22AC">
      <w:pPr>
        <w:pStyle w:val="MMTopic2"/>
        <w:numPr>
          <w:ilvl w:val="0"/>
          <w:numId w:val="0"/>
        </w:numPr>
        <w:spacing w:line="360" w:lineRule="auto"/>
        <w:jc w:val="both"/>
        <w:rPr>
          <w:rFonts w:ascii="Book Antiqua" w:hAnsi="Book Antiqua" w:cstheme="majorHAnsi"/>
          <w:b/>
          <w:bCs/>
          <w:color w:val="1F3864" w:themeColor="accent1" w:themeShade="80"/>
          <w:spacing w:val="-10"/>
          <w:kern w:val="28"/>
          <w:sz w:val="24"/>
          <w:szCs w:val="24"/>
          <w:lang w:val="fr-FR"/>
        </w:rPr>
      </w:pPr>
      <w:r w:rsidRPr="000C22AC">
        <w:rPr>
          <w:rFonts w:ascii="Book Antiqua" w:hAnsi="Book Antiqua" w:cstheme="majorHAnsi"/>
          <w:b/>
          <w:bCs/>
          <w:color w:val="1F3864" w:themeColor="accent1" w:themeShade="80"/>
          <w:spacing w:val="-10"/>
          <w:kern w:val="28"/>
          <w:sz w:val="28"/>
          <w:szCs w:val="28"/>
          <w:lang w:val="fr-FR"/>
        </w:rPr>
        <w:lastRenderedPageBreak/>
        <w:t>I. Activité et emploi</w:t>
      </w:r>
    </w:p>
    <w:p w:rsidR="008451BE" w:rsidRPr="003D03B0" w:rsidRDefault="008603E8" w:rsidP="008603E8">
      <w:pPr>
        <w:spacing w:before="240" w:after="240" w:line="312" w:lineRule="auto"/>
        <w:rPr>
          <w:rFonts w:ascii="Book Antiqua" w:eastAsia="Book Antiqua" w:hAnsi="Book Antiqua" w:cs="Book Antiqua"/>
          <w:b/>
          <w:bCs/>
          <w:i/>
          <w:iCs/>
          <w:color w:val="0070C0"/>
          <w:sz w:val="26"/>
          <w:szCs w:val="26"/>
        </w:rPr>
      </w:pPr>
      <w:r>
        <w:rPr>
          <w:rFonts w:ascii="Book Antiqua" w:eastAsia="Book Antiqua" w:hAnsi="Book Antiqua" w:cs="Book Antiqua"/>
          <w:b/>
          <w:bCs/>
          <w:i/>
          <w:iCs/>
          <w:color w:val="0070C0"/>
          <w:sz w:val="26"/>
          <w:szCs w:val="26"/>
        </w:rPr>
        <w:t>Baisse de l’activité</w:t>
      </w:r>
    </w:p>
    <w:p w:rsidR="005C0AFE" w:rsidRDefault="00A44163" w:rsidP="006174D9">
      <w:pPr>
        <w:spacing w:before="100" w:beforeAutospacing="1" w:after="100" w:afterAutospacing="1"/>
        <w:jc w:val="both"/>
        <w:rPr>
          <w:rFonts w:ascii="Book Antiqua" w:hAnsi="Book Antiqua" w:cstheme="majorBidi"/>
          <w:sz w:val="24"/>
          <w:szCs w:val="24"/>
        </w:rPr>
      </w:pPr>
      <w:r w:rsidRPr="00750952">
        <w:rPr>
          <w:rFonts w:ascii="Book Antiqua" w:hAnsi="Book Antiqua" w:cstheme="majorBidi"/>
          <w:sz w:val="24"/>
          <w:szCs w:val="24"/>
        </w:rPr>
        <w:t>Le taux d’activité a baissé</w:t>
      </w:r>
      <w:r w:rsidR="004E2812" w:rsidRPr="00750952">
        <w:rPr>
          <w:rFonts w:ascii="Book Antiqua" w:hAnsi="Book Antiqua" w:cstheme="majorBidi"/>
          <w:sz w:val="24"/>
          <w:szCs w:val="24"/>
        </w:rPr>
        <w:t xml:space="preserve"> de 0,</w:t>
      </w:r>
      <w:r w:rsidRPr="00750952">
        <w:rPr>
          <w:rFonts w:ascii="Book Antiqua" w:hAnsi="Book Antiqua" w:cstheme="majorBidi"/>
          <w:sz w:val="24"/>
          <w:szCs w:val="24"/>
        </w:rPr>
        <w:t>9 point</w:t>
      </w:r>
      <w:r w:rsidR="006174D9">
        <w:rPr>
          <w:rFonts w:ascii="Book Antiqua" w:hAnsi="Book Antiqua" w:cstheme="majorBidi"/>
          <w:sz w:val="24"/>
          <w:szCs w:val="24"/>
        </w:rPr>
        <w:t xml:space="preserve">, par rapport à la même période de </w:t>
      </w:r>
      <w:r w:rsidR="00371123" w:rsidRPr="00750952">
        <w:rPr>
          <w:rFonts w:ascii="Book Antiqua" w:hAnsi="Book Antiqua" w:cstheme="majorBidi"/>
          <w:sz w:val="24"/>
          <w:szCs w:val="24"/>
        </w:rPr>
        <w:t>2021,</w:t>
      </w:r>
      <w:r w:rsidRPr="00750952">
        <w:rPr>
          <w:rFonts w:ascii="Book Antiqua" w:hAnsi="Book Antiqua" w:cstheme="majorBidi"/>
          <w:sz w:val="24"/>
          <w:szCs w:val="24"/>
        </w:rPr>
        <w:t xml:space="preserve"> pour s’établir à 45,2</w:t>
      </w:r>
      <w:r w:rsidR="004E2812" w:rsidRPr="00750952">
        <w:rPr>
          <w:rFonts w:ascii="Book Antiqua" w:hAnsi="Book Antiqua" w:cstheme="majorBidi"/>
          <w:sz w:val="24"/>
          <w:szCs w:val="24"/>
        </w:rPr>
        <w:t>%.</w:t>
      </w:r>
      <w:r w:rsidR="008B60A3">
        <w:rPr>
          <w:rFonts w:ascii="Book Antiqua" w:hAnsi="Book Antiqua" w:cstheme="majorBidi" w:hint="cs"/>
          <w:sz w:val="24"/>
          <w:szCs w:val="24"/>
          <w:rtl/>
          <w:lang w:bidi="tzm-Arab-MA"/>
        </w:rPr>
        <w:t xml:space="preserve"> </w:t>
      </w:r>
      <w:r w:rsidR="005C0AFE">
        <w:rPr>
          <w:rFonts w:ascii="Book Antiqua" w:hAnsi="Book Antiqua" w:cstheme="majorBidi"/>
          <w:sz w:val="24"/>
          <w:szCs w:val="24"/>
        </w:rPr>
        <w:t>Cette baisse</w:t>
      </w:r>
      <w:r w:rsidR="005C0AFE" w:rsidRPr="00750952">
        <w:rPr>
          <w:rFonts w:ascii="Book Antiqua" w:hAnsi="Book Antiqua" w:cstheme="majorBidi"/>
          <w:sz w:val="24"/>
          <w:szCs w:val="24"/>
        </w:rPr>
        <w:t xml:space="preserve"> résulte de l’accroissement de la population en âge d'activité (15</w:t>
      </w:r>
      <w:r w:rsidR="008B60A3">
        <w:rPr>
          <w:rFonts w:ascii="Book Antiqua" w:hAnsi="Book Antiqua" w:cstheme="majorBidi" w:hint="cs"/>
          <w:sz w:val="24"/>
          <w:szCs w:val="24"/>
          <w:rtl/>
          <w:lang w:bidi="tzm-Arab-MA"/>
        </w:rPr>
        <w:t xml:space="preserve"> </w:t>
      </w:r>
      <w:r w:rsidR="005C0AFE" w:rsidRPr="00750952">
        <w:rPr>
          <w:rFonts w:ascii="Book Antiqua" w:hAnsi="Book Antiqua" w:cstheme="majorBidi"/>
          <w:sz w:val="24"/>
          <w:szCs w:val="24"/>
        </w:rPr>
        <w:t>ans</w:t>
      </w:r>
      <w:r w:rsidR="008B60A3">
        <w:rPr>
          <w:rFonts w:ascii="Book Antiqua" w:hAnsi="Book Antiqua" w:cstheme="majorBidi" w:hint="cs"/>
          <w:sz w:val="24"/>
          <w:szCs w:val="24"/>
          <w:rtl/>
          <w:lang w:bidi="tzm-Arab-MA"/>
        </w:rPr>
        <w:t xml:space="preserve"> </w:t>
      </w:r>
      <w:r w:rsidR="005C0AFE" w:rsidRPr="00750952">
        <w:rPr>
          <w:rFonts w:ascii="Book Antiqua" w:hAnsi="Book Antiqua" w:cstheme="majorBidi"/>
          <w:sz w:val="24"/>
          <w:szCs w:val="24"/>
        </w:rPr>
        <w:t>et plus) de 1,4 et de la baisse de la population active de 1%.</w:t>
      </w:r>
    </w:p>
    <w:p w:rsidR="004E2812" w:rsidRDefault="005C0AFE" w:rsidP="00391C6F">
      <w:pPr>
        <w:spacing w:before="100" w:beforeAutospacing="1" w:after="100" w:afterAutospacing="1"/>
        <w:jc w:val="both"/>
        <w:rPr>
          <w:rFonts w:ascii="Book Antiqua" w:hAnsi="Book Antiqua" w:cstheme="majorBidi"/>
          <w:sz w:val="24"/>
          <w:szCs w:val="24"/>
        </w:rPr>
      </w:pPr>
      <w:r>
        <w:rPr>
          <w:rFonts w:ascii="Book Antiqua" w:hAnsi="Book Antiqua" w:cstheme="majorBidi"/>
          <w:sz w:val="24"/>
          <w:szCs w:val="24"/>
        </w:rPr>
        <w:t xml:space="preserve">La </w:t>
      </w:r>
      <w:r w:rsidR="00A44163" w:rsidRPr="00750952">
        <w:rPr>
          <w:rFonts w:ascii="Book Antiqua" w:hAnsi="Book Antiqua" w:cstheme="majorBidi"/>
          <w:sz w:val="24"/>
          <w:szCs w:val="24"/>
        </w:rPr>
        <w:t>baisse</w:t>
      </w:r>
      <w:r>
        <w:rPr>
          <w:rFonts w:ascii="Book Antiqua" w:hAnsi="Book Antiqua" w:cstheme="majorBidi"/>
          <w:sz w:val="24"/>
          <w:szCs w:val="24"/>
        </w:rPr>
        <w:t xml:space="preserve"> du </w:t>
      </w:r>
      <w:r w:rsidRPr="00750952">
        <w:rPr>
          <w:rFonts w:ascii="Book Antiqua" w:hAnsi="Book Antiqua" w:cstheme="majorBidi"/>
          <w:sz w:val="24"/>
          <w:szCs w:val="24"/>
        </w:rPr>
        <w:t>taux d’activité</w:t>
      </w:r>
      <w:r w:rsidR="004E2812" w:rsidRPr="00750952">
        <w:rPr>
          <w:rFonts w:ascii="Book Antiqua" w:hAnsi="Book Antiqua" w:cstheme="majorBidi"/>
          <w:sz w:val="24"/>
          <w:szCs w:val="24"/>
        </w:rPr>
        <w:t xml:space="preserve"> est plus</w:t>
      </w:r>
      <w:r w:rsidR="00A44163" w:rsidRPr="00750952">
        <w:rPr>
          <w:rFonts w:ascii="Book Antiqua" w:hAnsi="Book Antiqua" w:cstheme="majorBidi"/>
          <w:sz w:val="24"/>
          <w:szCs w:val="24"/>
        </w:rPr>
        <w:t xml:space="preserve"> prononcée en milieu rural (-2,1</w:t>
      </w:r>
      <w:r w:rsidR="004E2812" w:rsidRPr="00750952">
        <w:rPr>
          <w:rFonts w:ascii="Book Antiqua" w:hAnsi="Book Antiqua" w:cstheme="majorBidi"/>
          <w:sz w:val="24"/>
          <w:szCs w:val="24"/>
        </w:rPr>
        <w:t xml:space="preserve"> point</w:t>
      </w:r>
      <w:r w:rsidR="00A44163" w:rsidRPr="00750952">
        <w:rPr>
          <w:rFonts w:ascii="Book Antiqua" w:hAnsi="Book Antiqua" w:cstheme="majorBidi"/>
          <w:sz w:val="24"/>
          <w:szCs w:val="24"/>
        </w:rPr>
        <w:t>s</w:t>
      </w:r>
      <w:r w:rsidR="004E2812" w:rsidRPr="00750952">
        <w:rPr>
          <w:rFonts w:ascii="Book Antiqua" w:hAnsi="Book Antiqua" w:cstheme="majorBidi"/>
          <w:sz w:val="24"/>
          <w:szCs w:val="24"/>
        </w:rPr>
        <w:t xml:space="preserve">), passant de </w:t>
      </w:r>
      <w:r w:rsidR="00A44163" w:rsidRPr="00750952">
        <w:rPr>
          <w:rFonts w:ascii="Book Antiqua" w:hAnsi="Book Antiqua" w:cs="Browallia New"/>
          <w:sz w:val="24"/>
          <w:szCs w:val="24"/>
        </w:rPr>
        <w:t>52,9</w:t>
      </w:r>
      <w:r w:rsidR="004E2812" w:rsidRPr="00750952">
        <w:rPr>
          <w:rFonts w:ascii="Book Antiqua" w:hAnsi="Book Antiqua" w:cs="Browallia New"/>
          <w:sz w:val="24"/>
          <w:szCs w:val="24"/>
        </w:rPr>
        <w:t xml:space="preserve">% </w:t>
      </w:r>
      <w:r w:rsidR="004E2812" w:rsidRPr="00750952">
        <w:rPr>
          <w:rFonts w:ascii="Book Antiqua" w:hAnsi="Book Antiqua" w:cstheme="majorBidi"/>
          <w:sz w:val="24"/>
          <w:szCs w:val="24"/>
        </w:rPr>
        <w:t>à 50,</w:t>
      </w:r>
      <w:r w:rsidR="00A44163" w:rsidRPr="00750952">
        <w:rPr>
          <w:rFonts w:ascii="Book Antiqua" w:hAnsi="Book Antiqua" w:cstheme="majorBidi"/>
          <w:sz w:val="24"/>
          <w:szCs w:val="24"/>
        </w:rPr>
        <w:t>8%</w:t>
      </w:r>
      <w:r w:rsidR="008451BE">
        <w:rPr>
          <w:rFonts w:ascii="Book Antiqua" w:hAnsi="Book Antiqua" w:cstheme="majorBidi"/>
          <w:sz w:val="24"/>
          <w:szCs w:val="24"/>
        </w:rPr>
        <w:t>,</w:t>
      </w:r>
      <w:r w:rsidR="00A44163" w:rsidRPr="00750952">
        <w:rPr>
          <w:rFonts w:ascii="Book Antiqua" w:hAnsi="Book Antiqua" w:cstheme="majorBidi"/>
          <w:sz w:val="24"/>
          <w:szCs w:val="24"/>
        </w:rPr>
        <w:t xml:space="preserve"> qu’en milieu urbain (-0,3</w:t>
      </w:r>
      <w:r w:rsidR="00DE167A" w:rsidRPr="00750952">
        <w:rPr>
          <w:rFonts w:ascii="Book Antiqua" w:hAnsi="Book Antiqua" w:cstheme="majorBidi"/>
          <w:sz w:val="24"/>
          <w:szCs w:val="24"/>
        </w:rPr>
        <w:t xml:space="preserve"> point</w:t>
      </w:r>
      <w:r w:rsidR="004E2812" w:rsidRPr="00750952">
        <w:rPr>
          <w:rFonts w:ascii="Book Antiqua" w:hAnsi="Book Antiqua" w:cstheme="majorBidi"/>
          <w:sz w:val="24"/>
          <w:szCs w:val="24"/>
        </w:rPr>
        <w:t xml:space="preserve">), passant de </w:t>
      </w:r>
      <w:r w:rsidR="004E2812" w:rsidRPr="00750952">
        <w:rPr>
          <w:rFonts w:ascii="Book Antiqua" w:hAnsi="Book Antiqua" w:cs="Browallia New"/>
          <w:sz w:val="24"/>
          <w:szCs w:val="24"/>
        </w:rPr>
        <w:t>4</w:t>
      </w:r>
      <w:r w:rsidR="00F7482C">
        <w:rPr>
          <w:rFonts w:ascii="Book Antiqua" w:hAnsi="Book Antiqua" w:cs="Browallia New"/>
          <w:sz w:val="24"/>
          <w:szCs w:val="24"/>
        </w:rPr>
        <w:t>2,6</w:t>
      </w:r>
      <w:r w:rsidR="004E2812" w:rsidRPr="00750952">
        <w:rPr>
          <w:rFonts w:ascii="Book Antiqua" w:hAnsi="Book Antiqua" w:cs="Browallia New"/>
          <w:sz w:val="24"/>
          <w:szCs w:val="24"/>
        </w:rPr>
        <w:t>%</w:t>
      </w:r>
      <w:r w:rsidR="00F7482C">
        <w:rPr>
          <w:rFonts w:ascii="Book Antiqua" w:hAnsi="Book Antiqua" w:cstheme="minorBidi" w:hint="cs"/>
          <w:sz w:val="24"/>
          <w:szCs w:val="24"/>
          <w:rtl/>
          <w:lang w:bidi="tzm-Arab-MA"/>
        </w:rPr>
        <w:t xml:space="preserve"> </w:t>
      </w:r>
      <w:r w:rsidR="004E2812" w:rsidRPr="00750952">
        <w:rPr>
          <w:rFonts w:ascii="Book Antiqua" w:hAnsi="Book Antiqua" w:cstheme="majorBidi"/>
          <w:sz w:val="24"/>
          <w:szCs w:val="24"/>
        </w:rPr>
        <w:t>à 42,3%.</w:t>
      </w:r>
      <w:r w:rsidR="00EE0059">
        <w:rPr>
          <w:rFonts w:ascii="Book Antiqua" w:hAnsi="Book Antiqua" w:cstheme="majorBidi"/>
          <w:sz w:val="24"/>
          <w:szCs w:val="24"/>
        </w:rPr>
        <w:t xml:space="preserve"> </w:t>
      </w:r>
      <w:r w:rsidR="00BD6C4B">
        <w:rPr>
          <w:rFonts w:ascii="Book Antiqua" w:hAnsi="Book Antiqua" w:cstheme="majorBidi"/>
          <w:sz w:val="24"/>
          <w:szCs w:val="24"/>
        </w:rPr>
        <w:t>Cette baisse</w:t>
      </w:r>
      <w:r w:rsidR="008451BE">
        <w:rPr>
          <w:rFonts w:ascii="Book Antiqua" w:hAnsi="Book Antiqua" w:cstheme="majorBidi"/>
          <w:sz w:val="24"/>
          <w:szCs w:val="24"/>
        </w:rPr>
        <w:t xml:space="preserve"> a </w:t>
      </w:r>
      <w:r w:rsidR="00BD6C4B">
        <w:rPr>
          <w:rFonts w:ascii="Book Antiqua" w:hAnsi="Book Antiqua" w:cstheme="majorBidi"/>
          <w:sz w:val="24"/>
          <w:szCs w:val="24"/>
        </w:rPr>
        <w:t>concerné plus</w:t>
      </w:r>
      <w:r w:rsidR="008451BE">
        <w:rPr>
          <w:rFonts w:ascii="Book Antiqua" w:hAnsi="Book Antiqua" w:cstheme="majorBidi"/>
          <w:sz w:val="24"/>
          <w:szCs w:val="24"/>
        </w:rPr>
        <w:t xml:space="preserve"> l</w:t>
      </w:r>
      <w:r w:rsidR="004E2812" w:rsidRPr="00750952">
        <w:rPr>
          <w:rFonts w:ascii="Book Antiqua" w:hAnsi="Book Antiqua" w:cstheme="majorBidi"/>
          <w:sz w:val="24"/>
          <w:szCs w:val="24"/>
        </w:rPr>
        <w:t>es femmes</w:t>
      </w:r>
      <w:r w:rsidR="00EE0059">
        <w:rPr>
          <w:rFonts w:ascii="Book Antiqua" w:hAnsi="Book Antiqua" w:cstheme="majorBidi"/>
          <w:sz w:val="24"/>
          <w:szCs w:val="24"/>
        </w:rPr>
        <w:t xml:space="preserve"> </w:t>
      </w:r>
      <w:r w:rsidR="008451BE" w:rsidRPr="00750952">
        <w:rPr>
          <w:rFonts w:ascii="Book Antiqua" w:hAnsi="Book Antiqua" w:cstheme="majorBidi"/>
          <w:sz w:val="24"/>
          <w:szCs w:val="24"/>
        </w:rPr>
        <w:t>(-</w:t>
      </w:r>
      <w:r w:rsidR="008451BE">
        <w:rPr>
          <w:rFonts w:ascii="Book Antiqua" w:hAnsi="Book Antiqua" w:cstheme="majorBidi"/>
          <w:sz w:val="24"/>
          <w:szCs w:val="24"/>
        </w:rPr>
        <w:t>1</w:t>
      </w:r>
      <w:r w:rsidR="008451BE" w:rsidRPr="00750952">
        <w:rPr>
          <w:rFonts w:ascii="Book Antiqua" w:hAnsi="Book Antiqua" w:cstheme="majorBidi"/>
          <w:sz w:val="24"/>
          <w:szCs w:val="24"/>
        </w:rPr>
        <w:t>,</w:t>
      </w:r>
      <w:r w:rsidR="008451BE">
        <w:rPr>
          <w:rFonts w:ascii="Book Antiqua" w:hAnsi="Book Antiqua" w:cstheme="majorBidi"/>
          <w:sz w:val="24"/>
          <w:szCs w:val="24"/>
        </w:rPr>
        <w:t>2</w:t>
      </w:r>
      <w:r w:rsidR="008451BE" w:rsidRPr="00750952">
        <w:rPr>
          <w:rFonts w:ascii="Book Antiqua" w:hAnsi="Book Antiqua" w:cstheme="majorBidi"/>
          <w:sz w:val="24"/>
          <w:szCs w:val="24"/>
        </w:rPr>
        <w:t xml:space="preserve"> point)</w:t>
      </w:r>
      <w:r w:rsidR="008451BE">
        <w:rPr>
          <w:rFonts w:ascii="Book Antiqua" w:hAnsi="Book Antiqua" w:cstheme="majorBidi"/>
          <w:sz w:val="24"/>
          <w:szCs w:val="24"/>
        </w:rPr>
        <w:t>, passant de 22,5%</w:t>
      </w:r>
      <w:r w:rsidR="00AA30A7" w:rsidRPr="00750952">
        <w:rPr>
          <w:rFonts w:ascii="Book Antiqua" w:hAnsi="Book Antiqua" w:cstheme="majorBidi"/>
          <w:sz w:val="24"/>
          <w:szCs w:val="24"/>
        </w:rPr>
        <w:t xml:space="preserve"> à 21,3%</w:t>
      </w:r>
      <w:r w:rsidR="008451BE">
        <w:rPr>
          <w:rFonts w:ascii="Book Antiqua" w:hAnsi="Book Antiqua" w:cstheme="majorBidi"/>
          <w:sz w:val="24"/>
          <w:szCs w:val="24"/>
        </w:rPr>
        <w:t xml:space="preserve"> que les hommes </w:t>
      </w:r>
      <w:r w:rsidR="008451BE" w:rsidRPr="00750952">
        <w:rPr>
          <w:rFonts w:ascii="Book Antiqua" w:hAnsi="Book Antiqua" w:cstheme="majorBidi"/>
          <w:sz w:val="24"/>
          <w:szCs w:val="24"/>
        </w:rPr>
        <w:t>(-0,</w:t>
      </w:r>
      <w:r w:rsidR="008451BE">
        <w:rPr>
          <w:rFonts w:ascii="Book Antiqua" w:hAnsi="Book Antiqua" w:cstheme="majorBidi"/>
          <w:sz w:val="24"/>
          <w:szCs w:val="24"/>
        </w:rPr>
        <w:t>7</w:t>
      </w:r>
      <w:r w:rsidR="008451BE" w:rsidRPr="00750952">
        <w:rPr>
          <w:rFonts w:ascii="Book Antiqua" w:hAnsi="Book Antiqua" w:cstheme="majorBidi"/>
          <w:sz w:val="24"/>
          <w:szCs w:val="24"/>
        </w:rPr>
        <w:t xml:space="preserve"> point</w:t>
      </w:r>
      <w:r w:rsidR="008451BE">
        <w:rPr>
          <w:rFonts w:ascii="Book Antiqua" w:hAnsi="Book Antiqua" w:cstheme="majorBidi"/>
          <w:sz w:val="24"/>
          <w:szCs w:val="24"/>
        </w:rPr>
        <w:t xml:space="preserve">), </w:t>
      </w:r>
      <w:r w:rsidR="00391C6F">
        <w:rPr>
          <w:rFonts w:ascii="Book Antiqua" w:hAnsi="Book Antiqua" w:cstheme="majorBidi"/>
          <w:sz w:val="24"/>
          <w:szCs w:val="24"/>
        </w:rPr>
        <w:t>de 70,6% à</w:t>
      </w:r>
      <w:r w:rsidR="00F7482C">
        <w:rPr>
          <w:rFonts w:ascii="Book Antiqua" w:hAnsi="Book Antiqua" w:cstheme="majorBidi" w:hint="cs"/>
          <w:sz w:val="24"/>
          <w:szCs w:val="24"/>
          <w:rtl/>
          <w:lang w:bidi="tzm-Arab-MA"/>
        </w:rPr>
        <w:t xml:space="preserve"> </w:t>
      </w:r>
      <w:r w:rsidR="00AA30A7" w:rsidRPr="00750952">
        <w:rPr>
          <w:rFonts w:ascii="Book Antiqua" w:hAnsi="Book Antiqua" w:cstheme="majorBidi"/>
          <w:sz w:val="24"/>
          <w:szCs w:val="24"/>
        </w:rPr>
        <w:t>69,9</w:t>
      </w:r>
      <w:r w:rsidR="004E2812" w:rsidRPr="00750952">
        <w:rPr>
          <w:rFonts w:ascii="Book Antiqua" w:hAnsi="Book Antiqua" w:cstheme="majorBidi"/>
          <w:sz w:val="24"/>
          <w:szCs w:val="24"/>
        </w:rPr>
        <w:t>%</w:t>
      </w:r>
      <w:r w:rsidR="00391C6F">
        <w:rPr>
          <w:rFonts w:ascii="Book Antiqua" w:hAnsi="Book Antiqua" w:cstheme="majorBidi"/>
          <w:sz w:val="24"/>
          <w:szCs w:val="24"/>
        </w:rPr>
        <w:t>.</w:t>
      </w:r>
    </w:p>
    <w:p w:rsidR="00653B69" w:rsidRPr="00750952" w:rsidRDefault="004E2812" w:rsidP="00653B69">
      <w:pPr>
        <w:spacing w:before="240" w:line="312" w:lineRule="auto"/>
        <w:jc w:val="center"/>
        <w:rPr>
          <w:rFonts w:ascii="Book Antiqua" w:eastAsia="Book Antiqua" w:hAnsi="Book Antiqua" w:cs="Book Antiqua"/>
          <w:b/>
          <w:sz w:val="20"/>
          <w:szCs w:val="20"/>
        </w:rPr>
      </w:pPr>
      <w:r w:rsidRPr="00750952">
        <w:rPr>
          <w:rFonts w:ascii="Book Antiqua" w:eastAsia="Book Antiqua" w:hAnsi="Book Antiqua" w:cs="Book Antiqua"/>
          <w:b/>
          <w:sz w:val="20"/>
          <w:szCs w:val="20"/>
        </w:rPr>
        <w:t xml:space="preserve">Graphique 1 : Evolution du taux d’activité </w:t>
      </w:r>
      <w:r w:rsidR="00750952" w:rsidRPr="00750952">
        <w:rPr>
          <w:rFonts w:ascii="Book Antiqua" w:eastAsia="Book Antiqua" w:hAnsi="Book Antiqua" w:cs="Book Antiqua"/>
          <w:b/>
          <w:sz w:val="20"/>
          <w:szCs w:val="20"/>
        </w:rPr>
        <w:t xml:space="preserve">aux deuxièmes trimestres </w:t>
      </w:r>
      <w:r w:rsidR="00E945AB" w:rsidRPr="00750952">
        <w:rPr>
          <w:rFonts w:ascii="Book Antiqua" w:eastAsia="Book Antiqua" w:hAnsi="Book Antiqua" w:cs="Book Antiqua"/>
          <w:b/>
          <w:sz w:val="20"/>
          <w:szCs w:val="20"/>
        </w:rPr>
        <w:t>depuis l’année 2017 (en %)</w:t>
      </w:r>
      <w:r w:rsidR="003A173D" w:rsidRPr="00750952">
        <w:rPr>
          <w:rFonts w:ascii="Book Antiqua" w:eastAsia="Book Antiqua" w:hAnsi="Book Antiqua" w:cs="Book Antiqua"/>
          <w:b/>
          <w:sz w:val="20"/>
          <w:szCs w:val="20"/>
        </w:rPr>
        <w:t>.</w:t>
      </w:r>
      <w:r w:rsidR="00653B69" w:rsidRPr="00653B69">
        <w:rPr>
          <w:rFonts w:ascii="Book Antiqua" w:eastAsia="Book Antiqua" w:hAnsi="Book Antiqua" w:cs="Book Antiqua"/>
          <w:b/>
          <w:noProof/>
          <w:sz w:val="20"/>
          <w:szCs w:val="20"/>
        </w:rPr>
        <w:drawing>
          <wp:inline distT="0" distB="0" distL="0" distR="0">
            <wp:extent cx="5448300" cy="2047875"/>
            <wp:effectExtent l="0" t="0" r="0" b="0"/>
            <wp:docPr id="15"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E167A" w:rsidRDefault="004E2812" w:rsidP="00D2276D">
      <w:pPr>
        <w:spacing w:before="100" w:beforeAutospacing="1" w:after="100" w:afterAutospacing="1"/>
        <w:jc w:val="both"/>
        <w:rPr>
          <w:rFonts w:ascii="Book Antiqua" w:hAnsi="Book Antiqua" w:cstheme="majorBidi"/>
          <w:sz w:val="24"/>
          <w:szCs w:val="24"/>
        </w:rPr>
      </w:pPr>
      <w:r w:rsidRPr="00750952">
        <w:rPr>
          <w:rFonts w:ascii="Book Antiqua" w:hAnsi="Book Antiqua" w:cstheme="majorBidi"/>
          <w:sz w:val="24"/>
          <w:szCs w:val="24"/>
        </w:rPr>
        <w:t>Le taux d’emploi</w:t>
      </w:r>
      <w:r w:rsidR="00391C6F">
        <w:rPr>
          <w:rFonts w:ascii="Book Antiqua" w:hAnsi="Book Antiqua" w:cstheme="majorBidi"/>
          <w:sz w:val="24"/>
          <w:szCs w:val="24"/>
        </w:rPr>
        <w:t xml:space="preserve">, quant à lui, </w:t>
      </w:r>
      <w:r w:rsidRPr="00750952">
        <w:rPr>
          <w:rFonts w:ascii="Book Antiqua" w:hAnsi="Book Antiqua" w:cstheme="majorBidi"/>
          <w:sz w:val="24"/>
          <w:szCs w:val="24"/>
        </w:rPr>
        <w:t xml:space="preserve">a </w:t>
      </w:r>
      <w:r w:rsidR="00AA30A7" w:rsidRPr="00750952">
        <w:rPr>
          <w:rFonts w:ascii="Book Antiqua" w:hAnsi="Book Antiqua" w:cstheme="majorBidi"/>
          <w:sz w:val="24"/>
          <w:szCs w:val="24"/>
        </w:rPr>
        <w:t>stagné à 40,2</w:t>
      </w:r>
      <w:r w:rsidRPr="00750952">
        <w:rPr>
          <w:rFonts w:ascii="Book Antiqua" w:hAnsi="Book Antiqua" w:cstheme="majorBidi"/>
          <w:sz w:val="24"/>
          <w:szCs w:val="24"/>
        </w:rPr>
        <w:t xml:space="preserve">% </w:t>
      </w:r>
      <w:r w:rsidR="00AA30A7" w:rsidRPr="00750952">
        <w:rPr>
          <w:rFonts w:ascii="Book Antiqua" w:hAnsi="Book Antiqua" w:cstheme="majorBidi"/>
          <w:sz w:val="24"/>
          <w:szCs w:val="24"/>
        </w:rPr>
        <w:t>au niveau national</w:t>
      </w:r>
      <w:r w:rsidR="00BD6C4B">
        <w:rPr>
          <w:rFonts w:ascii="Book Antiqua" w:hAnsi="Book Antiqua" w:cstheme="majorBidi"/>
          <w:sz w:val="24"/>
          <w:szCs w:val="24"/>
        </w:rPr>
        <w:t>. Il</w:t>
      </w:r>
      <w:r w:rsidRPr="00750952">
        <w:rPr>
          <w:rFonts w:ascii="Book Antiqua" w:hAnsi="Book Antiqua" w:cstheme="majorBidi"/>
          <w:sz w:val="24"/>
          <w:szCs w:val="24"/>
        </w:rPr>
        <w:t xml:space="preserve"> a </w:t>
      </w:r>
      <w:r w:rsidR="00AA30A7" w:rsidRPr="00750952">
        <w:rPr>
          <w:rFonts w:ascii="Book Antiqua" w:hAnsi="Book Antiqua" w:cstheme="majorBidi"/>
          <w:sz w:val="24"/>
          <w:szCs w:val="24"/>
        </w:rPr>
        <w:t>augmenté de 0,</w:t>
      </w:r>
      <w:r w:rsidR="00D2276D">
        <w:rPr>
          <w:rFonts w:ascii="Book Antiqua" w:hAnsi="Book Antiqua" w:cstheme="majorBidi"/>
          <w:sz w:val="24"/>
          <w:szCs w:val="24"/>
        </w:rPr>
        <w:t>8</w:t>
      </w:r>
      <w:r w:rsidR="00AA30A7" w:rsidRPr="00750952">
        <w:rPr>
          <w:rFonts w:ascii="Book Antiqua" w:hAnsi="Book Antiqua" w:cstheme="majorBidi"/>
          <w:sz w:val="24"/>
          <w:szCs w:val="24"/>
        </w:rPr>
        <w:t xml:space="preserve"> point en milieu urbain (de 34,9</w:t>
      </w:r>
      <w:r w:rsidRPr="00750952">
        <w:rPr>
          <w:rFonts w:ascii="Book Antiqua" w:hAnsi="Book Antiqua" w:cstheme="majorBidi"/>
          <w:sz w:val="24"/>
          <w:szCs w:val="24"/>
        </w:rPr>
        <w:t xml:space="preserve">% à </w:t>
      </w:r>
      <w:r w:rsidR="00AA30A7" w:rsidRPr="00750952">
        <w:rPr>
          <w:rFonts w:ascii="Book Antiqua" w:hAnsi="Book Antiqua" w:cstheme="majorBidi"/>
          <w:sz w:val="24"/>
          <w:szCs w:val="24"/>
        </w:rPr>
        <w:t>35,7</w:t>
      </w:r>
      <w:r w:rsidRPr="00750952">
        <w:rPr>
          <w:rFonts w:ascii="Book Antiqua" w:hAnsi="Book Antiqua" w:cstheme="majorBidi"/>
          <w:sz w:val="24"/>
          <w:szCs w:val="24"/>
        </w:rPr>
        <w:t xml:space="preserve">%) et a </w:t>
      </w:r>
      <w:r w:rsidR="00AA30A7" w:rsidRPr="00750952">
        <w:rPr>
          <w:rFonts w:ascii="Book Antiqua" w:hAnsi="Book Antiqua" w:cstheme="majorBidi"/>
          <w:sz w:val="24"/>
          <w:szCs w:val="24"/>
        </w:rPr>
        <w:t>baissé</w:t>
      </w:r>
      <w:r w:rsidRPr="00750952">
        <w:rPr>
          <w:rFonts w:ascii="Book Antiqua" w:hAnsi="Book Antiqua" w:cstheme="majorBidi"/>
          <w:sz w:val="24"/>
          <w:szCs w:val="24"/>
        </w:rPr>
        <w:t xml:space="preserve"> de 1,</w:t>
      </w:r>
      <w:r w:rsidR="00AA30A7" w:rsidRPr="00750952">
        <w:rPr>
          <w:rFonts w:ascii="Book Antiqua" w:hAnsi="Book Antiqua" w:cstheme="majorBidi"/>
          <w:sz w:val="24"/>
          <w:szCs w:val="24"/>
        </w:rPr>
        <w:t>7 point en milieu rural (de 50,4%</w:t>
      </w:r>
      <w:r w:rsidRPr="00750952">
        <w:rPr>
          <w:rFonts w:ascii="Book Antiqua" w:hAnsi="Book Antiqua" w:cstheme="majorBidi"/>
          <w:sz w:val="24"/>
          <w:szCs w:val="24"/>
        </w:rPr>
        <w:t xml:space="preserve"> à 48,</w:t>
      </w:r>
      <w:r w:rsidR="00AA30A7" w:rsidRPr="00750952">
        <w:rPr>
          <w:rFonts w:ascii="Book Antiqua" w:hAnsi="Book Antiqua" w:cstheme="majorBidi"/>
          <w:sz w:val="24"/>
          <w:szCs w:val="24"/>
        </w:rPr>
        <w:t>7</w:t>
      </w:r>
      <w:r w:rsidRPr="00750952">
        <w:rPr>
          <w:rFonts w:ascii="Book Antiqua" w:hAnsi="Book Antiqua" w:cstheme="majorBidi"/>
          <w:sz w:val="24"/>
          <w:szCs w:val="24"/>
        </w:rPr>
        <w:t xml:space="preserve">%). </w:t>
      </w:r>
      <w:r w:rsidR="00BD6C4B">
        <w:rPr>
          <w:rFonts w:ascii="Book Antiqua" w:hAnsi="Book Antiqua" w:cstheme="majorBidi"/>
          <w:sz w:val="24"/>
          <w:szCs w:val="24"/>
        </w:rPr>
        <w:t>Ce taux</w:t>
      </w:r>
      <w:r w:rsidRPr="00750952">
        <w:rPr>
          <w:rFonts w:ascii="Book Antiqua" w:hAnsi="Book Antiqua" w:cstheme="majorBidi"/>
          <w:sz w:val="24"/>
          <w:szCs w:val="24"/>
        </w:rPr>
        <w:t xml:space="preserve"> a</w:t>
      </w:r>
      <w:r w:rsidR="00BD6C4B">
        <w:rPr>
          <w:rFonts w:ascii="Book Antiqua" w:hAnsi="Book Antiqua" w:cstheme="majorBidi"/>
          <w:sz w:val="24"/>
          <w:szCs w:val="24"/>
        </w:rPr>
        <w:t xml:space="preserve"> enregistré une hausse</w:t>
      </w:r>
      <w:r w:rsidR="004F0B00" w:rsidRPr="00750952">
        <w:rPr>
          <w:rFonts w:ascii="Book Antiqua" w:hAnsi="Book Antiqua" w:cstheme="majorBidi"/>
          <w:sz w:val="24"/>
          <w:szCs w:val="24"/>
        </w:rPr>
        <w:t xml:space="preserve"> parmi les hommes (+</w:t>
      </w:r>
      <w:r w:rsidRPr="00750952">
        <w:rPr>
          <w:rFonts w:ascii="Book Antiqua" w:hAnsi="Book Antiqua" w:cstheme="majorBidi"/>
          <w:sz w:val="24"/>
          <w:szCs w:val="24"/>
        </w:rPr>
        <w:t>0,</w:t>
      </w:r>
      <w:r w:rsidR="004F0B00" w:rsidRPr="00750952">
        <w:rPr>
          <w:rFonts w:ascii="Book Antiqua" w:hAnsi="Book Antiqua" w:cstheme="majorBidi"/>
          <w:sz w:val="24"/>
          <w:szCs w:val="24"/>
        </w:rPr>
        <w:t>7</w:t>
      </w:r>
      <w:r w:rsidRPr="00750952">
        <w:rPr>
          <w:rFonts w:ascii="Book Antiqua" w:hAnsi="Book Antiqua" w:cstheme="majorBidi"/>
          <w:sz w:val="24"/>
          <w:szCs w:val="24"/>
        </w:rPr>
        <w:t xml:space="preserve"> point) et </w:t>
      </w:r>
      <w:r w:rsidR="00DC1ECA">
        <w:rPr>
          <w:rFonts w:ascii="Book Antiqua" w:hAnsi="Book Antiqua" w:cstheme="majorBidi"/>
          <w:sz w:val="24"/>
          <w:szCs w:val="24"/>
        </w:rPr>
        <w:t xml:space="preserve">une </w:t>
      </w:r>
      <w:r w:rsidR="00391C6F">
        <w:rPr>
          <w:rFonts w:ascii="Book Antiqua" w:hAnsi="Book Antiqua" w:cstheme="majorBidi"/>
          <w:sz w:val="24"/>
          <w:szCs w:val="24"/>
        </w:rPr>
        <w:t>baiss</w:t>
      </w:r>
      <w:r w:rsidR="00DC1ECA">
        <w:rPr>
          <w:rFonts w:ascii="Book Antiqua" w:hAnsi="Book Antiqua" w:cstheme="majorBidi"/>
          <w:sz w:val="24"/>
          <w:szCs w:val="24"/>
        </w:rPr>
        <w:t>e</w:t>
      </w:r>
      <w:r w:rsidR="00391C6F">
        <w:rPr>
          <w:rFonts w:ascii="Book Antiqua" w:hAnsi="Book Antiqua" w:cstheme="majorBidi"/>
          <w:sz w:val="24"/>
          <w:szCs w:val="24"/>
        </w:rPr>
        <w:t xml:space="preserve"> parmi les femmes </w:t>
      </w:r>
      <w:r w:rsidR="004F0B00" w:rsidRPr="00750952">
        <w:rPr>
          <w:rFonts w:ascii="Book Antiqua" w:hAnsi="Book Antiqua" w:cstheme="majorBidi"/>
          <w:sz w:val="24"/>
          <w:szCs w:val="24"/>
        </w:rPr>
        <w:t>(-</w:t>
      </w:r>
      <w:r w:rsidRPr="00750952">
        <w:rPr>
          <w:rFonts w:ascii="Book Antiqua" w:hAnsi="Book Antiqua" w:cstheme="majorBidi"/>
          <w:sz w:val="24"/>
          <w:szCs w:val="24"/>
        </w:rPr>
        <w:t>0,</w:t>
      </w:r>
      <w:r w:rsidR="004F0B00" w:rsidRPr="00750952">
        <w:rPr>
          <w:rFonts w:ascii="Book Antiqua" w:hAnsi="Book Antiqua" w:cstheme="majorBidi"/>
          <w:sz w:val="24"/>
          <w:szCs w:val="24"/>
        </w:rPr>
        <w:t>9</w:t>
      </w:r>
      <w:r w:rsidRPr="00750952">
        <w:rPr>
          <w:rFonts w:ascii="Book Antiqua" w:hAnsi="Book Antiqua" w:cstheme="majorBidi"/>
          <w:sz w:val="24"/>
          <w:szCs w:val="24"/>
        </w:rPr>
        <w:t xml:space="preserve"> point). </w:t>
      </w:r>
    </w:p>
    <w:p w:rsidR="00750952" w:rsidRPr="0072419D" w:rsidRDefault="00750952" w:rsidP="00E7412C">
      <w:pPr>
        <w:spacing w:before="40"/>
        <w:jc w:val="center"/>
        <w:rPr>
          <w:rFonts w:ascii="Book Antiqua" w:hAnsi="Book Antiqua" w:cs="Times New Roman"/>
          <w:b/>
          <w:bCs/>
          <w:sz w:val="20"/>
          <w:szCs w:val="20"/>
        </w:rPr>
      </w:pPr>
      <w:r>
        <w:rPr>
          <w:rFonts w:ascii="Book Antiqua" w:hAnsi="Book Antiqua" w:cs="Times New Roman"/>
          <w:b/>
          <w:bCs/>
          <w:sz w:val="20"/>
          <w:szCs w:val="20"/>
        </w:rPr>
        <w:t>Graphique 2</w:t>
      </w:r>
      <w:r w:rsidRPr="0072419D">
        <w:rPr>
          <w:rFonts w:ascii="Book Antiqua" w:hAnsi="Book Antiqua" w:cs="Times New Roman"/>
          <w:b/>
          <w:bCs/>
          <w:sz w:val="20"/>
          <w:szCs w:val="20"/>
        </w:rPr>
        <w:t xml:space="preserve">. Evolution du taux </w:t>
      </w:r>
      <w:r>
        <w:rPr>
          <w:rFonts w:ascii="Book Antiqua" w:hAnsi="Book Antiqua" w:cs="Times New Roman"/>
          <w:b/>
          <w:bCs/>
          <w:sz w:val="20"/>
          <w:szCs w:val="20"/>
        </w:rPr>
        <w:t>d’emploi aux</w:t>
      </w:r>
      <w:r w:rsidRPr="0072419D">
        <w:rPr>
          <w:rFonts w:ascii="Book Antiqua" w:hAnsi="Book Antiqua" w:cs="Times New Roman"/>
          <w:b/>
          <w:bCs/>
          <w:sz w:val="20"/>
          <w:szCs w:val="20"/>
        </w:rPr>
        <w:t xml:space="preserve"> deuxièmes trimestres par milieu de résidence (en%)</w:t>
      </w:r>
    </w:p>
    <w:p w:rsidR="00391C6F" w:rsidRDefault="00E7412C" w:rsidP="00E7412C">
      <w:pPr>
        <w:spacing w:before="240" w:after="240" w:line="312" w:lineRule="auto"/>
        <w:jc w:val="both"/>
        <w:rPr>
          <w:rFonts w:ascii="Book Antiqua" w:eastAsia="Book Antiqua" w:hAnsi="Book Antiqua" w:cs="Book Antiqua"/>
          <w:b/>
          <w:bCs/>
          <w:color w:val="8496B0" w:themeColor="text2" w:themeTint="99"/>
          <w:sz w:val="26"/>
          <w:szCs w:val="26"/>
        </w:rPr>
      </w:pPr>
      <w:r w:rsidRPr="00E7412C">
        <w:rPr>
          <w:rFonts w:ascii="Book Antiqua" w:eastAsia="Book Antiqua" w:hAnsi="Book Antiqua" w:cs="Book Antiqua"/>
          <w:b/>
          <w:bCs/>
          <w:noProof/>
          <w:color w:val="8496B0" w:themeColor="text2" w:themeTint="99"/>
          <w:sz w:val="26"/>
          <w:szCs w:val="26"/>
        </w:rPr>
        <w:drawing>
          <wp:inline distT="0" distB="0" distL="0" distR="0">
            <wp:extent cx="5760720" cy="2209800"/>
            <wp:effectExtent l="0" t="0" r="0" b="0"/>
            <wp:docPr id="14"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00151" w:rsidRPr="00391C6F" w:rsidRDefault="00CE37DF" w:rsidP="00391C6F">
      <w:pPr>
        <w:spacing w:before="240" w:after="240" w:line="312" w:lineRule="auto"/>
        <w:jc w:val="both"/>
        <w:rPr>
          <w:rFonts w:ascii="Book Antiqua" w:eastAsia="Book Antiqua" w:hAnsi="Book Antiqua" w:cs="Book Antiqua"/>
          <w:b/>
          <w:bCs/>
          <w:i/>
          <w:iCs/>
          <w:color w:val="0070C0"/>
          <w:sz w:val="26"/>
          <w:szCs w:val="26"/>
        </w:rPr>
      </w:pPr>
      <w:r w:rsidRPr="00391C6F">
        <w:rPr>
          <w:rFonts w:ascii="Book Antiqua" w:eastAsia="Book Antiqua" w:hAnsi="Book Antiqua" w:cs="Book Antiqua"/>
          <w:b/>
          <w:bCs/>
          <w:i/>
          <w:iCs/>
          <w:color w:val="0070C0"/>
          <w:sz w:val="26"/>
          <w:szCs w:val="26"/>
        </w:rPr>
        <w:lastRenderedPageBreak/>
        <w:t xml:space="preserve">Les emplois créés, </w:t>
      </w:r>
      <w:r w:rsidR="00391C6F">
        <w:rPr>
          <w:rFonts w:ascii="Book Antiqua" w:eastAsia="Book Antiqua" w:hAnsi="Book Antiqua" w:cs="Book Antiqua"/>
          <w:b/>
          <w:bCs/>
          <w:i/>
          <w:iCs/>
          <w:color w:val="0070C0"/>
          <w:sz w:val="26"/>
          <w:szCs w:val="26"/>
        </w:rPr>
        <w:t>exclusivement</w:t>
      </w:r>
      <w:r w:rsidRPr="00391C6F">
        <w:rPr>
          <w:rFonts w:ascii="Book Antiqua" w:eastAsia="Book Antiqua" w:hAnsi="Book Antiqua" w:cs="Book Antiqua"/>
          <w:b/>
          <w:bCs/>
          <w:i/>
          <w:iCs/>
          <w:color w:val="0070C0"/>
          <w:sz w:val="26"/>
          <w:szCs w:val="26"/>
        </w:rPr>
        <w:t xml:space="preserve"> rémunérés</w:t>
      </w:r>
    </w:p>
    <w:p w:rsidR="004E2812" w:rsidRDefault="00015881" w:rsidP="00CD6C99">
      <w:pPr>
        <w:spacing w:before="240" w:after="240" w:line="312" w:lineRule="auto"/>
        <w:jc w:val="both"/>
        <w:rPr>
          <w:rFonts w:ascii="Book Antiqua" w:hAnsi="Book Antiqua" w:cstheme="majorBidi"/>
          <w:sz w:val="24"/>
          <w:szCs w:val="24"/>
        </w:rPr>
      </w:pPr>
      <w:r>
        <w:rPr>
          <w:rFonts w:ascii="Book Antiqua" w:hAnsi="Book Antiqua" w:cstheme="majorBidi"/>
          <w:sz w:val="24"/>
          <w:szCs w:val="24"/>
        </w:rPr>
        <w:t>L</w:t>
      </w:r>
      <w:r w:rsidR="004E2812" w:rsidRPr="00750952">
        <w:rPr>
          <w:rFonts w:ascii="Book Antiqua" w:hAnsi="Book Antiqua" w:cstheme="majorBidi"/>
          <w:sz w:val="24"/>
          <w:szCs w:val="24"/>
        </w:rPr>
        <w:t xml:space="preserve">’économie nationale a </w:t>
      </w:r>
      <w:r w:rsidR="0033301A" w:rsidRPr="00750952">
        <w:rPr>
          <w:rFonts w:ascii="Book Antiqua" w:hAnsi="Book Antiqua" w:cstheme="majorBidi"/>
          <w:sz w:val="24"/>
          <w:szCs w:val="24"/>
        </w:rPr>
        <w:t>créé 13</w:t>
      </w:r>
      <w:r w:rsidR="004F641F">
        <w:rPr>
          <w:rFonts w:ascii="Book Antiqua" w:hAnsi="Book Antiqua" w:cstheme="majorBidi"/>
          <w:sz w:val="24"/>
          <w:szCs w:val="24"/>
        </w:rPr>
        <w:t>3</w:t>
      </w:r>
      <w:r w:rsidR="000A0E50" w:rsidRPr="00750952">
        <w:rPr>
          <w:rFonts w:ascii="Book Antiqua" w:hAnsi="Book Antiqua" w:cstheme="majorBidi"/>
          <w:sz w:val="24"/>
          <w:szCs w:val="24"/>
        </w:rPr>
        <w:t>.000</w:t>
      </w:r>
      <w:r w:rsidR="004E2812" w:rsidRPr="00750952">
        <w:rPr>
          <w:rFonts w:ascii="Book Antiqua" w:hAnsi="Book Antiqua" w:cstheme="majorBidi"/>
          <w:sz w:val="24"/>
          <w:szCs w:val="24"/>
        </w:rPr>
        <w:t xml:space="preserve"> postes </w:t>
      </w:r>
      <w:r w:rsidR="009107AD" w:rsidRPr="00750952">
        <w:rPr>
          <w:rFonts w:ascii="Book Antiqua" w:hAnsi="Book Antiqua" w:cstheme="majorBidi"/>
          <w:sz w:val="24"/>
          <w:szCs w:val="24"/>
        </w:rPr>
        <w:t>d’emploi</w:t>
      </w:r>
      <w:r w:rsidR="0033301A" w:rsidRPr="00750952">
        <w:rPr>
          <w:rFonts w:ascii="Book Antiqua" w:hAnsi="Book Antiqua" w:cstheme="majorBidi"/>
          <w:sz w:val="24"/>
          <w:szCs w:val="24"/>
        </w:rPr>
        <w:t xml:space="preserve"> au deuxième trimestre de </w:t>
      </w:r>
      <w:r w:rsidR="0008730C" w:rsidRPr="00750952">
        <w:rPr>
          <w:rFonts w:ascii="Book Antiqua" w:hAnsi="Book Antiqua" w:cstheme="majorBidi"/>
          <w:sz w:val="24"/>
          <w:szCs w:val="24"/>
        </w:rPr>
        <w:t>202</w:t>
      </w:r>
      <w:r w:rsidR="0033301A" w:rsidRPr="00750952">
        <w:rPr>
          <w:rFonts w:ascii="Book Antiqua" w:hAnsi="Book Antiqua" w:cstheme="majorBidi"/>
          <w:sz w:val="24"/>
          <w:szCs w:val="24"/>
        </w:rPr>
        <w:t>2</w:t>
      </w:r>
      <w:r w:rsidR="009107AD" w:rsidRPr="00750952">
        <w:rPr>
          <w:rFonts w:ascii="Book Antiqua" w:hAnsi="Book Antiqua" w:cstheme="majorBidi"/>
          <w:sz w:val="24"/>
          <w:szCs w:val="24"/>
        </w:rPr>
        <w:t>, ce</w:t>
      </w:r>
      <w:r w:rsidR="004E2812" w:rsidRPr="00750952">
        <w:rPr>
          <w:rFonts w:ascii="Book Antiqua" w:hAnsi="Book Antiqua" w:cstheme="majorBidi"/>
          <w:sz w:val="24"/>
          <w:szCs w:val="24"/>
        </w:rPr>
        <w:t xml:space="preserve"> qui co</w:t>
      </w:r>
      <w:r w:rsidR="0033301A" w:rsidRPr="00750952">
        <w:rPr>
          <w:rFonts w:ascii="Book Antiqua" w:hAnsi="Book Antiqua" w:cstheme="majorBidi"/>
          <w:sz w:val="24"/>
          <w:szCs w:val="24"/>
        </w:rPr>
        <w:t>rrespond à une hausse de 1%,</w:t>
      </w:r>
      <w:r w:rsidR="005C5391">
        <w:rPr>
          <w:rFonts w:ascii="Book Antiqua" w:hAnsi="Book Antiqua" w:cstheme="majorBidi"/>
          <w:sz w:val="24"/>
          <w:szCs w:val="24"/>
        </w:rPr>
        <w:t xml:space="preserve"> résultant d’une création de</w:t>
      </w:r>
      <w:r w:rsidR="0033301A" w:rsidRPr="00750952">
        <w:rPr>
          <w:rFonts w:ascii="Book Antiqua" w:hAnsi="Book Antiqua" w:cstheme="majorBidi"/>
          <w:sz w:val="24"/>
          <w:szCs w:val="24"/>
        </w:rPr>
        <w:t xml:space="preserve"> 285</w:t>
      </w:r>
      <w:r w:rsidR="004E2812" w:rsidRPr="00750952">
        <w:rPr>
          <w:rFonts w:ascii="Book Antiqua" w:hAnsi="Book Antiqua" w:cstheme="majorBidi"/>
          <w:sz w:val="24"/>
          <w:szCs w:val="24"/>
        </w:rPr>
        <w:t xml:space="preserve">.000 postes en milieu urbain </w:t>
      </w:r>
      <w:r w:rsidR="0033301A" w:rsidRPr="00750952">
        <w:rPr>
          <w:rFonts w:ascii="Book Antiqua" w:hAnsi="Book Antiqua" w:cstheme="majorBidi"/>
          <w:sz w:val="24"/>
          <w:szCs w:val="24"/>
        </w:rPr>
        <w:t>(+5</w:t>
      </w:r>
      <w:r w:rsidR="004E2812" w:rsidRPr="00750952">
        <w:rPr>
          <w:rFonts w:ascii="Book Antiqua" w:hAnsi="Book Antiqua" w:cstheme="majorBidi"/>
          <w:sz w:val="24"/>
          <w:szCs w:val="24"/>
        </w:rPr>
        <w:t xml:space="preserve">%) et </w:t>
      </w:r>
      <w:r w:rsidR="0033301A" w:rsidRPr="00750952">
        <w:rPr>
          <w:rFonts w:ascii="Book Antiqua" w:hAnsi="Book Antiqua" w:cstheme="majorBidi"/>
          <w:sz w:val="24"/>
          <w:szCs w:val="24"/>
        </w:rPr>
        <w:t xml:space="preserve">d’une </w:t>
      </w:r>
      <w:r w:rsidR="005C5391">
        <w:rPr>
          <w:rFonts w:ascii="Book Antiqua" w:hAnsi="Book Antiqua" w:cstheme="majorBidi"/>
          <w:sz w:val="24"/>
          <w:szCs w:val="24"/>
        </w:rPr>
        <w:t xml:space="preserve">perte </w:t>
      </w:r>
      <w:r w:rsidR="0033301A" w:rsidRPr="00750952">
        <w:rPr>
          <w:rFonts w:ascii="Book Antiqua" w:hAnsi="Book Antiqua" w:cstheme="majorBidi"/>
          <w:sz w:val="24"/>
          <w:szCs w:val="24"/>
        </w:rPr>
        <w:t>de 152.000 en milieu rural (-</w:t>
      </w:r>
      <w:r w:rsidR="004E2812" w:rsidRPr="00750952">
        <w:rPr>
          <w:rFonts w:ascii="Book Antiqua" w:hAnsi="Book Antiqua" w:cstheme="majorBidi"/>
          <w:sz w:val="24"/>
          <w:szCs w:val="24"/>
        </w:rPr>
        <w:t>3%).</w:t>
      </w:r>
    </w:p>
    <w:p w:rsidR="004E2812" w:rsidRDefault="0033301A" w:rsidP="009D1FFA">
      <w:pPr>
        <w:spacing w:before="240" w:after="240" w:line="312" w:lineRule="auto"/>
        <w:jc w:val="both"/>
        <w:rPr>
          <w:rFonts w:ascii="Book Antiqua" w:hAnsi="Book Antiqua" w:cstheme="majorBidi"/>
          <w:sz w:val="24"/>
          <w:szCs w:val="24"/>
        </w:rPr>
      </w:pPr>
      <w:r w:rsidRPr="00750952">
        <w:rPr>
          <w:rFonts w:ascii="Book Antiqua" w:hAnsi="Book Antiqua" w:cstheme="majorBidi"/>
          <w:sz w:val="24"/>
          <w:szCs w:val="24"/>
        </w:rPr>
        <w:t>Par type d’emploi, 299</w:t>
      </w:r>
      <w:r w:rsidR="004E2812" w:rsidRPr="00750952">
        <w:rPr>
          <w:rFonts w:ascii="Book Antiqua" w:hAnsi="Book Antiqua" w:cstheme="majorBidi"/>
          <w:sz w:val="24"/>
          <w:szCs w:val="24"/>
        </w:rPr>
        <w:t xml:space="preserve">.000 postes d’emplois rémunérés ont été </w:t>
      </w:r>
      <w:r w:rsidR="009107AD" w:rsidRPr="00750952">
        <w:rPr>
          <w:rFonts w:ascii="Book Antiqua" w:hAnsi="Book Antiqua" w:cstheme="majorBidi"/>
          <w:sz w:val="24"/>
          <w:szCs w:val="24"/>
        </w:rPr>
        <w:t>créés</w:t>
      </w:r>
      <w:r w:rsidRPr="00750952">
        <w:rPr>
          <w:rFonts w:ascii="Book Antiqua" w:hAnsi="Book Antiqua" w:cstheme="majorBidi"/>
          <w:sz w:val="24"/>
          <w:szCs w:val="24"/>
        </w:rPr>
        <w:t xml:space="preserve">, </w:t>
      </w:r>
      <w:r w:rsidR="005C5391">
        <w:rPr>
          <w:rFonts w:ascii="Book Antiqua" w:hAnsi="Book Antiqua" w:cstheme="majorBidi"/>
          <w:sz w:val="24"/>
          <w:szCs w:val="24"/>
        </w:rPr>
        <w:t xml:space="preserve">résultant d’une </w:t>
      </w:r>
      <w:r w:rsidR="00391C6F">
        <w:rPr>
          <w:rFonts w:ascii="Book Antiqua" w:hAnsi="Book Antiqua" w:cstheme="majorBidi"/>
          <w:sz w:val="24"/>
          <w:szCs w:val="24"/>
        </w:rPr>
        <w:t xml:space="preserve">création de </w:t>
      </w:r>
      <w:r w:rsidRPr="00750952">
        <w:rPr>
          <w:rFonts w:ascii="Book Antiqua" w:hAnsi="Book Antiqua" w:cstheme="majorBidi"/>
          <w:sz w:val="24"/>
          <w:szCs w:val="24"/>
        </w:rPr>
        <w:t>307</w:t>
      </w:r>
      <w:r w:rsidR="004E2812" w:rsidRPr="00750952">
        <w:rPr>
          <w:rFonts w:ascii="Book Antiqua" w:hAnsi="Book Antiqua" w:cstheme="majorBidi"/>
          <w:sz w:val="24"/>
          <w:szCs w:val="24"/>
        </w:rPr>
        <w:t xml:space="preserve">.000 en milieu urbain et </w:t>
      </w:r>
      <w:r w:rsidR="005C5391">
        <w:rPr>
          <w:rFonts w:ascii="Book Antiqua" w:hAnsi="Book Antiqua" w:cstheme="majorBidi"/>
          <w:sz w:val="24"/>
          <w:szCs w:val="24"/>
        </w:rPr>
        <w:t xml:space="preserve">d’une </w:t>
      </w:r>
      <w:r w:rsidRPr="00750952">
        <w:rPr>
          <w:rFonts w:ascii="Book Antiqua" w:hAnsi="Book Antiqua" w:cstheme="majorBidi"/>
          <w:sz w:val="24"/>
          <w:szCs w:val="24"/>
        </w:rPr>
        <w:t>perte de 8</w:t>
      </w:r>
      <w:r w:rsidR="004E2812" w:rsidRPr="00750952">
        <w:rPr>
          <w:rFonts w:ascii="Book Antiqua" w:hAnsi="Book Antiqua" w:cstheme="majorBidi"/>
          <w:sz w:val="24"/>
          <w:szCs w:val="24"/>
        </w:rPr>
        <w:t>.000 en milieu rural. L’emploi non rémunéré a</w:t>
      </w:r>
      <w:r w:rsidR="008743C2">
        <w:rPr>
          <w:rFonts w:ascii="Book Antiqua" w:hAnsi="Book Antiqua" w:cstheme="majorBidi" w:hint="cs"/>
          <w:sz w:val="24"/>
          <w:szCs w:val="24"/>
          <w:rtl/>
          <w:lang w:bidi="tzm-Arab-MA"/>
        </w:rPr>
        <w:t xml:space="preserve"> </w:t>
      </w:r>
      <w:r w:rsidRPr="00750952">
        <w:rPr>
          <w:rFonts w:ascii="Book Antiqua" w:hAnsi="Book Antiqua" w:cstheme="majorBidi"/>
          <w:sz w:val="24"/>
          <w:szCs w:val="24"/>
        </w:rPr>
        <w:t>baissé</w:t>
      </w:r>
      <w:r w:rsidR="009107AD" w:rsidRPr="00750952">
        <w:rPr>
          <w:rFonts w:ascii="Book Antiqua" w:hAnsi="Book Antiqua" w:cstheme="majorBidi"/>
          <w:sz w:val="24"/>
          <w:szCs w:val="24"/>
        </w:rPr>
        <w:t xml:space="preserve"> de</w:t>
      </w:r>
      <w:r w:rsidRPr="00750952">
        <w:rPr>
          <w:rFonts w:ascii="Book Antiqua" w:hAnsi="Book Antiqua" w:cstheme="majorBidi"/>
          <w:sz w:val="24"/>
          <w:szCs w:val="24"/>
        </w:rPr>
        <w:t xml:space="preserve"> 16</w:t>
      </w:r>
      <w:r w:rsidR="009D1FFA">
        <w:rPr>
          <w:rFonts w:ascii="Book Antiqua" w:hAnsi="Book Antiqua" w:cstheme="majorBidi"/>
          <w:sz w:val="24"/>
          <w:szCs w:val="24"/>
        </w:rPr>
        <w:t>6</w:t>
      </w:r>
      <w:r w:rsidR="004E2812" w:rsidRPr="00750952">
        <w:rPr>
          <w:rFonts w:ascii="Book Antiqua" w:hAnsi="Book Antiqua" w:cstheme="majorBidi"/>
          <w:sz w:val="24"/>
          <w:szCs w:val="24"/>
        </w:rPr>
        <w:t xml:space="preserve">.000 postes, </w:t>
      </w:r>
      <w:r w:rsidRPr="00750952">
        <w:rPr>
          <w:rFonts w:ascii="Book Antiqua" w:hAnsi="Book Antiqua" w:cstheme="majorBidi"/>
          <w:sz w:val="24"/>
          <w:szCs w:val="24"/>
          <w:lang w:bidi="tzm-Arab-MA"/>
        </w:rPr>
        <w:t>perte</w:t>
      </w:r>
      <w:r w:rsidR="00155A28" w:rsidRPr="00750952">
        <w:rPr>
          <w:rFonts w:ascii="Book Antiqua" w:hAnsi="Book Antiqua" w:cstheme="majorBidi"/>
          <w:sz w:val="24"/>
          <w:szCs w:val="24"/>
          <w:lang w:bidi="tzm-Arab-MA"/>
        </w:rPr>
        <w:t xml:space="preserve"> de </w:t>
      </w:r>
      <w:r w:rsidRPr="009D1FFA">
        <w:rPr>
          <w:rFonts w:ascii="Book Antiqua" w:hAnsi="Book Antiqua" w:cstheme="majorBidi"/>
          <w:sz w:val="24"/>
          <w:szCs w:val="24"/>
          <w:lang w:bidi="tzm-Arab-MA"/>
        </w:rPr>
        <w:t>144</w:t>
      </w:r>
      <w:r w:rsidR="004E2812" w:rsidRPr="009D1FFA">
        <w:rPr>
          <w:rFonts w:ascii="Book Antiqua" w:hAnsi="Book Antiqua" w:cstheme="majorBidi"/>
          <w:sz w:val="24"/>
          <w:szCs w:val="24"/>
        </w:rPr>
        <w:t xml:space="preserve">.000en zones rurales </w:t>
      </w:r>
      <w:r w:rsidR="00BF456F" w:rsidRPr="009D1FFA">
        <w:rPr>
          <w:rFonts w:ascii="Book Antiqua" w:hAnsi="Book Antiqua" w:cstheme="majorBidi"/>
          <w:sz w:val="24"/>
          <w:szCs w:val="24"/>
        </w:rPr>
        <w:t xml:space="preserve">et </w:t>
      </w:r>
      <w:r w:rsidR="00155A28" w:rsidRPr="009D1FFA">
        <w:rPr>
          <w:rFonts w:ascii="Book Antiqua" w:hAnsi="Book Antiqua" w:cstheme="majorBidi"/>
          <w:sz w:val="24"/>
          <w:szCs w:val="24"/>
        </w:rPr>
        <w:t xml:space="preserve">de </w:t>
      </w:r>
      <w:r w:rsidRPr="009D1FFA">
        <w:rPr>
          <w:rFonts w:ascii="Book Antiqua" w:hAnsi="Book Antiqua" w:cstheme="majorBidi"/>
          <w:sz w:val="24"/>
          <w:szCs w:val="24"/>
        </w:rPr>
        <w:t>2</w:t>
      </w:r>
      <w:r w:rsidR="004E2812" w:rsidRPr="009D1FFA">
        <w:rPr>
          <w:rFonts w:ascii="Book Antiqua" w:hAnsi="Book Antiqua" w:cstheme="majorBidi"/>
          <w:sz w:val="24"/>
          <w:szCs w:val="24"/>
        </w:rPr>
        <w:t>2.000 en</w:t>
      </w:r>
      <w:r w:rsidR="004E2812" w:rsidRPr="00750952">
        <w:rPr>
          <w:rFonts w:ascii="Book Antiqua" w:hAnsi="Book Antiqua" w:cstheme="majorBidi"/>
          <w:sz w:val="24"/>
          <w:szCs w:val="24"/>
        </w:rPr>
        <w:t xml:space="preserve"> zones urbaines.</w:t>
      </w:r>
    </w:p>
    <w:p w:rsidR="0033301A" w:rsidRDefault="00C24A63" w:rsidP="0033301A">
      <w:pPr>
        <w:rPr>
          <w:rFonts w:ascii="Book Antiqua" w:eastAsia="Book Antiqua" w:hAnsi="Book Antiqua" w:cs="Book Antiqua"/>
          <w:b/>
          <w:color w:val="0D0D0D" w:themeColor="text1" w:themeTint="F2"/>
          <w:sz w:val="20"/>
          <w:szCs w:val="20"/>
        </w:rPr>
      </w:pPr>
      <w:r>
        <w:rPr>
          <w:rFonts w:ascii="Book Antiqua" w:eastAsia="Book Antiqua" w:hAnsi="Book Antiqua" w:cs="Book Antiqua"/>
          <w:b/>
          <w:color w:val="0D0D0D" w:themeColor="text1" w:themeTint="F2"/>
          <w:sz w:val="20"/>
          <w:szCs w:val="20"/>
        </w:rPr>
        <w:t xml:space="preserve">Graphique 3 : Variation nette d’emploi entre </w:t>
      </w:r>
      <w:r w:rsidR="00D2276D">
        <w:rPr>
          <w:rFonts w:ascii="Book Antiqua" w:eastAsia="Book Antiqua" w:hAnsi="Book Antiqua" w:cs="Book Antiqua"/>
          <w:b/>
          <w:color w:val="0D0D0D" w:themeColor="text1" w:themeTint="F2"/>
          <w:sz w:val="20"/>
          <w:szCs w:val="20"/>
        </w:rPr>
        <w:t xml:space="preserve">les deuxièmes trimestres de </w:t>
      </w:r>
      <w:r>
        <w:rPr>
          <w:rFonts w:ascii="Book Antiqua" w:eastAsia="Book Antiqua" w:hAnsi="Book Antiqua" w:cs="Book Antiqua"/>
          <w:b/>
          <w:color w:val="0D0D0D" w:themeColor="text1" w:themeTint="F2"/>
          <w:sz w:val="20"/>
          <w:szCs w:val="20"/>
        </w:rPr>
        <w:t>202</w:t>
      </w:r>
      <w:r w:rsidR="0033301A">
        <w:rPr>
          <w:rFonts w:ascii="Book Antiqua" w:eastAsia="Book Antiqua" w:hAnsi="Book Antiqua" w:cs="Book Antiqua"/>
          <w:b/>
          <w:color w:val="0D0D0D" w:themeColor="text1" w:themeTint="F2"/>
          <w:sz w:val="20"/>
          <w:szCs w:val="20"/>
        </w:rPr>
        <w:t xml:space="preserve">1 et 2022 </w:t>
      </w:r>
      <w:r>
        <w:rPr>
          <w:rFonts w:ascii="Book Antiqua" w:eastAsia="Book Antiqua" w:hAnsi="Book Antiqua" w:cs="Book Antiqua"/>
          <w:b/>
          <w:color w:val="0D0D0D" w:themeColor="text1" w:themeTint="F2"/>
          <w:sz w:val="20"/>
          <w:szCs w:val="20"/>
        </w:rPr>
        <w:t xml:space="preserve"> selon le type d’emploi et le milieu de résidence</w:t>
      </w:r>
      <w:r w:rsidR="00DF4F51">
        <w:rPr>
          <w:rFonts w:ascii="Book Antiqua" w:eastAsia="Book Antiqua" w:hAnsi="Book Antiqua" w:cs="Book Antiqua"/>
          <w:b/>
          <w:color w:val="0D0D0D" w:themeColor="text1" w:themeTint="F2"/>
          <w:sz w:val="20"/>
          <w:szCs w:val="20"/>
        </w:rPr>
        <w:t xml:space="preserve"> (en milliers)</w:t>
      </w:r>
      <w:r w:rsidR="003A173D">
        <w:rPr>
          <w:rFonts w:ascii="Book Antiqua" w:eastAsia="Book Antiqua" w:hAnsi="Book Antiqua" w:cs="Book Antiqua"/>
          <w:b/>
          <w:color w:val="0D0D0D" w:themeColor="text1" w:themeTint="F2"/>
          <w:sz w:val="20"/>
          <w:szCs w:val="20"/>
        </w:rPr>
        <w:t>.</w:t>
      </w:r>
    </w:p>
    <w:p w:rsidR="0033301A" w:rsidRDefault="0033301A" w:rsidP="0033301A">
      <w:pPr>
        <w:jc w:val="center"/>
        <w:rPr>
          <w:rFonts w:ascii="Book Antiqua" w:eastAsia="Book Antiqua" w:hAnsi="Book Antiqua" w:cs="Book Antiqua"/>
          <w:b/>
          <w:color w:val="0D0D0D" w:themeColor="text1" w:themeTint="F2"/>
          <w:sz w:val="20"/>
          <w:szCs w:val="20"/>
        </w:rPr>
      </w:pPr>
    </w:p>
    <w:p w:rsidR="004E2812" w:rsidRDefault="001E6D49" w:rsidP="001E6D49">
      <w:pPr>
        <w:jc w:val="center"/>
        <w:rPr>
          <w:rFonts w:ascii="Book Antiqua" w:eastAsia="Book Antiqua" w:hAnsi="Book Antiqua" w:cs="Book Antiqua"/>
          <w:color w:val="0070C0"/>
          <w:sz w:val="24"/>
          <w:szCs w:val="24"/>
        </w:rPr>
      </w:pPr>
      <w:r w:rsidRPr="001E6D49">
        <w:rPr>
          <w:rFonts w:ascii="Book Antiqua" w:eastAsia="Book Antiqua" w:hAnsi="Book Antiqua" w:cs="Book Antiqua"/>
          <w:noProof/>
          <w:color w:val="0070C0"/>
          <w:sz w:val="24"/>
          <w:szCs w:val="24"/>
        </w:rPr>
        <w:drawing>
          <wp:inline distT="0" distB="0" distL="0" distR="0">
            <wp:extent cx="4984750" cy="2389517"/>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3301A" w:rsidRPr="007B76A0" w:rsidRDefault="0033301A" w:rsidP="0033301A">
      <w:pPr>
        <w:spacing w:after="240" w:line="312" w:lineRule="auto"/>
        <w:jc w:val="both"/>
        <w:rPr>
          <w:rFonts w:ascii="Book Antiqua" w:eastAsia="Book Antiqua" w:hAnsi="Book Antiqua" w:cs="Book Antiqua"/>
          <w:b/>
          <w:bCs/>
          <w:i/>
          <w:iCs/>
          <w:color w:val="0070C0"/>
          <w:sz w:val="26"/>
          <w:szCs w:val="26"/>
        </w:rPr>
      </w:pPr>
      <w:r w:rsidRPr="007B76A0">
        <w:rPr>
          <w:rFonts w:ascii="Book Antiqua" w:eastAsia="Book Antiqua" w:hAnsi="Book Antiqua" w:cs="Book Antiqua"/>
          <w:b/>
          <w:bCs/>
          <w:i/>
          <w:iCs/>
          <w:color w:val="0070C0"/>
          <w:sz w:val="26"/>
          <w:szCs w:val="26"/>
        </w:rPr>
        <w:t>Les secteurs des services et de l’"agriculture, forêt et pêche" demeurent les premiers pourvoyeurs d'emploi</w:t>
      </w:r>
    </w:p>
    <w:p w:rsidR="00F955FD" w:rsidRPr="007B76A0" w:rsidRDefault="00F955FD" w:rsidP="00CD6C99">
      <w:pPr>
        <w:spacing w:after="200"/>
        <w:jc w:val="both"/>
        <w:rPr>
          <w:rFonts w:ascii="Book Antiqua" w:hAnsi="Book Antiqua" w:cs="Times New Roman"/>
          <w:sz w:val="24"/>
          <w:szCs w:val="24"/>
        </w:rPr>
      </w:pPr>
      <w:r w:rsidRPr="007B76A0">
        <w:rPr>
          <w:rFonts w:ascii="Book Antiqua" w:hAnsi="Book Antiqua" w:cs="Times New Roman"/>
          <w:sz w:val="24"/>
          <w:szCs w:val="24"/>
        </w:rPr>
        <w:t>Parmi les 1</w:t>
      </w:r>
      <w:r w:rsidR="00013FCC" w:rsidRPr="007B76A0">
        <w:rPr>
          <w:rFonts w:ascii="Book Antiqua" w:hAnsi="Book Antiqua" w:cs="Times New Roman"/>
          <w:sz w:val="24"/>
          <w:szCs w:val="24"/>
        </w:rPr>
        <w:t>1</w:t>
      </w:r>
      <w:r w:rsidRPr="007B76A0">
        <w:rPr>
          <w:rFonts w:ascii="Book Antiqua" w:hAnsi="Book Antiqua" w:cs="Times New Roman"/>
          <w:sz w:val="24"/>
          <w:szCs w:val="24"/>
        </w:rPr>
        <w:t>.</w:t>
      </w:r>
      <w:r w:rsidR="00013FCC" w:rsidRPr="007B76A0">
        <w:rPr>
          <w:rFonts w:ascii="Book Antiqua" w:hAnsi="Book Antiqua" w:cs="Times New Roman"/>
          <w:sz w:val="24"/>
          <w:szCs w:val="24"/>
        </w:rPr>
        <w:t>025</w:t>
      </w:r>
      <w:r w:rsidRPr="007B76A0">
        <w:rPr>
          <w:rFonts w:ascii="Book Antiqua" w:hAnsi="Book Antiqua" w:cs="Times New Roman"/>
          <w:sz w:val="24"/>
          <w:szCs w:val="24"/>
        </w:rPr>
        <w:t xml:space="preserve">.000 actifs occupés </w:t>
      </w:r>
      <w:r w:rsidR="00013FCC" w:rsidRPr="007B76A0">
        <w:rPr>
          <w:rFonts w:ascii="Book Antiqua" w:hAnsi="Book Antiqua" w:cs="Times New Roman"/>
          <w:sz w:val="24"/>
          <w:szCs w:val="24"/>
        </w:rPr>
        <w:t xml:space="preserve">au deuxième trimestre de </w:t>
      </w:r>
      <w:r w:rsidRPr="007B76A0">
        <w:rPr>
          <w:rFonts w:ascii="Book Antiqua" w:hAnsi="Book Antiqua" w:cs="Times New Roman"/>
          <w:sz w:val="24"/>
          <w:szCs w:val="24"/>
        </w:rPr>
        <w:t>202</w:t>
      </w:r>
      <w:r w:rsidR="00013FCC" w:rsidRPr="007B76A0">
        <w:rPr>
          <w:rFonts w:ascii="Book Antiqua" w:hAnsi="Book Antiqua" w:cs="Times New Roman"/>
          <w:sz w:val="24"/>
          <w:szCs w:val="24"/>
        </w:rPr>
        <w:t>2</w:t>
      </w:r>
      <w:r w:rsidRPr="007B76A0">
        <w:rPr>
          <w:rFonts w:ascii="Book Antiqua" w:hAnsi="Book Antiqua" w:cs="Times New Roman"/>
          <w:sz w:val="24"/>
          <w:szCs w:val="24"/>
        </w:rPr>
        <w:t>, le secteur des "</w:t>
      </w:r>
      <w:r w:rsidR="00C95867" w:rsidRPr="007B76A0">
        <w:rPr>
          <w:rFonts w:ascii="Book Antiqua" w:hAnsi="Book Antiqua" w:cs="Times New Roman"/>
          <w:sz w:val="24"/>
          <w:szCs w:val="24"/>
        </w:rPr>
        <w:t>s</w:t>
      </w:r>
      <w:r w:rsidRPr="007B76A0">
        <w:rPr>
          <w:rFonts w:ascii="Book Antiqua" w:hAnsi="Book Antiqua" w:cs="Times New Roman"/>
          <w:sz w:val="24"/>
          <w:szCs w:val="24"/>
        </w:rPr>
        <w:t>ervices" emploie 4</w:t>
      </w:r>
      <w:r w:rsidR="00013FCC" w:rsidRPr="007B76A0">
        <w:rPr>
          <w:rFonts w:ascii="Book Antiqua" w:hAnsi="Book Antiqua" w:cs="Times New Roman"/>
          <w:sz w:val="24"/>
          <w:szCs w:val="24"/>
        </w:rPr>
        <w:t>6</w:t>
      </w:r>
      <w:r w:rsidRPr="007B76A0">
        <w:rPr>
          <w:rFonts w:ascii="Book Antiqua" w:hAnsi="Book Antiqua" w:cs="Times New Roman"/>
          <w:sz w:val="24"/>
          <w:szCs w:val="24"/>
        </w:rPr>
        <w:t>,</w:t>
      </w:r>
      <w:r w:rsidR="00013FCC" w:rsidRPr="007B76A0">
        <w:rPr>
          <w:rFonts w:ascii="Book Antiqua" w:hAnsi="Book Antiqua" w:cs="Times New Roman"/>
          <w:sz w:val="24"/>
          <w:szCs w:val="24"/>
        </w:rPr>
        <w:t>8</w:t>
      </w:r>
      <w:r w:rsidRPr="007B76A0">
        <w:rPr>
          <w:rFonts w:ascii="Book Antiqua" w:hAnsi="Book Antiqua" w:cs="Times New Roman"/>
          <w:sz w:val="24"/>
          <w:szCs w:val="24"/>
        </w:rPr>
        <w:t>%, suivi de l’"agriculture, forêt et pêche" avec 3</w:t>
      </w:r>
      <w:r w:rsidR="00013FCC" w:rsidRPr="007B76A0">
        <w:rPr>
          <w:rFonts w:ascii="Book Antiqua" w:hAnsi="Book Antiqua" w:cs="Times New Roman"/>
          <w:sz w:val="24"/>
          <w:szCs w:val="24"/>
        </w:rPr>
        <w:t>0</w:t>
      </w:r>
      <w:r w:rsidRPr="007B76A0">
        <w:rPr>
          <w:rFonts w:ascii="Book Antiqua" w:hAnsi="Book Antiqua" w:cs="Times New Roman"/>
          <w:sz w:val="24"/>
          <w:szCs w:val="24"/>
        </w:rPr>
        <w:t>,</w:t>
      </w:r>
      <w:r w:rsidR="00013FCC" w:rsidRPr="007B76A0">
        <w:rPr>
          <w:rFonts w:ascii="Book Antiqua" w:hAnsi="Book Antiqua" w:cs="Times New Roman"/>
          <w:sz w:val="24"/>
          <w:szCs w:val="24"/>
        </w:rPr>
        <w:t>8</w:t>
      </w:r>
      <w:r w:rsidRPr="007B76A0">
        <w:rPr>
          <w:rFonts w:ascii="Book Antiqua" w:hAnsi="Book Antiqua" w:cs="Times New Roman"/>
          <w:sz w:val="24"/>
          <w:szCs w:val="24"/>
        </w:rPr>
        <w:t xml:space="preserve">%, de </w:t>
      </w:r>
      <w:r w:rsidR="00D73191" w:rsidRPr="007B76A0">
        <w:rPr>
          <w:rFonts w:ascii="Book Antiqua" w:hAnsi="Book Antiqua" w:cs="Times New Roman"/>
          <w:sz w:val="24"/>
          <w:szCs w:val="24"/>
        </w:rPr>
        <w:t>l’"industrie</w:t>
      </w:r>
      <w:r w:rsidR="0033301A" w:rsidRPr="007B76A0">
        <w:rPr>
          <w:rFonts w:ascii="Book Antiqua" w:hAnsi="Book Antiqua" w:cs="Times New Roman"/>
          <w:sz w:val="24"/>
          <w:szCs w:val="24"/>
        </w:rPr>
        <w:t>"</w:t>
      </w:r>
      <w:r w:rsidRPr="007B76A0">
        <w:rPr>
          <w:rFonts w:ascii="Book Antiqua" w:hAnsi="Book Antiqua" w:cs="Times New Roman"/>
          <w:sz w:val="24"/>
          <w:szCs w:val="24"/>
        </w:rPr>
        <w:t xml:space="preserve"> avec 11,</w:t>
      </w:r>
      <w:r w:rsidR="00D73191" w:rsidRPr="007B76A0">
        <w:rPr>
          <w:rFonts w:ascii="Book Antiqua" w:hAnsi="Book Antiqua" w:cs="Times New Roman"/>
          <w:sz w:val="24"/>
          <w:szCs w:val="24"/>
        </w:rPr>
        <w:t>7</w:t>
      </w:r>
      <w:r w:rsidRPr="007B76A0">
        <w:rPr>
          <w:rFonts w:ascii="Book Antiqua" w:hAnsi="Book Antiqua" w:cs="Times New Roman"/>
          <w:sz w:val="24"/>
          <w:szCs w:val="24"/>
        </w:rPr>
        <w:t>%et des "BTP" 1</w:t>
      </w:r>
      <w:r w:rsidR="00013FCC" w:rsidRPr="007B76A0">
        <w:rPr>
          <w:rFonts w:ascii="Book Antiqua" w:hAnsi="Book Antiqua" w:cs="Times New Roman"/>
          <w:sz w:val="24"/>
          <w:szCs w:val="24"/>
        </w:rPr>
        <w:t>0</w:t>
      </w:r>
      <w:r w:rsidRPr="007B76A0">
        <w:rPr>
          <w:rFonts w:ascii="Book Antiqua" w:hAnsi="Book Antiqua" w:cs="Times New Roman"/>
          <w:sz w:val="24"/>
          <w:szCs w:val="24"/>
        </w:rPr>
        <w:t>,</w:t>
      </w:r>
      <w:r w:rsidR="00013FCC" w:rsidRPr="007B76A0">
        <w:rPr>
          <w:rFonts w:ascii="Book Antiqua" w:hAnsi="Book Antiqua" w:cs="Times New Roman"/>
          <w:sz w:val="24"/>
          <w:szCs w:val="24"/>
        </w:rPr>
        <w:t>7</w:t>
      </w:r>
      <w:r w:rsidRPr="007B76A0">
        <w:rPr>
          <w:rFonts w:ascii="Book Antiqua" w:hAnsi="Book Antiqua" w:cs="Times New Roman"/>
          <w:sz w:val="24"/>
          <w:szCs w:val="24"/>
        </w:rPr>
        <w:t xml:space="preserve">%. </w:t>
      </w:r>
    </w:p>
    <w:p w:rsidR="00F955FD" w:rsidRPr="007B76A0" w:rsidRDefault="00F955FD" w:rsidP="00FE640A">
      <w:pPr>
        <w:spacing w:after="240" w:line="312" w:lineRule="auto"/>
        <w:jc w:val="both"/>
        <w:rPr>
          <w:rFonts w:ascii="Book Antiqua" w:hAnsi="Book Antiqua" w:cs="Times New Roman"/>
          <w:sz w:val="24"/>
          <w:szCs w:val="24"/>
        </w:rPr>
      </w:pPr>
      <w:r w:rsidRPr="007B76A0">
        <w:rPr>
          <w:rFonts w:ascii="Book Antiqua" w:hAnsi="Book Antiqua" w:cs="Times New Roman"/>
          <w:sz w:val="24"/>
          <w:szCs w:val="24"/>
        </w:rPr>
        <w:t>Près de 7 actifs occupés ruraux sur 10</w:t>
      </w:r>
      <w:r w:rsidR="00EE0059">
        <w:rPr>
          <w:rFonts w:ascii="Book Antiqua" w:hAnsi="Book Antiqua" w:cs="Times New Roman"/>
          <w:sz w:val="24"/>
          <w:szCs w:val="24"/>
        </w:rPr>
        <w:t xml:space="preserve"> </w:t>
      </w:r>
      <w:r w:rsidRPr="007B76A0">
        <w:rPr>
          <w:rFonts w:ascii="Book Antiqua" w:hAnsi="Book Antiqua" w:cs="Times New Roman"/>
          <w:sz w:val="24"/>
          <w:szCs w:val="24"/>
        </w:rPr>
        <w:t>(</w:t>
      </w:r>
      <w:r w:rsidR="00D73191" w:rsidRPr="007B76A0">
        <w:rPr>
          <w:rFonts w:ascii="Book Antiqua" w:hAnsi="Book Antiqua" w:cs="Times New Roman"/>
          <w:sz w:val="24"/>
          <w:szCs w:val="24"/>
        </w:rPr>
        <w:t>6</w:t>
      </w:r>
      <w:r w:rsidR="00013FCC" w:rsidRPr="007B76A0">
        <w:rPr>
          <w:rFonts w:ascii="Book Antiqua" w:hAnsi="Book Antiqua" w:cs="Times New Roman"/>
          <w:sz w:val="24"/>
          <w:szCs w:val="24"/>
        </w:rPr>
        <w:t>8</w:t>
      </w:r>
      <w:r w:rsidRPr="007B76A0">
        <w:rPr>
          <w:rFonts w:ascii="Book Antiqua" w:hAnsi="Book Antiqua" w:cs="Times New Roman"/>
          <w:sz w:val="24"/>
          <w:szCs w:val="24"/>
        </w:rPr>
        <w:t>,</w:t>
      </w:r>
      <w:r w:rsidR="00013FCC" w:rsidRPr="007B76A0">
        <w:rPr>
          <w:rFonts w:ascii="Book Antiqua" w:hAnsi="Book Antiqua" w:cs="Times New Roman"/>
          <w:sz w:val="24"/>
          <w:szCs w:val="24"/>
        </w:rPr>
        <w:t>1</w:t>
      </w:r>
      <w:r w:rsidRPr="007B76A0">
        <w:rPr>
          <w:rFonts w:ascii="Book Antiqua" w:hAnsi="Book Antiqua" w:cs="Times New Roman"/>
          <w:sz w:val="24"/>
          <w:szCs w:val="24"/>
        </w:rPr>
        <w:t>%) exercent dans le secteur de l’agriculture, forêt et pêche, et près de deux tiers des actifs occupés citadins (6</w:t>
      </w:r>
      <w:r w:rsidR="00013FCC" w:rsidRPr="007B76A0">
        <w:rPr>
          <w:rFonts w:ascii="Book Antiqua" w:hAnsi="Book Antiqua" w:cs="Times New Roman"/>
          <w:sz w:val="24"/>
          <w:szCs w:val="24"/>
        </w:rPr>
        <w:t>6</w:t>
      </w:r>
      <w:r w:rsidRPr="007B76A0">
        <w:rPr>
          <w:rFonts w:ascii="Book Antiqua" w:hAnsi="Book Antiqua" w:cs="Times New Roman"/>
          <w:sz w:val="24"/>
          <w:szCs w:val="24"/>
        </w:rPr>
        <w:t>,</w:t>
      </w:r>
      <w:r w:rsidR="00013FCC" w:rsidRPr="007B76A0">
        <w:rPr>
          <w:rFonts w:ascii="Book Antiqua" w:hAnsi="Book Antiqua" w:cs="Times New Roman"/>
          <w:sz w:val="24"/>
          <w:szCs w:val="24"/>
        </w:rPr>
        <w:t>5</w:t>
      </w:r>
      <w:r w:rsidRPr="007B76A0">
        <w:rPr>
          <w:rFonts w:ascii="Book Antiqua" w:hAnsi="Book Antiqua" w:cs="Times New Roman"/>
          <w:sz w:val="24"/>
          <w:szCs w:val="24"/>
        </w:rPr>
        <w:t xml:space="preserve">%) travaillent dans le secteur des services. </w:t>
      </w:r>
    </w:p>
    <w:p w:rsidR="007B76A0" w:rsidRDefault="007B76A0">
      <w:pPr>
        <w:spacing w:after="160" w:line="259" w:lineRule="auto"/>
        <w:rPr>
          <w:rFonts w:ascii="Book Antiqua" w:eastAsia="Book Antiqua" w:hAnsi="Book Antiqua" w:cs="Book Antiqua"/>
          <w:b/>
          <w:bCs/>
          <w:i/>
          <w:iCs/>
          <w:color w:val="0070C0"/>
          <w:sz w:val="26"/>
          <w:szCs w:val="26"/>
        </w:rPr>
      </w:pPr>
      <w:r>
        <w:rPr>
          <w:rFonts w:ascii="Book Antiqua" w:eastAsia="Book Antiqua" w:hAnsi="Book Antiqua" w:cs="Book Antiqua"/>
          <w:b/>
          <w:bCs/>
          <w:i/>
          <w:iCs/>
          <w:color w:val="0070C0"/>
          <w:sz w:val="26"/>
          <w:szCs w:val="26"/>
        </w:rPr>
        <w:br w:type="page"/>
      </w:r>
    </w:p>
    <w:p w:rsidR="0033301A" w:rsidRPr="00391C6F" w:rsidRDefault="00DF4F51" w:rsidP="00EA1C33">
      <w:pPr>
        <w:spacing w:after="240" w:line="312" w:lineRule="auto"/>
        <w:jc w:val="both"/>
        <w:rPr>
          <w:rFonts w:ascii="Book Antiqua" w:eastAsia="Book Antiqua" w:hAnsi="Book Antiqua" w:cs="Book Antiqua"/>
          <w:b/>
          <w:bCs/>
          <w:i/>
          <w:iCs/>
          <w:color w:val="0070C0"/>
          <w:sz w:val="26"/>
          <w:szCs w:val="26"/>
        </w:rPr>
      </w:pPr>
      <w:r>
        <w:rPr>
          <w:rFonts w:ascii="Book Antiqua" w:eastAsia="Book Antiqua" w:hAnsi="Book Antiqua" w:cs="Book Antiqua"/>
          <w:b/>
          <w:bCs/>
          <w:i/>
          <w:iCs/>
          <w:color w:val="0070C0"/>
          <w:sz w:val="26"/>
          <w:szCs w:val="26"/>
        </w:rPr>
        <w:lastRenderedPageBreak/>
        <w:t>A</w:t>
      </w:r>
      <w:r w:rsidR="00EE0059">
        <w:rPr>
          <w:rFonts w:ascii="Book Antiqua" w:eastAsia="Book Antiqua" w:hAnsi="Book Antiqua" w:cs="Book Antiqua"/>
          <w:b/>
          <w:bCs/>
          <w:i/>
          <w:iCs/>
          <w:color w:val="0070C0"/>
          <w:sz w:val="26"/>
          <w:szCs w:val="26"/>
        </w:rPr>
        <w:t xml:space="preserve"> </w:t>
      </w:r>
      <w:r>
        <w:rPr>
          <w:rFonts w:ascii="Book Antiqua" w:eastAsia="Book Antiqua" w:hAnsi="Book Antiqua" w:cs="Book Antiqua"/>
          <w:b/>
          <w:bCs/>
          <w:i/>
          <w:iCs/>
          <w:color w:val="0070C0"/>
          <w:sz w:val="26"/>
          <w:szCs w:val="26"/>
        </w:rPr>
        <w:t>l’exception de l’"A</w:t>
      </w:r>
      <w:r w:rsidR="0033301A" w:rsidRPr="00391C6F">
        <w:rPr>
          <w:rFonts w:ascii="Book Antiqua" w:eastAsia="Book Antiqua" w:hAnsi="Book Antiqua" w:cs="Book Antiqua"/>
          <w:b/>
          <w:bCs/>
          <w:i/>
          <w:iCs/>
          <w:color w:val="0070C0"/>
          <w:sz w:val="26"/>
          <w:szCs w:val="26"/>
        </w:rPr>
        <w:t>griculture, forêt et pêche", tous les autres secteurs ont contribu</w:t>
      </w:r>
      <w:r w:rsidR="00750952" w:rsidRPr="00391C6F">
        <w:rPr>
          <w:rFonts w:ascii="Book Antiqua" w:eastAsia="Book Antiqua" w:hAnsi="Book Antiqua" w:cs="Book Antiqua"/>
          <w:b/>
          <w:bCs/>
          <w:i/>
          <w:iCs/>
          <w:color w:val="0070C0"/>
          <w:sz w:val="26"/>
          <w:szCs w:val="26"/>
        </w:rPr>
        <w:t>é</w:t>
      </w:r>
      <w:r w:rsidR="0033301A" w:rsidRPr="00391C6F">
        <w:rPr>
          <w:rFonts w:ascii="Book Antiqua" w:eastAsia="Book Antiqua" w:hAnsi="Book Antiqua" w:cs="Book Antiqua"/>
          <w:b/>
          <w:bCs/>
          <w:i/>
          <w:iCs/>
          <w:color w:val="0070C0"/>
          <w:sz w:val="26"/>
          <w:szCs w:val="26"/>
        </w:rPr>
        <w:t xml:space="preserve"> à la création de l’emploi </w:t>
      </w:r>
    </w:p>
    <w:p w:rsidR="00651D1E" w:rsidRPr="00750952" w:rsidRDefault="004E2812" w:rsidP="009D1FFA">
      <w:pPr>
        <w:spacing w:before="240" w:after="240" w:line="312" w:lineRule="auto"/>
        <w:jc w:val="both"/>
        <w:rPr>
          <w:rFonts w:ascii="Book Antiqua" w:eastAsia="Book Antiqua" w:hAnsi="Book Antiqua" w:cs="Book Antiqua"/>
          <w:sz w:val="24"/>
          <w:szCs w:val="24"/>
        </w:rPr>
      </w:pPr>
      <w:r w:rsidRPr="00750952">
        <w:rPr>
          <w:rFonts w:ascii="Book Antiqua" w:eastAsia="Book Antiqua" w:hAnsi="Book Antiqua" w:cs="Book Antiqua"/>
          <w:sz w:val="24"/>
          <w:szCs w:val="24"/>
        </w:rPr>
        <w:t>Le secteur de l’"</w:t>
      </w:r>
      <w:r w:rsidR="00DF4F51">
        <w:rPr>
          <w:rFonts w:ascii="Book Antiqua" w:eastAsia="Book Antiqua" w:hAnsi="Book Antiqua" w:cs="Book Antiqua"/>
          <w:sz w:val="24"/>
          <w:szCs w:val="24"/>
        </w:rPr>
        <w:t>A</w:t>
      </w:r>
      <w:r w:rsidRPr="00750952">
        <w:rPr>
          <w:rFonts w:ascii="Book Antiqua" w:eastAsia="Book Antiqua" w:hAnsi="Book Antiqua" w:cs="Book Antiqua"/>
          <w:sz w:val="24"/>
          <w:szCs w:val="24"/>
        </w:rPr>
        <w:t>griculture</w:t>
      </w:r>
      <w:r w:rsidR="00C95867" w:rsidRPr="00750952">
        <w:rPr>
          <w:rFonts w:ascii="Book Antiqua" w:eastAsia="Book Antiqua" w:hAnsi="Book Antiqua" w:cs="Book Antiqua"/>
          <w:sz w:val="24"/>
          <w:szCs w:val="24"/>
        </w:rPr>
        <w:t xml:space="preserve">, </w:t>
      </w:r>
      <w:r w:rsidRPr="00750952">
        <w:rPr>
          <w:rFonts w:ascii="Book Antiqua" w:eastAsia="Book Antiqua" w:hAnsi="Book Antiqua" w:cs="Book Antiqua"/>
          <w:sz w:val="24"/>
          <w:szCs w:val="24"/>
        </w:rPr>
        <w:t xml:space="preserve">forêt et pêche" a </w:t>
      </w:r>
      <w:r w:rsidR="007E776C" w:rsidRPr="00750952">
        <w:rPr>
          <w:rFonts w:ascii="Book Antiqua" w:eastAsia="Book Antiqua" w:hAnsi="Book Antiqua" w:cs="Book Antiqua"/>
          <w:sz w:val="24"/>
          <w:szCs w:val="24"/>
        </w:rPr>
        <w:t>perdu</w:t>
      </w:r>
      <w:r w:rsidR="008743C2">
        <w:rPr>
          <w:rFonts w:ascii="Book Antiqua" w:eastAsia="Book Antiqua" w:hAnsi="Book Antiqua" w:cstheme="minorBidi" w:hint="cs"/>
          <w:sz w:val="24"/>
          <w:szCs w:val="24"/>
          <w:rtl/>
          <w:lang w:bidi="tzm-Arab-MA"/>
        </w:rPr>
        <w:t xml:space="preserve"> </w:t>
      </w:r>
      <w:r w:rsidR="007E776C" w:rsidRPr="009D1FFA">
        <w:rPr>
          <w:rFonts w:ascii="Book Antiqua" w:eastAsia="Book Antiqua" w:hAnsi="Book Antiqua" w:cs="Book Antiqua"/>
          <w:sz w:val="24"/>
          <w:szCs w:val="24"/>
        </w:rPr>
        <w:t>2</w:t>
      </w:r>
      <w:r w:rsidR="009D1FFA" w:rsidRPr="009D1FFA">
        <w:rPr>
          <w:rFonts w:ascii="Book Antiqua" w:eastAsia="Book Antiqua" w:hAnsi="Book Antiqua" w:cs="Book Antiqua"/>
          <w:sz w:val="24"/>
          <w:szCs w:val="24"/>
        </w:rPr>
        <w:t>10</w:t>
      </w:r>
      <w:r w:rsidRPr="009D1FFA">
        <w:rPr>
          <w:rFonts w:ascii="Book Antiqua" w:eastAsia="Book Antiqua" w:hAnsi="Book Antiqua" w:cs="Book Antiqua"/>
          <w:sz w:val="24"/>
          <w:szCs w:val="24"/>
        </w:rPr>
        <w:t>.000</w:t>
      </w:r>
      <w:r w:rsidRPr="00750952">
        <w:rPr>
          <w:rFonts w:ascii="Book Antiqua" w:eastAsia="Book Antiqua" w:hAnsi="Book Antiqua" w:cs="Book Antiqua"/>
          <w:sz w:val="24"/>
          <w:szCs w:val="24"/>
        </w:rPr>
        <w:t xml:space="preserve"> postes d'emploi</w:t>
      </w:r>
      <w:r w:rsidR="00EE0059">
        <w:rPr>
          <w:rFonts w:ascii="Book Antiqua" w:eastAsia="Book Antiqua" w:hAnsi="Book Antiqua" w:cs="Book Antiqua"/>
          <w:sz w:val="24"/>
          <w:szCs w:val="24"/>
        </w:rPr>
        <w:t xml:space="preserve"> </w:t>
      </w:r>
      <w:r w:rsidRPr="00750952">
        <w:rPr>
          <w:rFonts w:ascii="Book Antiqua" w:eastAsia="Book Antiqua" w:hAnsi="Book Antiqua" w:cs="Book Antiqua"/>
          <w:sz w:val="24"/>
          <w:szCs w:val="24"/>
        </w:rPr>
        <w:t>au niveau national</w:t>
      </w:r>
      <w:r w:rsidR="00EE0059">
        <w:rPr>
          <w:rFonts w:ascii="Book Antiqua" w:eastAsia="Book Antiqua" w:hAnsi="Book Antiqua" w:cs="Book Antiqua"/>
          <w:sz w:val="24"/>
          <w:szCs w:val="24"/>
        </w:rPr>
        <w:t xml:space="preserve"> </w:t>
      </w:r>
      <w:r w:rsidR="00BF2D25">
        <w:rPr>
          <w:rFonts w:ascii="Book Antiqua" w:eastAsia="Book Antiqua" w:hAnsi="Book Antiqua" w:cs="Book Antiqua"/>
          <w:sz w:val="24"/>
          <w:szCs w:val="24"/>
        </w:rPr>
        <w:t xml:space="preserve">(perte de </w:t>
      </w:r>
      <w:r w:rsidR="00355691" w:rsidRPr="009D1FFA">
        <w:rPr>
          <w:rFonts w:ascii="Book Antiqua" w:eastAsia="Book Antiqua" w:hAnsi="Book Antiqua" w:cs="Book Antiqua"/>
          <w:sz w:val="24"/>
          <w:szCs w:val="24"/>
        </w:rPr>
        <w:t>226.000</w:t>
      </w:r>
      <w:r w:rsidR="00355691" w:rsidRPr="00750952">
        <w:rPr>
          <w:rFonts w:ascii="Book Antiqua" w:eastAsia="Book Antiqua" w:hAnsi="Book Antiqua" w:cs="Book Antiqua"/>
          <w:sz w:val="24"/>
          <w:szCs w:val="24"/>
        </w:rPr>
        <w:t xml:space="preserve"> en milieu rural </w:t>
      </w:r>
      <w:r w:rsidR="00BF2D25">
        <w:rPr>
          <w:rFonts w:ascii="Book Antiqua" w:eastAsia="Book Antiqua" w:hAnsi="Book Antiqua" w:cs="Book Antiqua"/>
          <w:sz w:val="24"/>
          <w:szCs w:val="24"/>
        </w:rPr>
        <w:t xml:space="preserve">et </w:t>
      </w:r>
      <w:r w:rsidR="00355691" w:rsidRPr="00750952">
        <w:rPr>
          <w:rFonts w:ascii="Book Antiqua" w:eastAsia="Book Antiqua" w:hAnsi="Book Antiqua" w:cs="Book Antiqua"/>
          <w:sz w:val="24"/>
          <w:szCs w:val="24"/>
        </w:rPr>
        <w:t xml:space="preserve">création de </w:t>
      </w:r>
      <w:r w:rsidR="00355691" w:rsidRPr="009D1FFA">
        <w:rPr>
          <w:rFonts w:ascii="Book Antiqua" w:eastAsia="Book Antiqua" w:hAnsi="Book Antiqua" w:cs="Book Antiqua"/>
          <w:sz w:val="24"/>
          <w:szCs w:val="24"/>
        </w:rPr>
        <w:t>16</w:t>
      </w:r>
      <w:r w:rsidRPr="009D1FFA">
        <w:rPr>
          <w:rFonts w:ascii="Book Antiqua" w:eastAsia="Book Antiqua" w:hAnsi="Book Antiqua" w:cs="Book Antiqua"/>
          <w:sz w:val="24"/>
          <w:szCs w:val="24"/>
        </w:rPr>
        <w:t>.000</w:t>
      </w:r>
      <w:r w:rsidRPr="00750952">
        <w:rPr>
          <w:rFonts w:ascii="Book Antiqua" w:eastAsia="Book Antiqua" w:hAnsi="Book Antiqua" w:cs="Book Antiqua"/>
          <w:sz w:val="24"/>
          <w:szCs w:val="24"/>
        </w:rPr>
        <w:t xml:space="preserve"> en milieu urbain</w:t>
      </w:r>
      <w:r w:rsidR="00BF2D25">
        <w:rPr>
          <w:rFonts w:ascii="Book Antiqua" w:eastAsia="Book Antiqua" w:hAnsi="Book Antiqua" w:cs="Book Antiqua"/>
          <w:sz w:val="24"/>
          <w:szCs w:val="24"/>
        </w:rPr>
        <w:t xml:space="preserve">), ce qui correspond à une baisse de </w:t>
      </w:r>
      <w:r w:rsidR="00BF2D25" w:rsidRPr="00750952">
        <w:rPr>
          <w:rFonts w:ascii="Book Antiqua" w:eastAsia="Book Antiqua" w:hAnsi="Book Antiqua" w:cs="Book Antiqua"/>
          <w:sz w:val="24"/>
          <w:szCs w:val="24"/>
        </w:rPr>
        <w:t>6%</w:t>
      </w:r>
      <w:r w:rsidR="00BF2D25">
        <w:rPr>
          <w:rFonts w:ascii="Book Antiqua" w:eastAsia="Book Antiqua" w:hAnsi="Book Antiqua" w:cs="Book Antiqua"/>
          <w:sz w:val="24"/>
          <w:szCs w:val="24"/>
        </w:rPr>
        <w:t xml:space="preserve"> de l’emploi du secteur</w:t>
      </w:r>
      <w:r w:rsidRPr="00750952">
        <w:rPr>
          <w:rFonts w:ascii="Book Antiqua" w:eastAsia="Book Antiqua" w:hAnsi="Book Antiqua" w:cs="Book Antiqua"/>
          <w:sz w:val="24"/>
          <w:szCs w:val="24"/>
        </w:rPr>
        <w:t>.</w:t>
      </w:r>
    </w:p>
    <w:p w:rsidR="00D075E4" w:rsidRPr="00750952" w:rsidRDefault="00C24A63" w:rsidP="00355691">
      <w:pPr>
        <w:spacing w:before="240" w:after="240" w:line="312" w:lineRule="auto"/>
        <w:jc w:val="both"/>
        <w:rPr>
          <w:rFonts w:ascii="Book Antiqua" w:eastAsia="Book Antiqua" w:hAnsi="Book Antiqua" w:cs="Book Antiqua"/>
          <w:sz w:val="24"/>
          <w:szCs w:val="24"/>
        </w:rPr>
      </w:pPr>
      <w:r w:rsidRPr="00750952">
        <w:rPr>
          <w:rFonts w:ascii="Book Antiqua" w:eastAsia="Book Antiqua" w:hAnsi="Book Antiqua" w:cs="Book Antiqua"/>
          <w:sz w:val="24"/>
          <w:szCs w:val="24"/>
        </w:rPr>
        <w:t>Le</w:t>
      </w:r>
      <w:r w:rsidR="004E2812" w:rsidRPr="00750952">
        <w:rPr>
          <w:rFonts w:ascii="Book Antiqua" w:eastAsia="Book Antiqua" w:hAnsi="Book Antiqua" w:cs="Book Antiqua"/>
          <w:sz w:val="24"/>
          <w:szCs w:val="24"/>
        </w:rPr>
        <w:t xml:space="preserve"> secteur des "</w:t>
      </w:r>
      <w:r w:rsidR="00DF4F51">
        <w:rPr>
          <w:rFonts w:ascii="Book Antiqua" w:eastAsia="Book Antiqua" w:hAnsi="Book Antiqua" w:cs="Book Antiqua"/>
          <w:sz w:val="24"/>
          <w:szCs w:val="24"/>
        </w:rPr>
        <w:t>S</w:t>
      </w:r>
      <w:r w:rsidR="004E2812" w:rsidRPr="00750952">
        <w:rPr>
          <w:rFonts w:ascii="Book Antiqua" w:eastAsia="Book Antiqua" w:hAnsi="Book Antiqua" w:cs="Book Antiqua"/>
          <w:sz w:val="24"/>
          <w:szCs w:val="24"/>
        </w:rPr>
        <w:t>ervices"</w:t>
      </w:r>
      <w:r w:rsidR="00500151" w:rsidRPr="00750952">
        <w:rPr>
          <w:rFonts w:ascii="Book Antiqua" w:eastAsia="Book Antiqua" w:hAnsi="Book Antiqua" w:cs="Book Antiqua"/>
          <w:sz w:val="24"/>
          <w:szCs w:val="24"/>
        </w:rPr>
        <w:t xml:space="preserve">, </w:t>
      </w:r>
      <w:r w:rsidR="004E2812" w:rsidRPr="00750952">
        <w:rPr>
          <w:rFonts w:ascii="Book Antiqua" w:eastAsia="Book Antiqua" w:hAnsi="Book Antiqua" w:cs="Book Antiqua"/>
          <w:sz w:val="24"/>
          <w:szCs w:val="24"/>
        </w:rPr>
        <w:t>quant à lui</w:t>
      </w:r>
      <w:r w:rsidR="00500151" w:rsidRPr="00750952">
        <w:rPr>
          <w:rFonts w:ascii="Book Antiqua" w:eastAsia="Book Antiqua" w:hAnsi="Book Antiqua" w:cs="Book Antiqua"/>
          <w:sz w:val="24"/>
          <w:szCs w:val="24"/>
        </w:rPr>
        <w:t>,</w:t>
      </w:r>
      <w:r w:rsidR="004E2812" w:rsidRPr="00750952">
        <w:rPr>
          <w:rFonts w:ascii="Book Antiqua" w:eastAsia="Book Antiqua" w:hAnsi="Book Antiqua" w:cs="Book Antiqua"/>
          <w:sz w:val="24"/>
          <w:szCs w:val="24"/>
        </w:rPr>
        <w:t xml:space="preserve"> a</w:t>
      </w:r>
      <w:r w:rsidR="00EE0059">
        <w:rPr>
          <w:rFonts w:ascii="Book Antiqua" w:eastAsia="Book Antiqua" w:hAnsi="Book Antiqua" w:cs="Book Antiqua"/>
          <w:sz w:val="24"/>
          <w:szCs w:val="24"/>
        </w:rPr>
        <w:t xml:space="preserve"> </w:t>
      </w:r>
      <w:r w:rsidR="009107AD" w:rsidRPr="00750952">
        <w:rPr>
          <w:rFonts w:ascii="Book Antiqua" w:eastAsia="Book Antiqua" w:hAnsi="Book Antiqua" w:cs="Book Antiqua"/>
          <w:sz w:val="24"/>
          <w:szCs w:val="24"/>
        </w:rPr>
        <w:t>créé</w:t>
      </w:r>
      <w:r w:rsidR="00355691" w:rsidRPr="00750952">
        <w:rPr>
          <w:rFonts w:ascii="Book Antiqua" w:eastAsia="Book Antiqua" w:hAnsi="Book Antiqua" w:cs="Book Antiqua"/>
          <w:sz w:val="24"/>
          <w:szCs w:val="24"/>
        </w:rPr>
        <w:t xml:space="preserve"> 237</w:t>
      </w:r>
      <w:r w:rsidR="004E2812" w:rsidRPr="00750952">
        <w:rPr>
          <w:rFonts w:ascii="Book Antiqua" w:eastAsia="Book Antiqua" w:hAnsi="Book Antiqua" w:cs="Book Antiqua"/>
          <w:sz w:val="24"/>
          <w:szCs w:val="24"/>
        </w:rPr>
        <w:t>.000 postes</w:t>
      </w:r>
      <w:r w:rsidR="00355691" w:rsidRPr="00750952">
        <w:rPr>
          <w:rFonts w:ascii="Book Antiqua" w:eastAsia="Book Antiqua" w:hAnsi="Book Antiqua" w:cs="Book Antiqua"/>
          <w:sz w:val="24"/>
          <w:szCs w:val="24"/>
        </w:rPr>
        <w:t xml:space="preserve"> d’emploi au niveau national (184.000 en milieu urbain et 53</w:t>
      </w:r>
      <w:r w:rsidR="004E2812" w:rsidRPr="00750952">
        <w:rPr>
          <w:rFonts w:ascii="Book Antiqua" w:eastAsia="Book Antiqua" w:hAnsi="Book Antiqua" w:cs="Book Antiqua"/>
          <w:sz w:val="24"/>
          <w:szCs w:val="24"/>
        </w:rPr>
        <w:t>.000 en milieu rura</w:t>
      </w:r>
      <w:r w:rsidR="00355691" w:rsidRPr="00750952">
        <w:rPr>
          <w:rFonts w:ascii="Book Antiqua" w:eastAsia="Book Antiqua" w:hAnsi="Book Antiqua" w:cs="Book Antiqua"/>
          <w:sz w:val="24"/>
          <w:szCs w:val="24"/>
        </w:rPr>
        <w:t>l), enregistrant une hausse de 5</w:t>
      </w:r>
      <w:r w:rsidR="004E2812" w:rsidRPr="00750952">
        <w:rPr>
          <w:rFonts w:ascii="Book Antiqua" w:eastAsia="Book Antiqua" w:hAnsi="Book Antiqua" w:cs="Book Antiqua"/>
          <w:sz w:val="24"/>
          <w:szCs w:val="24"/>
        </w:rPr>
        <w:t>% de l’emploi dans ce secteur.</w:t>
      </w:r>
    </w:p>
    <w:p w:rsidR="00D075E4" w:rsidRPr="00750952" w:rsidRDefault="004E2812" w:rsidP="00355691">
      <w:pPr>
        <w:spacing w:line="240" w:lineRule="auto"/>
        <w:jc w:val="both"/>
        <w:rPr>
          <w:rFonts w:ascii="Times New Roman" w:eastAsiaTheme="minorHAnsi" w:hAnsi="Times New Roman" w:cs="Times New Roman"/>
          <w:sz w:val="24"/>
          <w:szCs w:val="24"/>
        </w:rPr>
      </w:pPr>
      <w:r w:rsidRPr="00750952">
        <w:rPr>
          <w:rFonts w:ascii="Book Antiqua" w:eastAsia="Book Antiqua" w:hAnsi="Book Antiqua" w:cs="Book Antiqua"/>
          <w:sz w:val="24"/>
          <w:szCs w:val="24"/>
        </w:rPr>
        <w:t>Le secteur de</w:t>
      </w:r>
      <w:r w:rsidR="00EE0059">
        <w:rPr>
          <w:rFonts w:ascii="Book Antiqua" w:eastAsia="Book Antiqua" w:hAnsi="Book Antiqua" w:cs="Book Antiqua"/>
          <w:sz w:val="24"/>
          <w:szCs w:val="24"/>
        </w:rPr>
        <w:t xml:space="preserve"> </w:t>
      </w:r>
      <w:r w:rsidRPr="00750952">
        <w:rPr>
          <w:rFonts w:ascii="Book Antiqua" w:eastAsia="Book Antiqua" w:hAnsi="Book Antiqua" w:cs="Book Antiqua"/>
          <w:sz w:val="24"/>
          <w:szCs w:val="24"/>
        </w:rPr>
        <w:t>l’"</w:t>
      </w:r>
      <w:r w:rsidR="00C95867" w:rsidRPr="00750952">
        <w:rPr>
          <w:rFonts w:ascii="Book Antiqua" w:eastAsia="Book Antiqua" w:hAnsi="Book Antiqua" w:cs="Book Antiqua"/>
          <w:sz w:val="24"/>
          <w:szCs w:val="24"/>
        </w:rPr>
        <w:t>I</w:t>
      </w:r>
      <w:r w:rsidRPr="00750952">
        <w:rPr>
          <w:rFonts w:ascii="Book Antiqua" w:eastAsia="Book Antiqua" w:hAnsi="Book Antiqua" w:cs="Book Antiqua"/>
          <w:sz w:val="24"/>
          <w:szCs w:val="24"/>
        </w:rPr>
        <w:t>ndustrie</w:t>
      </w:r>
      <w:r w:rsidR="00355691" w:rsidRPr="00750952">
        <w:rPr>
          <w:rFonts w:ascii="Book Antiqua" w:eastAsia="Book Antiqua" w:hAnsi="Book Antiqua" w:cs="Book Antiqua"/>
          <w:sz w:val="24"/>
          <w:szCs w:val="24"/>
        </w:rPr>
        <w:t>"</w:t>
      </w:r>
      <w:r w:rsidR="005F50C4" w:rsidRPr="00750952">
        <w:rPr>
          <w:rFonts w:ascii="Book Antiqua" w:eastAsia="Book Antiqua" w:hAnsi="Book Antiqua" w:cs="Book Antiqua"/>
          <w:sz w:val="24"/>
          <w:szCs w:val="24"/>
        </w:rPr>
        <w:t>, a</w:t>
      </w:r>
      <w:r w:rsidR="00EE0059">
        <w:rPr>
          <w:rFonts w:ascii="Book Antiqua" w:eastAsia="Book Antiqua" w:hAnsi="Book Antiqua" w:cs="Book Antiqua"/>
          <w:sz w:val="24"/>
          <w:szCs w:val="24"/>
        </w:rPr>
        <w:t xml:space="preserve"> </w:t>
      </w:r>
      <w:r w:rsidR="00355691" w:rsidRPr="00750952">
        <w:rPr>
          <w:rFonts w:ascii="Book Antiqua" w:eastAsia="Book Antiqua" w:hAnsi="Book Antiqua" w:cs="Book Antiqua"/>
          <w:sz w:val="24"/>
          <w:szCs w:val="24"/>
        </w:rPr>
        <w:t>créé 76.000 postes, 69</w:t>
      </w:r>
      <w:r w:rsidRPr="00750952">
        <w:rPr>
          <w:rFonts w:ascii="Book Antiqua" w:eastAsia="Book Antiqua" w:hAnsi="Book Antiqua" w:cs="Book Antiqua"/>
          <w:sz w:val="24"/>
          <w:szCs w:val="24"/>
        </w:rPr>
        <w:t>.000 en milieu urbain et 7.000 en milieu rural</w:t>
      </w:r>
      <w:r w:rsidR="00651D1E" w:rsidRPr="00750952">
        <w:rPr>
          <w:rFonts w:ascii="Book Antiqua" w:eastAsia="Book Antiqua" w:hAnsi="Book Antiqua" w:cs="Book Antiqua"/>
          <w:sz w:val="24"/>
          <w:szCs w:val="24"/>
        </w:rPr>
        <w:t>.</w:t>
      </w:r>
    </w:p>
    <w:p w:rsidR="004E2812" w:rsidRDefault="004E2812" w:rsidP="004E2812">
      <w:pPr>
        <w:spacing w:before="240" w:after="240" w:line="312" w:lineRule="auto"/>
        <w:jc w:val="both"/>
        <w:rPr>
          <w:rFonts w:ascii="Book Antiqua" w:eastAsia="Book Antiqua" w:hAnsi="Book Antiqua" w:cs="Book Antiqua"/>
          <w:b/>
          <w:color w:val="000000" w:themeColor="text1"/>
          <w:sz w:val="20"/>
          <w:szCs w:val="20"/>
        </w:rPr>
      </w:pPr>
      <w:r w:rsidRPr="00750952">
        <w:rPr>
          <w:rFonts w:ascii="Book Antiqua" w:eastAsia="Book Antiqua" w:hAnsi="Book Antiqua" w:cs="Book Antiqua"/>
          <w:sz w:val="24"/>
          <w:szCs w:val="24"/>
        </w:rPr>
        <w:t xml:space="preserve">Le secteur des BTP a </w:t>
      </w:r>
      <w:r w:rsidR="009107AD" w:rsidRPr="00750952">
        <w:rPr>
          <w:rFonts w:ascii="Book Antiqua" w:eastAsia="Book Antiqua" w:hAnsi="Book Antiqua" w:cs="Book Antiqua"/>
          <w:sz w:val="24"/>
          <w:szCs w:val="24"/>
        </w:rPr>
        <w:t>créé</w:t>
      </w:r>
      <w:r w:rsidR="00355691" w:rsidRPr="00750952">
        <w:rPr>
          <w:rFonts w:ascii="Book Antiqua" w:eastAsia="Book Antiqua" w:hAnsi="Book Antiqua" w:cs="Book Antiqua"/>
          <w:sz w:val="24"/>
          <w:szCs w:val="24"/>
        </w:rPr>
        <w:t xml:space="preserve"> 30.000 postes d’emploi, 16</w:t>
      </w:r>
      <w:r w:rsidRPr="00750952">
        <w:rPr>
          <w:rFonts w:ascii="Book Antiqua" w:eastAsia="Book Antiqua" w:hAnsi="Book Antiqua" w:cs="Book Antiqua"/>
          <w:sz w:val="24"/>
          <w:szCs w:val="24"/>
        </w:rPr>
        <w:t>.0</w:t>
      </w:r>
      <w:r w:rsidR="00355691" w:rsidRPr="00750952">
        <w:rPr>
          <w:rFonts w:ascii="Book Antiqua" w:eastAsia="Book Antiqua" w:hAnsi="Book Antiqua" w:cs="Book Antiqua"/>
          <w:sz w:val="24"/>
          <w:szCs w:val="24"/>
        </w:rPr>
        <w:t>00 postes en milieu urbain et 14</w:t>
      </w:r>
      <w:r w:rsidRPr="00750952">
        <w:rPr>
          <w:rFonts w:ascii="Book Antiqua" w:eastAsia="Book Antiqua" w:hAnsi="Book Antiqua" w:cs="Book Antiqua"/>
          <w:sz w:val="24"/>
          <w:szCs w:val="24"/>
        </w:rPr>
        <w:t>.000 en milieu rural.</w:t>
      </w:r>
    </w:p>
    <w:p w:rsidR="004F641F" w:rsidRDefault="004E2812" w:rsidP="00970A5E">
      <w:pPr>
        <w:rPr>
          <w:noProof/>
        </w:rPr>
      </w:pPr>
      <w:r>
        <w:rPr>
          <w:rFonts w:ascii="Book Antiqua" w:eastAsia="Book Antiqua" w:hAnsi="Book Antiqua" w:cs="Book Antiqua"/>
          <w:b/>
          <w:color w:val="000000" w:themeColor="text1"/>
          <w:sz w:val="20"/>
          <w:szCs w:val="20"/>
        </w:rPr>
        <w:t xml:space="preserve">Graphique </w:t>
      </w:r>
      <w:r w:rsidR="00C24A63">
        <w:rPr>
          <w:rFonts w:ascii="Book Antiqua" w:eastAsia="Book Antiqua" w:hAnsi="Book Antiqua" w:cs="Book Antiqua"/>
          <w:b/>
          <w:color w:val="000000" w:themeColor="text1"/>
          <w:sz w:val="20"/>
          <w:szCs w:val="20"/>
        </w:rPr>
        <w:t>4</w:t>
      </w:r>
      <w:r>
        <w:rPr>
          <w:rFonts w:ascii="Book Antiqua" w:eastAsia="Book Antiqua" w:hAnsi="Book Antiqua" w:cs="Book Antiqua"/>
          <w:b/>
          <w:color w:val="000000" w:themeColor="text1"/>
          <w:sz w:val="20"/>
          <w:szCs w:val="20"/>
        </w:rPr>
        <w:t> : Variation</w:t>
      </w:r>
      <w:r w:rsidR="00EE0059">
        <w:rPr>
          <w:rFonts w:ascii="Book Antiqua" w:eastAsia="Book Antiqua" w:hAnsi="Book Antiqua" w:cs="Book Antiqua"/>
          <w:b/>
          <w:color w:val="000000" w:themeColor="text1"/>
          <w:sz w:val="20"/>
          <w:szCs w:val="20"/>
        </w:rPr>
        <w:t xml:space="preserve"> </w:t>
      </w:r>
      <w:r>
        <w:rPr>
          <w:rFonts w:ascii="Book Antiqua" w:eastAsia="Book Antiqua" w:hAnsi="Book Antiqua" w:cs="Book Antiqua"/>
          <w:b/>
          <w:color w:val="000000" w:themeColor="text1"/>
          <w:sz w:val="20"/>
          <w:szCs w:val="20"/>
        </w:rPr>
        <w:t xml:space="preserve"> nette</w:t>
      </w:r>
      <w:r w:rsidR="00EE0059">
        <w:rPr>
          <w:rFonts w:ascii="Book Antiqua" w:eastAsia="Book Antiqua" w:hAnsi="Book Antiqua" w:cs="Book Antiqua"/>
          <w:b/>
          <w:color w:val="000000" w:themeColor="text1"/>
          <w:sz w:val="20"/>
          <w:szCs w:val="20"/>
        </w:rPr>
        <w:t xml:space="preserve"> </w:t>
      </w:r>
      <w:r>
        <w:rPr>
          <w:rFonts w:ascii="Book Antiqua" w:eastAsia="Book Antiqua" w:hAnsi="Book Antiqua" w:cs="Book Antiqua"/>
          <w:b/>
          <w:color w:val="000000" w:themeColor="text1"/>
          <w:sz w:val="20"/>
          <w:szCs w:val="20"/>
        </w:rPr>
        <w:t xml:space="preserve">du volume de l’emploi entre </w:t>
      </w:r>
      <w:r w:rsidR="007E776C">
        <w:rPr>
          <w:rFonts w:ascii="Book Antiqua" w:eastAsia="Book Antiqua" w:hAnsi="Book Antiqua" w:cs="Book Antiqua"/>
          <w:b/>
          <w:color w:val="000000" w:themeColor="text1"/>
          <w:sz w:val="20"/>
          <w:szCs w:val="20"/>
        </w:rPr>
        <w:t>le</w:t>
      </w:r>
      <w:r w:rsidR="00CD6C99">
        <w:rPr>
          <w:rFonts w:ascii="Book Antiqua" w:eastAsia="Book Antiqua" w:hAnsi="Book Antiqua" w:cs="Book Antiqua"/>
          <w:b/>
          <w:color w:val="000000" w:themeColor="text1"/>
          <w:sz w:val="20"/>
          <w:szCs w:val="20"/>
        </w:rPr>
        <w:t xml:space="preserve">s </w:t>
      </w:r>
      <w:r w:rsidR="002C3C06">
        <w:rPr>
          <w:rFonts w:ascii="Book Antiqua" w:eastAsia="Book Antiqua" w:hAnsi="Book Antiqua" w:cs="Book Antiqua"/>
          <w:b/>
          <w:color w:val="000000" w:themeColor="text1"/>
          <w:sz w:val="20"/>
          <w:szCs w:val="20"/>
        </w:rPr>
        <w:t>deuxièmes trimestres de</w:t>
      </w:r>
      <w:r w:rsidR="007E776C">
        <w:rPr>
          <w:rFonts w:ascii="Book Antiqua" w:eastAsia="Book Antiqua" w:hAnsi="Book Antiqua" w:cs="Book Antiqua"/>
          <w:b/>
          <w:color w:val="000000" w:themeColor="text1"/>
          <w:sz w:val="20"/>
          <w:szCs w:val="20"/>
        </w:rPr>
        <w:t xml:space="preserve"> 2021de 2022</w:t>
      </w:r>
      <w:r>
        <w:rPr>
          <w:rFonts w:ascii="Book Antiqua" w:eastAsia="Book Antiqua" w:hAnsi="Book Antiqua" w:cs="Book Antiqua"/>
          <w:b/>
          <w:color w:val="000000" w:themeColor="text1"/>
          <w:sz w:val="20"/>
          <w:szCs w:val="20"/>
        </w:rPr>
        <w:t xml:space="preserve"> par secteur d’activité économique et milieu de résidence</w:t>
      </w:r>
      <w:r w:rsidR="009D1FFA">
        <w:rPr>
          <w:rFonts w:ascii="Book Antiqua" w:eastAsia="Book Antiqua" w:hAnsi="Book Antiqua" w:cs="Book Antiqua"/>
          <w:b/>
          <w:color w:val="000000" w:themeColor="text1"/>
          <w:sz w:val="20"/>
          <w:szCs w:val="20"/>
        </w:rPr>
        <w:t xml:space="preserve"> (en milliers).</w:t>
      </w:r>
      <w:r w:rsidR="007E776C" w:rsidRPr="007E776C">
        <w:rPr>
          <w:rFonts w:ascii="Book Antiqua" w:eastAsia="Book Antiqua" w:hAnsi="Book Antiqua" w:cs="Book Antiqua"/>
          <w:b/>
          <w:noProof/>
          <w:color w:val="000000" w:themeColor="text1"/>
          <w:sz w:val="20"/>
          <w:szCs w:val="20"/>
        </w:rPr>
        <w:drawing>
          <wp:inline distT="0" distB="0" distL="0" distR="0">
            <wp:extent cx="5486400" cy="2743200"/>
            <wp:effectExtent l="0" t="0" r="0" b="0"/>
            <wp:docPr id="8"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0530A" w:rsidRPr="0090530A" w:rsidRDefault="0090530A" w:rsidP="006F619D">
      <w:pPr>
        <w:spacing w:before="100" w:beforeAutospacing="1" w:after="100" w:afterAutospacing="1" w:line="312" w:lineRule="auto"/>
        <w:jc w:val="both"/>
        <w:rPr>
          <w:rFonts w:ascii="Book Antiqua" w:hAnsi="Book Antiqua" w:cstheme="majorHAnsi"/>
          <w:b/>
          <w:bCs/>
          <w:color w:val="1F3864" w:themeColor="accent1" w:themeShade="80"/>
          <w:spacing w:val="-10"/>
          <w:kern w:val="28"/>
          <w:sz w:val="28"/>
          <w:szCs w:val="28"/>
        </w:rPr>
      </w:pPr>
      <w:r w:rsidRPr="0090530A">
        <w:rPr>
          <w:rFonts w:ascii="Book Antiqua" w:hAnsi="Book Antiqua" w:cstheme="majorHAnsi"/>
          <w:b/>
          <w:bCs/>
          <w:color w:val="1F3864" w:themeColor="accent1" w:themeShade="80"/>
          <w:spacing w:val="-10"/>
          <w:kern w:val="28"/>
          <w:sz w:val="28"/>
          <w:szCs w:val="28"/>
        </w:rPr>
        <w:t>II. Chômage et sous-emploi</w:t>
      </w:r>
    </w:p>
    <w:p w:rsidR="001A3DDE" w:rsidRPr="00BF2D25" w:rsidRDefault="00750952" w:rsidP="007745DE">
      <w:pPr>
        <w:spacing w:before="240" w:after="240" w:line="312" w:lineRule="auto"/>
        <w:jc w:val="both"/>
        <w:rPr>
          <w:rFonts w:ascii="Book Antiqua" w:eastAsia="Book Antiqua" w:hAnsi="Book Antiqua" w:cs="Book Antiqua"/>
          <w:b/>
          <w:bCs/>
          <w:i/>
          <w:iCs/>
          <w:color w:val="0070C0"/>
          <w:sz w:val="26"/>
          <w:szCs w:val="26"/>
        </w:rPr>
      </w:pPr>
      <w:r w:rsidRPr="00BF2D25">
        <w:rPr>
          <w:rFonts w:ascii="Book Antiqua" w:eastAsia="Book Antiqua" w:hAnsi="Book Antiqua" w:cs="Book Antiqua"/>
          <w:b/>
          <w:bCs/>
          <w:i/>
          <w:iCs/>
          <w:color w:val="0070C0"/>
          <w:sz w:val="26"/>
          <w:szCs w:val="26"/>
        </w:rPr>
        <w:t>Baisse</w:t>
      </w:r>
      <w:r w:rsidR="0023300C" w:rsidRPr="00BF2D25">
        <w:rPr>
          <w:rFonts w:ascii="Book Antiqua" w:eastAsia="Book Antiqua" w:hAnsi="Book Antiqua" w:cs="Book Antiqua"/>
          <w:b/>
          <w:bCs/>
          <w:i/>
          <w:iCs/>
          <w:color w:val="0070C0"/>
          <w:sz w:val="26"/>
          <w:szCs w:val="26"/>
        </w:rPr>
        <w:t xml:space="preserve"> du chômage</w:t>
      </w:r>
      <w:r w:rsidRPr="00BF2D25">
        <w:rPr>
          <w:rFonts w:ascii="Book Antiqua" w:eastAsia="Book Antiqua" w:hAnsi="Book Antiqua" w:cs="Book Antiqua"/>
          <w:b/>
          <w:bCs/>
          <w:i/>
          <w:iCs/>
          <w:color w:val="0070C0"/>
          <w:sz w:val="26"/>
          <w:szCs w:val="26"/>
        </w:rPr>
        <w:t>, principalement en milieu urbain</w:t>
      </w:r>
    </w:p>
    <w:p w:rsidR="004E2812" w:rsidRDefault="004E2812" w:rsidP="00F7482C">
      <w:pPr>
        <w:spacing w:before="240" w:after="240" w:line="312" w:lineRule="auto"/>
        <w:jc w:val="both"/>
        <w:rPr>
          <w:rFonts w:ascii="Book Antiqua" w:hAnsi="Book Antiqua" w:cs="Times New Roman"/>
          <w:sz w:val="24"/>
          <w:szCs w:val="24"/>
        </w:rPr>
      </w:pPr>
      <w:r w:rsidRPr="00750952">
        <w:rPr>
          <w:rFonts w:ascii="Book Antiqua" w:hAnsi="Book Antiqua" w:cs="Times New Roman"/>
          <w:sz w:val="24"/>
          <w:szCs w:val="24"/>
        </w:rPr>
        <w:t xml:space="preserve">Entre </w:t>
      </w:r>
      <w:r w:rsidR="007F3BC4" w:rsidRPr="00750952">
        <w:rPr>
          <w:rFonts w:ascii="Book Antiqua" w:hAnsi="Book Antiqua" w:cs="Times New Roman"/>
          <w:sz w:val="24"/>
          <w:szCs w:val="24"/>
        </w:rPr>
        <w:t>le deuxième trimestre de 2021</w:t>
      </w:r>
      <w:r w:rsidRPr="00750952">
        <w:rPr>
          <w:rFonts w:ascii="Book Antiqua" w:hAnsi="Book Antiqua" w:cs="Times New Roman"/>
          <w:sz w:val="24"/>
          <w:szCs w:val="24"/>
        </w:rPr>
        <w:t xml:space="preserve"> et </w:t>
      </w:r>
      <w:r w:rsidR="007F3BC4" w:rsidRPr="00750952">
        <w:rPr>
          <w:rFonts w:ascii="Book Antiqua" w:hAnsi="Book Antiqua" w:cs="Times New Roman"/>
          <w:sz w:val="24"/>
          <w:szCs w:val="24"/>
        </w:rPr>
        <w:t>celui de 2022</w:t>
      </w:r>
      <w:r w:rsidRPr="00750952">
        <w:rPr>
          <w:rFonts w:ascii="Book Antiqua" w:hAnsi="Book Antiqua" w:cs="Times New Roman"/>
          <w:sz w:val="24"/>
          <w:szCs w:val="24"/>
        </w:rPr>
        <w:t>, le nombre de</w:t>
      </w:r>
      <w:r w:rsidR="00F7482C">
        <w:rPr>
          <w:rFonts w:ascii="Book Antiqua" w:hAnsi="Book Antiqua" w:cs="Times New Roman" w:hint="cs"/>
          <w:sz w:val="24"/>
          <w:szCs w:val="24"/>
          <w:rtl/>
          <w:lang w:bidi="tzm-Arab-MA"/>
        </w:rPr>
        <w:t xml:space="preserve"> </w:t>
      </w:r>
      <w:r w:rsidRPr="00750952">
        <w:rPr>
          <w:rFonts w:ascii="Book Antiqua" w:hAnsi="Book Antiqua" w:cs="Times New Roman"/>
          <w:sz w:val="24"/>
          <w:szCs w:val="24"/>
        </w:rPr>
        <w:t xml:space="preserve">chômeurs a </w:t>
      </w:r>
      <w:r w:rsidR="007F3BC4" w:rsidRPr="00750952">
        <w:rPr>
          <w:rFonts w:ascii="Book Antiqua" w:hAnsi="Book Antiqua" w:cs="Times New Roman"/>
          <w:sz w:val="24"/>
          <w:szCs w:val="24"/>
        </w:rPr>
        <w:t>baissé</w:t>
      </w:r>
      <w:r w:rsidRPr="00750952">
        <w:rPr>
          <w:rFonts w:ascii="Book Antiqua" w:hAnsi="Book Antiqua" w:cs="Times New Roman"/>
          <w:sz w:val="24"/>
          <w:szCs w:val="24"/>
        </w:rPr>
        <w:t xml:space="preserve"> de </w:t>
      </w:r>
      <w:r w:rsidR="00F010C4" w:rsidRPr="00750952">
        <w:rPr>
          <w:rFonts w:ascii="Book Antiqua" w:hAnsi="Book Antiqua" w:cs="Times New Roman"/>
          <w:sz w:val="24"/>
          <w:szCs w:val="24"/>
        </w:rPr>
        <w:t>21</w:t>
      </w:r>
      <w:r w:rsidR="004F641F">
        <w:rPr>
          <w:rFonts w:ascii="Book Antiqua" w:hAnsi="Book Antiqua" w:cs="Times New Roman"/>
          <w:sz w:val="24"/>
          <w:szCs w:val="24"/>
        </w:rPr>
        <w:t>8</w:t>
      </w:r>
      <w:r w:rsidRPr="00750952">
        <w:rPr>
          <w:rFonts w:ascii="Book Antiqua" w:hAnsi="Book Antiqua" w:cs="Times New Roman"/>
          <w:sz w:val="24"/>
          <w:szCs w:val="24"/>
        </w:rPr>
        <w:t>.00</w:t>
      </w:r>
      <w:r w:rsidR="007F3BC4" w:rsidRPr="00750952">
        <w:rPr>
          <w:rFonts w:ascii="Book Antiqua" w:hAnsi="Book Antiqua" w:cs="Times New Roman"/>
          <w:sz w:val="24"/>
          <w:szCs w:val="24"/>
        </w:rPr>
        <w:t>0 personnes, passant de 1.605</w:t>
      </w:r>
      <w:r w:rsidRPr="00750952">
        <w:rPr>
          <w:rFonts w:ascii="Book Antiqua" w:hAnsi="Book Antiqua" w:cs="Times New Roman"/>
          <w:sz w:val="24"/>
          <w:szCs w:val="24"/>
        </w:rPr>
        <w:t>.000 à 1.</w:t>
      </w:r>
      <w:r w:rsidR="007F3BC4" w:rsidRPr="00750952">
        <w:rPr>
          <w:rFonts w:ascii="Book Antiqua" w:hAnsi="Book Antiqua" w:cs="Times New Roman"/>
          <w:sz w:val="24"/>
          <w:szCs w:val="24"/>
        </w:rPr>
        <w:t>387</w:t>
      </w:r>
      <w:r w:rsidRPr="00750952">
        <w:rPr>
          <w:rFonts w:ascii="Book Antiqua" w:hAnsi="Book Antiqua" w:cs="Times New Roman"/>
          <w:sz w:val="24"/>
          <w:szCs w:val="24"/>
        </w:rPr>
        <w:t xml:space="preserve">.000 chômeurs, ce qui correspond à une </w:t>
      </w:r>
      <w:r w:rsidR="007F3BC4" w:rsidRPr="00750952">
        <w:rPr>
          <w:rFonts w:ascii="Book Antiqua" w:hAnsi="Book Antiqua" w:cs="Times New Roman"/>
          <w:sz w:val="24"/>
          <w:szCs w:val="24"/>
        </w:rPr>
        <w:t>baissé</w:t>
      </w:r>
      <w:r w:rsidRPr="00750952">
        <w:rPr>
          <w:rFonts w:ascii="Book Antiqua" w:hAnsi="Book Antiqua" w:cs="Times New Roman"/>
          <w:sz w:val="24"/>
          <w:szCs w:val="24"/>
        </w:rPr>
        <w:t xml:space="preserve"> de </w:t>
      </w:r>
      <w:r w:rsidR="00F010C4" w:rsidRPr="00750952">
        <w:rPr>
          <w:rFonts w:ascii="Book Antiqua" w:hAnsi="Book Antiqua" w:cs="Times New Roman"/>
          <w:sz w:val="24"/>
          <w:szCs w:val="24"/>
        </w:rPr>
        <w:t>14</w:t>
      </w:r>
      <w:r w:rsidRPr="00750952">
        <w:rPr>
          <w:rFonts w:ascii="Book Antiqua" w:hAnsi="Book Antiqua" w:cs="Times New Roman"/>
          <w:sz w:val="24"/>
          <w:szCs w:val="24"/>
        </w:rPr>
        <w:t>%</w:t>
      </w:r>
      <w:r w:rsidR="002C3C06">
        <w:rPr>
          <w:rFonts w:ascii="Book Antiqua" w:hAnsi="Book Antiqua" w:cs="Times New Roman"/>
          <w:sz w:val="24"/>
          <w:szCs w:val="24"/>
        </w:rPr>
        <w:t>,</w:t>
      </w:r>
      <w:r w:rsidR="00EE0059">
        <w:rPr>
          <w:rFonts w:ascii="Book Antiqua" w:hAnsi="Book Antiqua" w:cs="Times New Roman"/>
          <w:sz w:val="24"/>
          <w:szCs w:val="24"/>
        </w:rPr>
        <w:t xml:space="preserve"> </w:t>
      </w:r>
      <w:r w:rsidR="002C3C06">
        <w:rPr>
          <w:rFonts w:ascii="Book Antiqua" w:hAnsi="Book Antiqua" w:cs="Times New Roman"/>
          <w:sz w:val="24"/>
          <w:szCs w:val="24"/>
        </w:rPr>
        <w:t>résultant</w:t>
      </w:r>
      <w:r w:rsidR="002C3C06" w:rsidRPr="00750952">
        <w:rPr>
          <w:rFonts w:ascii="Book Antiqua" w:hAnsi="Book Antiqua" w:cs="Times New Roman"/>
          <w:sz w:val="24"/>
          <w:szCs w:val="24"/>
        </w:rPr>
        <w:t xml:space="preserve"> d’une </w:t>
      </w:r>
      <w:r w:rsidR="002C3C06">
        <w:rPr>
          <w:rFonts w:ascii="Book Antiqua" w:hAnsi="Book Antiqua" w:cs="Times New Roman"/>
          <w:sz w:val="24"/>
          <w:szCs w:val="24"/>
        </w:rPr>
        <w:t xml:space="preserve">diminution </w:t>
      </w:r>
      <w:r w:rsidR="002C3C06" w:rsidRPr="00750952">
        <w:rPr>
          <w:rFonts w:ascii="Book Antiqua" w:hAnsi="Book Antiqua" w:cs="Times New Roman"/>
          <w:sz w:val="24"/>
          <w:szCs w:val="24"/>
        </w:rPr>
        <w:t>de 182.000 chômeurs en milieu urbain et de 36.000 en milieu rural</w:t>
      </w:r>
      <w:r w:rsidR="002C3C06">
        <w:rPr>
          <w:rFonts w:ascii="Book Antiqua" w:hAnsi="Book Antiqua" w:cs="Times New Roman"/>
          <w:sz w:val="24"/>
          <w:szCs w:val="24"/>
        </w:rPr>
        <w:t>.</w:t>
      </w:r>
    </w:p>
    <w:p w:rsidR="0090530A" w:rsidRDefault="004E2812" w:rsidP="00F7482C">
      <w:pPr>
        <w:spacing w:before="240" w:after="240" w:line="312" w:lineRule="auto"/>
        <w:jc w:val="both"/>
        <w:rPr>
          <w:rFonts w:ascii="Book Antiqua" w:hAnsi="Book Antiqua" w:cs="Times New Roman"/>
          <w:sz w:val="24"/>
          <w:szCs w:val="24"/>
        </w:rPr>
      </w:pPr>
      <w:r w:rsidRPr="00750952">
        <w:rPr>
          <w:rFonts w:ascii="Book Antiqua" w:hAnsi="Book Antiqua" w:cs="Times New Roman"/>
          <w:sz w:val="24"/>
          <w:szCs w:val="24"/>
        </w:rPr>
        <w:lastRenderedPageBreak/>
        <w:t xml:space="preserve">Le taux de chômage </w:t>
      </w:r>
      <w:r w:rsidR="00E4479D">
        <w:rPr>
          <w:rFonts w:ascii="Book Antiqua" w:hAnsi="Book Antiqua" w:cs="Times New Roman"/>
          <w:sz w:val="24"/>
          <w:szCs w:val="24"/>
        </w:rPr>
        <w:t xml:space="preserve">est </w:t>
      </w:r>
      <w:r w:rsidRPr="00750952">
        <w:rPr>
          <w:rFonts w:ascii="Book Antiqua" w:hAnsi="Book Antiqua" w:cs="Times New Roman"/>
          <w:sz w:val="24"/>
          <w:szCs w:val="24"/>
        </w:rPr>
        <w:t xml:space="preserve">passé, entre </w:t>
      </w:r>
      <w:r w:rsidR="00F010C4" w:rsidRPr="00750952">
        <w:rPr>
          <w:rFonts w:ascii="Book Antiqua" w:hAnsi="Book Antiqua" w:cs="Times New Roman"/>
          <w:sz w:val="24"/>
          <w:szCs w:val="24"/>
        </w:rPr>
        <w:t xml:space="preserve">les deuxièmes trimestres de 2021 </w:t>
      </w:r>
      <w:r w:rsidRPr="00750952">
        <w:rPr>
          <w:rFonts w:ascii="Book Antiqua" w:hAnsi="Book Antiqua" w:cs="Times New Roman"/>
          <w:sz w:val="24"/>
          <w:szCs w:val="24"/>
        </w:rPr>
        <w:t xml:space="preserve">et </w:t>
      </w:r>
      <w:r w:rsidR="00F010C4" w:rsidRPr="00750952">
        <w:rPr>
          <w:rFonts w:ascii="Book Antiqua" w:hAnsi="Book Antiqua" w:cs="Times New Roman"/>
          <w:sz w:val="24"/>
          <w:szCs w:val="24"/>
        </w:rPr>
        <w:t>de 2022, de 12,8% à 11,2</w:t>
      </w:r>
      <w:r w:rsidRPr="00750952">
        <w:rPr>
          <w:rFonts w:ascii="Book Antiqua" w:hAnsi="Book Antiqua" w:cs="Times New Roman"/>
          <w:sz w:val="24"/>
          <w:szCs w:val="24"/>
        </w:rPr>
        <w:t>%</w:t>
      </w:r>
      <w:r w:rsidR="00E4479D">
        <w:rPr>
          <w:rFonts w:ascii="Book Antiqua" w:hAnsi="Book Antiqua" w:cs="Times New Roman"/>
          <w:sz w:val="24"/>
          <w:szCs w:val="24"/>
        </w:rPr>
        <w:t xml:space="preserve"> (-1,6 </w:t>
      </w:r>
      <w:r w:rsidR="00BF2D25">
        <w:rPr>
          <w:rFonts w:ascii="Book Antiqua" w:hAnsi="Book Antiqua" w:cs="Times New Roman"/>
          <w:sz w:val="24"/>
          <w:szCs w:val="24"/>
        </w:rPr>
        <w:t>point)</w:t>
      </w:r>
      <w:r w:rsidR="002C3C06">
        <w:rPr>
          <w:rFonts w:ascii="Book Antiqua" w:hAnsi="Book Antiqua" w:cs="Times New Roman"/>
          <w:sz w:val="24"/>
          <w:szCs w:val="24"/>
        </w:rPr>
        <w:t>,</w:t>
      </w:r>
      <w:r w:rsidRPr="00750952">
        <w:rPr>
          <w:rFonts w:ascii="Book Antiqua" w:hAnsi="Book Antiqua" w:cs="Times New Roman"/>
          <w:sz w:val="24"/>
          <w:szCs w:val="24"/>
        </w:rPr>
        <w:t xml:space="preserve"> </w:t>
      </w:r>
      <w:r w:rsidR="00F7482C">
        <w:rPr>
          <w:rFonts w:ascii="Book Antiqua" w:hAnsi="Book Antiqua" w:cs="Times New Roman" w:hint="cs"/>
          <w:sz w:val="24"/>
          <w:szCs w:val="24"/>
          <w:rtl/>
          <w:lang w:bidi="tzm-Arab-MA"/>
        </w:rPr>
        <w:t xml:space="preserve"> </w:t>
      </w:r>
      <w:r w:rsidR="00F010C4" w:rsidRPr="00750952">
        <w:rPr>
          <w:rFonts w:ascii="Book Antiqua" w:hAnsi="Book Antiqua" w:cs="Times New Roman"/>
          <w:sz w:val="24"/>
          <w:szCs w:val="24"/>
        </w:rPr>
        <w:t>de 18,2</w:t>
      </w:r>
      <w:r w:rsidR="00202FF2">
        <w:rPr>
          <w:rFonts w:ascii="Book Antiqua" w:hAnsi="Book Antiqua" w:cs="Times New Roman"/>
          <w:sz w:val="24"/>
          <w:szCs w:val="24"/>
        </w:rPr>
        <w:t>% à 15,5% en milieu urbain (-2,7</w:t>
      </w:r>
      <w:r w:rsidRPr="00750952">
        <w:rPr>
          <w:rFonts w:ascii="Book Antiqua" w:hAnsi="Book Antiqua" w:cs="Times New Roman"/>
          <w:sz w:val="24"/>
          <w:szCs w:val="24"/>
        </w:rPr>
        <w:t xml:space="preserve"> point</w:t>
      </w:r>
      <w:r w:rsidR="00F010C4" w:rsidRPr="00750952">
        <w:rPr>
          <w:rFonts w:ascii="Book Antiqua" w:hAnsi="Book Antiqua" w:cs="Times New Roman"/>
          <w:sz w:val="24"/>
          <w:szCs w:val="24"/>
        </w:rPr>
        <w:t>s</w:t>
      </w:r>
      <w:bookmarkStart w:id="0" w:name="_Hlk94175934"/>
      <w:r w:rsidR="00F7482C">
        <w:rPr>
          <w:rFonts w:ascii="Book Antiqua" w:hAnsi="Book Antiqua" w:cs="Times New Roman"/>
          <w:sz w:val="24"/>
          <w:szCs w:val="24"/>
        </w:rPr>
        <w:t>)</w:t>
      </w:r>
      <w:r w:rsidR="00F7482C">
        <w:rPr>
          <w:rFonts w:ascii="Book Antiqua" w:hAnsi="Book Antiqua" w:cs="Times New Roman" w:hint="cs"/>
          <w:sz w:val="24"/>
          <w:szCs w:val="24"/>
          <w:rtl/>
          <w:lang w:bidi="tzm-Arab-MA"/>
        </w:rPr>
        <w:t xml:space="preserve"> </w:t>
      </w:r>
      <w:r w:rsidR="00F7482C">
        <w:rPr>
          <w:rFonts w:ascii="Book Antiqua" w:hAnsi="Book Antiqua" w:cs="Times New Roman"/>
          <w:sz w:val="24"/>
          <w:szCs w:val="24"/>
          <w:lang w:bidi="tzm-Arab-MA"/>
        </w:rPr>
        <w:t xml:space="preserve">et </w:t>
      </w:r>
      <w:r w:rsidR="00F7482C" w:rsidRPr="00750952">
        <w:rPr>
          <w:rFonts w:ascii="Book Antiqua" w:hAnsi="Book Antiqua" w:cs="Times New Roman"/>
          <w:sz w:val="24"/>
          <w:szCs w:val="24"/>
        </w:rPr>
        <w:t>de 4,8% à 4,2% en milieu rural (-0,6 point)</w:t>
      </w:r>
    </w:p>
    <w:p w:rsidR="00C8029B" w:rsidRDefault="00750952" w:rsidP="00CA5A3C">
      <w:pPr>
        <w:spacing w:before="40"/>
        <w:jc w:val="center"/>
        <w:rPr>
          <w:rFonts w:ascii="Book Antiqua" w:hAnsi="Book Antiqua" w:cs="Times New Roman"/>
          <w:b/>
          <w:bCs/>
          <w:sz w:val="20"/>
          <w:szCs w:val="20"/>
        </w:rPr>
      </w:pPr>
      <w:bookmarkStart w:id="1" w:name="OLE_LINK1"/>
      <w:bookmarkEnd w:id="0"/>
      <w:r>
        <w:rPr>
          <w:rFonts w:ascii="Book Antiqua" w:hAnsi="Book Antiqua" w:cs="Times New Roman"/>
          <w:b/>
          <w:bCs/>
          <w:sz w:val="20"/>
          <w:szCs w:val="20"/>
        </w:rPr>
        <w:t>Graphique</w:t>
      </w:r>
      <w:r w:rsidRPr="0072419D">
        <w:rPr>
          <w:rFonts w:ascii="Book Antiqua" w:hAnsi="Book Antiqua" w:cs="Times New Roman"/>
          <w:b/>
          <w:bCs/>
          <w:sz w:val="20"/>
          <w:szCs w:val="20"/>
        </w:rPr>
        <w:t> </w:t>
      </w:r>
      <w:r>
        <w:rPr>
          <w:rFonts w:ascii="Book Antiqua" w:hAnsi="Book Antiqua" w:cs="Times New Roman"/>
          <w:b/>
          <w:bCs/>
          <w:sz w:val="20"/>
          <w:szCs w:val="20"/>
        </w:rPr>
        <w:t>5.</w:t>
      </w:r>
      <w:r w:rsidRPr="0072419D">
        <w:rPr>
          <w:rFonts w:ascii="Book Antiqua" w:hAnsi="Book Antiqua" w:cs="Times New Roman"/>
          <w:b/>
          <w:bCs/>
          <w:sz w:val="20"/>
          <w:szCs w:val="20"/>
        </w:rPr>
        <w:t xml:space="preserve"> Evolution du taux de chômage aux deuxièmes trimestres par milieu de résidence </w:t>
      </w:r>
    </w:p>
    <w:p w:rsidR="00CA5A3C" w:rsidRPr="0072419D" w:rsidRDefault="00750952" w:rsidP="00CA5A3C">
      <w:pPr>
        <w:spacing w:before="40"/>
        <w:jc w:val="center"/>
        <w:rPr>
          <w:rFonts w:ascii="Book Antiqua" w:hAnsi="Book Antiqua" w:cs="Times New Roman"/>
          <w:b/>
          <w:bCs/>
          <w:sz w:val="20"/>
          <w:szCs w:val="20"/>
        </w:rPr>
      </w:pPr>
      <w:r w:rsidRPr="0072419D">
        <w:rPr>
          <w:rFonts w:ascii="Book Antiqua" w:hAnsi="Book Antiqua" w:cs="Times New Roman"/>
          <w:b/>
          <w:bCs/>
          <w:sz w:val="20"/>
          <w:szCs w:val="20"/>
        </w:rPr>
        <w:t>(en%)</w:t>
      </w:r>
      <w:r w:rsidR="00CA5A3C" w:rsidRPr="00CA5A3C">
        <w:rPr>
          <w:rFonts w:ascii="Book Antiqua" w:hAnsi="Book Antiqua" w:cs="Times New Roman"/>
          <w:b/>
          <w:bCs/>
          <w:noProof/>
          <w:sz w:val="20"/>
          <w:szCs w:val="20"/>
        </w:rPr>
        <w:drawing>
          <wp:inline distT="0" distB="0" distL="0" distR="0">
            <wp:extent cx="6086475" cy="2505075"/>
            <wp:effectExtent l="0" t="0" r="0" b="0"/>
            <wp:docPr id="13"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bookmarkEnd w:id="1"/>
    <w:p w:rsidR="005F4E2E" w:rsidRDefault="00BF2D25" w:rsidP="00E4479D">
      <w:pPr>
        <w:spacing w:before="240" w:after="240" w:line="312" w:lineRule="auto"/>
        <w:jc w:val="both"/>
        <w:rPr>
          <w:rFonts w:ascii="Book Antiqua" w:hAnsi="Book Antiqua" w:cs="Times New Roman"/>
          <w:sz w:val="24"/>
          <w:szCs w:val="24"/>
        </w:rPr>
      </w:pPr>
      <w:r>
        <w:rPr>
          <w:rFonts w:ascii="Book Antiqua" w:hAnsi="Book Antiqua" w:cs="Times New Roman"/>
          <w:sz w:val="24"/>
          <w:szCs w:val="24"/>
        </w:rPr>
        <w:t xml:space="preserve">La </w:t>
      </w:r>
      <w:r w:rsidR="00750952" w:rsidRPr="00750952">
        <w:rPr>
          <w:rFonts w:ascii="Book Antiqua" w:hAnsi="Book Antiqua" w:cs="Times New Roman"/>
          <w:sz w:val="24"/>
          <w:szCs w:val="24"/>
        </w:rPr>
        <w:t>baisse</w:t>
      </w:r>
      <w:r w:rsidR="004E2812" w:rsidRPr="00750952">
        <w:rPr>
          <w:rFonts w:ascii="Book Antiqua" w:hAnsi="Book Antiqua" w:cs="Times New Roman"/>
          <w:sz w:val="24"/>
          <w:szCs w:val="24"/>
        </w:rPr>
        <w:t xml:space="preserve"> du chômage </w:t>
      </w:r>
      <w:r>
        <w:rPr>
          <w:rFonts w:ascii="Book Antiqua" w:hAnsi="Book Antiqua" w:cs="Times New Roman"/>
          <w:sz w:val="24"/>
          <w:szCs w:val="24"/>
        </w:rPr>
        <w:t>a concerné</w:t>
      </w:r>
      <w:r w:rsidR="004E2812" w:rsidRPr="00750952">
        <w:rPr>
          <w:rFonts w:ascii="Book Antiqua" w:hAnsi="Book Antiqua" w:cs="Times New Roman"/>
          <w:sz w:val="24"/>
          <w:szCs w:val="24"/>
        </w:rPr>
        <w:t xml:space="preserve"> l’ensemble des catégories de la population.</w:t>
      </w:r>
      <w:r w:rsidR="00EE0059">
        <w:rPr>
          <w:rFonts w:ascii="Book Antiqua" w:hAnsi="Book Antiqua" w:cs="Times New Roman"/>
          <w:sz w:val="24"/>
          <w:szCs w:val="24"/>
        </w:rPr>
        <w:t xml:space="preserve"> </w:t>
      </w:r>
      <w:r>
        <w:rPr>
          <w:rFonts w:ascii="Book Antiqua" w:hAnsi="Book Antiqua" w:cs="Times New Roman"/>
          <w:sz w:val="24"/>
          <w:szCs w:val="24"/>
        </w:rPr>
        <w:t>Il a</w:t>
      </w:r>
      <w:r w:rsidR="008743C2">
        <w:rPr>
          <w:rFonts w:ascii="Book Antiqua" w:hAnsi="Book Antiqua" w:cs="Times New Roman" w:hint="cs"/>
          <w:sz w:val="24"/>
          <w:szCs w:val="24"/>
          <w:rtl/>
          <w:lang w:bidi="tzm-Arab-MA"/>
        </w:rPr>
        <w:t xml:space="preserve"> </w:t>
      </w:r>
      <w:r w:rsidR="009F73AD" w:rsidRPr="00750952">
        <w:rPr>
          <w:rFonts w:ascii="Book Antiqua" w:hAnsi="Book Antiqua" w:cs="Times New Roman"/>
          <w:sz w:val="24"/>
          <w:szCs w:val="24"/>
        </w:rPr>
        <w:t xml:space="preserve">baissé </w:t>
      </w:r>
      <w:r>
        <w:rPr>
          <w:rFonts w:ascii="Book Antiqua" w:hAnsi="Book Antiqua" w:cs="Times New Roman"/>
          <w:sz w:val="24"/>
          <w:szCs w:val="24"/>
        </w:rPr>
        <w:t xml:space="preserve">de </w:t>
      </w:r>
      <w:r w:rsidR="00E4479D">
        <w:rPr>
          <w:rFonts w:ascii="Book Antiqua" w:hAnsi="Book Antiqua" w:cs="Times New Roman"/>
          <w:sz w:val="24"/>
          <w:szCs w:val="24"/>
        </w:rPr>
        <w:t xml:space="preserve">2 </w:t>
      </w:r>
      <w:r>
        <w:rPr>
          <w:rFonts w:ascii="Book Antiqua" w:hAnsi="Book Antiqua" w:cs="Times New Roman"/>
          <w:sz w:val="24"/>
          <w:szCs w:val="24"/>
        </w:rPr>
        <w:t>point</w:t>
      </w:r>
      <w:r w:rsidR="00E4479D">
        <w:rPr>
          <w:rFonts w:ascii="Book Antiqua" w:hAnsi="Book Antiqua" w:cs="Times New Roman"/>
          <w:sz w:val="24"/>
          <w:szCs w:val="24"/>
        </w:rPr>
        <w:t>s</w:t>
      </w:r>
      <w:r>
        <w:rPr>
          <w:rFonts w:ascii="Book Antiqua" w:hAnsi="Book Antiqua" w:cs="Times New Roman"/>
          <w:sz w:val="24"/>
          <w:szCs w:val="24"/>
        </w:rPr>
        <w:t xml:space="preserve"> pour les hommes</w:t>
      </w:r>
      <w:r w:rsidR="00CC753B">
        <w:rPr>
          <w:rFonts w:ascii="Book Antiqua" w:hAnsi="Book Antiqua" w:cs="Times New Roman"/>
          <w:sz w:val="24"/>
          <w:szCs w:val="24"/>
        </w:rPr>
        <w:t>,</w:t>
      </w:r>
      <w:r w:rsidR="00EE0059">
        <w:rPr>
          <w:rFonts w:ascii="Book Antiqua" w:hAnsi="Book Antiqua" w:cs="Times New Roman"/>
          <w:sz w:val="24"/>
          <w:szCs w:val="24"/>
        </w:rPr>
        <w:t xml:space="preserve"> </w:t>
      </w:r>
      <w:r w:rsidR="00CC753B">
        <w:rPr>
          <w:rFonts w:ascii="Book Antiqua" w:hAnsi="Book Antiqua" w:cs="Times New Roman"/>
          <w:sz w:val="24"/>
          <w:szCs w:val="24"/>
        </w:rPr>
        <w:t>passant de</w:t>
      </w:r>
      <w:r w:rsidR="00CC753B" w:rsidRPr="00750952">
        <w:rPr>
          <w:rFonts w:ascii="Book Antiqua" w:hAnsi="Book Antiqua" w:cs="Times New Roman"/>
          <w:sz w:val="24"/>
          <w:szCs w:val="24"/>
        </w:rPr>
        <w:t xml:space="preserve"> 11,9% à 9,9%</w:t>
      </w:r>
      <w:r w:rsidR="00CC753B">
        <w:rPr>
          <w:rFonts w:ascii="Book Antiqua" w:hAnsi="Book Antiqua" w:cs="Times New Roman"/>
          <w:sz w:val="24"/>
          <w:szCs w:val="24"/>
        </w:rPr>
        <w:t xml:space="preserve">, </w:t>
      </w:r>
      <w:r>
        <w:rPr>
          <w:rFonts w:ascii="Book Antiqua" w:hAnsi="Book Antiqua" w:cs="Times New Roman"/>
          <w:sz w:val="24"/>
          <w:szCs w:val="24"/>
        </w:rPr>
        <w:t xml:space="preserve">et </w:t>
      </w:r>
      <w:r w:rsidR="00E4479D">
        <w:rPr>
          <w:rFonts w:ascii="Book Antiqua" w:hAnsi="Book Antiqua" w:cs="Times New Roman"/>
          <w:sz w:val="24"/>
          <w:szCs w:val="24"/>
        </w:rPr>
        <w:t xml:space="preserve">de </w:t>
      </w:r>
      <w:r w:rsidR="009F73AD" w:rsidRPr="00750952">
        <w:rPr>
          <w:rFonts w:ascii="Book Antiqua" w:hAnsi="Book Antiqua" w:cs="Times New Roman"/>
          <w:sz w:val="24"/>
          <w:szCs w:val="24"/>
        </w:rPr>
        <w:t>0,</w:t>
      </w:r>
      <w:r w:rsidR="00E4479D">
        <w:rPr>
          <w:rFonts w:ascii="Book Antiqua" w:hAnsi="Book Antiqua" w:cs="Times New Roman"/>
          <w:sz w:val="24"/>
          <w:szCs w:val="24"/>
        </w:rPr>
        <w:t>8</w:t>
      </w:r>
      <w:r w:rsidR="004E2812" w:rsidRPr="00750952">
        <w:rPr>
          <w:rFonts w:ascii="Book Antiqua" w:hAnsi="Book Antiqua" w:cs="Times New Roman"/>
          <w:sz w:val="24"/>
          <w:szCs w:val="24"/>
        </w:rPr>
        <w:t xml:space="preserve"> poin</w:t>
      </w:r>
      <w:r w:rsidR="009F73AD" w:rsidRPr="00750952">
        <w:rPr>
          <w:rFonts w:ascii="Book Antiqua" w:hAnsi="Book Antiqua" w:cs="Times New Roman"/>
          <w:sz w:val="24"/>
          <w:szCs w:val="24"/>
        </w:rPr>
        <w:t xml:space="preserve">t </w:t>
      </w:r>
      <w:r>
        <w:rPr>
          <w:rFonts w:ascii="Book Antiqua" w:hAnsi="Book Antiqua" w:cs="Times New Roman"/>
          <w:sz w:val="24"/>
          <w:szCs w:val="24"/>
        </w:rPr>
        <w:t>pour</w:t>
      </w:r>
      <w:r w:rsidR="009F73AD" w:rsidRPr="00750952">
        <w:rPr>
          <w:rFonts w:ascii="Book Antiqua" w:hAnsi="Book Antiqua" w:cs="Times New Roman"/>
          <w:sz w:val="24"/>
          <w:szCs w:val="24"/>
        </w:rPr>
        <w:t xml:space="preserve"> les femmes, de 15,9% à 15,1</w:t>
      </w:r>
      <w:r w:rsidR="004E2812" w:rsidRPr="00750952">
        <w:rPr>
          <w:rFonts w:ascii="Book Antiqua" w:hAnsi="Book Antiqua" w:cs="Times New Roman"/>
          <w:sz w:val="24"/>
          <w:szCs w:val="24"/>
        </w:rPr>
        <w:t>%</w:t>
      </w:r>
      <w:r w:rsidR="00CC753B">
        <w:rPr>
          <w:rFonts w:ascii="Book Antiqua" w:hAnsi="Book Antiqua" w:cs="Times New Roman"/>
          <w:sz w:val="24"/>
          <w:szCs w:val="24"/>
        </w:rPr>
        <w:t xml:space="preserve">. </w:t>
      </w:r>
      <w:r w:rsidR="008743C2">
        <w:rPr>
          <w:rFonts w:ascii="Book Antiqua" w:hAnsi="Book Antiqua" w:cs="Times New Roman" w:hint="cs"/>
          <w:sz w:val="24"/>
          <w:szCs w:val="24"/>
          <w:rtl/>
          <w:lang w:bidi="tzm-Arab-MA"/>
        </w:rPr>
        <w:t xml:space="preserve"> </w:t>
      </w:r>
      <w:r w:rsidR="00CC753B">
        <w:rPr>
          <w:rFonts w:ascii="Book Antiqua" w:hAnsi="Book Antiqua" w:cs="Times New Roman"/>
          <w:sz w:val="24"/>
          <w:szCs w:val="24"/>
        </w:rPr>
        <w:t xml:space="preserve">Il a également </w:t>
      </w:r>
      <w:r w:rsidR="004E2812" w:rsidRPr="00750952">
        <w:rPr>
          <w:rFonts w:ascii="Book Antiqua" w:hAnsi="Book Antiqua" w:cs="Times New Roman"/>
          <w:sz w:val="24"/>
          <w:szCs w:val="24"/>
        </w:rPr>
        <w:t xml:space="preserve">enregistré une </w:t>
      </w:r>
      <w:r w:rsidR="009F73AD" w:rsidRPr="00750952">
        <w:rPr>
          <w:rFonts w:ascii="Book Antiqua" w:hAnsi="Book Antiqua" w:cs="Times New Roman"/>
          <w:sz w:val="24"/>
          <w:szCs w:val="24"/>
        </w:rPr>
        <w:t>baisse de 2,</w:t>
      </w:r>
      <w:r w:rsidR="00E4479D">
        <w:rPr>
          <w:rFonts w:ascii="Book Antiqua" w:hAnsi="Book Antiqua" w:cs="Times New Roman"/>
          <w:sz w:val="24"/>
          <w:szCs w:val="24"/>
        </w:rPr>
        <w:t>4</w:t>
      </w:r>
      <w:r w:rsidR="004E2812" w:rsidRPr="00750952">
        <w:rPr>
          <w:rFonts w:ascii="Book Antiqua" w:hAnsi="Book Antiqua" w:cs="Times New Roman"/>
          <w:sz w:val="24"/>
          <w:szCs w:val="24"/>
        </w:rPr>
        <w:t xml:space="preserve"> point</w:t>
      </w:r>
      <w:r w:rsidR="009F73AD" w:rsidRPr="00750952">
        <w:rPr>
          <w:rFonts w:ascii="Book Antiqua" w:hAnsi="Book Antiqua" w:cs="Times New Roman"/>
          <w:sz w:val="24"/>
          <w:szCs w:val="24"/>
        </w:rPr>
        <w:t>s</w:t>
      </w:r>
      <w:r w:rsidR="005F4E2E" w:rsidRPr="00750952">
        <w:rPr>
          <w:rFonts w:ascii="Book Antiqua" w:hAnsi="Book Antiqua" w:cs="Times New Roman"/>
          <w:sz w:val="24"/>
          <w:szCs w:val="24"/>
        </w:rPr>
        <w:t xml:space="preserve"> parmi les diplômés,</w:t>
      </w:r>
      <w:r w:rsidR="009F73AD" w:rsidRPr="00750952">
        <w:rPr>
          <w:rFonts w:ascii="Book Antiqua" w:hAnsi="Book Antiqua" w:cs="Times New Roman"/>
          <w:sz w:val="24"/>
          <w:szCs w:val="24"/>
        </w:rPr>
        <w:t xml:space="preserve"> passant de 20,4% à 18</w:t>
      </w:r>
      <w:r w:rsidR="004E2812" w:rsidRPr="00750952">
        <w:rPr>
          <w:rFonts w:ascii="Book Antiqua" w:hAnsi="Book Antiqua" w:cs="Times New Roman"/>
          <w:sz w:val="24"/>
          <w:szCs w:val="24"/>
        </w:rPr>
        <w:t xml:space="preserve">%, </w:t>
      </w:r>
      <w:r w:rsidR="005F4E2E" w:rsidRPr="00750952">
        <w:rPr>
          <w:rFonts w:ascii="Book Antiqua" w:hAnsi="Book Antiqua" w:cs="Times New Roman"/>
          <w:sz w:val="24"/>
          <w:szCs w:val="24"/>
        </w:rPr>
        <w:t xml:space="preserve">et </w:t>
      </w:r>
      <w:r w:rsidR="004E2812" w:rsidRPr="00750952">
        <w:rPr>
          <w:rFonts w:ascii="Book Antiqua" w:hAnsi="Book Antiqua" w:cs="Times New Roman"/>
          <w:sz w:val="24"/>
          <w:szCs w:val="24"/>
        </w:rPr>
        <w:t>de</w:t>
      </w:r>
      <w:r w:rsidR="00CC753B">
        <w:rPr>
          <w:rFonts w:ascii="Book Antiqua" w:hAnsi="Book Antiqua" w:cs="Times New Roman"/>
          <w:sz w:val="24"/>
          <w:szCs w:val="24"/>
        </w:rPr>
        <w:t xml:space="preserve"> 1,</w:t>
      </w:r>
      <w:r w:rsidR="00E4479D">
        <w:rPr>
          <w:rFonts w:ascii="Book Antiqua" w:hAnsi="Book Antiqua" w:cs="Times New Roman"/>
          <w:sz w:val="24"/>
          <w:szCs w:val="24"/>
        </w:rPr>
        <w:t>4</w:t>
      </w:r>
      <w:r w:rsidR="00CC753B">
        <w:rPr>
          <w:rFonts w:ascii="Book Antiqua" w:hAnsi="Book Antiqua" w:cs="Times New Roman"/>
          <w:sz w:val="24"/>
          <w:szCs w:val="24"/>
        </w:rPr>
        <w:t xml:space="preserve"> point</w:t>
      </w:r>
      <w:r w:rsidR="00EE0059">
        <w:rPr>
          <w:rFonts w:ascii="Book Antiqua" w:hAnsi="Book Antiqua" w:cs="Times New Roman"/>
          <w:sz w:val="24"/>
          <w:szCs w:val="24"/>
        </w:rPr>
        <w:t xml:space="preserve"> </w:t>
      </w:r>
      <w:r w:rsidR="005F4E2E" w:rsidRPr="00750952">
        <w:rPr>
          <w:rFonts w:ascii="Book Antiqua" w:hAnsi="Book Antiqua" w:cs="Times New Roman"/>
          <w:sz w:val="24"/>
          <w:szCs w:val="24"/>
        </w:rPr>
        <w:t xml:space="preserve">parmi les </w:t>
      </w:r>
      <w:r w:rsidR="00CC753B">
        <w:rPr>
          <w:rFonts w:ascii="Book Antiqua" w:hAnsi="Book Antiqua" w:cs="Times New Roman"/>
          <w:sz w:val="24"/>
          <w:szCs w:val="24"/>
        </w:rPr>
        <w:t>non</w:t>
      </w:r>
      <w:r w:rsidR="005F4E2E" w:rsidRPr="00750952">
        <w:rPr>
          <w:rFonts w:ascii="Book Antiqua" w:hAnsi="Book Antiqua" w:cs="Times New Roman"/>
          <w:sz w:val="24"/>
          <w:szCs w:val="24"/>
        </w:rPr>
        <w:t xml:space="preserve"> diplôm</w:t>
      </w:r>
      <w:r w:rsidR="00CC753B">
        <w:rPr>
          <w:rFonts w:ascii="Book Antiqua" w:hAnsi="Book Antiqua" w:cs="Times New Roman"/>
          <w:sz w:val="24"/>
          <w:szCs w:val="24"/>
        </w:rPr>
        <w:t xml:space="preserve">és, de </w:t>
      </w:r>
      <w:r w:rsidR="00CC753B" w:rsidRPr="00750952">
        <w:rPr>
          <w:rFonts w:ascii="Book Antiqua" w:hAnsi="Book Antiqua" w:cs="Times New Roman"/>
          <w:sz w:val="24"/>
          <w:szCs w:val="24"/>
        </w:rPr>
        <w:t>5% à 3,6%</w:t>
      </w:r>
      <w:r w:rsidR="005F4E2E" w:rsidRPr="00750952">
        <w:rPr>
          <w:rFonts w:ascii="Book Antiqua" w:hAnsi="Book Antiqua" w:cs="Times New Roman"/>
          <w:sz w:val="24"/>
          <w:szCs w:val="24"/>
        </w:rPr>
        <w:t>.</w:t>
      </w:r>
    </w:p>
    <w:p w:rsidR="004E2812" w:rsidRDefault="00CC753B" w:rsidP="00E4479D">
      <w:pPr>
        <w:spacing w:before="240" w:after="240" w:line="312" w:lineRule="auto"/>
        <w:jc w:val="both"/>
        <w:rPr>
          <w:rFonts w:ascii="Book Antiqua" w:hAnsi="Book Antiqua" w:cs="Times New Roman"/>
          <w:sz w:val="24"/>
          <w:szCs w:val="24"/>
        </w:rPr>
      </w:pPr>
      <w:r>
        <w:rPr>
          <w:rFonts w:ascii="Book Antiqua" w:hAnsi="Book Antiqua" w:cs="Times New Roman"/>
          <w:sz w:val="24"/>
          <w:szCs w:val="24"/>
        </w:rPr>
        <w:t>La baisse du</w:t>
      </w:r>
      <w:r w:rsidRPr="00750952">
        <w:rPr>
          <w:rFonts w:ascii="Book Antiqua" w:hAnsi="Book Antiqua" w:cs="Times New Roman"/>
          <w:sz w:val="24"/>
          <w:szCs w:val="24"/>
        </w:rPr>
        <w:t xml:space="preserve"> taux de chômage</w:t>
      </w:r>
      <w:r>
        <w:rPr>
          <w:rFonts w:ascii="Book Antiqua" w:hAnsi="Book Antiqua" w:cs="Times New Roman"/>
          <w:sz w:val="24"/>
          <w:szCs w:val="24"/>
        </w:rPr>
        <w:t xml:space="preserve"> a concerné toutes les tranches d</w:t>
      </w:r>
      <w:r w:rsidR="004E2812" w:rsidRPr="00750952">
        <w:rPr>
          <w:rFonts w:ascii="Book Antiqua" w:hAnsi="Book Antiqua" w:cs="Times New Roman"/>
          <w:sz w:val="24"/>
          <w:szCs w:val="24"/>
        </w:rPr>
        <w:t>’âge</w:t>
      </w:r>
      <w:r w:rsidR="00E81C00">
        <w:rPr>
          <w:rFonts w:ascii="Book Antiqua" w:hAnsi="Book Antiqua" w:cs="Times New Roman"/>
          <w:sz w:val="24"/>
          <w:szCs w:val="24"/>
        </w:rPr>
        <w:t xml:space="preserve">. Elle </w:t>
      </w:r>
      <w:r>
        <w:rPr>
          <w:rFonts w:ascii="Book Antiqua" w:hAnsi="Book Antiqua" w:cs="Times New Roman"/>
          <w:sz w:val="24"/>
          <w:szCs w:val="24"/>
        </w:rPr>
        <w:t xml:space="preserve">est plus prononcée parmi </w:t>
      </w:r>
      <w:r w:rsidRPr="00750952">
        <w:rPr>
          <w:rFonts w:ascii="Book Antiqua" w:hAnsi="Book Antiqua" w:cs="Times New Roman"/>
          <w:sz w:val="24"/>
          <w:szCs w:val="24"/>
        </w:rPr>
        <w:t>les personnes</w:t>
      </w:r>
      <w:r w:rsidR="008743C2">
        <w:rPr>
          <w:rFonts w:ascii="Book Antiqua" w:hAnsi="Book Antiqua" w:cs="Times New Roman" w:hint="cs"/>
          <w:sz w:val="24"/>
          <w:szCs w:val="24"/>
          <w:rtl/>
          <w:lang w:bidi="tzm-Arab-MA"/>
        </w:rPr>
        <w:t xml:space="preserve"> </w:t>
      </w:r>
      <w:r w:rsidRPr="00750952">
        <w:rPr>
          <w:rFonts w:ascii="Book Antiqua" w:hAnsi="Book Antiqua" w:cs="Times New Roman"/>
          <w:sz w:val="24"/>
          <w:szCs w:val="24"/>
        </w:rPr>
        <w:t xml:space="preserve"> âgées</w:t>
      </w:r>
      <w:r w:rsidR="008743C2">
        <w:rPr>
          <w:rFonts w:ascii="Book Antiqua" w:hAnsi="Book Antiqua" w:cs="Times New Roman" w:hint="cs"/>
          <w:sz w:val="24"/>
          <w:szCs w:val="24"/>
          <w:rtl/>
          <w:lang w:bidi="tzm-Arab-MA"/>
        </w:rPr>
        <w:t xml:space="preserve"> </w:t>
      </w:r>
      <w:r w:rsidRPr="00750952">
        <w:rPr>
          <w:rFonts w:ascii="Book Antiqua" w:hAnsi="Book Antiqua" w:cs="Times New Roman"/>
          <w:sz w:val="24"/>
          <w:szCs w:val="24"/>
        </w:rPr>
        <w:t xml:space="preserve"> de 25 à 34 ans</w:t>
      </w:r>
      <w:r>
        <w:rPr>
          <w:rFonts w:ascii="Book Antiqua" w:hAnsi="Book Antiqua" w:cs="Times New Roman"/>
          <w:sz w:val="24"/>
          <w:szCs w:val="24"/>
        </w:rPr>
        <w:t xml:space="preserve"> (</w:t>
      </w:r>
      <w:r w:rsidR="001A37DF">
        <w:rPr>
          <w:rFonts w:ascii="Book Antiqua" w:hAnsi="Book Antiqua" w:cs="Times New Roman"/>
          <w:sz w:val="24"/>
          <w:szCs w:val="24"/>
        </w:rPr>
        <w:t>-</w:t>
      </w:r>
      <w:r>
        <w:rPr>
          <w:rFonts w:ascii="Book Antiqua" w:hAnsi="Book Antiqua" w:cs="Times New Roman"/>
          <w:sz w:val="24"/>
          <w:szCs w:val="24"/>
        </w:rPr>
        <w:t>2,</w:t>
      </w:r>
      <w:r w:rsidR="00E4479D">
        <w:rPr>
          <w:rFonts w:ascii="Book Antiqua" w:hAnsi="Book Antiqua" w:cs="Times New Roman"/>
          <w:sz w:val="24"/>
          <w:szCs w:val="24"/>
        </w:rPr>
        <w:t>2</w:t>
      </w:r>
      <w:r>
        <w:rPr>
          <w:rFonts w:ascii="Book Antiqua" w:hAnsi="Book Antiqua" w:cs="Times New Roman"/>
          <w:sz w:val="24"/>
          <w:szCs w:val="24"/>
        </w:rPr>
        <w:t xml:space="preserve"> points)</w:t>
      </w:r>
      <w:r w:rsidRPr="00750952">
        <w:rPr>
          <w:rFonts w:ascii="Book Antiqua" w:hAnsi="Book Antiqua" w:cs="Times New Roman"/>
          <w:sz w:val="24"/>
          <w:szCs w:val="24"/>
        </w:rPr>
        <w:t xml:space="preserve">, </w:t>
      </w:r>
      <w:r w:rsidR="008743C2">
        <w:rPr>
          <w:rFonts w:ascii="Book Antiqua" w:hAnsi="Book Antiqua" w:cs="Times New Roman" w:hint="cs"/>
          <w:sz w:val="24"/>
          <w:szCs w:val="24"/>
          <w:rtl/>
          <w:lang w:bidi="tzm-Arab-MA"/>
        </w:rPr>
        <w:t xml:space="preserve"> </w:t>
      </w:r>
      <w:r w:rsidRPr="00750952">
        <w:rPr>
          <w:rFonts w:ascii="Book Antiqua" w:hAnsi="Book Antiqua" w:cs="Times New Roman"/>
          <w:sz w:val="24"/>
          <w:szCs w:val="24"/>
        </w:rPr>
        <w:t>passant de 20,9% à 18,7%</w:t>
      </w:r>
      <w:r w:rsidR="001A37DF">
        <w:rPr>
          <w:rFonts w:ascii="Book Antiqua" w:hAnsi="Book Antiqua" w:cs="Times New Roman"/>
          <w:sz w:val="24"/>
          <w:szCs w:val="24"/>
        </w:rPr>
        <w:t xml:space="preserve"> et</w:t>
      </w:r>
      <w:r w:rsidR="008743C2">
        <w:rPr>
          <w:rFonts w:ascii="Book Antiqua" w:hAnsi="Book Antiqua" w:cs="Times New Roman" w:hint="cs"/>
          <w:sz w:val="24"/>
          <w:szCs w:val="24"/>
          <w:rtl/>
          <w:lang w:bidi="tzm-Arab-MA"/>
        </w:rPr>
        <w:t xml:space="preserve"> </w:t>
      </w:r>
      <w:r w:rsidR="00E81C00">
        <w:rPr>
          <w:rFonts w:ascii="Book Antiqua" w:hAnsi="Book Antiqua" w:cs="Times New Roman"/>
          <w:sz w:val="24"/>
          <w:szCs w:val="24"/>
        </w:rPr>
        <w:t>plus faible parmi l</w:t>
      </w:r>
      <w:r w:rsidR="00E81C00" w:rsidRPr="00750952">
        <w:rPr>
          <w:rFonts w:ascii="Book Antiqua" w:hAnsi="Book Antiqua" w:cs="Times New Roman"/>
          <w:sz w:val="24"/>
          <w:szCs w:val="24"/>
        </w:rPr>
        <w:t>es jeunes âgés de 15 à 24 ans</w:t>
      </w:r>
      <w:r w:rsidR="00E81C00">
        <w:rPr>
          <w:rFonts w:ascii="Book Antiqua" w:hAnsi="Book Antiqua" w:cs="Times New Roman"/>
          <w:sz w:val="24"/>
          <w:szCs w:val="24"/>
        </w:rPr>
        <w:t xml:space="preserve"> (-</w:t>
      </w:r>
      <w:r w:rsidR="004E2812" w:rsidRPr="00750952">
        <w:rPr>
          <w:rFonts w:ascii="Book Antiqua" w:hAnsi="Book Antiqua" w:cs="Times New Roman"/>
          <w:sz w:val="24"/>
          <w:szCs w:val="24"/>
        </w:rPr>
        <w:t>0,6 point</w:t>
      </w:r>
      <w:r w:rsidR="00E81C00">
        <w:rPr>
          <w:rFonts w:ascii="Book Antiqua" w:hAnsi="Book Antiqua" w:cs="Times New Roman"/>
          <w:sz w:val="24"/>
          <w:szCs w:val="24"/>
        </w:rPr>
        <w:t>)</w:t>
      </w:r>
      <w:r w:rsidR="004E2812" w:rsidRPr="00750952">
        <w:rPr>
          <w:rFonts w:ascii="Book Antiqua" w:hAnsi="Book Antiqua" w:cs="Times New Roman"/>
          <w:sz w:val="24"/>
          <w:szCs w:val="24"/>
        </w:rPr>
        <w:t>, passant de 3</w:t>
      </w:r>
      <w:r w:rsidR="009F73AD" w:rsidRPr="00750952">
        <w:rPr>
          <w:rFonts w:ascii="Book Antiqua" w:hAnsi="Book Antiqua" w:cs="Times New Roman"/>
          <w:sz w:val="24"/>
          <w:szCs w:val="24"/>
        </w:rPr>
        <w:t>0,8% à 30,2</w:t>
      </w:r>
      <w:r w:rsidR="004E2812" w:rsidRPr="00750952">
        <w:rPr>
          <w:rFonts w:ascii="Book Antiqua" w:hAnsi="Book Antiqua" w:cs="Times New Roman"/>
          <w:sz w:val="24"/>
          <w:szCs w:val="24"/>
        </w:rPr>
        <w:t>%</w:t>
      </w:r>
      <w:r w:rsidR="00E81C00">
        <w:rPr>
          <w:rFonts w:ascii="Book Antiqua" w:hAnsi="Book Antiqua" w:cs="Times New Roman"/>
          <w:sz w:val="24"/>
          <w:szCs w:val="24"/>
        </w:rPr>
        <w:t>.</w:t>
      </w:r>
    </w:p>
    <w:p w:rsidR="009D1DC1" w:rsidRPr="009D1FFA" w:rsidRDefault="009D1DC1" w:rsidP="00750952">
      <w:pPr>
        <w:rPr>
          <w:rFonts w:ascii="Book Antiqua" w:hAnsi="Book Antiqua" w:cs="Times New Roman"/>
          <w:b/>
          <w:bCs/>
          <w:sz w:val="20"/>
          <w:szCs w:val="20"/>
        </w:rPr>
      </w:pPr>
      <w:bookmarkStart w:id="2" w:name="_Hlk94175903"/>
      <w:r w:rsidRPr="009D1FFA">
        <w:rPr>
          <w:rFonts w:ascii="Book Antiqua" w:hAnsi="Book Antiqua" w:cs="Times New Roman"/>
          <w:b/>
          <w:bCs/>
          <w:sz w:val="20"/>
          <w:szCs w:val="20"/>
        </w:rPr>
        <w:t xml:space="preserve">Graphique </w:t>
      </w:r>
      <w:r w:rsidR="00750952" w:rsidRPr="009D1FFA">
        <w:rPr>
          <w:rFonts w:ascii="Book Antiqua" w:hAnsi="Book Antiqua" w:cs="Times New Roman"/>
          <w:b/>
          <w:bCs/>
          <w:sz w:val="20"/>
          <w:szCs w:val="20"/>
        </w:rPr>
        <w:t>6</w:t>
      </w:r>
      <w:r w:rsidR="00AF1591" w:rsidRPr="009D1FFA">
        <w:rPr>
          <w:rFonts w:ascii="Book Antiqua" w:hAnsi="Book Antiqua" w:cs="Times New Roman"/>
          <w:b/>
          <w:bCs/>
          <w:sz w:val="20"/>
          <w:szCs w:val="20"/>
        </w:rPr>
        <w:t xml:space="preserve">. </w:t>
      </w:r>
      <w:r w:rsidRPr="009D1FFA">
        <w:rPr>
          <w:rFonts w:ascii="Book Antiqua" w:hAnsi="Book Antiqua" w:cs="Times New Roman"/>
          <w:b/>
          <w:bCs/>
          <w:sz w:val="20"/>
          <w:szCs w:val="20"/>
        </w:rPr>
        <w:t>Evolution du taux de chômage entre</w:t>
      </w:r>
      <w:r w:rsidR="009F73AD" w:rsidRPr="009D1FFA">
        <w:rPr>
          <w:rFonts w:ascii="Book Antiqua" w:hAnsi="Book Antiqua" w:cs="Times New Roman"/>
          <w:b/>
          <w:bCs/>
          <w:sz w:val="20"/>
          <w:szCs w:val="20"/>
        </w:rPr>
        <w:t xml:space="preserve"> les deuxièmes trimestres de 2021 et </w:t>
      </w:r>
      <w:r w:rsidR="00970A5E">
        <w:rPr>
          <w:rFonts w:ascii="Book Antiqua" w:hAnsi="Book Antiqua" w:cs="Times New Roman"/>
          <w:b/>
          <w:bCs/>
          <w:sz w:val="20"/>
          <w:szCs w:val="20"/>
        </w:rPr>
        <w:t xml:space="preserve">de </w:t>
      </w:r>
      <w:r w:rsidR="009F73AD" w:rsidRPr="009D1FFA">
        <w:rPr>
          <w:rFonts w:ascii="Book Antiqua" w:hAnsi="Book Antiqua" w:cs="Times New Roman"/>
          <w:b/>
          <w:bCs/>
          <w:sz w:val="20"/>
          <w:szCs w:val="20"/>
        </w:rPr>
        <w:t>2022</w:t>
      </w:r>
      <w:r w:rsidRPr="009D1FFA">
        <w:rPr>
          <w:rFonts w:ascii="Book Antiqua" w:hAnsi="Book Antiqua" w:cs="Times New Roman"/>
          <w:b/>
          <w:bCs/>
          <w:sz w:val="20"/>
          <w:szCs w:val="20"/>
        </w:rPr>
        <w:t xml:space="preserve"> pour certaines catégories de la population (en %)</w:t>
      </w:r>
    </w:p>
    <w:p w:rsidR="009F73AD" w:rsidRDefault="009F73AD" w:rsidP="009F73AD">
      <w:pPr>
        <w:jc w:val="center"/>
        <w:rPr>
          <w:rFonts w:ascii="Book Antiqua" w:eastAsia="Book Antiqua" w:hAnsi="Book Antiqua" w:cs="Book Antiqua"/>
          <w:b/>
          <w:color w:val="0D0D0D" w:themeColor="text1" w:themeTint="F2"/>
          <w:sz w:val="20"/>
          <w:szCs w:val="20"/>
        </w:rPr>
      </w:pPr>
      <w:r w:rsidRPr="009F73AD">
        <w:rPr>
          <w:rFonts w:ascii="Book Antiqua" w:eastAsia="Book Antiqua" w:hAnsi="Book Antiqua" w:cs="Book Antiqua"/>
          <w:b/>
          <w:noProof/>
          <w:color w:val="0D0D0D" w:themeColor="text1" w:themeTint="F2"/>
          <w:sz w:val="20"/>
          <w:szCs w:val="20"/>
        </w:rPr>
        <w:drawing>
          <wp:inline distT="0" distB="0" distL="0" distR="0">
            <wp:extent cx="5327650" cy="2165350"/>
            <wp:effectExtent l="0" t="0" r="0" b="0"/>
            <wp:docPr id="9"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06FE5" w:rsidRPr="00E06FE5" w:rsidRDefault="00E06FE5" w:rsidP="001119A1">
      <w:pPr>
        <w:spacing w:before="240" w:after="240" w:line="312" w:lineRule="auto"/>
        <w:rPr>
          <w:rFonts w:ascii="Book Antiqua" w:eastAsia="Book Antiqua" w:hAnsi="Book Antiqua" w:cs="Book Antiqua"/>
          <w:b/>
          <w:bCs/>
          <w:color w:val="8496B0" w:themeColor="text2" w:themeTint="99"/>
          <w:sz w:val="26"/>
          <w:szCs w:val="26"/>
        </w:rPr>
      </w:pPr>
      <w:r w:rsidRPr="00E06FE5">
        <w:rPr>
          <w:rFonts w:ascii="Book Antiqua" w:eastAsia="Book Antiqua" w:hAnsi="Book Antiqua" w:cs="Book Antiqua"/>
          <w:b/>
          <w:bCs/>
          <w:color w:val="8496B0" w:themeColor="text2" w:themeTint="99"/>
          <w:sz w:val="26"/>
          <w:szCs w:val="26"/>
        </w:rPr>
        <w:lastRenderedPageBreak/>
        <w:t>Baisse du sous-emploi</w:t>
      </w:r>
    </w:p>
    <w:bookmarkEnd w:id="2"/>
    <w:p w:rsidR="001119A1" w:rsidRDefault="004E2812" w:rsidP="00591373">
      <w:pPr>
        <w:spacing w:before="240" w:after="240" w:line="312" w:lineRule="auto"/>
        <w:jc w:val="both"/>
        <w:rPr>
          <w:rFonts w:ascii="Book Antiqua" w:eastAsia="Book Antiqua" w:hAnsi="Book Antiqua" w:cs="Book Antiqua"/>
          <w:b/>
          <w:color w:val="0D0D0D" w:themeColor="text1" w:themeTint="F2"/>
          <w:sz w:val="20"/>
          <w:szCs w:val="20"/>
        </w:rPr>
      </w:pPr>
      <w:r w:rsidRPr="00750952">
        <w:rPr>
          <w:rFonts w:ascii="Book Antiqua" w:eastAsia="Book Antiqua" w:hAnsi="Book Antiqua" w:cs="Book Antiqua"/>
          <w:sz w:val="24"/>
          <w:szCs w:val="24"/>
        </w:rPr>
        <w:t xml:space="preserve">Le volume du sous-emploi </w:t>
      </w:r>
      <w:r w:rsidR="001571E6">
        <w:rPr>
          <w:rFonts w:ascii="Book Antiqua" w:eastAsia="Book Antiqua" w:hAnsi="Book Antiqua" w:cs="Book Antiqua"/>
          <w:sz w:val="24"/>
          <w:szCs w:val="24"/>
        </w:rPr>
        <w:t>a connu une baisse</w:t>
      </w:r>
      <w:r w:rsidRPr="00750952">
        <w:rPr>
          <w:rFonts w:ascii="Book Antiqua" w:eastAsia="Book Antiqua" w:hAnsi="Book Antiqua" w:cs="Book Antiqua"/>
          <w:sz w:val="24"/>
          <w:szCs w:val="24"/>
        </w:rPr>
        <w:t xml:space="preserve">, durant la même période, de </w:t>
      </w:r>
      <w:r w:rsidR="00F74068" w:rsidRPr="00750952">
        <w:rPr>
          <w:rFonts w:ascii="Book Antiqua" w:eastAsia="Book Antiqua" w:hAnsi="Book Antiqua" w:cs="Book Antiqua"/>
          <w:sz w:val="24"/>
          <w:szCs w:val="24"/>
        </w:rPr>
        <w:t>999</w:t>
      </w:r>
      <w:r w:rsidRPr="00750952">
        <w:rPr>
          <w:rFonts w:ascii="Book Antiqua" w:eastAsia="Book Antiqua" w:hAnsi="Book Antiqua" w:cs="Book Antiqua"/>
          <w:sz w:val="24"/>
          <w:szCs w:val="24"/>
        </w:rPr>
        <w:t xml:space="preserve">.000 à </w:t>
      </w:r>
      <w:r w:rsidR="00591373" w:rsidRPr="00750952">
        <w:rPr>
          <w:rFonts w:ascii="Book Antiqua" w:eastAsia="Book Antiqua" w:hAnsi="Book Antiqua" w:cs="Book Antiqua"/>
          <w:sz w:val="24"/>
          <w:szCs w:val="24"/>
        </w:rPr>
        <w:t>939</w:t>
      </w:r>
      <w:r w:rsidRPr="00750952">
        <w:rPr>
          <w:rFonts w:ascii="Book Antiqua" w:eastAsia="Book Antiqua" w:hAnsi="Book Antiqua" w:cs="Book Antiqua"/>
          <w:sz w:val="24"/>
          <w:szCs w:val="24"/>
        </w:rPr>
        <w:t xml:space="preserve">.000 personnes, de </w:t>
      </w:r>
      <w:r w:rsidR="00591373" w:rsidRPr="00750952">
        <w:rPr>
          <w:rFonts w:ascii="Book Antiqua" w:eastAsia="Book Antiqua" w:hAnsi="Book Antiqua" w:cs="Book Antiqua"/>
          <w:sz w:val="24"/>
          <w:szCs w:val="24"/>
        </w:rPr>
        <w:t>551</w:t>
      </w:r>
      <w:r w:rsidRPr="00750952">
        <w:rPr>
          <w:rFonts w:ascii="Book Antiqua" w:eastAsia="Book Antiqua" w:hAnsi="Book Antiqua" w:cs="Book Antiqua"/>
          <w:sz w:val="24"/>
          <w:szCs w:val="24"/>
        </w:rPr>
        <w:t>.000 à 5</w:t>
      </w:r>
      <w:r w:rsidR="00591373" w:rsidRPr="00750952">
        <w:rPr>
          <w:rFonts w:ascii="Book Antiqua" w:eastAsia="Book Antiqua" w:hAnsi="Book Antiqua" w:cs="Book Antiqua"/>
          <w:sz w:val="24"/>
          <w:szCs w:val="24"/>
        </w:rPr>
        <w:t>0</w:t>
      </w:r>
      <w:r w:rsidRPr="00750952">
        <w:rPr>
          <w:rFonts w:ascii="Book Antiqua" w:eastAsia="Book Antiqua" w:hAnsi="Book Antiqua" w:cs="Book Antiqua"/>
          <w:sz w:val="24"/>
          <w:szCs w:val="24"/>
        </w:rPr>
        <w:t xml:space="preserve">0.000 dans les villes et de </w:t>
      </w:r>
      <w:r w:rsidR="00591373" w:rsidRPr="00750952">
        <w:rPr>
          <w:rFonts w:ascii="Book Antiqua" w:eastAsia="Book Antiqua" w:hAnsi="Book Antiqua" w:cs="Book Antiqua"/>
          <w:sz w:val="24"/>
          <w:szCs w:val="24"/>
        </w:rPr>
        <w:t>448.000 à 439</w:t>
      </w:r>
      <w:r w:rsidRPr="00750952">
        <w:rPr>
          <w:rFonts w:ascii="Book Antiqua" w:eastAsia="Book Antiqua" w:hAnsi="Book Antiqua" w:cs="Book Antiqua"/>
          <w:sz w:val="24"/>
          <w:szCs w:val="24"/>
        </w:rPr>
        <w:t>.000</w:t>
      </w:r>
      <w:r w:rsidR="001C41B5">
        <w:rPr>
          <w:rFonts w:ascii="Book Antiqua" w:eastAsia="Book Antiqua" w:hAnsi="Book Antiqua" w:cs="Book Antiqua"/>
          <w:sz w:val="24"/>
          <w:szCs w:val="24"/>
        </w:rPr>
        <w:t xml:space="preserve"> </w:t>
      </w:r>
      <w:r w:rsidRPr="00750952">
        <w:rPr>
          <w:rFonts w:ascii="Book Antiqua" w:eastAsia="Book Antiqua" w:hAnsi="Book Antiqua" w:cs="Book Antiqua"/>
          <w:sz w:val="24"/>
          <w:szCs w:val="24"/>
        </w:rPr>
        <w:t xml:space="preserve">à la campagne. Le taux de sous-emploi est ainsi passé, au niveau national, de </w:t>
      </w:r>
      <w:r w:rsidR="00591373" w:rsidRPr="00750952">
        <w:rPr>
          <w:rFonts w:ascii="Book Antiqua" w:eastAsia="Book Antiqua" w:hAnsi="Book Antiqua" w:cs="Book Antiqua"/>
          <w:sz w:val="24"/>
          <w:szCs w:val="24"/>
        </w:rPr>
        <w:t>9,2</w:t>
      </w:r>
      <w:r w:rsidRPr="00750952">
        <w:rPr>
          <w:rFonts w:ascii="Book Antiqua" w:eastAsia="Book Antiqua" w:hAnsi="Book Antiqua" w:cs="Book Antiqua"/>
          <w:sz w:val="24"/>
          <w:szCs w:val="24"/>
        </w:rPr>
        <w:t xml:space="preserve">% à </w:t>
      </w:r>
      <w:r w:rsidR="00591373" w:rsidRPr="00750952">
        <w:rPr>
          <w:rFonts w:ascii="Book Antiqua" w:eastAsia="Book Antiqua" w:hAnsi="Book Antiqua" w:cs="Book Antiqua"/>
          <w:sz w:val="24"/>
          <w:szCs w:val="24"/>
        </w:rPr>
        <w:t>8,5</w:t>
      </w:r>
      <w:r w:rsidRPr="00750952">
        <w:rPr>
          <w:rFonts w:ascii="Book Antiqua" w:eastAsia="Book Antiqua" w:hAnsi="Book Antiqua" w:cs="Book Antiqua"/>
          <w:sz w:val="24"/>
          <w:szCs w:val="24"/>
        </w:rPr>
        <w:t xml:space="preserve">%, de </w:t>
      </w:r>
      <w:r w:rsidR="00591373" w:rsidRPr="00750952">
        <w:rPr>
          <w:rFonts w:ascii="Book Antiqua" w:eastAsia="Book Antiqua" w:hAnsi="Book Antiqua" w:cs="Book Antiqua"/>
          <w:sz w:val="24"/>
          <w:szCs w:val="24"/>
        </w:rPr>
        <w:t>8,9% à 7,7</w:t>
      </w:r>
      <w:r w:rsidRPr="00750952">
        <w:rPr>
          <w:rFonts w:ascii="Book Antiqua" w:eastAsia="Book Antiqua" w:hAnsi="Book Antiqua" w:cs="Book Antiqua"/>
          <w:sz w:val="24"/>
          <w:szCs w:val="24"/>
        </w:rPr>
        <w:t xml:space="preserve">% en milieu urbain et de </w:t>
      </w:r>
      <w:r w:rsidR="00591373" w:rsidRPr="00750952">
        <w:rPr>
          <w:rFonts w:ascii="Book Antiqua" w:eastAsia="Book Antiqua" w:hAnsi="Book Antiqua" w:cs="Book Antiqua"/>
          <w:sz w:val="24"/>
          <w:szCs w:val="24"/>
        </w:rPr>
        <w:t>9,5% à 9,6</w:t>
      </w:r>
      <w:r w:rsidRPr="00750952">
        <w:rPr>
          <w:rFonts w:ascii="Book Antiqua" w:eastAsia="Book Antiqua" w:hAnsi="Book Antiqua" w:cs="Book Antiqua"/>
          <w:sz w:val="24"/>
          <w:szCs w:val="24"/>
        </w:rPr>
        <w:t>% en milieu rural</w:t>
      </w:r>
      <w:r w:rsidR="001119A1" w:rsidRPr="00750952">
        <w:rPr>
          <w:rFonts w:ascii="Book Antiqua" w:eastAsia="Book Antiqua" w:hAnsi="Book Antiqua" w:cs="Book Antiqua"/>
          <w:b/>
          <w:color w:val="0D0D0D" w:themeColor="text1" w:themeTint="F2"/>
          <w:sz w:val="20"/>
          <w:szCs w:val="20"/>
        </w:rPr>
        <w:t>.</w:t>
      </w:r>
    </w:p>
    <w:p w:rsidR="00591373" w:rsidRDefault="004E2812" w:rsidP="00591373">
      <w:pPr>
        <w:spacing w:after="160" w:line="259" w:lineRule="auto"/>
        <w:jc w:val="center"/>
        <w:rPr>
          <w:rFonts w:ascii="Book Antiqua" w:eastAsia="Book Antiqua" w:hAnsi="Book Antiqua" w:cs="Book Antiqua"/>
          <w:b/>
          <w:color w:val="0D0D0D" w:themeColor="text1" w:themeTint="F2"/>
          <w:sz w:val="20"/>
          <w:szCs w:val="20"/>
        </w:rPr>
      </w:pPr>
      <w:r>
        <w:rPr>
          <w:rFonts w:ascii="Book Antiqua" w:eastAsia="Book Antiqua" w:hAnsi="Book Antiqua" w:cs="Book Antiqua"/>
          <w:b/>
          <w:color w:val="0D0D0D" w:themeColor="text1" w:themeTint="F2"/>
          <w:sz w:val="20"/>
          <w:szCs w:val="20"/>
        </w:rPr>
        <w:t xml:space="preserve">Graphique </w:t>
      </w:r>
      <w:r w:rsidR="00AF1591">
        <w:rPr>
          <w:rFonts w:ascii="Book Antiqua" w:eastAsia="Book Antiqua" w:hAnsi="Book Antiqua" w:cs="Book Antiqua"/>
          <w:b/>
          <w:color w:val="0D0D0D" w:themeColor="text1" w:themeTint="F2"/>
          <w:sz w:val="20"/>
          <w:szCs w:val="20"/>
        </w:rPr>
        <w:t xml:space="preserve">7. </w:t>
      </w:r>
      <w:r>
        <w:rPr>
          <w:rFonts w:ascii="Book Antiqua" w:eastAsia="Book Antiqua" w:hAnsi="Book Antiqua" w:cs="Book Antiqua"/>
          <w:b/>
          <w:color w:val="0D0D0D" w:themeColor="text1" w:themeTint="F2"/>
          <w:sz w:val="20"/>
          <w:szCs w:val="20"/>
        </w:rPr>
        <w:t xml:space="preserve">Evolution du taux de sous-emploi entre </w:t>
      </w:r>
      <w:r w:rsidR="00591373">
        <w:rPr>
          <w:rFonts w:ascii="Book Antiqua" w:eastAsia="Book Antiqua" w:hAnsi="Book Antiqua" w:cs="Book Antiqua"/>
          <w:b/>
          <w:color w:val="0D0D0D" w:themeColor="text1" w:themeTint="F2"/>
          <w:sz w:val="20"/>
          <w:szCs w:val="20"/>
        </w:rPr>
        <w:t xml:space="preserve">les deuxièmes trimestres de </w:t>
      </w:r>
      <w:r>
        <w:rPr>
          <w:rFonts w:ascii="Book Antiqua" w:eastAsia="Book Antiqua" w:hAnsi="Book Antiqua" w:cs="Book Antiqua"/>
          <w:b/>
          <w:color w:val="0D0D0D" w:themeColor="text1" w:themeTint="F2"/>
          <w:sz w:val="20"/>
          <w:szCs w:val="20"/>
        </w:rPr>
        <w:t>202</w:t>
      </w:r>
      <w:r w:rsidR="00591373">
        <w:rPr>
          <w:rFonts w:ascii="Book Antiqua" w:eastAsia="Book Antiqua" w:hAnsi="Book Antiqua" w:cs="Book Antiqua"/>
          <w:b/>
          <w:color w:val="0D0D0D" w:themeColor="text1" w:themeTint="F2"/>
          <w:sz w:val="20"/>
          <w:szCs w:val="20"/>
        </w:rPr>
        <w:t>1 et de 2022</w:t>
      </w:r>
      <w:r>
        <w:rPr>
          <w:rFonts w:ascii="Book Antiqua" w:eastAsia="Book Antiqua" w:hAnsi="Book Antiqua" w:cs="Book Antiqua"/>
          <w:b/>
          <w:color w:val="0D0D0D" w:themeColor="text1" w:themeTint="F2"/>
          <w:sz w:val="20"/>
          <w:szCs w:val="20"/>
        </w:rPr>
        <w:t xml:space="preserve"> par milieu de résidence (en %)</w:t>
      </w:r>
    </w:p>
    <w:p w:rsidR="003049D0" w:rsidRPr="001119A1" w:rsidRDefault="00591373" w:rsidP="00591373">
      <w:pPr>
        <w:spacing w:after="160" w:line="259" w:lineRule="auto"/>
        <w:jc w:val="center"/>
        <w:rPr>
          <w:rFonts w:ascii="Book Antiqua" w:hAnsi="Book Antiqua" w:cs="Times New Roman"/>
          <w:b/>
          <w:bCs/>
          <w:sz w:val="20"/>
          <w:szCs w:val="20"/>
        </w:rPr>
      </w:pPr>
      <w:r w:rsidRPr="00591373">
        <w:rPr>
          <w:rFonts w:ascii="Book Antiqua" w:hAnsi="Book Antiqua" w:cs="Times New Roman"/>
          <w:b/>
          <w:bCs/>
          <w:noProof/>
          <w:sz w:val="20"/>
          <w:szCs w:val="20"/>
        </w:rPr>
        <w:drawing>
          <wp:inline distT="0" distB="0" distL="0" distR="0">
            <wp:extent cx="5268036" cy="2224585"/>
            <wp:effectExtent l="0" t="0" r="0" b="0"/>
            <wp:docPr id="10"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A1C33" w:rsidRDefault="00EA1C33" w:rsidP="00EA1C33">
      <w:pPr>
        <w:spacing w:before="240" w:after="240" w:line="312" w:lineRule="auto"/>
        <w:jc w:val="both"/>
        <w:rPr>
          <w:rFonts w:ascii="Book Antiqua" w:eastAsia="Book Antiqua" w:hAnsi="Book Antiqua" w:cs="Book Antiqua"/>
          <w:sz w:val="24"/>
          <w:szCs w:val="24"/>
        </w:rPr>
      </w:pPr>
      <w:r w:rsidRPr="00382AB1">
        <w:rPr>
          <w:rFonts w:ascii="Book Antiqua" w:eastAsia="Book Antiqua" w:hAnsi="Book Antiqua" w:cs="Book Antiqua"/>
          <w:sz w:val="24"/>
          <w:szCs w:val="24"/>
        </w:rPr>
        <w:t xml:space="preserve">Le taux de sous-emploi des hommes (9,6%) est presque deux fois plus élevé que celui des femmes (4,9%). En milieu urbain, il est de 7,8% </w:t>
      </w:r>
      <w:r w:rsidR="001571E6">
        <w:rPr>
          <w:rFonts w:ascii="Book Antiqua" w:eastAsia="Book Antiqua" w:hAnsi="Book Antiqua" w:cs="Book Antiqua"/>
          <w:sz w:val="24"/>
          <w:szCs w:val="24"/>
        </w:rPr>
        <w:t>p</w:t>
      </w:r>
      <w:r w:rsidR="00015881">
        <w:rPr>
          <w:rFonts w:ascii="Book Antiqua" w:eastAsia="Book Antiqua" w:hAnsi="Book Antiqua" w:cs="Book Antiqua"/>
          <w:sz w:val="24"/>
          <w:szCs w:val="24"/>
        </w:rPr>
        <w:t>our</w:t>
      </w:r>
      <w:r w:rsidR="001571E6">
        <w:rPr>
          <w:rFonts w:ascii="Book Antiqua" w:eastAsia="Book Antiqua" w:hAnsi="Book Antiqua" w:cs="Book Antiqua"/>
          <w:sz w:val="24"/>
          <w:szCs w:val="24"/>
        </w:rPr>
        <w:t xml:space="preserve"> les hommes </w:t>
      </w:r>
      <w:r w:rsidRPr="00382AB1">
        <w:rPr>
          <w:rFonts w:ascii="Book Antiqua" w:eastAsia="Book Antiqua" w:hAnsi="Book Antiqua" w:cs="Book Antiqua"/>
          <w:sz w:val="24"/>
          <w:szCs w:val="24"/>
        </w:rPr>
        <w:t>contre 7,5% p</w:t>
      </w:r>
      <w:r w:rsidR="00015881">
        <w:rPr>
          <w:rFonts w:ascii="Book Antiqua" w:eastAsia="Book Antiqua" w:hAnsi="Book Antiqua" w:cs="Book Antiqua"/>
          <w:sz w:val="24"/>
          <w:szCs w:val="24"/>
        </w:rPr>
        <w:t>our</w:t>
      </w:r>
      <w:r w:rsidRPr="00382AB1">
        <w:rPr>
          <w:rFonts w:ascii="Book Antiqua" w:eastAsia="Book Antiqua" w:hAnsi="Book Antiqua" w:cs="Book Antiqua"/>
          <w:sz w:val="24"/>
          <w:szCs w:val="24"/>
        </w:rPr>
        <w:t xml:space="preserve"> les femmes et en milieu rural, il est presque 7 fois plus élevé parmi les hommes avec 12,3% que parmi les femmes (1,8%).</w:t>
      </w:r>
    </w:p>
    <w:p w:rsidR="001119A1" w:rsidRPr="001119A1" w:rsidRDefault="001119A1" w:rsidP="00591373">
      <w:pPr>
        <w:spacing w:after="160" w:line="259" w:lineRule="auto"/>
        <w:rPr>
          <w:rFonts w:ascii="Book Antiqua" w:hAnsi="Book Antiqua" w:cstheme="majorHAnsi"/>
          <w:b/>
          <w:bCs/>
          <w:color w:val="1F3864" w:themeColor="accent1" w:themeShade="80"/>
          <w:spacing w:val="-10"/>
          <w:kern w:val="28"/>
          <w:sz w:val="28"/>
          <w:szCs w:val="28"/>
        </w:rPr>
      </w:pPr>
      <w:r w:rsidRPr="001119A1">
        <w:rPr>
          <w:rFonts w:ascii="Book Antiqua" w:hAnsi="Book Antiqua" w:cstheme="majorHAnsi"/>
          <w:b/>
          <w:bCs/>
          <w:color w:val="1F3864" w:themeColor="accent1" w:themeShade="80"/>
          <w:spacing w:val="-10"/>
          <w:kern w:val="28"/>
          <w:sz w:val="28"/>
          <w:szCs w:val="28"/>
        </w:rPr>
        <w:t>III. Situation régionale du marché du travail</w:t>
      </w:r>
    </w:p>
    <w:p w:rsidR="004E2812" w:rsidRPr="00750952" w:rsidRDefault="004E2812" w:rsidP="00AF3462">
      <w:pPr>
        <w:spacing w:line="360" w:lineRule="auto"/>
        <w:jc w:val="both"/>
        <w:rPr>
          <w:rFonts w:ascii="Book Antiqua" w:hAnsi="Book Antiqua" w:cs="Times New Roman"/>
          <w:sz w:val="24"/>
          <w:szCs w:val="24"/>
        </w:rPr>
      </w:pPr>
      <w:r w:rsidRPr="00750952">
        <w:rPr>
          <w:rFonts w:ascii="Book Antiqua" w:hAnsi="Book Antiqua" w:cs="Times New Roman"/>
          <w:sz w:val="24"/>
          <w:szCs w:val="24"/>
        </w:rPr>
        <w:t>Cinq régions abritent 72</w:t>
      </w:r>
      <w:r w:rsidR="00AF3462" w:rsidRPr="00750952">
        <w:rPr>
          <w:rFonts w:ascii="Book Antiqua" w:hAnsi="Book Antiqua" w:cs="Times New Roman"/>
          <w:sz w:val="24"/>
          <w:szCs w:val="24"/>
        </w:rPr>
        <w:t>,6</w:t>
      </w:r>
      <w:r w:rsidRPr="00750952">
        <w:rPr>
          <w:rFonts w:ascii="Book Antiqua" w:hAnsi="Book Antiqua" w:cs="Times New Roman"/>
          <w:sz w:val="24"/>
          <w:szCs w:val="24"/>
        </w:rPr>
        <w:t>% de l’ensemble des actifs âgés de 15 ans et plus. Casablanca-Settat vient en première position avec 22,2% d’actifs, suivie de Rabat-Salé-Kénitra (13,</w:t>
      </w:r>
      <w:r w:rsidR="00AF3462" w:rsidRPr="00750952">
        <w:rPr>
          <w:rFonts w:ascii="Book Antiqua" w:hAnsi="Book Antiqua" w:cs="Times New Roman"/>
          <w:sz w:val="24"/>
          <w:szCs w:val="24"/>
        </w:rPr>
        <w:t>8</w:t>
      </w:r>
      <w:r w:rsidRPr="00750952">
        <w:rPr>
          <w:rFonts w:ascii="Book Antiqua" w:hAnsi="Book Antiqua" w:cs="Times New Roman"/>
          <w:sz w:val="24"/>
          <w:szCs w:val="24"/>
        </w:rPr>
        <w:t>%), de Marrakech-Safi (13,3%), de Tanger-Tétouan-Al Hoceima (1</w:t>
      </w:r>
      <w:r w:rsidR="00AF3462" w:rsidRPr="00750952">
        <w:rPr>
          <w:rFonts w:ascii="Book Antiqua" w:hAnsi="Book Antiqua" w:cs="Times New Roman"/>
          <w:sz w:val="24"/>
          <w:szCs w:val="24"/>
        </w:rPr>
        <w:t>2</w:t>
      </w:r>
      <w:r w:rsidRPr="00750952">
        <w:rPr>
          <w:rFonts w:ascii="Book Antiqua" w:hAnsi="Book Antiqua" w:cs="Times New Roman"/>
          <w:sz w:val="24"/>
          <w:szCs w:val="24"/>
        </w:rPr>
        <w:t>%) et de Fès-Meknès (11,</w:t>
      </w:r>
      <w:r w:rsidR="00AF3462" w:rsidRPr="00750952">
        <w:rPr>
          <w:rFonts w:ascii="Book Antiqua" w:hAnsi="Book Antiqua" w:cs="Times New Roman"/>
          <w:sz w:val="24"/>
          <w:szCs w:val="24"/>
        </w:rPr>
        <w:t>3</w:t>
      </w:r>
      <w:r w:rsidRPr="00750952">
        <w:rPr>
          <w:rFonts w:ascii="Book Antiqua" w:hAnsi="Book Antiqua" w:cs="Times New Roman"/>
          <w:sz w:val="24"/>
          <w:szCs w:val="24"/>
        </w:rPr>
        <w:t>%).</w:t>
      </w:r>
    </w:p>
    <w:p w:rsidR="00C35AF9" w:rsidRDefault="00C35AF9">
      <w:pPr>
        <w:spacing w:after="160" w:line="259" w:lineRule="auto"/>
        <w:rPr>
          <w:rFonts w:ascii="Book Antiqua" w:hAnsi="Book Antiqua" w:cs="Times New Roman"/>
          <w:sz w:val="24"/>
          <w:szCs w:val="24"/>
        </w:rPr>
      </w:pPr>
      <w:r>
        <w:rPr>
          <w:rFonts w:ascii="Book Antiqua" w:hAnsi="Book Antiqua" w:cs="Times New Roman"/>
          <w:sz w:val="24"/>
          <w:szCs w:val="24"/>
        </w:rPr>
        <w:br w:type="page"/>
      </w:r>
    </w:p>
    <w:p w:rsidR="0084300D" w:rsidRPr="00750952" w:rsidRDefault="00C35AF9" w:rsidP="008743C2">
      <w:pPr>
        <w:spacing w:line="360" w:lineRule="auto"/>
        <w:jc w:val="both"/>
        <w:rPr>
          <w:rFonts w:ascii="Book Antiqua" w:hAnsi="Book Antiqua" w:cs="Times New Roman"/>
          <w:b/>
          <w:bCs/>
          <w:sz w:val="20"/>
          <w:szCs w:val="20"/>
        </w:rPr>
      </w:pPr>
      <w:r>
        <w:rPr>
          <w:rFonts w:ascii="Book Antiqua" w:hAnsi="Book Antiqua" w:cs="Times New Roman"/>
          <w:sz w:val="24"/>
          <w:szCs w:val="24"/>
        </w:rPr>
        <w:lastRenderedPageBreak/>
        <w:t xml:space="preserve">Quatre </w:t>
      </w:r>
      <w:r w:rsidR="004E2812" w:rsidRPr="00750952">
        <w:rPr>
          <w:rFonts w:ascii="Book Antiqua" w:hAnsi="Book Antiqua" w:cs="Times New Roman"/>
          <w:sz w:val="24"/>
          <w:szCs w:val="24"/>
        </w:rPr>
        <w:t>régions enregistrent des taux d’activité supérie</w:t>
      </w:r>
      <w:r w:rsidR="0084300D" w:rsidRPr="00750952">
        <w:rPr>
          <w:rFonts w:ascii="Book Antiqua" w:hAnsi="Book Antiqua" w:cs="Times New Roman"/>
          <w:sz w:val="24"/>
          <w:szCs w:val="24"/>
        </w:rPr>
        <w:t>urs à la moyenne nationale (45,2</w:t>
      </w:r>
      <w:r w:rsidR="004E2812" w:rsidRPr="00750952">
        <w:rPr>
          <w:rFonts w:ascii="Book Antiqua" w:hAnsi="Book Antiqua" w:cs="Times New Roman"/>
          <w:sz w:val="24"/>
          <w:szCs w:val="24"/>
        </w:rPr>
        <w:t xml:space="preserve">%). </w:t>
      </w:r>
      <w:r w:rsidR="008743C2">
        <w:rPr>
          <w:rFonts w:ascii="Book Antiqua" w:hAnsi="Book Antiqua" w:cs="Times New Roman" w:hint="cs"/>
          <w:sz w:val="24"/>
          <w:szCs w:val="24"/>
          <w:rtl/>
          <w:lang w:bidi="tzm-Arab-MA"/>
        </w:rPr>
        <w:t xml:space="preserve"> </w:t>
      </w:r>
      <w:r w:rsidR="004E2812" w:rsidRPr="00750952">
        <w:rPr>
          <w:rFonts w:ascii="Book Antiqua" w:hAnsi="Book Antiqua" w:cs="Times New Roman"/>
          <w:sz w:val="24"/>
          <w:szCs w:val="24"/>
        </w:rPr>
        <w:t xml:space="preserve">Il s’agit </w:t>
      </w:r>
      <w:r w:rsidR="00BF58E1" w:rsidRPr="00750952">
        <w:rPr>
          <w:rFonts w:ascii="Book Antiqua" w:hAnsi="Book Antiqua" w:cs="Times New Roman"/>
          <w:sz w:val="24"/>
          <w:szCs w:val="24"/>
        </w:rPr>
        <w:t>des</w:t>
      </w:r>
      <w:r w:rsidR="007D2FFA" w:rsidRPr="00750952">
        <w:rPr>
          <w:rFonts w:ascii="Book Antiqua" w:hAnsi="Book Antiqua" w:cs="Times New Roman"/>
          <w:sz w:val="24"/>
          <w:szCs w:val="24"/>
        </w:rPr>
        <w:t xml:space="preserve"> régions de </w:t>
      </w:r>
      <w:r w:rsidR="0084300D" w:rsidRPr="00750952">
        <w:rPr>
          <w:rFonts w:ascii="Book Antiqua" w:hAnsi="Book Antiqua" w:cs="Times New Roman"/>
          <w:sz w:val="24"/>
          <w:szCs w:val="24"/>
        </w:rPr>
        <w:t>Tanger-Tétouan-Al Hoceima (51,2</w:t>
      </w:r>
      <w:r w:rsidR="004E2812" w:rsidRPr="00750952">
        <w:rPr>
          <w:rFonts w:ascii="Book Antiqua" w:hAnsi="Book Antiqua" w:cs="Times New Roman"/>
          <w:sz w:val="24"/>
          <w:szCs w:val="24"/>
        </w:rPr>
        <w:t>%),</w:t>
      </w:r>
      <w:r w:rsidR="008743C2">
        <w:rPr>
          <w:rFonts w:ascii="Book Antiqua" w:hAnsi="Book Antiqua" w:cs="Times New Roman" w:hint="cs"/>
          <w:sz w:val="24"/>
          <w:szCs w:val="24"/>
          <w:rtl/>
          <w:lang w:bidi="tzm-Arab-MA"/>
        </w:rPr>
        <w:t xml:space="preserve"> </w:t>
      </w:r>
      <w:r w:rsidR="00BF58E1" w:rsidRPr="00750952">
        <w:rPr>
          <w:rFonts w:ascii="Book Antiqua" w:hAnsi="Book Antiqua" w:cs="Times New Roman"/>
          <w:sz w:val="24"/>
          <w:szCs w:val="24"/>
        </w:rPr>
        <w:t xml:space="preserve">de </w:t>
      </w:r>
      <w:r w:rsidR="004E2812" w:rsidRPr="00750952">
        <w:rPr>
          <w:rFonts w:ascii="Book Antiqua" w:hAnsi="Book Antiqua" w:cs="Times New Roman"/>
          <w:sz w:val="24"/>
          <w:szCs w:val="24"/>
        </w:rPr>
        <w:t>Casablanca</w:t>
      </w:r>
      <w:r w:rsidR="0084300D" w:rsidRPr="00750952">
        <w:rPr>
          <w:rFonts w:ascii="Book Antiqua" w:hAnsi="Book Antiqua" w:cs="Times New Roman"/>
          <w:sz w:val="24"/>
          <w:szCs w:val="24"/>
        </w:rPr>
        <w:t>-Settat (47,5</w:t>
      </w:r>
      <w:r>
        <w:rPr>
          <w:rFonts w:ascii="Book Antiqua" w:hAnsi="Book Antiqua" w:cs="Times New Roman"/>
          <w:sz w:val="24"/>
          <w:szCs w:val="24"/>
        </w:rPr>
        <w:t xml:space="preserve">%), </w:t>
      </w:r>
      <w:r w:rsidR="00BF58E1" w:rsidRPr="00750952">
        <w:rPr>
          <w:rFonts w:ascii="Book Antiqua" w:hAnsi="Book Antiqua" w:cs="Times New Roman"/>
          <w:sz w:val="24"/>
          <w:szCs w:val="24"/>
        </w:rPr>
        <w:t>de</w:t>
      </w:r>
      <w:r w:rsidR="008743C2">
        <w:rPr>
          <w:rFonts w:ascii="Book Antiqua" w:hAnsi="Book Antiqua" w:cs="Times New Roman" w:hint="cs"/>
          <w:sz w:val="24"/>
          <w:szCs w:val="24"/>
          <w:rtl/>
          <w:lang w:bidi="tzm-Arab-MA"/>
        </w:rPr>
        <w:t xml:space="preserve"> </w:t>
      </w:r>
      <w:r w:rsidR="00BF58E1" w:rsidRPr="00750952">
        <w:rPr>
          <w:rFonts w:ascii="Book Antiqua" w:hAnsi="Book Antiqua" w:cs="Times New Roman"/>
          <w:sz w:val="24"/>
          <w:szCs w:val="24"/>
        </w:rPr>
        <w:t>Marrakech</w:t>
      </w:r>
      <w:r w:rsidR="004E2812" w:rsidRPr="00750952">
        <w:rPr>
          <w:rFonts w:ascii="Book Antiqua" w:hAnsi="Book Antiqua" w:cs="Times New Roman"/>
          <w:sz w:val="24"/>
          <w:szCs w:val="24"/>
        </w:rPr>
        <w:t>-Safi (46,</w:t>
      </w:r>
      <w:r w:rsidR="0084300D" w:rsidRPr="00750952">
        <w:rPr>
          <w:rFonts w:ascii="Book Antiqua" w:hAnsi="Book Antiqua" w:cs="Times New Roman"/>
          <w:sz w:val="24"/>
          <w:szCs w:val="24"/>
        </w:rPr>
        <w:t>5</w:t>
      </w:r>
      <w:r w:rsidR="004E2812" w:rsidRPr="00750952">
        <w:rPr>
          <w:rFonts w:ascii="Book Antiqua" w:hAnsi="Book Antiqua" w:cs="Times New Roman"/>
          <w:sz w:val="24"/>
          <w:szCs w:val="24"/>
        </w:rPr>
        <w:t>%)</w:t>
      </w:r>
      <w:r w:rsidR="008743C2">
        <w:rPr>
          <w:rFonts w:ascii="Book Antiqua" w:hAnsi="Book Antiqua" w:cs="Times New Roman" w:hint="cs"/>
          <w:sz w:val="24"/>
          <w:szCs w:val="24"/>
          <w:rtl/>
          <w:lang w:bidi="tzm-Arab-MA"/>
        </w:rPr>
        <w:t xml:space="preserve"> </w:t>
      </w:r>
      <w:r w:rsidRPr="00382AB1">
        <w:rPr>
          <w:rFonts w:ascii="Book Antiqua" w:hAnsi="Book Antiqua" w:cs="Times New Roman"/>
          <w:sz w:val="24"/>
          <w:szCs w:val="24"/>
        </w:rPr>
        <w:t>et de</w:t>
      </w:r>
      <w:r w:rsidR="008B60A3">
        <w:rPr>
          <w:rFonts w:ascii="Book Antiqua" w:hAnsi="Book Antiqua" w:cs="Times New Roman" w:hint="cs"/>
          <w:sz w:val="24"/>
          <w:szCs w:val="24"/>
          <w:rtl/>
          <w:lang w:bidi="tzm-Arab-MA"/>
        </w:rPr>
        <w:t xml:space="preserve"> </w:t>
      </w:r>
      <w:r w:rsidRPr="00382AB1">
        <w:rPr>
          <w:rFonts w:ascii="Book Antiqua" w:hAnsi="Book Antiqua" w:cs="Times New Roman"/>
          <w:sz w:val="24"/>
          <w:szCs w:val="24"/>
        </w:rPr>
        <w:t>Rabat-Salé-Kénitra (45,7%)</w:t>
      </w:r>
      <w:r w:rsidR="004E2812" w:rsidRPr="00750952">
        <w:rPr>
          <w:rFonts w:ascii="Book Antiqua" w:hAnsi="Book Antiqua" w:cs="Times New Roman"/>
          <w:sz w:val="24"/>
          <w:szCs w:val="24"/>
        </w:rPr>
        <w:t>. En revanche, les taux les plus bas sont enregistrés da</w:t>
      </w:r>
      <w:r w:rsidR="0084300D" w:rsidRPr="00750952">
        <w:rPr>
          <w:rFonts w:ascii="Book Antiqua" w:hAnsi="Book Antiqua" w:cs="Times New Roman"/>
          <w:sz w:val="24"/>
          <w:szCs w:val="24"/>
        </w:rPr>
        <w:t>ns les régions de Souss-Massa (39,9</w:t>
      </w:r>
      <w:r w:rsidR="004E2812" w:rsidRPr="00750952">
        <w:rPr>
          <w:rFonts w:ascii="Book Antiqua" w:hAnsi="Book Antiqua" w:cs="Times New Roman"/>
          <w:sz w:val="24"/>
          <w:szCs w:val="24"/>
        </w:rPr>
        <w:t>%)</w:t>
      </w:r>
      <w:r w:rsidR="0084300D" w:rsidRPr="00750952">
        <w:rPr>
          <w:rFonts w:ascii="Book Antiqua" w:hAnsi="Book Antiqua" w:cs="Times New Roman"/>
          <w:sz w:val="24"/>
          <w:szCs w:val="24"/>
        </w:rPr>
        <w:t>, de Béni Mellal-Khénifra (41,7%)</w:t>
      </w:r>
      <w:r w:rsidR="004E2812" w:rsidRPr="00750952">
        <w:rPr>
          <w:rFonts w:ascii="Book Antiqua" w:hAnsi="Book Antiqua" w:cs="Times New Roman"/>
          <w:sz w:val="24"/>
          <w:szCs w:val="24"/>
        </w:rPr>
        <w:t xml:space="preserve"> et de Fès-Meknès (42%)</w:t>
      </w:r>
      <w:r w:rsidR="0084300D" w:rsidRPr="00750952">
        <w:rPr>
          <w:rFonts w:ascii="Book Antiqua" w:hAnsi="Book Antiqua" w:cs="Times New Roman"/>
          <w:sz w:val="24"/>
          <w:szCs w:val="24"/>
        </w:rPr>
        <w:t>.</w:t>
      </w:r>
    </w:p>
    <w:p w:rsidR="0084300D" w:rsidRPr="00750952" w:rsidRDefault="0084300D" w:rsidP="0084300D">
      <w:pPr>
        <w:rPr>
          <w:rFonts w:ascii="Book Antiqua" w:hAnsi="Book Antiqua" w:cs="Times New Roman"/>
          <w:b/>
          <w:bCs/>
          <w:sz w:val="20"/>
          <w:szCs w:val="20"/>
        </w:rPr>
      </w:pPr>
    </w:p>
    <w:p w:rsidR="004E2812" w:rsidRDefault="004E2812" w:rsidP="00C35AF9">
      <w:pPr>
        <w:jc w:val="center"/>
        <w:rPr>
          <w:rFonts w:ascii="Book Antiqua" w:hAnsi="Book Antiqua" w:cs="Times New Roman"/>
          <w:b/>
          <w:bCs/>
          <w:sz w:val="20"/>
          <w:szCs w:val="20"/>
        </w:rPr>
      </w:pPr>
      <w:r w:rsidRPr="00750952">
        <w:rPr>
          <w:rFonts w:ascii="Book Antiqua" w:hAnsi="Book Antiqua" w:cs="Times New Roman"/>
          <w:b/>
          <w:bCs/>
          <w:sz w:val="20"/>
          <w:szCs w:val="20"/>
        </w:rPr>
        <w:t xml:space="preserve">Graphique </w:t>
      </w:r>
      <w:r w:rsidR="001A5A8D" w:rsidRPr="00750952">
        <w:rPr>
          <w:rFonts w:ascii="Book Antiqua" w:hAnsi="Book Antiqua" w:cs="Times New Roman"/>
          <w:b/>
          <w:bCs/>
          <w:sz w:val="20"/>
          <w:szCs w:val="20"/>
        </w:rPr>
        <w:t>8</w:t>
      </w:r>
      <w:r w:rsidR="00AF1591">
        <w:rPr>
          <w:rFonts w:ascii="Book Antiqua" w:hAnsi="Book Antiqua" w:cs="Times New Roman"/>
          <w:b/>
          <w:bCs/>
          <w:sz w:val="20"/>
          <w:szCs w:val="20"/>
        </w:rPr>
        <w:t xml:space="preserve">. </w:t>
      </w:r>
      <w:r w:rsidR="0084300D" w:rsidRPr="00750952">
        <w:rPr>
          <w:rFonts w:ascii="Book Antiqua" w:hAnsi="Book Antiqua" w:cs="Times New Roman"/>
          <w:b/>
          <w:bCs/>
          <w:sz w:val="20"/>
          <w:szCs w:val="20"/>
        </w:rPr>
        <w:t xml:space="preserve">Taux d’activité selon </w:t>
      </w:r>
      <w:r w:rsidR="007B76A0">
        <w:rPr>
          <w:rFonts w:ascii="Book Antiqua" w:hAnsi="Book Antiqua" w:cs="Times New Roman"/>
          <w:b/>
          <w:bCs/>
          <w:sz w:val="20"/>
          <w:szCs w:val="20"/>
        </w:rPr>
        <w:t xml:space="preserve">les </w:t>
      </w:r>
      <w:r w:rsidR="0084300D" w:rsidRPr="00750952">
        <w:rPr>
          <w:rFonts w:ascii="Book Antiqua" w:hAnsi="Book Antiqua" w:cs="Times New Roman"/>
          <w:b/>
          <w:bCs/>
          <w:sz w:val="20"/>
          <w:szCs w:val="20"/>
        </w:rPr>
        <w:t xml:space="preserve">régions au deuxième trimestre </w:t>
      </w:r>
      <w:r w:rsidR="006329C7">
        <w:rPr>
          <w:rFonts w:ascii="Book Antiqua" w:hAnsi="Book Antiqua" w:cs="Times New Roman"/>
          <w:b/>
          <w:bCs/>
          <w:sz w:val="20"/>
          <w:szCs w:val="20"/>
        </w:rPr>
        <w:t xml:space="preserve">de </w:t>
      </w:r>
      <w:r w:rsidR="0084300D" w:rsidRPr="00750952">
        <w:rPr>
          <w:rFonts w:ascii="Book Antiqua" w:hAnsi="Book Antiqua" w:cs="Times New Roman"/>
          <w:b/>
          <w:bCs/>
          <w:sz w:val="20"/>
          <w:szCs w:val="20"/>
        </w:rPr>
        <w:t>2022</w:t>
      </w:r>
      <w:r w:rsidRPr="00750952">
        <w:rPr>
          <w:rFonts w:ascii="Book Antiqua" w:hAnsi="Book Antiqua" w:cs="Times New Roman"/>
          <w:b/>
          <w:bCs/>
          <w:sz w:val="20"/>
          <w:szCs w:val="20"/>
        </w:rPr>
        <w:t>(en%)</w:t>
      </w:r>
    </w:p>
    <w:p w:rsidR="0084300D" w:rsidRDefault="0084300D" w:rsidP="004E2812">
      <w:pPr>
        <w:rPr>
          <w:rFonts w:ascii="Book Antiqua" w:hAnsi="Book Antiqua" w:cs="Times New Roman"/>
          <w:b/>
          <w:bCs/>
          <w:sz w:val="20"/>
          <w:szCs w:val="20"/>
        </w:rPr>
      </w:pPr>
    </w:p>
    <w:p w:rsidR="0084300D" w:rsidRDefault="0084300D" w:rsidP="0084300D">
      <w:pPr>
        <w:jc w:val="center"/>
        <w:rPr>
          <w:rFonts w:ascii="Book Antiqua" w:hAnsi="Book Antiqua" w:cs="Times New Roman"/>
          <w:b/>
          <w:bCs/>
          <w:sz w:val="24"/>
          <w:szCs w:val="24"/>
        </w:rPr>
      </w:pPr>
      <w:r w:rsidRPr="0084300D">
        <w:rPr>
          <w:rFonts w:ascii="Book Antiqua" w:hAnsi="Book Antiqua" w:cs="Times New Roman"/>
          <w:b/>
          <w:bCs/>
          <w:noProof/>
          <w:sz w:val="24"/>
          <w:szCs w:val="24"/>
        </w:rPr>
        <w:drawing>
          <wp:inline distT="0" distB="0" distL="0" distR="0">
            <wp:extent cx="4572000" cy="3045125"/>
            <wp:effectExtent l="0" t="0" r="0" b="0"/>
            <wp:docPr id="11"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E2812" w:rsidRDefault="004E2812" w:rsidP="004E2812">
      <w:pPr>
        <w:rPr>
          <w:rFonts w:ascii="Book Antiqua" w:hAnsi="Book Antiqua" w:cs="Times New Roman"/>
          <w:sz w:val="24"/>
          <w:szCs w:val="24"/>
        </w:rPr>
      </w:pPr>
    </w:p>
    <w:p w:rsidR="008743C2" w:rsidRDefault="008743C2" w:rsidP="006329C7">
      <w:pPr>
        <w:spacing w:line="360" w:lineRule="auto"/>
        <w:jc w:val="both"/>
        <w:rPr>
          <w:rFonts w:ascii="Book Antiqua" w:hAnsi="Book Antiqua" w:cs="Times New Roman"/>
          <w:sz w:val="24"/>
          <w:szCs w:val="24"/>
          <w:rtl/>
          <w:lang w:bidi="tzm-Arab-MA"/>
        </w:rPr>
      </w:pPr>
    </w:p>
    <w:p w:rsidR="004E2812" w:rsidRDefault="004E2812" w:rsidP="006329C7">
      <w:pPr>
        <w:spacing w:line="360" w:lineRule="auto"/>
        <w:jc w:val="both"/>
        <w:rPr>
          <w:rFonts w:ascii="Book Antiqua" w:hAnsi="Book Antiqua" w:cs="Times New Roman"/>
          <w:sz w:val="24"/>
          <w:szCs w:val="24"/>
          <w:rtl/>
          <w:lang w:bidi="tzm-Arab-MA"/>
        </w:rPr>
      </w:pPr>
      <w:r w:rsidRPr="00750952">
        <w:rPr>
          <w:rFonts w:ascii="Book Antiqua" w:hAnsi="Book Antiqua" w:cs="Times New Roman"/>
          <w:sz w:val="24"/>
          <w:szCs w:val="24"/>
        </w:rPr>
        <w:t xml:space="preserve">Par ailleurs, cinq régions concentrent près </w:t>
      </w:r>
      <w:r w:rsidR="006329C7">
        <w:rPr>
          <w:rFonts w:ascii="Book Antiqua" w:hAnsi="Book Antiqua" w:cs="Times New Roman"/>
          <w:sz w:val="24"/>
          <w:szCs w:val="24"/>
        </w:rPr>
        <w:t xml:space="preserve">de sept </w:t>
      </w:r>
      <w:r w:rsidRPr="00750952">
        <w:rPr>
          <w:rFonts w:ascii="Book Antiqua" w:hAnsi="Book Antiqua" w:cs="Times New Roman"/>
          <w:sz w:val="24"/>
          <w:szCs w:val="24"/>
        </w:rPr>
        <w:t xml:space="preserve">chômeurs </w:t>
      </w:r>
      <w:r w:rsidR="006329C7">
        <w:rPr>
          <w:rFonts w:ascii="Book Antiqua" w:hAnsi="Book Antiqua" w:cs="Times New Roman"/>
          <w:sz w:val="24"/>
          <w:szCs w:val="24"/>
        </w:rPr>
        <w:t xml:space="preserve">sur dix </w:t>
      </w:r>
      <w:r w:rsidRPr="00750952">
        <w:rPr>
          <w:rFonts w:ascii="Book Antiqua" w:hAnsi="Book Antiqua" w:cs="Times New Roman"/>
          <w:sz w:val="24"/>
          <w:szCs w:val="24"/>
        </w:rPr>
        <w:t>(71,</w:t>
      </w:r>
      <w:r w:rsidR="00A21302" w:rsidRPr="00750952">
        <w:rPr>
          <w:rFonts w:ascii="Book Antiqua" w:hAnsi="Book Antiqua" w:cs="Times New Roman"/>
          <w:sz w:val="24"/>
          <w:szCs w:val="24"/>
        </w:rPr>
        <w:t>1</w:t>
      </w:r>
      <w:r w:rsidRPr="00750952">
        <w:rPr>
          <w:rFonts w:ascii="Book Antiqua" w:hAnsi="Book Antiqua" w:cs="Times New Roman"/>
          <w:sz w:val="24"/>
          <w:szCs w:val="24"/>
        </w:rPr>
        <w:t>%) au niveau national. La région de Casablanca-Settat vi</w:t>
      </w:r>
      <w:r w:rsidR="00DB7687" w:rsidRPr="00750952">
        <w:rPr>
          <w:rFonts w:ascii="Book Antiqua" w:hAnsi="Book Antiqua" w:cs="Times New Roman"/>
          <w:sz w:val="24"/>
          <w:szCs w:val="24"/>
        </w:rPr>
        <w:t>ent en première position avec 25,5</w:t>
      </w:r>
      <w:r w:rsidRPr="00750952">
        <w:rPr>
          <w:rFonts w:ascii="Book Antiqua" w:hAnsi="Book Antiqua" w:cs="Times New Roman"/>
          <w:sz w:val="24"/>
          <w:szCs w:val="24"/>
        </w:rPr>
        <w:t xml:space="preserve">%, </w:t>
      </w:r>
      <w:r w:rsidR="00DB7687" w:rsidRPr="00750952">
        <w:rPr>
          <w:rFonts w:ascii="Book Antiqua" w:hAnsi="Book Antiqua" w:cs="Times New Roman"/>
          <w:sz w:val="24"/>
          <w:szCs w:val="24"/>
        </w:rPr>
        <w:t>suivie de Rabat-Salé-Kénitra (12,8</w:t>
      </w:r>
      <w:r w:rsidRPr="00750952">
        <w:rPr>
          <w:rFonts w:ascii="Book Antiqua" w:hAnsi="Book Antiqua" w:cs="Times New Roman"/>
          <w:sz w:val="24"/>
          <w:szCs w:val="24"/>
        </w:rPr>
        <w:t xml:space="preserve">%), de </w:t>
      </w:r>
      <w:r w:rsidR="00DB7687" w:rsidRPr="00750952">
        <w:rPr>
          <w:rFonts w:ascii="Book Antiqua" w:hAnsi="Book Antiqua" w:cs="Times New Roman"/>
          <w:sz w:val="24"/>
          <w:szCs w:val="24"/>
        </w:rPr>
        <w:t xml:space="preserve">Fès-Meknès </w:t>
      </w:r>
      <w:r w:rsidR="00BF58E1" w:rsidRPr="00750952">
        <w:rPr>
          <w:rFonts w:ascii="Book Antiqua" w:hAnsi="Book Antiqua" w:cs="Times New Roman"/>
          <w:sz w:val="24"/>
          <w:szCs w:val="24"/>
        </w:rPr>
        <w:t>(</w:t>
      </w:r>
      <w:r w:rsidR="00DB7687" w:rsidRPr="00750952">
        <w:rPr>
          <w:rFonts w:ascii="Book Antiqua" w:hAnsi="Book Antiqua" w:cs="Times New Roman"/>
          <w:sz w:val="24"/>
          <w:szCs w:val="24"/>
        </w:rPr>
        <w:t>12,7</w:t>
      </w:r>
      <w:r w:rsidRPr="00750952">
        <w:rPr>
          <w:rFonts w:ascii="Book Antiqua" w:hAnsi="Book Antiqua" w:cs="Times New Roman"/>
          <w:sz w:val="24"/>
          <w:szCs w:val="24"/>
        </w:rPr>
        <w:t>%</w:t>
      </w:r>
      <w:r w:rsidR="00BF58E1" w:rsidRPr="00750952">
        <w:rPr>
          <w:rFonts w:ascii="Book Antiqua" w:hAnsi="Book Antiqua" w:cs="Times New Roman"/>
          <w:sz w:val="24"/>
          <w:szCs w:val="24"/>
        </w:rPr>
        <w:t>)</w:t>
      </w:r>
      <w:r w:rsidRPr="00750952">
        <w:rPr>
          <w:rFonts w:ascii="Book Antiqua" w:hAnsi="Book Antiqua" w:cs="Times New Roman"/>
          <w:sz w:val="24"/>
          <w:szCs w:val="24"/>
        </w:rPr>
        <w:t xml:space="preserve">, </w:t>
      </w:r>
      <w:r w:rsidR="00DB7687" w:rsidRPr="00750952">
        <w:rPr>
          <w:rFonts w:ascii="Book Antiqua" w:hAnsi="Book Antiqua" w:cs="Times New Roman"/>
          <w:sz w:val="24"/>
          <w:szCs w:val="24"/>
        </w:rPr>
        <w:t xml:space="preserve">de l’Oriental (10,8%) et </w:t>
      </w:r>
      <w:r w:rsidRPr="00750952">
        <w:rPr>
          <w:rFonts w:ascii="Book Antiqua" w:hAnsi="Book Antiqua" w:cs="Times New Roman"/>
          <w:sz w:val="24"/>
          <w:szCs w:val="24"/>
        </w:rPr>
        <w:t>d</w:t>
      </w:r>
      <w:r w:rsidR="00DB7687" w:rsidRPr="00750952">
        <w:rPr>
          <w:rFonts w:ascii="Book Antiqua" w:hAnsi="Book Antiqua" w:cs="Times New Roman"/>
          <w:sz w:val="24"/>
          <w:szCs w:val="24"/>
        </w:rPr>
        <w:t>e Tanger-Tétouan-Al Hoceima (9,3%).</w:t>
      </w:r>
    </w:p>
    <w:p w:rsidR="008743C2" w:rsidRDefault="008743C2" w:rsidP="006329C7">
      <w:pPr>
        <w:spacing w:line="360" w:lineRule="auto"/>
        <w:jc w:val="both"/>
        <w:rPr>
          <w:rFonts w:ascii="Book Antiqua" w:hAnsi="Book Antiqua" w:cs="Times New Roman"/>
          <w:sz w:val="24"/>
          <w:szCs w:val="24"/>
          <w:lang w:bidi="tzm-Arab-MA"/>
        </w:rPr>
      </w:pPr>
    </w:p>
    <w:p w:rsidR="004E2812" w:rsidRDefault="004E2812" w:rsidP="00572CCC">
      <w:pPr>
        <w:spacing w:line="360" w:lineRule="auto"/>
        <w:jc w:val="lowKashida"/>
        <w:rPr>
          <w:rFonts w:ascii="Book Antiqua" w:hAnsi="Book Antiqua" w:cs="Times New Roman"/>
          <w:sz w:val="24"/>
          <w:szCs w:val="24"/>
        </w:rPr>
      </w:pPr>
      <w:r w:rsidRPr="00750952">
        <w:rPr>
          <w:rFonts w:ascii="Book Antiqua" w:hAnsi="Book Antiqua" w:cs="Times New Roman"/>
          <w:sz w:val="24"/>
          <w:szCs w:val="24"/>
        </w:rPr>
        <w:t xml:space="preserve">Les taux de chômage les plus élevés sont </w:t>
      </w:r>
      <w:r w:rsidR="006329C7">
        <w:rPr>
          <w:rFonts w:ascii="Book Antiqua" w:hAnsi="Book Antiqua" w:cs="Times New Roman"/>
          <w:sz w:val="24"/>
          <w:szCs w:val="24"/>
        </w:rPr>
        <w:t xml:space="preserve">enregistrés au niveau des </w:t>
      </w:r>
      <w:r w:rsidRPr="00750952">
        <w:rPr>
          <w:rFonts w:ascii="Book Antiqua" w:hAnsi="Book Antiqua" w:cs="Times New Roman"/>
          <w:sz w:val="24"/>
          <w:szCs w:val="24"/>
        </w:rPr>
        <w:t>régions du Sud (20,</w:t>
      </w:r>
      <w:r w:rsidR="00DB7687" w:rsidRPr="00750952">
        <w:rPr>
          <w:rFonts w:ascii="Book Antiqua" w:hAnsi="Book Antiqua" w:cs="Times New Roman"/>
          <w:sz w:val="24"/>
          <w:szCs w:val="24"/>
        </w:rPr>
        <w:t>9</w:t>
      </w:r>
      <w:r w:rsidRPr="00750952">
        <w:rPr>
          <w:rFonts w:ascii="Book Antiqua" w:hAnsi="Book Antiqua" w:cs="Times New Roman"/>
          <w:sz w:val="24"/>
          <w:szCs w:val="24"/>
        </w:rPr>
        <w:t xml:space="preserve">%) et </w:t>
      </w:r>
      <w:r w:rsidR="00DB7687" w:rsidRPr="00750952">
        <w:rPr>
          <w:rFonts w:ascii="Book Antiqua" w:hAnsi="Book Antiqua" w:cs="Times New Roman"/>
          <w:sz w:val="24"/>
          <w:szCs w:val="24"/>
        </w:rPr>
        <w:t>de</w:t>
      </w:r>
      <w:r w:rsidR="00C35AF9">
        <w:rPr>
          <w:rFonts w:ascii="Book Antiqua" w:hAnsi="Book Antiqua" w:cs="Times New Roman"/>
          <w:sz w:val="24"/>
          <w:szCs w:val="24"/>
        </w:rPr>
        <w:t xml:space="preserve"> dans la région de</w:t>
      </w:r>
      <w:r w:rsidR="00DB7687" w:rsidRPr="00750952">
        <w:rPr>
          <w:rFonts w:ascii="Book Antiqua" w:hAnsi="Book Antiqua" w:cs="Times New Roman"/>
          <w:sz w:val="24"/>
          <w:szCs w:val="24"/>
        </w:rPr>
        <w:t xml:space="preserve"> l’Oriental (18,2</w:t>
      </w:r>
      <w:r w:rsidRPr="00750952">
        <w:rPr>
          <w:rFonts w:ascii="Book Antiqua" w:hAnsi="Book Antiqua" w:cs="Times New Roman"/>
          <w:sz w:val="24"/>
          <w:szCs w:val="24"/>
        </w:rPr>
        <w:t xml:space="preserve">%). Avec une acuité moindre, deux autres régions dépassent la moyenne </w:t>
      </w:r>
      <w:r w:rsidR="00DB7687" w:rsidRPr="00750952">
        <w:rPr>
          <w:rFonts w:ascii="Book Antiqua" w:hAnsi="Book Antiqua" w:cs="Times New Roman"/>
          <w:sz w:val="24"/>
          <w:szCs w:val="24"/>
        </w:rPr>
        <w:t>nationale (11,2</w:t>
      </w:r>
      <w:r w:rsidR="00C35AF9">
        <w:rPr>
          <w:rFonts w:ascii="Book Antiqua" w:hAnsi="Book Antiqua" w:cs="Times New Roman"/>
          <w:sz w:val="24"/>
          <w:szCs w:val="24"/>
        </w:rPr>
        <w:t>%) ;</w:t>
      </w:r>
      <w:r w:rsidR="006329C7">
        <w:rPr>
          <w:rFonts w:ascii="Book Antiqua" w:hAnsi="Book Antiqua" w:cs="Times New Roman"/>
          <w:sz w:val="24"/>
          <w:szCs w:val="24"/>
        </w:rPr>
        <w:t xml:space="preserve">à savoir </w:t>
      </w:r>
      <w:r w:rsidRPr="00750952">
        <w:rPr>
          <w:rFonts w:ascii="Book Antiqua" w:hAnsi="Book Antiqua" w:cs="Times New Roman"/>
          <w:sz w:val="24"/>
          <w:szCs w:val="24"/>
        </w:rPr>
        <w:t>Casablanca-Settat (1</w:t>
      </w:r>
      <w:r w:rsidR="00DB7687" w:rsidRPr="00750952">
        <w:rPr>
          <w:rFonts w:ascii="Book Antiqua" w:hAnsi="Book Antiqua" w:cs="Times New Roman"/>
          <w:sz w:val="24"/>
          <w:szCs w:val="24"/>
        </w:rPr>
        <w:t>2,8</w:t>
      </w:r>
      <w:r w:rsidRPr="00750952">
        <w:rPr>
          <w:rFonts w:ascii="Book Antiqua" w:hAnsi="Book Antiqua" w:cs="Times New Roman"/>
          <w:sz w:val="24"/>
          <w:szCs w:val="24"/>
        </w:rPr>
        <w:t>%) et Fès-Meknès (1</w:t>
      </w:r>
      <w:r w:rsidR="00DB7687" w:rsidRPr="00750952">
        <w:rPr>
          <w:rFonts w:ascii="Book Antiqua" w:hAnsi="Book Antiqua" w:cs="Times New Roman"/>
          <w:sz w:val="24"/>
          <w:szCs w:val="24"/>
        </w:rPr>
        <w:t>2,5</w:t>
      </w:r>
      <w:r w:rsidRPr="00750952">
        <w:rPr>
          <w:rFonts w:ascii="Book Antiqua" w:hAnsi="Book Antiqua" w:cs="Times New Roman"/>
          <w:sz w:val="24"/>
          <w:szCs w:val="24"/>
        </w:rPr>
        <w:t xml:space="preserve">%). En revanche, les régions de Marrakech-Safi, </w:t>
      </w:r>
      <w:r w:rsidR="006329C7">
        <w:rPr>
          <w:rFonts w:ascii="Book Antiqua" w:hAnsi="Book Antiqua" w:cs="Times New Roman"/>
          <w:sz w:val="24"/>
          <w:szCs w:val="24"/>
        </w:rPr>
        <w:t xml:space="preserve">de </w:t>
      </w:r>
      <w:r w:rsidR="00DB7687" w:rsidRPr="00750952">
        <w:rPr>
          <w:rFonts w:ascii="Book Antiqua" w:hAnsi="Book Antiqua" w:cs="Times New Roman"/>
          <w:sz w:val="24"/>
          <w:szCs w:val="24"/>
        </w:rPr>
        <w:t xml:space="preserve">Béni Mellal- Khénifra et </w:t>
      </w:r>
      <w:r w:rsidR="006329C7">
        <w:rPr>
          <w:rFonts w:ascii="Book Antiqua" w:hAnsi="Book Antiqua" w:cs="Times New Roman"/>
          <w:sz w:val="24"/>
          <w:szCs w:val="24"/>
        </w:rPr>
        <w:t xml:space="preserve">de </w:t>
      </w:r>
      <w:r w:rsidR="006329C7" w:rsidRPr="006329C7">
        <w:rPr>
          <w:rFonts w:ascii="Book Antiqua" w:hAnsi="Book Antiqua" w:cs="Times New Roman"/>
          <w:sz w:val="24"/>
          <w:szCs w:val="24"/>
        </w:rPr>
        <w:t>Tanger-Tétouan-Al Hoceïma</w:t>
      </w:r>
      <w:r w:rsidR="00EE0059">
        <w:rPr>
          <w:rFonts w:ascii="Book Antiqua" w:hAnsi="Book Antiqua" w:cs="Times New Roman"/>
          <w:sz w:val="24"/>
          <w:szCs w:val="24"/>
        </w:rPr>
        <w:t xml:space="preserve"> </w:t>
      </w:r>
      <w:r w:rsidRPr="00750952">
        <w:rPr>
          <w:rFonts w:ascii="Book Antiqua" w:hAnsi="Book Antiqua" w:cs="Times New Roman"/>
          <w:sz w:val="24"/>
          <w:szCs w:val="24"/>
        </w:rPr>
        <w:t xml:space="preserve">enregistrent les taux les plus bas, respectivement </w:t>
      </w:r>
      <w:r w:rsidR="00DB7687" w:rsidRPr="00750952">
        <w:rPr>
          <w:rFonts w:ascii="Book Antiqua" w:hAnsi="Book Antiqua" w:cs="Times New Roman"/>
          <w:sz w:val="24"/>
          <w:szCs w:val="24"/>
        </w:rPr>
        <w:t xml:space="preserve">6,5%, 8,7% et </w:t>
      </w:r>
      <w:r w:rsidR="006329C7">
        <w:rPr>
          <w:rFonts w:ascii="Book Antiqua" w:hAnsi="Book Antiqua" w:cs="Times New Roman"/>
          <w:sz w:val="24"/>
          <w:szCs w:val="24"/>
        </w:rPr>
        <w:t>8,7</w:t>
      </w:r>
      <w:r w:rsidR="00DB7687" w:rsidRPr="00750952">
        <w:rPr>
          <w:rFonts w:ascii="Book Antiqua" w:hAnsi="Book Antiqua" w:cs="Times New Roman"/>
          <w:sz w:val="24"/>
          <w:szCs w:val="24"/>
        </w:rPr>
        <w:t>%.</w:t>
      </w:r>
    </w:p>
    <w:p w:rsidR="00C35AF9" w:rsidRPr="00382AB1" w:rsidRDefault="00C35AF9" w:rsidP="00C35AF9">
      <w:pPr>
        <w:spacing w:line="360" w:lineRule="auto"/>
        <w:jc w:val="lowKashida"/>
        <w:rPr>
          <w:rFonts w:ascii="Book Antiqua" w:hAnsi="Book Antiqua" w:cs="Times New Roman"/>
          <w:sz w:val="24"/>
          <w:szCs w:val="24"/>
        </w:rPr>
      </w:pPr>
    </w:p>
    <w:p w:rsidR="00C35AF9" w:rsidRPr="00750952" w:rsidRDefault="00C35AF9" w:rsidP="00572CCC">
      <w:pPr>
        <w:spacing w:line="360" w:lineRule="auto"/>
        <w:jc w:val="lowKashida"/>
        <w:rPr>
          <w:rFonts w:ascii="Book Antiqua" w:hAnsi="Book Antiqua" w:cs="Times New Roman"/>
          <w:sz w:val="24"/>
          <w:szCs w:val="24"/>
        </w:rPr>
      </w:pPr>
    </w:p>
    <w:p w:rsidR="00750952" w:rsidRDefault="004E2812" w:rsidP="00202FF2">
      <w:pPr>
        <w:spacing w:line="360" w:lineRule="auto"/>
        <w:jc w:val="center"/>
        <w:rPr>
          <w:rFonts w:ascii="Book Antiqua" w:hAnsi="Book Antiqua" w:cs="Times New Roman"/>
          <w:sz w:val="24"/>
          <w:szCs w:val="24"/>
        </w:rPr>
      </w:pPr>
      <w:r w:rsidRPr="00750952">
        <w:rPr>
          <w:rFonts w:ascii="Book Antiqua" w:hAnsi="Book Antiqua" w:cs="Times New Roman"/>
          <w:b/>
          <w:bCs/>
          <w:sz w:val="20"/>
          <w:szCs w:val="20"/>
        </w:rPr>
        <w:lastRenderedPageBreak/>
        <w:t xml:space="preserve">Graphique </w:t>
      </w:r>
      <w:r w:rsidR="001A5A8D" w:rsidRPr="00750952">
        <w:rPr>
          <w:rFonts w:ascii="Book Antiqua" w:hAnsi="Book Antiqua" w:cs="Times New Roman"/>
          <w:b/>
          <w:bCs/>
          <w:sz w:val="20"/>
          <w:szCs w:val="20"/>
        </w:rPr>
        <w:t>9</w:t>
      </w:r>
      <w:r w:rsidR="00AF1591">
        <w:rPr>
          <w:rFonts w:ascii="Book Antiqua" w:hAnsi="Book Antiqua" w:cs="Times New Roman"/>
          <w:b/>
          <w:bCs/>
          <w:sz w:val="20"/>
          <w:szCs w:val="20"/>
        </w:rPr>
        <w:t xml:space="preserve">. </w:t>
      </w:r>
      <w:r w:rsidRPr="00750952">
        <w:rPr>
          <w:rFonts w:ascii="Book Antiqua" w:hAnsi="Book Antiqua" w:cs="Times New Roman"/>
          <w:b/>
          <w:bCs/>
          <w:sz w:val="20"/>
          <w:szCs w:val="20"/>
        </w:rPr>
        <w:t xml:space="preserve">Taux de chômage selon les régions </w:t>
      </w:r>
      <w:r w:rsidR="00A21302" w:rsidRPr="00750952">
        <w:rPr>
          <w:rFonts w:ascii="Book Antiqua" w:hAnsi="Book Antiqua" w:cs="Times New Roman"/>
          <w:b/>
          <w:bCs/>
          <w:sz w:val="20"/>
          <w:szCs w:val="20"/>
        </w:rPr>
        <w:t>au deuxième trimestre de  2022</w:t>
      </w:r>
      <w:r w:rsidRPr="00750952">
        <w:rPr>
          <w:rFonts w:ascii="Book Antiqua" w:hAnsi="Book Antiqua" w:cs="Times New Roman"/>
          <w:b/>
          <w:bCs/>
          <w:sz w:val="20"/>
          <w:szCs w:val="20"/>
        </w:rPr>
        <w:t xml:space="preserve"> (en%)</w:t>
      </w:r>
      <w:r w:rsidR="00750952" w:rsidRPr="00750952">
        <w:rPr>
          <w:rFonts w:ascii="Book Antiqua" w:hAnsi="Book Antiqua" w:cs="Times New Roman"/>
          <w:noProof/>
          <w:sz w:val="24"/>
          <w:szCs w:val="24"/>
        </w:rPr>
        <w:drawing>
          <wp:inline distT="0" distB="0" distL="0" distR="0">
            <wp:extent cx="4572000" cy="2497540"/>
            <wp:effectExtent l="0" t="0" r="0" b="0"/>
            <wp:docPr id="6"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E2812" w:rsidRPr="00AF1591" w:rsidRDefault="00DB7687" w:rsidP="00202FF2">
      <w:pPr>
        <w:spacing w:after="160" w:line="259" w:lineRule="auto"/>
        <w:rPr>
          <w:rFonts w:ascii="Book Antiqua" w:eastAsia="Book Antiqua" w:hAnsi="Book Antiqua" w:cs="Book Antiqua"/>
          <w:b/>
          <w:color w:val="0070C0"/>
          <w:sz w:val="24"/>
          <w:szCs w:val="24"/>
        </w:rPr>
      </w:pPr>
      <w:r>
        <w:rPr>
          <w:rFonts w:ascii="Book Antiqua" w:eastAsia="Times New Roman" w:hAnsi="Book Antiqua" w:cs="Browallia New"/>
          <w:b/>
          <w:bCs/>
        </w:rPr>
        <w:br w:type="page"/>
      </w:r>
      <w:r w:rsidR="004E2812" w:rsidRPr="00AF1591">
        <w:rPr>
          <w:rFonts w:ascii="Book Antiqua" w:eastAsia="Book Antiqua" w:hAnsi="Book Antiqua" w:cs="Book Antiqua"/>
          <w:b/>
          <w:color w:val="0070C0"/>
          <w:sz w:val="24"/>
          <w:szCs w:val="24"/>
        </w:rPr>
        <w:lastRenderedPageBreak/>
        <w:t xml:space="preserve">Tableau1 : Indicateurs </w:t>
      </w:r>
      <w:r w:rsidR="00AF1591" w:rsidRPr="00AF1591">
        <w:rPr>
          <w:rFonts w:ascii="Book Antiqua" w:eastAsia="Book Antiqua" w:hAnsi="Book Antiqua" w:cs="Book Antiqua"/>
          <w:b/>
          <w:color w:val="0070C0"/>
          <w:sz w:val="24"/>
          <w:szCs w:val="24"/>
        </w:rPr>
        <w:t>trimestriels</w:t>
      </w:r>
      <w:r w:rsidR="004E2812" w:rsidRPr="00AF1591">
        <w:rPr>
          <w:rFonts w:ascii="Book Antiqua" w:eastAsia="Book Antiqua" w:hAnsi="Book Antiqua" w:cs="Book Antiqua"/>
          <w:b/>
          <w:color w:val="0070C0"/>
          <w:sz w:val="24"/>
          <w:szCs w:val="24"/>
        </w:rPr>
        <w:t xml:space="preserve"> d’activité, d’emploi et de chômage par milieu de résidence</w:t>
      </w:r>
      <w:r w:rsidR="00AF1591">
        <w:rPr>
          <w:rFonts w:ascii="Book Antiqua" w:eastAsia="Book Antiqua" w:hAnsi="Book Antiqua" w:cs="Book Antiqua"/>
          <w:b/>
          <w:color w:val="0070C0"/>
          <w:sz w:val="24"/>
          <w:szCs w:val="24"/>
        </w:rPr>
        <w:t>.</w:t>
      </w:r>
    </w:p>
    <w:tbl>
      <w:tblPr>
        <w:tblStyle w:val="Grilledutableau"/>
        <w:tblW w:w="0" w:type="auto"/>
        <w:tblLook w:val="04A0"/>
      </w:tblPr>
      <w:tblGrid>
        <w:gridCol w:w="3235"/>
        <w:gridCol w:w="972"/>
        <w:gridCol w:w="971"/>
        <w:gridCol w:w="971"/>
        <w:gridCol w:w="971"/>
        <w:gridCol w:w="971"/>
        <w:gridCol w:w="971"/>
      </w:tblGrid>
      <w:tr w:rsidR="00750952" w:rsidTr="00C95867">
        <w:trPr>
          <w:trHeight w:val="300"/>
        </w:trPr>
        <w:tc>
          <w:tcPr>
            <w:tcW w:w="32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750952" w:rsidRDefault="0075095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tl/>
              </w:rPr>
              <w:t> </w:t>
            </w:r>
          </w:p>
        </w:tc>
        <w:tc>
          <w:tcPr>
            <w:tcW w:w="29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750952" w:rsidRDefault="00750952" w:rsidP="00457D7C">
            <w:pPr>
              <w:spacing w:line="240" w:lineRule="auto"/>
              <w:jc w:val="center"/>
              <w:rPr>
                <w:rFonts w:asciiTheme="majorBidi" w:hAnsiTheme="majorBidi" w:cstheme="majorBidi"/>
                <w:b/>
                <w:bCs/>
                <w:sz w:val="18"/>
                <w:szCs w:val="18"/>
              </w:rPr>
            </w:pPr>
            <w:r w:rsidRPr="001B5566">
              <w:rPr>
                <w:rFonts w:ascii="Book Antiqua" w:eastAsia="Book Antiqua" w:hAnsi="Book Antiqua" w:cs="Book Antiqua"/>
                <w:b/>
                <w:bCs/>
                <w:sz w:val="20"/>
                <w:szCs w:val="20"/>
              </w:rPr>
              <w:t>2</w:t>
            </w:r>
            <w:r w:rsidRPr="001B5566">
              <w:rPr>
                <w:rFonts w:ascii="Book Antiqua" w:eastAsia="Book Antiqua" w:hAnsi="Book Antiqua" w:cs="Book Antiqua"/>
                <w:b/>
                <w:bCs/>
                <w:sz w:val="20"/>
                <w:szCs w:val="20"/>
                <w:vertAlign w:val="superscript"/>
              </w:rPr>
              <w:t>ème</w:t>
            </w:r>
            <w:r w:rsidRPr="001B5566">
              <w:rPr>
                <w:rFonts w:ascii="Book Antiqua" w:eastAsia="Book Antiqua" w:hAnsi="Book Antiqua" w:cs="Book Antiqua"/>
                <w:b/>
                <w:bCs/>
                <w:sz w:val="20"/>
                <w:szCs w:val="20"/>
              </w:rPr>
              <w:t xml:space="preserve"> trimestre de 202</w:t>
            </w:r>
            <w:r>
              <w:rPr>
                <w:rFonts w:ascii="Book Antiqua" w:eastAsia="Book Antiqua" w:hAnsi="Book Antiqua" w:cs="Book Antiqua"/>
                <w:b/>
                <w:bCs/>
                <w:sz w:val="20"/>
                <w:szCs w:val="20"/>
              </w:rPr>
              <w:t>1</w:t>
            </w:r>
          </w:p>
        </w:tc>
        <w:tc>
          <w:tcPr>
            <w:tcW w:w="29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750952" w:rsidRDefault="00750952" w:rsidP="00457D7C">
            <w:pPr>
              <w:spacing w:line="240" w:lineRule="auto"/>
              <w:jc w:val="center"/>
              <w:rPr>
                <w:rFonts w:asciiTheme="majorBidi" w:hAnsiTheme="majorBidi" w:cstheme="majorBidi"/>
                <w:b/>
                <w:bCs/>
                <w:sz w:val="18"/>
                <w:szCs w:val="18"/>
              </w:rPr>
            </w:pPr>
            <w:r w:rsidRPr="001B5566">
              <w:rPr>
                <w:rFonts w:ascii="Book Antiqua" w:eastAsia="Book Antiqua" w:hAnsi="Book Antiqua" w:cs="Book Antiqua"/>
                <w:b/>
                <w:bCs/>
                <w:sz w:val="20"/>
                <w:szCs w:val="20"/>
              </w:rPr>
              <w:t>2</w:t>
            </w:r>
            <w:r w:rsidRPr="001B5566">
              <w:rPr>
                <w:rFonts w:ascii="Book Antiqua" w:eastAsia="Book Antiqua" w:hAnsi="Book Antiqua" w:cs="Book Antiqua"/>
                <w:b/>
                <w:bCs/>
                <w:sz w:val="20"/>
                <w:szCs w:val="20"/>
                <w:vertAlign w:val="superscript"/>
              </w:rPr>
              <w:t>ème</w:t>
            </w:r>
            <w:r w:rsidRPr="001B5566">
              <w:rPr>
                <w:rFonts w:ascii="Book Antiqua" w:eastAsia="Book Antiqua" w:hAnsi="Book Antiqua" w:cs="Book Antiqua"/>
                <w:b/>
                <w:bCs/>
                <w:sz w:val="20"/>
                <w:szCs w:val="20"/>
              </w:rPr>
              <w:t xml:space="preserve"> trimestre de 202</w:t>
            </w:r>
            <w:r>
              <w:rPr>
                <w:rFonts w:ascii="Book Antiqua" w:eastAsia="Book Antiqua" w:hAnsi="Book Antiqua" w:cs="Book Antiqua"/>
                <w:b/>
                <w:bCs/>
                <w:sz w:val="20"/>
                <w:szCs w:val="20"/>
              </w:rPr>
              <w:t>2</w:t>
            </w:r>
          </w:p>
        </w:tc>
      </w:tr>
      <w:tr w:rsidR="004E2812" w:rsidTr="00C95867">
        <w:trPr>
          <w:trHeight w:val="30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2812" w:rsidRDefault="004E2812">
            <w:pPr>
              <w:spacing w:line="240" w:lineRule="auto"/>
              <w:rPr>
                <w:rFonts w:asciiTheme="majorBidi" w:eastAsia="Times New Roman" w:hAnsiTheme="majorBidi" w:cstheme="majorBidi"/>
                <w:sz w:val="18"/>
                <w:szCs w:val="18"/>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rsidP="00CA5A3C">
            <w:pPr>
              <w:spacing w:line="240" w:lineRule="auto"/>
              <w:jc w:val="center"/>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Urbain</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rsidP="00CA5A3C">
            <w:pPr>
              <w:spacing w:line="240" w:lineRule="auto"/>
              <w:jc w:val="center"/>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Rural</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rsidP="00CA5A3C">
            <w:pPr>
              <w:spacing w:line="240" w:lineRule="auto"/>
              <w:jc w:val="center"/>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Ensemble</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rsidP="00CA5A3C">
            <w:pPr>
              <w:spacing w:line="240" w:lineRule="auto"/>
              <w:jc w:val="center"/>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Urbain</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rsidP="00CA5A3C">
            <w:pPr>
              <w:spacing w:line="240" w:lineRule="auto"/>
              <w:jc w:val="center"/>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Rural</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rsidP="00CA5A3C">
            <w:pPr>
              <w:spacing w:line="240" w:lineRule="auto"/>
              <w:jc w:val="center"/>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Ensemble</w:t>
            </w:r>
          </w:p>
        </w:tc>
      </w:tr>
      <w:tr w:rsidR="004E2812" w:rsidRPr="004E2812" w:rsidTr="00C95867">
        <w:trPr>
          <w:trHeight w:val="300"/>
        </w:trPr>
        <w:tc>
          <w:tcPr>
            <w:tcW w:w="90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b/>
                <w:bCs/>
                <w:color w:val="2F5496" w:themeColor="accent1" w:themeShade="BF"/>
                <w:sz w:val="18"/>
                <w:szCs w:val="18"/>
              </w:rPr>
            </w:pPr>
            <w:r>
              <w:rPr>
                <w:rFonts w:asciiTheme="majorBidi" w:eastAsia="Times New Roman" w:hAnsiTheme="majorBidi" w:cstheme="majorBidi"/>
                <w:b/>
                <w:bCs/>
                <w:color w:val="2F5496" w:themeColor="accent1" w:themeShade="BF"/>
                <w:sz w:val="18"/>
                <w:szCs w:val="18"/>
              </w:rPr>
              <w:t>Activité (des 15 ans et plus)</w:t>
            </w:r>
          </w:p>
        </w:tc>
      </w:tr>
      <w:tr w:rsidR="00457D7C" w:rsidRPr="00BF58E1" w:rsidTr="00457D7C">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BF58E1" w:rsidRDefault="00457D7C">
            <w:pPr>
              <w:spacing w:line="240" w:lineRule="auto"/>
              <w:rPr>
                <w:rFonts w:asciiTheme="majorBidi" w:eastAsia="Times New Roman" w:hAnsiTheme="majorBidi" w:cstheme="majorBidi"/>
                <w:b/>
                <w:bCs/>
                <w:sz w:val="18"/>
                <w:szCs w:val="18"/>
              </w:rPr>
            </w:pPr>
            <w:r w:rsidRPr="00BF58E1">
              <w:rPr>
                <w:rFonts w:asciiTheme="majorBidi" w:eastAsia="Times New Roman" w:hAnsiTheme="majorBidi" w:cstheme="majorBidi"/>
                <w:b/>
                <w:bCs/>
                <w:sz w:val="18"/>
                <w:szCs w:val="18"/>
              </w:rPr>
              <w:t>Population active</w:t>
            </w:r>
            <w:r>
              <w:rPr>
                <w:rFonts w:asciiTheme="majorBidi" w:eastAsia="Times New Roman" w:hAnsiTheme="majorBidi" w:cstheme="majorBidi"/>
                <w:b/>
                <w:bCs/>
                <w:sz w:val="18"/>
                <w:szCs w:val="18"/>
              </w:rPr>
              <w:t xml:space="preserve"> (en milliers)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CA5A3C">
            <w:pPr>
              <w:ind w:firstLineChars="100" w:firstLine="221"/>
              <w:rPr>
                <w:rFonts w:asciiTheme="majorBidi" w:eastAsia="Times New Roman" w:hAnsiTheme="majorBidi" w:cstheme="majorBidi"/>
                <w:b/>
                <w:bCs/>
              </w:rPr>
            </w:pPr>
            <w:r w:rsidRPr="00CA5A3C">
              <w:rPr>
                <w:rFonts w:asciiTheme="majorBidi" w:eastAsia="Times New Roman" w:hAnsiTheme="majorBidi" w:cstheme="majorBidi"/>
                <w:b/>
                <w:bCs/>
              </w:rPr>
              <w:t>7 543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CA5A3C">
            <w:pPr>
              <w:ind w:firstLineChars="100" w:firstLine="221"/>
              <w:rPr>
                <w:rFonts w:asciiTheme="majorBidi" w:eastAsia="Times New Roman" w:hAnsiTheme="majorBidi" w:cstheme="majorBidi"/>
                <w:b/>
                <w:bCs/>
              </w:rPr>
            </w:pPr>
            <w:r w:rsidRPr="00CA5A3C">
              <w:rPr>
                <w:rFonts w:asciiTheme="majorBidi" w:eastAsia="Times New Roman" w:hAnsiTheme="majorBidi" w:cstheme="majorBidi"/>
                <w:b/>
                <w:bCs/>
              </w:rPr>
              <w:t>4 954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1C41B5" w:rsidP="00CA5A3C">
            <w:pPr>
              <w:rPr>
                <w:rFonts w:asciiTheme="majorBidi" w:eastAsia="Times New Roman" w:hAnsiTheme="majorBidi" w:cstheme="majorBidi"/>
                <w:b/>
                <w:bCs/>
              </w:rPr>
            </w:pPr>
            <w:r>
              <w:rPr>
                <w:rFonts w:asciiTheme="majorBidi" w:eastAsia="Times New Roman" w:hAnsiTheme="majorBidi" w:cstheme="majorBidi"/>
                <w:b/>
                <w:bCs/>
              </w:rPr>
              <w:t xml:space="preserve">  </w:t>
            </w:r>
            <w:r w:rsidR="00457D7C" w:rsidRPr="00CA5A3C">
              <w:rPr>
                <w:rFonts w:asciiTheme="majorBidi" w:eastAsia="Times New Roman" w:hAnsiTheme="majorBidi" w:cstheme="majorBidi"/>
                <w:b/>
                <w:bCs/>
              </w:rPr>
              <w:t>12 497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CA5A3C">
            <w:pPr>
              <w:ind w:firstLineChars="100" w:firstLine="221"/>
              <w:rPr>
                <w:rFonts w:asciiTheme="majorBidi" w:eastAsia="Times New Roman" w:hAnsiTheme="majorBidi" w:cstheme="majorBidi"/>
                <w:b/>
                <w:bCs/>
              </w:rPr>
            </w:pPr>
            <w:r w:rsidRPr="00CA5A3C">
              <w:rPr>
                <w:rFonts w:asciiTheme="majorBidi" w:eastAsia="Times New Roman" w:hAnsiTheme="majorBidi" w:cstheme="majorBidi"/>
                <w:b/>
                <w:bCs/>
              </w:rPr>
              <w:t>7 646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CA5A3C">
            <w:pPr>
              <w:ind w:firstLineChars="100" w:firstLine="221"/>
              <w:rPr>
                <w:rFonts w:asciiTheme="majorBidi" w:eastAsia="Times New Roman" w:hAnsiTheme="majorBidi" w:cstheme="majorBidi"/>
                <w:b/>
                <w:bCs/>
              </w:rPr>
            </w:pPr>
            <w:r w:rsidRPr="00CA5A3C">
              <w:rPr>
                <w:rFonts w:asciiTheme="majorBidi" w:eastAsia="Times New Roman" w:hAnsiTheme="majorBidi" w:cstheme="majorBidi"/>
                <w:b/>
                <w:bCs/>
              </w:rPr>
              <w:t>4 766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1C41B5" w:rsidP="00CA5A3C">
            <w:pPr>
              <w:rPr>
                <w:rFonts w:asciiTheme="majorBidi" w:eastAsia="Times New Roman" w:hAnsiTheme="majorBidi" w:cstheme="majorBidi"/>
                <w:b/>
                <w:bCs/>
              </w:rPr>
            </w:pPr>
            <w:r>
              <w:rPr>
                <w:rFonts w:asciiTheme="majorBidi" w:eastAsia="Times New Roman" w:hAnsiTheme="majorBidi" w:cstheme="majorBidi"/>
                <w:b/>
                <w:bCs/>
              </w:rPr>
              <w:t xml:space="preserve">  </w:t>
            </w:r>
            <w:r w:rsidR="00457D7C" w:rsidRPr="00CA5A3C">
              <w:rPr>
                <w:rFonts w:asciiTheme="majorBidi" w:eastAsia="Times New Roman" w:hAnsiTheme="majorBidi" w:cstheme="majorBidi"/>
                <w:b/>
                <w:bCs/>
              </w:rPr>
              <w:t>12 411</w:t>
            </w:r>
          </w:p>
        </w:tc>
      </w:tr>
      <w:tr w:rsidR="00457D7C" w:rsidTr="00457D7C">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Default="00457D7C">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Taux de féminisation de la population active (%)</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CA5A3C">
            <w:pPr>
              <w:ind w:firstLineChars="100" w:firstLine="220"/>
              <w:jc w:val="right"/>
              <w:rPr>
                <w:rFonts w:asciiTheme="majorBidi" w:eastAsia="Times New Roman" w:hAnsiTheme="majorBidi" w:cstheme="majorBidi"/>
              </w:rPr>
            </w:pPr>
            <w:r w:rsidRPr="00CA5A3C">
              <w:rPr>
                <w:rFonts w:asciiTheme="majorBidi" w:eastAsia="Times New Roman" w:hAnsiTheme="majorBidi" w:cstheme="majorBidi"/>
              </w:rPr>
              <w:t>23,6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CA5A3C">
            <w:pPr>
              <w:ind w:firstLineChars="100" w:firstLine="220"/>
              <w:jc w:val="right"/>
              <w:rPr>
                <w:rFonts w:asciiTheme="majorBidi" w:eastAsia="Times New Roman" w:hAnsiTheme="majorBidi" w:cstheme="majorBidi"/>
              </w:rPr>
            </w:pPr>
            <w:r w:rsidRPr="00CA5A3C">
              <w:rPr>
                <w:rFonts w:asciiTheme="majorBidi" w:eastAsia="Times New Roman" w:hAnsiTheme="majorBidi" w:cstheme="majorBidi"/>
              </w:rPr>
              <w:t>26,6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CA5A3C">
            <w:pPr>
              <w:ind w:firstLineChars="100" w:firstLine="220"/>
              <w:jc w:val="right"/>
              <w:rPr>
                <w:rFonts w:asciiTheme="majorBidi" w:eastAsia="Times New Roman" w:hAnsiTheme="majorBidi" w:cstheme="majorBidi"/>
              </w:rPr>
            </w:pPr>
            <w:r w:rsidRPr="00CA5A3C">
              <w:rPr>
                <w:rFonts w:asciiTheme="majorBidi" w:eastAsia="Times New Roman" w:hAnsiTheme="majorBidi" w:cstheme="majorBidi"/>
              </w:rPr>
              <w:t>24,8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CA5A3C">
            <w:pPr>
              <w:ind w:firstLineChars="100" w:firstLine="220"/>
              <w:jc w:val="right"/>
              <w:rPr>
                <w:rFonts w:asciiTheme="majorBidi" w:eastAsia="Times New Roman" w:hAnsiTheme="majorBidi" w:cstheme="majorBidi"/>
              </w:rPr>
            </w:pPr>
            <w:r w:rsidRPr="00CA5A3C">
              <w:rPr>
                <w:rFonts w:asciiTheme="majorBidi" w:eastAsia="Times New Roman" w:hAnsiTheme="majorBidi" w:cstheme="majorBidi"/>
              </w:rPr>
              <w:t>23,1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CA5A3C">
            <w:pPr>
              <w:ind w:firstLineChars="100" w:firstLine="220"/>
              <w:jc w:val="right"/>
              <w:rPr>
                <w:rFonts w:asciiTheme="majorBidi" w:eastAsia="Times New Roman" w:hAnsiTheme="majorBidi" w:cstheme="majorBidi"/>
              </w:rPr>
            </w:pPr>
            <w:r w:rsidRPr="00CA5A3C">
              <w:rPr>
                <w:rFonts w:asciiTheme="majorBidi" w:eastAsia="Times New Roman" w:hAnsiTheme="majorBidi" w:cstheme="majorBidi"/>
              </w:rPr>
              <w:t>25,1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CA5A3C">
            <w:pPr>
              <w:ind w:firstLineChars="100" w:firstLine="220"/>
              <w:jc w:val="right"/>
              <w:rPr>
                <w:rFonts w:asciiTheme="majorBidi" w:eastAsia="Times New Roman" w:hAnsiTheme="majorBidi" w:cstheme="majorBidi"/>
              </w:rPr>
            </w:pPr>
            <w:r w:rsidRPr="00CA5A3C">
              <w:rPr>
                <w:rFonts w:asciiTheme="majorBidi" w:eastAsia="Times New Roman" w:hAnsiTheme="majorBidi" w:cstheme="majorBidi"/>
              </w:rPr>
              <w:t>23,9</w:t>
            </w:r>
          </w:p>
        </w:tc>
      </w:tr>
      <w:tr w:rsidR="00457D7C" w:rsidTr="00457D7C">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Default="00457D7C">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Taux d'activité (%)</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CA5A3C">
            <w:pPr>
              <w:ind w:firstLineChars="100" w:firstLine="220"/>
              <w:jc w:val="right"/>
              <w:rPr>
                <w:rFonts w:asciiTheme="majorBidi" w:eastAsia="Times New Roman" w:hAnsiTheme="majorBidi" w:cstheme="majorBidi"/>
              </w:rPr>
            </w:pPr>
            <w:r w:rsidRPr="00CA5A3C">
              <w:rPr>
                <w:rFonts w:asciiTheme="majorBidi" w:eastAsia="Times New Roman" w:hAnsiTheme="majorBidi" w:cstheme="majorBidi"/>
              </w:rPr>
              <w:t>42,6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CA5A3C">
            <w:pPr>
              <w:ind w:firstLineChars="100" w:firstLine="220"/>
              <w:jc w:val="right"/>
              <w:rPr>
                <w:rFonts w:asciiTheme="majorBidi" w:eastAsia="Times New Roman" w:hAnsiTheme="majorBidi" w:cstheme="majorBidi"/>
              </w:rPr>
            </w:pPr>
            <w:r w:rsidRPr="00CA5A3C">
              <w:rPr>
                <w:rFonts w:asciiTheme="majorBidi" w:eastAsia="Times New Roman" w:hAnsiTheme="majorBidi" w:cstheme="majorBidi"/>
              </w:rPr>
              <w:t>52,9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CA5A3C">
            <w:pPr>
              <w:ind w:firstLineChars="100" w:firstLine="220"/>
              <w:jc w:val="right"/>
              <w:rPr>
                <w:rFonts w:asciiTheme="majorBidi" w:eastAsia="Times New Roman" w:hAnsiTheme="majorBidi" w:cstheme="majorBidi"/>
              </w:rPr>
            </w:pPr>
            <w:r w:rsidRPr="00CA5A3C">
              <w:rPr>
                <w:rFonts w:asciiTheme="majorBidi" w:eastAsia="Times New Roman" w:hAnsiTheme="majorBidi" w:cstheme="majorBidi"/>
              </w:rPr>
              <w:t>46,1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CA5A3C">
            <w:pPr>
              <w:ind w:firstLineChars="100" w:firstLine="220"/>
              <w:jc w:val="right"/>
              <w:rPr>
                <w:rFonts w:asciiTheme="majorBidi" w:eastAsia="Times New Roman" w:hAnsiTheme="majorBidi" w:cstheme="majorBidi"/>
              </w:rPr>
            </w:pPr>
            <w:r w:rsidRPr="00CA5A3C">
              <w:rPr>
                <w:rFonts w:asciiTheme="majorBidi" w:eastAsia="Times New Roman" w:hAnsiTheme="majorBidi" w:cstheme="majorBidi"/>
              </w:rPr>
              <w:t>42,3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CA5A3C">
            <w:pPr>
              <w:ind w:firstLineChars="100" w:firstLine="220"/>
              <w:jc w:val="right"/>
              <w:rPr>
                <w:rFonts w:asciiTheme="majorBidi" w:eastAsia="Times New Roman" w:hAnsiTheme="majorBidi" w:cstheme="majorBidi"/>
              </w:rPr>
            </w:pPr>
            <w:r w:rsidRPr="00CA5A3C">
              <w:rPr>
                <w:rFonts w:asciiTheme="majorBidi" w:eastAsia="Times New Roman" w:hAnsiTheme="majorBidi" w:cstheme="majorBidi"/>
              </w:rPr>
              <w:t>50,8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CA5A3C">
            <w:pPr>
              <w:ind w:firstLineChars="100" w:firstLine="220"/>
              <w:jc w:val="right"/>
              <w:rPr>
                <w:rFonts w:asciiTheme="majorBidi" w:eastAsia="Times New Roman" w:hAnsiTheme="majorBidi" w:cstheme="majorBidi"/>
              </w:rPr>
            </w:pPr>
            <w:r w:rsidRPr="00CA5A3C">
              <w:rPr>
                <w:rFonts w:asciiTheme="majorBidi" w:eastAsia="Times New Roman" w:hAnsiTheme="majorBidi" w:cstheme="majorBidi"/>
              </w:rPr>
              <w:t>45,2</w:t>
            </w:r>
          </w:p>
        </w:tc>
      </w:tr>
      <w:tr w:rsidR="004E2812" w:rsidTr="00C95867">
        <w:trPr>
          <w:trHeight w:val="300"/>
        </w:trPr>
        <w:tc>
          <w:tcPr>
            <w:tcW w:w="90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i/>
                <w:iCs/>
                <w:sz w:val="18"/>
                <w:szCs w:val="18"/>
              </w:rPr>
            </w:pPr>
            <w:r>
              <w:rPr>
                <w:rFonts w:asciiTheme="majorBidi" w:eastAsia="Times New Roman" w:hAnsiTheme="majorBidi" w:cstheme="majorBidi"/>
                <w:i/>
                <w:iCs/>
                <w:sz w:val="18"/>
                <w:szCs w:val="18"/>
              </w:rPr>
              <w:t>• Selon le sexe</w:t>
            </w:r>
          </w:p>
        </w:tc>
      </w:tr>
      <w:tr w:rsidR="00457D7C"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Default="00457D7C">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Hommes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67,1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76,7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70,6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67,1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75,0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69,9</w:t>
            </w:r>
          </w:p>
        </w:tc>
      </w:tr>
      <w:tr w:rsidR="00457D7C"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Default="00457D7C">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Femmes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19,5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28,5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22,5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19,0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25,9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21,3</w:t>
            </w:r>
          </w:p>
        </w:tc>
      </w:tr>
      <w:tr w:rsidR="004E2812" w:rsidTr="00C95867">
        <w:trPr>
          <w:trHeight w:val="300"/>
        </w:trPr>
        <w:tc>
          <w:tcPr>
            <w:tcW w:w="90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i/>
                <w:iCs/>
                <w:sz w:val="18"/>
                <w:szCs w:val="18"/>
              </w:rPr>
            </w:pPr>
            <w:r>
              <w:rPr>
                <w:rFonts w:asciiTheme="majorBidi" w:eastAsia="Times New Roman" w:hAnsiTheme="majorBidi" w:cstheme="majorBidi"/>
                <w:i/>
                <w:iCs/>
                <w:sz w:val="18"/>
                <w:szCs w:val="18"/>
              </w:rPr>
              <w:t>• Selon l'âge</w:t>
            </w:r>
          </w:p>
        </w:tc>
      </w:tr>
      <w:tr w:rsidR="00457D7C"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Default="00457D7C">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15-24 ans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20,0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30,5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24,2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19,6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27,1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22,6</w:t>
            </w:r>
          </w:p>
        </w:tc>
      </w:tr>
      <w:tr w:rsidR="00457D7C"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Default="00457D7C">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25-34 ans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60,1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63,5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61,2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60,6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62,5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61,2</w:t>
            </w:r>
          </w:p>
        </w:tc>
      </w:tr>
      <w:tr w:rsidR="00457D7C"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Default="00457D7C">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35-44 ans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58,5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68,6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61,7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57,9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66,6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60,6</w:t>
            </w:r>
          </w:p>
        </w:tc>
      </w:tr>
      <w:tr w:rsidR="00457D7C"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Default="00457D7C">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45 ans et plus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36,4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55,1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42,7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35,8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53,4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41,6</w:t>
            </w:r>
          </w:p>
        </w:tc>
      </w:tr>
      <w:tr w:rsidR="004E2812" w:rsidTr="00C95867">
        <w:trPr>
          <w:trHeight w:val="300"/>
        </w:trPr>
        <w:tc>
          <w:tcPr>
            <w:tcW w:w="90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i/>
                <w:iCs/>
                <w:sz w:val="18"/>
                <w:szCs w:val="18"/>
              </w:rPr>
            </w:pPr>
            <w:r>
              <w:rPr>
                <w:rFonts w:asciiTheme="majorBidi" w:eastAsia="Times New Roman" w:hAnsiTheme="majorBidi" w:cstheme="majorBidi"/>
                <w:i/>
                <w:iCs/>
                <w:sz w:val="18"/>
                <w:szCs w:val="18"/>
              </w:rPr>
              <w:t>• Selon le diplôme</w:t>
            </w:r>
          </w:p>
        </w:tc>
      </w:tr>
      <w:tr w:rsidR="00457D7C"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Default="00457D7C">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Non diplômés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35,5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55,7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45,0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35,2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54,0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43,9</w:t>
            </w:r>
          </w:p>
        </w:tc>
      </w:tr>
      <w:tr w:rsidR="00457D7C"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Default="00457D7C">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Diplômés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47,4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46,8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47,3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47,0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44,6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46,5</w:t>
            </w:r>
          </w:p>
        </w:tc>
      </w:tr>
      <w:tr w:rsidR="004E2812" w:rsidRPr="004E2812" w:rsidTr="00C95867">
        <w:trPr>
          <w:trHeight w:val="300"/>
        </w:trPr>
        <w:tc>
          <w:tcPr>
            <w:tcW w:w="90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b/>
                <w:bCs/>
                <w:color w:val="2F5496" w:themeColor="accent1" w:themeShade="BF"/>
                <w:sz w:val="18"/>
                <w:szCs w:val="18"/>
              </w:rPr>
            </w:pPr>
            <w:r>
              <w:rPr>
                <w:rFonts w:asciiTheme="majorBidi" w:eastAsia="Times New Roman" w:hAnsiTheme="majorBidi" w:cstheme="majorBidi"/>
                <w:b/>
                <w:bCs/>
                <w:color w:val="2F5496" w:themeColor="accent1" w:themeShade="BF"/>
                <w:sz w:val="18"/>
                <w:szCs w:val="18"/>
              </w:rPr>
              <w:t>Emploi (des 15 ans et plus)</w:t>
            </w:r>
          </w:p>
        </w:tc>
      </w:tr>
      <w:tr w:rsidR="00457D7C" w:rsidRPr="00BF58E1"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BF58E1" w:rsidRDefault="00457D7C">
            <w:pPr>
              <w:spacing w:line="240" w:lineRule="auto"/>
              <w:rPr>
                <w:rFonts w:asciiTheme="majorBidi" w:eastAsia="Times New Roman" w:hAnsiTheme="majorBidi" w:cstheme="majorBidi"/>
                <w:b/>
                <w:bCs/>
                <w:sz w:val="18"/>
                <w:szCs w:val="18"/>
              </w:rPr>
            </w:pPr>
            <w:r w:rsidRPr="00BF58E1">
              <w:rPr>
                <w:rFonts w:asciiTheme="majorBidi" w:eastAsia="Times New Roman" w:hAnsiTheme="majorBidi" w:cstheme="majorBidi"/>
                <w:b/>
                <w:bCs/>
                <w:sz w:val="18"/>
                <w:szCs w:val="18"/>
              </w:rPr>
              <w:t>Population active occupée</w:t>
            </w:r>
            <w:r>
              <w:rPr>
                <w:rFonts w:asciiTheme="majorBidi" w:eastAsia="Times New Roman" w:hAnsiTheme="majorBidi" w:cstheme="majorBidi"/>
                <w:b/>
                <w:bCs/>
                <w:sz w:val="18"/>
                <w:szCs w:val="18"/>
              </w:rPr>
              <w:t xml:space="preserve"> (en milliers)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CA5A3C">
            <w:pPr>
              <w:ind w:firstLineChars="100" w:firstLine="221"/>
              <w:jc w:val="right"/>
              <w:rPr>
                <w:rFonts w:asciiTheme="majorBidi" w:eastAsia="Times New Roman" w:hAnsiTheme="majorBidi" w:cstheme="majorBidi"/>
                <w:b/>
                <w:bCs/>
              </w:rPr>
            </w:pPr>
            <w:r w:rsidRPr="00CA5A3C">
              <w:rPr>
                <w:rFonts w:asciiTheme="majorBidi" w:eastAsia="Times New Roman" w:hAnsiTheme="majorBidi" w:cstheme="majorBidi"/>
                <w:b/>
                <w:bCs/>
              </w:rPr>
              <w:t>6 173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CA5A3C">
            <w:pPr>
              <w:ind w:firstLineChars="100" w:firstLine="221"/>
              <w:jc w:val="right"/>
              <w:rPr>
                <w:rFonts w:asciiTheme="majorBidi" w:eastAsia="Times New Roman" w:hAnsiTheme="majorBidi" w:cstheme="majorBidi"/>
                <w:b/>
                <w:bCs/>
              </w:rPr>
            </w:pPr>
            <w:r w:rsidRPr="00CA5A3C">
              <w:rPr>
                <w:rFonts w:asciiTheme="majorBidi" w:eastAsia="Times New Roman" w:hAnsiTheme="majorBidi" w:cstheme="majorBidi"/>
                <w:b/>
                <w:bCs/>
              </w:rPr>
              <w:t>4 719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CA5A3C">
            <w:pPr>
              <w:jc w:val="right"/>
              <w:rPr>
                <w:rFonts w:asciiTheme="majorBidi" w:eastAsia="Times New Roman" w:hAnsiTheme="majorBidi" w:cstheme="majorBidi"/>
                <w:b/>
                <w:bCs/>
              </w:rPr>
            </w:pPr>
            <w:r w:rsidRPr="00CA5A3C">
              <w:rPr>
                <w:rFonts w:asciiTheme="majorBidi" w:eastAsia="Times New Roman" w:hAnsiTheme="majorBidi" w:cstheme="majorBidi"/>
                <w:b/>
                <w:bCs/>
              </w:rPr>
              <w:t>10 892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CA5A3C">
            <w:pPr>
              <w:ind w:firstLineChars="100" w:firstLine="221"/>
              <w:jc w:val="right"/>
              <w:rPr>
                <w:rFonts w:asciiTheme="majorBidi" w:eastAsia="Times New Roman" w:hAnsiTheme="majorBidi" w:cstheme="majorBidi"/>
                <w:b/>
                <w:bCs/>
              </w:rPr>
            </w:pPr>
            <w:r w:rsidRPr="00CA5A3C">
              <w:rPr>
                <w:rFonts w:asciiTheme="majorBidi" w:eastAsia="Times New Roman" w:hAnsiTheme="majorBidi" w:cstheme="majorBidi"/>
                <w:b/>
                <w:bCs/>
              </w:rPr>
              <w:t>6 458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CA5A3C">
            <w:pPr>
              <w:ind w:firstLineChars="100" w:firstLine="221"/>
              <w:jc w:val="right"/>
              <w:rPr>
                <w:rFonts w:asciiTheme="majorBidi" w:eastAsia="Times New Roman" w:hAnsiTheme="majorBidi" w:cstheme="majorBidi"/>
                <w:b/>
                <w:bCs/>
              </w:rPr>
            </w:pPr>
            <w:r w:rsidRPr="00CA5A3C">
              <w:rPr>
                <w:rFonts w:asciiTheme="majorBidi" w:eastAsia="Times New Roman" w:hAnsiTheme="majorBidi" w:cstheme="majorBidi"/>
                <w:b/>
                <w:bCs/>
              </w:rPr>
              <w:t>4 567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CA5A3C">
            <w:pPr>
              <w:jc w:val="right"/>
              <w:rPr>
                <w:rFonts w:asciiTheme="majorBidi" w:eastAsia="Times New Roman" w:hAnsiTheme="majorBidi" w:cstheme="majorBidi"/>
                <w:b/>
                <w:bCs/>
              </w:rPr>
            </w:pPr>
            <w:r w:rsidRPr="00CA5A3C">
              <w:rPr>
                <w:rFonts w:asciiTheme="majorBidi" w:eastAsia="Times New Roman" w:hAnsiTheme="majorBidi" w:cstheme="majorBidi"/>
                <w:b/>
                <w:bCs/>
              </w:rPr>
              <w:t>11 025</w:t>
            </w:r>
          </w:p>
        </w:tc>
      </w:tr>
      <w:tr w:rsidR="00457D7C"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Default="00457D7C">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Taux d'emploi (%)</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CA5A3C">
            <w:pPr>
              <w:ind w:firstLineChars="100" w:firstLine="220"/>
              <w:jc w:val="right"/>
              <w:rPr>
                <w:rFonts w:asciiTheme="majorBidi" w:eastAsia="Times New Roman" w:hAnsiTheme="majorBidi" w:cstheme="majorBidi"/>
              </w:rPr>
            </w:pPr>
            <w:r w:rsidRPr="00CA5A3C">
              <w:rPr>
                <w:rFonts w:asciiTheme="majorBidi" w:eastAsia="Times New Roman" w:hAnsiTheme="majorBidi" w:cstheme="majorBidi"/>
              </w:rPr>
              <w:t>34,9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CA5A3C">
            <w:pPr>
              <w:ind w:firstLineChars="100" w:firstLine="220"/>
              <w:jc w:val="right"/>
              <w:rPr>
                <w:rFonts w:asciiTheme="majorBidi" w:eastAsia="Times New Roman" w:hAnsiTheme="majorBidi" w:cstheme="majorBidi"/>
              </w:rPr>
            </w:pPr>
            <w:r w:rsidRPr="00CA5A3C">
              <w:rPr>
                <w:rFonts w:asciiTheme="majorBidi" w:eastAsia="Times New Roman" w:hAnsiTheme="majorBidi" w:cstheme="majorBidi"/>
              </w:rPr>
              <w:t>50,4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CA5A3C">
            <w:pPr>
              <w:ind w:firstLineChars="100" w:firstLine="220"/>
              <w:jc w:val="right"/>
              <w:rPr>
                <w:rFonts w:asciiTheme="majorBidi" w:eastAsia="Times New Roman" w:hAnsiTheme="majorBidi" w:cstheme="majorBidi"/>
              </w:rPr>
            </w:pPr>
            <w:r w:rsidRPr="00CA5A3C">
              <w:rPr>
                <w:rFonts w:asciiTheme="majorBidi" w:eastAsia="Times New Roman" w:hAnsiTheme="majorBidi" w:cstheme="majorBidi"/>
              </w:rPr>
              <w:t>40,2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CA5A3C">
            <w:pPr>
              <w:ind w:firstLineChars="100" w:firstLine="220"/>
              <w:jc w:val="right"/>
              <w:rPr>
                <w:rFonts w:asciiTheme="majorBidi" w:eastAsia="Times New Roman" w:hAnsiTheme="majorBidi" w:cstheme="majorBidi"/>
              </w:rPr>
            </w:pPr>
            <w:r w:rsidRPr="00CA5A3C">
              <w:rPr>
                <w:rFonts w:asciiTheme="majorBidi" w:eastAsia="Times New Roman" w:hAnsiTheme="majorBidi" w:cstheme="majorBidi"/>
              </w:rPr>
              <w:t>35,7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CA5A3C">
            <w:pPr>
              <w:ind w:firstLineChars="100" w:firstLine="220"/>
              <w:jc w:val="right"/>
              <w:rPr>
                <w:rFonts w:asciiTheme="majorBidi" w:eastAsia="Times New Roman" w:hAnsiTheme="majorBidi" w:cstheme="majorBidi"/>
              </w:rPr>
            </w:pPr>
            <w:r w:rsidRPr="00CA5A3C">
              <w:rPr>
                <w:rFonts w:asciiTheme="majorBidi" w:eastAsia="Times New Roman" w:hAnsiTheme="majorBidi" w:cstheme="majorBidi"/>
              </w:rPr>
              <w:t>48,7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CA5A3C">
            <w:pPr>
              <w:ind w:firstLineChars="100" w:firstLine="220"/>
              <w:jc w:val="right"/>
              <w:rPr>
                <w:rFonts w:asciiTheme="majorBidi" w:eastAsia="Times New Roman" w:hAnsiTheme="majorBidi" w:cstheme="majorBidi"/>
              </w:rPr>
            </w:pPr>
            <w:r w:rsidRPr="00CA5A3C">
              <w:rPr>
                <w:rFonts w:asciiTheme="majorBidi" w:eastAsia="Times New Roman" w:hAnsiTheme="majorBidi" w:cstheme="majorBidi"/>
              </w:rPr>
              <w:t>40,2</w:t>
            </w:r>
          </w:p>
        </w:tc>
      </w:tr>
      <w:tr w:rsidR="004E2812" w:rsidTr="00C95867">
        <w:trPr>
          <w:trHeight w:val="300"/>
        </w:trPr>
        <w:tc>
          <w:tcPr>
            <w:tcW w:w="90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i/>
                <w:iCs/>
                <w:sz w:val="18"/>
                <w:szCs w:val="18"/>
              </w:rPr>
            </w:pPr>
            <w:r>
              <w:rPr>
                <w:rFonts w:asciiTheme="majorBidi" w:eastAsia="Times New Roman" w:hAnsiTheme="majorBidi" w:cstheme="majorBidi"/>
                <w:i/>
                <w:iCs/>
                <w:sz w:val="18"/>
                <w:szCs w:val="18"/>
              </w:rPr>
              <w:t>• Selon le sexe</w:t>
            </w:r>
          </w:p>
        </w:tc>
      </w:tr>
      <w:tr w:rsidR="00457D7C"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Default="00457D7C">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Hommes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56,5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72,5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62,2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58,2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71,6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62,9</w:t>
            </w:r>
          </w:p>
        </w:tc>
      </w:tr>
      <w:tr w:rsidR="00457D7C"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Default="00457D7C">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Femmes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14,5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27,7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18,9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14,6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25,1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18,1</w:t>
            </w:r>
          </w:p>
        </w:tc>
      </w:tr>
      <w:tr w:rsidR="004E2812" w:rsidRPr="004E2812" w:rsidTr="00C95867">
        <w:trPr>
          <w:trHeight w:val="51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Structure de l'emploi selon les secteurs d'activité économique</w:t>
            </w:r>
            <w:r w:rsidR="006329C7">
              <w:rPr>
                <w:rFonts w:asciiTheme="majorBidi" w:eastAsia="Times New Roman" w:hAnsiTheme="majorBidi" w:cstheme="majorBidi"/>
                <w:b/>
                <w:bCs/>
                <w:sz w:val="18"/>
                <w:szCs w:val="18"/>
              </w:rPr>
              <w:t xml:space="preserve"> (%)</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w:t>
            </w:r>
          </w:p>
        </w:tc>
      </w:tr>
      <w:tr w:rsidR="00457D7C"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Default="00457D7C">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Agriculture, forêt et pêche</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4,4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70,7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33,1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4,4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68,1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30,8</w:t>
            </w:r>
          </w:p>
        </w:tc>
      </w:tr>
      <w:tr w:rsidR="00457D7C"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Default="00457D7C">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Industrie </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16,5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4,2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11,1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16,8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4,4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11,7</w:t>
            </w:r>
          </w:p>
        </w:tc>
      </w:tr>
      <w:tr w:rsidR="00457D7C"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Default="00457D7C">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BTP</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12,5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7,9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10,5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12,2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8,5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10,7</w:t>
            </w:r>
          </w:p>
        </w:tc>
      </w:tr>
      <w:tr w:rsidR="00457D7C"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Default="00457D7C">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Services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66,6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17,2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45,2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66,5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18,9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46,8</w:t>
            </w:r>
          </w:p>
        </w:tc>
      </w:tr>
      <w:tr w:rsidR="00457D7C"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Default="00457D7C">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Activités non déterminées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0,0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0,0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0,0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0,0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0,0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0,0</w:t>
            </w:r>
          </w:p>
        </w:tc>
      </w:tr>
      <w:tr w:rsidR="00457D7C"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Default="00457D7C">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Part de l'emploi rémunéré dans l'emploi total, dont :</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97,0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67,6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84,3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97,5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69,7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86,0</w:t>
            </w:r>
          </w:p>
        </w:tc>
      </w:tr>
      <w:tr w:rsidR="00457D7C"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Default="00457D7C">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Salariés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71,8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46,8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63,1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68,1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45,0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60,4</w:t>
            </w:r>
          </w:p>
        </w:tc>
      </w:tr>
      <w:tr w:rsidR="00457D7C"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Default="00457D7C">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Auto-employés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28,2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53,2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36,9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31,9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55,0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CA5A3C" w:rsidRDefault="00457D7C" w:rsidP="00457D7C">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39,6</w:t>
            </w:r>
          </w:p>
        </w:tc>
      </w:tr>
      <w:tr w:rsidR="007901A0" w:rsidTr="00C95867">
        <w:trPr>
          <w:trHeight w:val="51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1A0" w:rsidRDefault="007901A0" w:rsidP="0027743E">
            <w:pPr>
              <w:spacing w:line="240" w:lineRule="auto"/>
              <w:rPr>
                <w:rFonts w:asciiTheme="majorBidi" w:hAnsiTheme="majorBidi" w:cstheme="majorBidi"/>
                <w:b/>
                <w:bCs/>
                <w:sz w:val="18"/>
                <w:szCs w:val="18"/>
              </w:rPr>
            </w:pPr>
            <w:r>
              <w:rPr>
                <w:rFonts w:asciiTheme="majorBidi" w:hAnsiTheme="majorBidi" w:cstheme="majorBidi"/>
                <w:b/>
                <w:bCs/>
                <w:sz w:val="18"/>
                <w:szCs w:val="18"/>
              </w:rPr>
              <w:t>Population active occupée en sous-emploi  (en milliers)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7901A0" w:rsidRPr="00CA5A3C" w:rsidRDefault="007901A0" w:rsidP="0027743E">
            <w:pPr>
              <w:ind w:firstLineChars="100" w:firstLine="221"/>
              <w:jc w:val="right"/>
              <w:rPr>
                <w:rFonts w:asciiTheme="majorBidi" w:hAnsiTheme="majorBidi" w:cstheme="majorBidi"/>
                <w:b/>
                <w:bCs/>
                <w:color w:val="010205"/>
                <w:sz w:val="24"/>
                <w:szCs w:val="24"/>
              </w:rPr>
            </w:pPr>
            <w:r w:rsidRPr="00CA5A3C">
              <w:rPr>
                <w:rFonts w:asciiTheme="majorBidi" w:hAnsiTheme="majorBidi" w:cstheme="majorBidi"/>
                <w:b/>
                <w:bCs/>
                <w:color w:val="010205"/>
              </w:rPr>
              <w:t>551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7901A0" w:rsidRPr="00CA5A3C" w:rsidRDefault="007901A0" w:rsidP="0027743E">
            <w:pPr>
              <w:ind w:firstLineChars="100" w:firstLine="221"/>
              <w:jc w:val="right"/>
              <w:rPr>
                <w:rFonts w:asciiTheme="majorBidi" w:hAnsiTheme="majorBidi" w:cstheme="majorBidi"/>
                <w:b/>
                <w:bCs/>
                <w:color w:val="010205"/>
                <w:sz w:val="24"/>
                <w:szCs w:val="24"/>
              </w:rPr>
            </w:pPr>
            <w:r w:rsidRPr="00CA5A3C">
              <w:rPr>
                <w:rFonts w:asciiTheme="majorBidi" w:hAnsiTheme="majorBidi" w:cstheme="majorBidi"/>
                <w:b/>
                <w:bCs/>
                <w:color w:val="010205"/>
              </w:rPr>
              <w:t>448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7901A0" w:rsidRPr="00CA5A3C" w:rsidRDefault="007901A0" w:rsidP="0027743E">
            <w:pPr>
              <w:ind w:firstLineChars="100" w:firstLine="221"/>
              <w:jc w:val="right"/>
              <w:rPr>
                <w:rFonts w:asciiTheme="majorBidi" w:hAnsiTheme="majorBidi" w:cstheme="majorBidi"/>
                <w:b/>
                <w:bCs/>
                <w:color w:val="010205"/>
                <w:sz w:val="24"/>
                <w:szCs w:val="24"/>
              </w:rPr>
            </w:pPr>
            <w:r w:rsidRPr="00CA5A3C">
              <w:rPr>
                <w:rFonts w:asciiTheme="majorBidi" w:hAnsiTheme="majorBidi" w:cstheme="majorBidi"/>
                <w:b/>
                <w:bCs/>
                <w:color w:val="010205"/>
              </w:rPr>
              <w:t>999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7901A0" w:rsidRPr="00CA5A3C" w:rsidRDefault="007901A0" w:rsidP="0027743E">
            <w:pPr>
              <w:ind w:firstLineChars="100" w:firstLine="221"/>
              <w:jc w:val="right"/>
              <w:rPr>
                <w:rFonts w:asciiTheme="majorBidi" w:hAnsiTheme="majorBidi" w:cstheme="majorBidi"/>
                <w:b/>
                <w:bCs/>
                <w:color w:val="010205"/>
                <w:sz w:val="24"/>
                <w:szCs w:val="24"/>
              </w:rPr>
            </w:pPr>
            <w:r w:rsidRPr="00CA5A3C">
              <w:rPr>
                <w:rFonts w:asciiTheme="majorBidi" w:hAnsiTheme="majorBidi" w:cstheme="majorBidi"/>
                <w:b/>
                <w:bCs/>
                <w:color w:val="010205"/>
              </w:rPr>
              <w:t>500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7901A0" w:rsidRPr="00CA5A3C" w:rsidRDefault="007901A0" w:rsidP="0027743E">
            <w:pPr>
              <w:ind w:firstLineChars="100" w:firstLine="221"/>
              <w:jc w:val="right"/>
              <w:rPr>
                <w:rFonts w:asciiTheme="majorBidi" w:hAnsiTheme="majorBidi" w:cstheme="majorBidi"/>
                <w:b/>
                <w:bCs/>
                <w:color w:val="010205"/>
                <w:sz w:val="24"/>
                <w:szCs w:val="24"/>
              </w:rPr>
            </w:pPr>
            <w:r w:rsidRPr="00CA5A3C">
              <w:rPr>
                <w:rFonts w:asciiTheme="majorBidi" w:hAnsiTheme="majorBidi" w:cstheme="majorBidi"/>
                <w:b/>
                <w:bCs/>
                <w:color w:val="010205"/>
              </w:rPr>
              <w:t>439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7901A0" w:rsidRPr="00CA5A3C" w:rsidRDefault="007901A0" w:rsidP="0027743E">
            <w:pPr>
              <w:ind w:firstLineChars="100" w:firstLine="221"/>
              <w:jc w:val="right"/>
              <w:rPr>
                <w:rFonts w:asciiTheme="majorBidi" w:hAnsiTheme="majorBidi" w:cstheme="majorBidi"/>
                <w:b/>
                <w:bCs/>
                <w:color w:val="010205"/>
                <w:sz w:val="24"/>
                <w:szCs w:val="24"/>
              </w:rPr>
            </w:pPr>
            <w:r w:rsidRPr="00CA5A3C">
              <w:rPr>
                <w:rFonts w:asciiTheme="majorBidi" w:hAnsiTheme="majorBidi" w:cstheme="majorBidi"/>
                <w:b/>
                <w:bCs/>
                <w:color w:val="010205"/>
              </w:rPr>
              <w:t>939</w:t>
            </w:r>
          </w:p>
        </w:tc>
      </w:tr>
      <w:tr w:rsidR="007901A0" w:rsidRPr="00B8236C" w:rsidTr="00C95867">
        <w:trPr>
          <w:trHeight w:val="300"/>
        </w:trPr>
        <w:tc>
          <w:tcPr>
            <w:tcW w:w="90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7901A0" w:rsidRDefault="007901A0" w:rsidP="0027743E">
            <w:pPr>
              <w:spacing w:line="240" w:lineRule="auto"/>
              <w:rPr>
                <w:rFonts w:asciiTheme="majorBidi" w:hAnsiTheme="majorBidi" w:cstheme="majorBidi"/>
                <w:sz w:val="18"/>
                <w:szCs w:val="18"/>
              </w:rPr>
            </w:pPr>
            <w:r>
              <w:rPr>
                <w:rFonts w:asciiTheme="majorBidi" w:hAnsiTheme="majorBidi" w:cstheme="majorBidi"/>
                <w:sz w:val="18"/>
                <w:szCs w:val="18"/>
              </w:rPr>
              <w:t>Taux de sous-emploi (%)</w:t>
            </w:r>
          </w:p>
        </w:tc>
      </w:tr>
      <w:tr w:rsidR="007901A0"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7901A0" w:rsidRDefault="007901A0" w:rsidP="0027743E">
            <w:pPr>
              <w:spacing w:line="240" w:lineRule="auto"/>
              <w:rPr>
                <w:rFonts w:asciiTheme="majorBidi" w:hAnsiTheme="majorBidi" w:cstheme="majorBidi"/>
                <w:i/>
                <w:iCs/>
                <w:sz w:val="18"/>
                <w:szCs w:val="18"/>
              </w:rPr>
            </w:pPr>
            <w:r>
              <w:rPr>
                <w:rFonts w:asciiTheme="majorBidi" w:hAnsiTheme="majorBidi" w:cstheme="majorBidi"/>
                <w:i/>
                <w:iCs/>
                <w:sz w:val="18"/>
                <w:szCs w:val="18"/>
              </w:rPr>
              <w:t>• Selon la forme de sous-emploi</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7901A0" w:rsidRPr="00CA5A3C" w:rsidRDefault="007901A0" w:rsidP="007901A0">
            <w:pPr>
              <w:ind w:firstLineChars="100" w:firstLine="240"/>
              <w:jc w:val="right"/>
              <w:rPr>
                <w:rFonts w:asciiTheme="majorBidi" w:hAnsiTheme="majorBidi" w:cstheme="majorBidi"/>
                <w:color w:val="000000"/>
                <w:sz w:val="24"/>
                <w:szCs w:val="24"/>
              </w:rPr>
            </w:pP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7901A0" w:rsidRPr="00CA5A3C" w:rsidRDefault="007901A0" w:rsidP="007901A0">
            <w:pPr>
              <w:ind w:firstLineChars="100" w:firstLine="240"/>
              <w:jc w:val="right"/>
              <w:rPr>
                <w:rFonts w:asciiTheme="majorBidi" w:hAnsiTheme="majorBidi" w:cstheme="majorBidi"/>
                <w:color w:val="000000"/>
                <w:sz w:val="24"/>
                <w:szCs w:val="24"/>
              </w:rPr>
            </w:pP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7901A0" w:rsidRPr="00CA5A3C" w:rsidRDefault="007901A0" w:rsidP="007901A0">
            <w:pPr>
              <w:ind w:firstLineChars="100" w:firstLine="240"/>
              <w:jc w:val="right"/>
              <w:rPr>
                <w:rFonts w:asciiTheme="majorBidi" w:hAnsiTheme="majorBidi" w:cstheme="majorBidi"/>
                <w:color w:val="000000"/>
                <w:sz w:val="24"/>
                <w:szCs w:val="24"/>
              </w:rPr>
            </w:pP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7901A0" w:rsidRPr="00CA5A3C" w:rsidRDefault="007901A0" w:rsidP="007901A0">
            <w:pPr>
              <w:ind w:firstLineChars="100" w:firstLine="240"/>
              <w:jc w:val="right"/>
              <w:rPr>
                <w:rFonts w:asciiTheme="majorBidi" w:hAnsiTheme="majorBidi" w:cstheme="majorBidi"/>
                <w:color w:val="000000"/>
                <w:sz w:val="24"/>
                <w:szCs w:val="24"/>
              </w:rPr>
            </w:pP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7901A0" w:rsidRPr="00CA5A3C" w:rsidRDefault="007901A0" w:rsidP="007901A0">
            <w:pPr>
              <w:ind w:firstLineChars="100" w:firstLine="240"/>
              <w:jc w:val="right"/>
              <w:rPr>
                <w:rFonts w:asciiTheme="majorBidi" w:hAnsiTheme="majorBidi" w:cstheme="majorBidi"/>
                <w:color w:val="000000"/>
                <w:sz w:val="24"/>
                <w:szCs w:val="24"/>
              </w:rPr>
            </w:pP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7901A0" w:rsidRPr="00CA5A3C" w:rsidRDefault="007901A0" w:rsidP="007901A0">
            <w:pPr>
              <w:ind w:firstLineChars="100" w:firstLine="240"/>
              <w:jc w:val="right"/>
              <w:rPr>
                <w:rFonts w:asciiTheme="majorBidi" w:hAnsiTheme="majorBidi" w:cstheme="majorBidi"/>
                <w:color w:val="000000"/>
                <w:sz w:val="24"/>
                <w:szCs w:val="24"/>
              </w:rPr>
            </w:pPr>
          </w:p>
        </w:tc>
      </w:tr>
      <w:tr w:rsidR="007901A0"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7901A0" w:rsidRDefault="007901A0" w:rsidP="0027743E">
            <w:pPr>
              <w:spacing w:line="240" w:lineRule="auto"/>
              <w:rPr>
                <w:rFonts w:asciiTheme="majorBidi" w:hAnsiTheme="majorBidi" w:cstheme="majorBidi"/>
                <w:sz w:val="18"/>
                <w:szCs w:val="18"/>
              </w:rPr>
            </w:pPr>
            <w:r>
              <w:rPr>
                <w:rFonts w:asciiTheme="majorBidi" w:hAnsiTheme="majorBidi" w:cstheme="majorBidi"/>
                <w:sz w:val="18"/>
                <w:szCs w:val="18"/>
              </w:rPr>
              <w:t>Sous-emploi visible (lié à la durée de travail)</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7901A0" w:rsidRPr="00CA5A3C" w:rsidRDefault="007901A0" w:rsidP="0027743E">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4,1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7901A0" w:rsidRPr="00CA5A3C" w:rsidRDefault="007901A0" w:rsidP="0027743E">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4,6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7901A0" w:rsidRPr="00CA5A3C" w:rsidRDefault="007901A0" w:rsidP="0027743E">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4,3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7901A0" w:rsidRPr="00CA5A3C" w:rsidRDefault="007901A0" w:rsidP="0027743E">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3,1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7901A0" w:rsidRPr="00CA5A3C" w:rsidRDefault="007901A0" w:rsidP="0027743E">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4,3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7901A0" w:rsidRPr="00CA5A3C" w:rsidRDefault="007901A0" w:rsidP="0027743E">
            <w:pPr>
              <w:ind w:firstLineChars="100" w:firstLine="220"/>
              <w:jc w:val="right"/>
              <w:rPr>
                <w:rFonts w:asciiTheme="majorBidi" w:hAnsiTheme="majorBidi" w:cstheme="majorBidi"/>
                <w:color w:val="000000"/>
                <w:sz w:val="24"/>
                <w:szCs w:val="24"/>
              </w:rPr>
            </w:pPr>
            <w:r w:rsidRPr="00CA5A3C">
              <w:rPr>
                <w:rFonts w:asciiTheme="majorBidi" w:hAnsiTheme="majorBidi" w:cstheme="majorBidi"/>
                <w:color w:val="000000"/>
              </w:rPr>
              <w:t>3,6</w:t>
            </w:r>
          </w:p>
        </w:tc>
      </w:tr>
      <w:tr w:rsidR="007901A0" w:rsidTr="00190BCF">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7901A0" w:rsidRDefault="007901A0" w:rsidP="0027743E">
            <w:pPr>
              <w:spacing w:line="240" w:lineRule="auto"/>
              <w:rPr>
                <w:rFonts w:asciiTheme="majorBidi" w:hAnsiTheme="majorBidi" w:cstheme="majorBidi"/>
                <w:sz w:val="18"/>
                <w:szCs w:val="18"/>
              </w:rPr>
            </w:pPr>
            <w:r>
              <w:rPr>
                <w:rFonts w:asciiTheme="majorBidi" w:hAnsiTheme="majorBidi" w:cstheme="majorBidi"/>
                <w:sz w:val="18"/>
                <w:szCs w:val="18"/>
              </w:rPr>
              <w:t>Sous-emploi invisible (lié aux revenus de l’activité et à l'adéquation formation-emploi)</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rsidR="007901A0" w:rsidRPr="00CA5A3C" w:rsidRDefault="007901A0" w:rsidP="0027743E">
            <w:pPr>
              <w:ind w:firstLineChars="100" w:firstLine="220"/>
              <w:jc w:val="right"/>
              <w:rPr>
                <w:rFonts w:asciiTheme="majorBidi" w:hAnsiTheme="majorBidi" w:cstheme="majorBidi"/>
                <w:color w:val="010205"/>
                <w:sz w:val="24"/>
                <w:szCs w:val="24"/>
              </w:rPr>
            </w:pPr>
            <w:r w:rsidRPr="00CA5A3C">
              <w:rPr>
                <w:rFonts w:asciiTheme="majorBidi" w:hAnsiTheme="majorBidi" w:cstheme="majorBidi"/>
                <w:color w:val="010205"/>
              </w:rPr>
              <w:t>4,8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rsidR="007901A0" w:rsidRPr="00CA5A3C" w:rsidRDefault="007901A0" w:rsidP="0027743E">
            <w:pPr>
              <w:ind w:firstLineChars="100" w:firstLine="220"/>
              <w:jc w:val="right"/>
              <w:rPr>
                <w:rFonts w:asciiTheme="majorBidi" w:hAnsiTheme="majorBidi" w:cstheme="majorBidi"/>
                <w:color w:val="010205"/>
                <w:sz w:val="24"/>
                <w:szCs w:val="24"/>
              </w:rPr>
            </w:pPr>
            <w:r w:rsidRPr="00CA5A3C">
              <w:rPr>
                <w:rFonts w:asciiTheme="majorBidi" w:hAnsiTheme="majorBidi" w:cstheme="majorBidi"/>
                <w:color w:val="010205"/>
              </w:rPr>
              <w:t>4,9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rsidR="007901A0" w:rsidRPr="00CA5A3C" w:rsidRDefault="007901A0" w:rsidP="0027743E">
            <w:pPr>
              <w:ind w:firstLineChars="100" w:firstLine="220"/>
              <w:jc w:val="right"/>
              <w:rPr>
                <w:rFonts w:asciiTheme="majorBidi" w:hAnsiTheme="majorBidi" w:cstheme="majorBidi"/>
                <w:color w:val="010205"/>
                <w:sz w:val="24"/>
                <w:szCs w:val="24"/>
              </w:rPr>
            </w:pPr>
            <w:r w:rsidRPr="00CA5A3C">
              <w:rPr>
                <w:rFonts w:asciiTheme="majorBidi" w:hAnsiTheme="majorBidi" w:cstheme="majorBidi"/>
                <w:color w:val="010205"/>
              </w:rPr>
              <w:t>4,9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rsidR="007901A0" w:rsidRPr="00CA5A3C" w:rsidRDefault="007901A0" w:rsidP="0027743E">
            <w:pPr>
              <w:ind w:firstLineChars="100" w:firstLine="220"/>
              <w:jc w:val="right"/>
              <w:rPr>
                <w:rFonts w:asciiTheme="majorBidi" w:hAnsiTheme="majorBidi" w:cstheme="majorBidi"/>
                <w:color w:val="010205"/>
                <w:sz w:val="24"/>
                <w:szCs w:val="24"/>
              </w:rPr>
            </w:pPr>
            <w:r w:rsidRPr="00CA5A3C">
              <w:rPr>
                <w:rFonts w:asciiTheme="majorBidi" w:hAnsiTheme="majorBidi" w:cstheme="majorBidi"/>
                <w:color w:val="010205"/>
              </w:rPr>
              <w:t>4,6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rsidR="007901A0" w:rsidRPr="00CA5A3C" w:rsidRDefault="007901A0" w:rsidP="0027743E">
            <w:pPr>
              <w:ind w:firstLineChars="100" w:firstLine="220"/>
              <w:jc w:val="right"/>
              <w:rPr>
                <w:rFonts w:asciiTheme="majorBidi" w:hAnsiTheme="majorBidi" w:cstheme="majorBidi"/>
                <w:color w:val="010205"/>
                <w:sz w:val="24"/>
                <w:szCs w:val="24"/>
              </w:rPr>
            </w:pPr>
            <w:r w:rsidRPr="00CA5A3C">
              <w:rPr>
                <w:rFonts w:asciiTheme="majorBidi" w:hAnsiTheme="majorBidi" w:cstheme="majorBidi"/>
                <w:color w:val="010205"/>
              </w:rPr>
              <w:t>5,3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rsidR="007901A0" w:rsidRPr="00CA5A3C" w:rsidRDefault="007901A0" w:rsidP="0027743E">
            <w:pPr>
              <w:ind w:firstLineChars="100" w:firstLine="220"/>
              <w:jc w:val="right"/>
              <w:rPr>
                <w:rFonts w:asciiTheme="majorBidi" w:hAnsiTheme="majorBidi" w:cstheme="majorBidi"/>
                <w:color w:val="010205"/>
                <w:sz w:val="24"/>
                <w:szCs w:val="24"/>
              </w:rPr>
            </w:pPr>
            <w:r w:rsidRPr="00CA5A3C">
              <w:rPr>
                <w:rFonts w:asciiTheme="majorBidi" w:hAnsiTheme="majorBidi" w:cstheme="majorBidi"/>
                <w:color w:val="010205"/>
              </w:rPr>
              <w:t>4,9</w:t>
            </w:r>
          </w:p>
        </w:tc>
      </w:tr>
    </w:tbl>
    <w:p w:rsidR="004E2812" w:rsidRDefault="004E2812" w:rsidP="004E2812">
      <w:pPr>
        <w:rPr>
          <w:rFonts w:ascii="Book Antiqua" w:eastAsia="Times New Roman" w:hAnsi="Book Antiqua" w:cs="Browallia New"/>
          <w:b/>
          <w:bCs/>
        </w:rPr>
      </w:pPr>
    </w:p>
    <w:p w:rsidR="004E2812" w:rsidRDefault="004E2812" w:rsidP="004E2812">
      <w:pPr>
        <w:rPr>
          <w:rFonts w:ascii="Book Antiqua" w:eastAsia="Times New Roman" w:hAnsi="Book Antiqua" w:cs="Browallia New"/>
          <w:b/>
          <w:bCs/>
        </w:rPr>
      </w:pPr>
      <w:r>
        <w:rPr>
          <w:rFonts w:ascii="Book Antiqua" w:eastAsia="Times New Roman" w:hAnsi="Book Antiqua" w:cs="Browallia New"/>
          <w:b/>
          <w:bCs/>
        </w:rPr>
        <w:br w:type="page"/>
      </w:r>
    </w:p>
    <w:p w:rsidR="004E2812" w:rsidRPr="00AF1591" w:rsidRDefault="004E2812" w:rsidP="00AF1591">
      <w:pPr>
        <w:spacing w:line="240" w:lineRule="auto"/>
        <w:rPr>
          <w:rFonts w:ascii="Book Antiqua" w:eastAsia="Book Antiqua" w:hAnsi="Book Antiqua" w:cs="Book Antiqua"/>
          <w:b/>
          <w:color w:val="0070C0"/>
          <w:sz w:val="24"/>
          <w:szCs w:val="24"/>
        </w:rPr>
      </w:pPr>
      <w:r w:rsidRPr="00AF1591">
        <w:rPr>
          <w:rFonts w:ascii="Book Antiqua" w:eastAsia="Book Antiqua" w:hAnsi="Book Antiqua" w:cs="Book Antiqua"/>
          <w:b/>
          <w:color w:val="0070C0"/>
          <w:sz w:val="24"/>
          <w:szCs w:val="24"/>
        </w:rPr>
        <w:lastRenderedPageBreak/>
        <w:t>Tableau</w:t>
      </w:r>
      <w:r w:rsidR="00AF1591">
        <w:rPr>
          <w:rFonts w:ascii="Book Antiqua" w:eastAsia="Book Antiqua" w:hAnsi="Book Antiqua" w:cs="Book Antiqua"/>
          <w:b/>
          <w:color w:val="0070C0"/>
          <w:sz w:val="24"/>
          <w:szCs w:val="24"/>
        </w:rPr>
        <w:t>1 (s</w:t>
      </w:r>
      <w:r w:rsidRPr="00AF1591">
        <w:rPr>
          <w:rFonts w:ascii="Book Antiqua" w:eastAsia="Book Antiqua" w:hAnsi="Book Antiqua" w:cs="Book Antiqua"/>
          <w:b/>
          <w:color w:val="0070C0"/>
          <w:sz w:val="24"/>
          <w:szCs w:val="24"/>
        </w:rPr>
        <w:t xml:space="preserve">uite) : Indicateurs </w:t>
      </w:r>
      <w:r w:rsidR="0019102D" w:rsidRPr="00AF1591">
        <w:rPr>
          <w:rFonts w:ascii="Book Antiqua" w:eastAsia="Book Antiqua" w:hAnsi="Book Antiqua" w:cs="Book Antiqua"/>
          <w:b/>
          <w:color w:val="0070C0"/>
          <w:sz w:val="24"/>
          <w:szCs w:val="24"/>
        </w:rPr>
        <w:t>trimestriels</w:t>
      </w:r>
      <w:r w:rsidRPr="00AF1591">
        <w:rPr>
          <w:rFonts w:ascii="Book Antiqua" w:eastAsia="Book Antiqua" w:hAnsi="Book Antiqua" w:cs="Book Antiqua"/>
          <w:b/>
          <w:color w:val="0070C0"/>
          <w:sz w:val="24"/>
          <w:szCs w:val="24"/>
        </w:rPr>
        <w:t xml:space="preserve"> d’activité, d’emploi et de chômage par milieu de résidence</w:t>
      </w:r>
    </w:p>
    <w:tbl>
      <w:tblPr>
        <w:tblStyle w:val="Grilledutableau"/>
        <w:tblW w:w="9547" w:type="dxa"/>
        <w:jc w:val="center"/>
        <w:tblLook w:val="04A0"/>
      </w:tblPr>
      <w:tblGrid>
        <w:gridCol w:w="3672"/>
        <w:gridCol w:w="980"/>
        <w:gridCol w:w="979"/>
        <w:gridCol w:w="979"/>
        <w:gridCol w:w="979"/>
        <w:gridCol w:w="979"/>
        <w:gridCol w:w="979"/>
      </w:tblGrid>
      <w:tr w:rsidR="004E2812" w:rsidTr="004E2812">
        <w:trPr>
          <w:trHeight w:val="309"/>
          <w:jc w:val="center"/>
        </w:trPr>
        <w:tc>
          <w:tcPr>
            <w:tcW w:w="36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b/>
                <w:bCs/>
                <w:sz w:val="18"/>
                <w:szCs w:val="18"/>
              </w:rPr>
            </w:pPr>
            <w:r>
              <w:rPr>
                <w:rFonts w:asciiTheme="majorBidi" w:hAnsiTheme="majorBidi" w:cstheme="majorBidi"/>
                <w:b/>
                <w:bCs/>
                <w:sz w:val="18"/>
                <w:szCs w:val="18"/>
                <w:rtl/>
              </w:rPr>
              <w:t> </w:t>
            </w:r>
          </w:p>
        </w:tc>
        <w:tc>
          <w:tcPr>
            <w:tcW w:w="2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750952">
            <w:pPr>
              <w:spacing w:line="240" w:lineRule="auto"/>
              <w:jc w:val="center"/>
              <w:rPr>
                <w:rFonts w:asciiTheme="majorBidi" w:hAnsiTheme="majorBidi" w:cstheme="majorBidi"/>
                <w:b/>
                <w:bCs/>
                <w:sz w:val="18"/>
                <w:szCs w:val="18"/>
              </w:rPr>
            </w:pPr>
            <w:r w:rsidRPr="001B5566">
              <w:rPr>
                <w:rFonts w:ascii="Book Antiqua" w:eastAsia="Book Antiqua" w:hAnsi="Book Antiqua" w:cs="Book Antiqua"/>
                <w:b/>
                <w:bCs/>
                <w:sz w:val="20"/>
                <w:szCs w:val="20"/>
              </w:rPr>
              <w:t>2</w:t>
            </w:r>
            <w:r w:rsidRPr="001B5566">
              <w:rPr>
                <w:rFonts w:ascii="Book Antiqua" w:eastAsia="Book Antiqua" w:hAnsi="Book Antiqua" w:cs="Book Antiqua"/>
                <w:b/>
                <w:bCs/>
                <w:sz w:val="20"/>
                <w:szCs w:val="20"/>
                <w:vertAlign w:val="superscript"/>
              </w:rPr>
              <w:t>ème</w:t>
            </w:r>
            <w:r w:rsidRPr="001B5566">
              <w:rPr>
                <w:rFonts w:ascii="Book Antiqua" w:eastAsia="Book Antiqua" w:hAnsi="Book Antiqua" w:cs="Book Antiqua"/>
                <w:b/>
                <w:bCs/>
                <w:sz w:val="20"/>
                <w:szCs w:val="20"/>
              </w:rPr>
              <w:t xml:space="preserve"> trimestre de 202</w:t>
            </w:r>
            <w:r>
              <w:rPr>
                <w:rFonts w:ascii="Book Antiqua" w:eastAsia="Book Antiqua" w:hAnsi="Book Antiqua" w:cs="Book Antiqua"/>
                <w:b/>
                <w:bCs/>
                <w:sz w:val="20"/>
                <w:szCs w:val="20"/>
              </w:rPr>
              <w:t>1</w:t>
            </w:r>
          </w:p>
        </w:tc>
        <w:tc>
          <w:tcPr>
            <w:tcW w:w="293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750952">
            <w:pPr>
              <w:spacing w:line="240" w:lineRule="auto"/>
              <w:jc w:val="center"/>
              <w:rPr>
                <w:rFonts w:asciiTheme="majorBidi" w:hAnsiTheme="majorBidi" w:cstheme="majorBidi"/>
                <w:b/>
                <w:bCs/>
                <w:sz w:val="18"/>
                <w:szCs w:val="18"/>
              </w:rPr>
            </w:pPr>
            <w:r w:rsidRPr="001B5566">
              <w:rPr>
                <w:rFonts w:ascii="Book Antiqua" w:eastAsia="Book Antiqua" w:hAnsi="Book Antiqua" w:cs="Book Antiqua"/>
                <w:b/>
                <w:bCs/>
                <w:sz w:val="20"/>
                <w:szCs w:val="20"/>
              </w:rPr>
              <w:t>2</w:t>
            </w:r>
            <w:r w:rsidRPr="001B5566">
              <w:rPr>
                <w:rFonts w:ascii="Book Antiqua" w:eastAsia="Book Antiqua" w:hAnsi="Book Antiqua" w:cs="Book Antiqua"/>
                <w:b/>
                <w:bCs/>
                <w:sz w:val="20"/>
                <w:szCs w:val="20"/>
                <w:vertAlign w:val="superscript"/>
              </w:rPr>
              <w:t>ème</w:t>
            </w:r>
            <w:r w:rsidRPr="001B5566">
              <w:rPr>
                <w:rFonts w:ascii="Book Antiqua" w:eastAsia="Book Antiqua" w:hAnsi="Book Antiqua" w:cs="Book Antiqua"/>
                <w:b/>
                <w:bCs/>
                <w:sz w:val="20"/>
                <w:szCs w:val="20"/>
              </w:rPr>
              <w:t xml:space="preserve"> trimestre de 202</w:t>
            </w:r>
            <w:r>
              <w:rPr>
                <w:rFonts w:ascii="Book Antiqua" w:eastAsia="Book Antiqua" w:hAnsi="Book Antiqua" w:cs="Book Antiqua"/>
                <w:b/>
                <w:bCs/>
                <w:sz w:val="20"/>
                <w:szCs w:val="20"/>
              </w:rPr>
              <w:t>2</w:t>
            </w:r>
          </w:p>
        </w:tc>
      </w:tr>
      <w:tr w:rsidR="004E2812" w:rsidTr="004E2812">
        <w:trPr>
          <w:trHeight w:val="309"/>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2812" w:rsidRDefault="004E2812">
            <w:pPr>
              <w:spacing w:line="240" w:lineRule="auto"/>
              <w:rPr>
                <w:rFonts w:asciiTheme="majorBidi" w:hAnsiTheme="majorBidi" w:cstheme="majorBidi"/>
                <w:b/>
                <w:bCs/>
                <w:sz w:val="18"/>
                <w:szCs w:val="18"/>
              </w:rPr>
            </w:pP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rsidP="006329C7">
            <w:pPr>
              <w:spacing w:line="240" w:lineRule="auto"/>
              <w:jc w:val="center"/>
              <w:rPr>
                <w:rFonts w:asciiTheme="majorBidi" w:hAnsiTheme="majorBidi" w:cstheme="majorBidi"/>
                <w:b/>
                <w:bCs/>
                <w:sz w:val="18"/>
                <w:szCs w:val="18"/>
              </w:rPr>
            </w:pPr>
            <w:r>
              <w:rPr>
                <w:rFonts w:asciiTheme="majorBidi" w:hAnsiTheme="majorBidi" w:cstheme="majorBidi"/>
                <w:b/>
                <w:bCs/>
                <w:sz w:val="18"/>
                <w:szCs w:val="18"/>
              </w:rPr>
              <w:t>Urbain</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rsidP="006329C7">
            <w:pPr>
              <w:spacing w:line="240" w:lineRule="auto"/>
              <w:jc w:val="center"/>
              <w:rPr>
                <w:rFonts w:asciiTheme="majorBidi" w:hAnsiTheme="majorBidi" w:cstheme="majorBidi"/>
                <w:b/>
                <w:bCs/>
                <w:sz w:val="18"/>
                <w:szCs w:val="18"/>
              </w:rPr>
            </w:pPr>
            <w:r>
              <w:rPr>
                <w:rFonts w:asciiTheme="majorBidi" w:hAnsiTheme="majorBidi" w:cstheme="majorBidi"/>
                <w:b/>
                <w:bCs/>
                <w:sz w:val="18"/>
                <w:szCs w:val="18"/>
              </w:rPr>
              <w:t>Rural</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rsidP="006329C7">
            <w:pPr>
              <w:spacing w:line="240" w:lineRule="auto"/>
              <w:jc w:val="center"/>
              <w:rPr>
                <w:rFonts w:asciiTheme="majorBidi" w:hAnsiTheme="majorBidi" w:cstheme="majorBidi"/>
                <w:b/>
                <w:bCs/>
                <w:sz w:val="18"/>
                <w:szCs w:val="18"/>
              </w:rPr>
            </w:pPr>
            <w:r>
              <w:rPr>
                <w:rFonts w:asciiTheme="majorBidi" w:hAnsiTheme="majorBidi" w:cstheme="majorBidi"/>
                <w:b/>
                <w:bCs/>
                <w:sz w:val="18"/>
                <w:szCs w:val="18"/>
              </w:rPr>
              <w:t>Ensemble</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rsidP="006329C7">
            <w:pPr>
              <w:spacing w:line="240" w:lineRule="auto"/>
              <w:jc w:val="center"/>
              <w:rPr>
                <w:rFonts w:asciiTheme="majorBidi" w:hAnsiTheme="majorBidi" w:cstheme="majorBidi"/>
                <w:b/>
                <w:bCs/>
                <w:sz w:val="18"/>
                <w:szCs w:val="18"/>
              </w:rPr>
            </w:pPr>
            <w:r>
              <w:rPr>
                <w:rFonts w:asciiTheme="majorBidi" w:hAnsiTheme="majorBidi" w:cstheme="majorBidi"/>
                <w:b/>
                <w:bCs/>
                <w:sz w:val="18"/>
                <w:szCs w:val="18"/>
              </w:rPr>
              <w:t>Urbain</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rsidP="006329C7">
            <w:pPr>
              <w:spacing w:line="240" w:lineRule="auto"/>
              <w:jc w:val="center"/>
              <w:rPr>
                <w:rFonts w:asciiTheme="majorBidi" w:hAnsiTheme="majorBidi" w:cstheme="majorBidi"/>
                <w:b/>
                <w:bCs/>
                <w:sz w:val="18"/>
                <w:szCs w:val="18"/>
              </w:rPr>
            </w:pPr>
            <w:r>
              <w:rPr>
                <w:rFonts w:asciiTheme="majorBidi" w:hAnsiTheme="majorBidi" w:cstheme="majorBidi"/>
                <w:b/>
                <w:bCs/>
                <w:sz w:val="18"/>
                <w:szCs w:val="18"/>
              </w:rPr>
              <w:t>Rural</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rsidP="006329C7">
            <w:pPr>
              <w:spacing w:line="240" w:lineRule="auto"/>
              <w:jc w:val="center"/>
              <w:rPr>
                <w:rFonts w:asciiTheme="majorBidi" w:hAnsiTheme="majorBidi" w:cstheme="majorBidi"/>
                <w:b/>
                <w:bCs/>
                <w:sz w:val="18"/>
                <w:szCs w:val="18"/>
              </w:rPr>
            </w:pPr>
            <w:r>
              <w:rPr>
                <w:rFonts w:asciiTheme="majorBidi" w:hAnsiTheme="majorBidi" w:cstheme="majorBidi"/>
                <w:b/>
                <w:bCs/>
                <w:sz w:val="18"/>
                <w:szCs w:val="18"/>
              </w:rPr>
              <w:t>Ensemble</w:t>
            </w:r>
          </w:p>
        </w:tc>
      </w:tr>
      <w:tr w:rsidR="004E2812" w:rsidTr="0019102D">
        <w:trPr>
          <w:trHeight w:val="309"/>
          <w:jc w:val="center"/>
        </w:trPr>
        <w:tc>
          <w:tcPr>
            <w:tcW w:w="954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b/>
                <w:bCs/>
                <w:color w:val="2F5496" w:themeColor="accent1" w:themeShade="BF"/>
                <w:sz w:val="18"/>
                <w:szCs w:val="18"/>
              </w:rPr>
            </w:pPr>
            <w:r>
              <w:rPr>
                <w:rFonts w:asciiTheme="majorBidi" w:hAnsiTheme="majorBidi" w:cstheme="majorBidi"/>
                <w:b/>
                <w:bCs/>
                <w:color w:val="2F5496" w:themeColor="accent1" w:themeShade="BF"/>
                <w:sz w:val="18"/>
                <w:szCs w:val="18"/>
              </w:rPr>
              <w:t>Chômage</w:t>
            </w:r>
          </w:p>
        </w:tc>
      </w:tr>
      <w:tr w:rsidR="00457D7C"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Default="00457D7C">
            <w:pPr>
              <w:spacing w:line="240" w:lineRule="auto"/>
              <w:rPr>
                <w:rFonts w:asciiTheme="majorBidi" w:hAnsiTheme="majorBidi" w:cstheme="majorBidi"/>
                <w:b/>
                <w:bCs/>
                <w:sz w:val="18"/>
                <w:szCs w:val="18"/>
              </w:rPr>
            </w:pPr>
            <w:r>
              <w:rPr>
                <w:rFonts w:asciiTheme="majorBidi" w:hAnsiTheme="majorBidi" w:cstheme="majorBidi"/>
                <w:b/>
                <w:bCs/>
                <w:sz w:val="18"/>
                <w:szCs w:val="18"/>
              </w:rPr>
              <w:t>Population active en chômage (en milliers)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1"/>
              <w:jc w:val="right"/>
              <w:rPr>
                <w:rFonts w:asciiTheme="majorBidi" w:hAnsiTheme="majorBidi" w:cstheme="majorBidi"/>
                <w:b/>
                <w:bCs/>
                <w:color w:val="010205"/>
                <w:sz w:val="24"/>
                <w:szCs w:val="24"/>
              </w:rPr>
            </w:pPr>
            <w:r w:rsidRPr="00457D7C">
              <w:rPr>
                <w:rFonts w:asciiTheme="majorBidi" w:hAnsiTheme="majorBidi" w:cstheme="majorBidi"/>
                <w:b/>
                <w:bCs/>
                <w:color w:val="010205"/>
              </w:rPr>
              <w:t>1 370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1"/>
              <w:jc w:val="right"/>
              <w:rPr>
                <w:rFonts w:asciiTheme="majorBidi" w:hAnsiTheme="majorBidi" w:cstheme="majorBidi"/>
                <w:b/>
                <w:bCs/>
                <w:color w:val="010205"/>
                <w:sz w:val="24"/>
                <w:szCs w:val="24"/>
              </w:rPr>
            </w:pPr>
            <w:r w:rsidRPr="00457D7C">
              <w:rPr>
                <w:rFonts w:asciiTheme="majorBidi" w:hAnsiTheme="majorBidi" w:cstheme="majorBidi"/>
                <w:b/>
                <w:bCs/>
                <w:color w:val="010205"/>
              </w:rPr>
              <w:t>235</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1"/>
              <w:jc w:val="right"/>
              <w:rPr>
                <w:rFonts w:asciiTheme="majorBidi" w:hAnsiTheme="majorBidi" w:cstheme="majorBidi"/>
                <w:b/>
                <w:bCs/>
                <w:color w:val="010205"/>
                <w:sz w:val="24"/>
                <w:szCs w:val="24"/>
              </w:rPr>
            </w:pPr>
            <w:r w:rsidRPr="00457D7C">
              <w:rPr>
                <w:rFonts w:asciiTheme="majorBidi" w:hAnsiTheme="majorBidi" w:cstheme="majorBidi"/>
                <w:b/>
                <w:bCs/>
                <w:color w:val="010205"/>
              </w:rPr>
              <w:t>1 605</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1"/>
              <w:jc w:val="right"/>
              <w:rPr>
                <w:rFonts w:asciiTheme="majorBidi" w:hAnsiTheme="majorBidi" w:cstheme="majorBidi"/>
                <w:b/>
                <w:bCs/>
                <w:color w:val="010205"/>
                <w:sz w:val="24"/>
                <w:szCs w:val="24"/>
              </w:rPr>
            </w:pPr>
            <w:r w:rsidRPr="00457D7C">
              <w:rPr>
                <w:rFonts w:asciiTheme="majorBidi" w:hAnsiTheme="majorBidi" w:cstheme="majorBidi"/>
                <w:b/>
                <w:bCs/>
                <w:color w:val="010205"/>
              </w:rPr>
              <w:t>1 188</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1"/>
              <w:jc w:val="right"/>
              <w:rPr>
                <w:rFonts w:asciiTheme="majorBidi" w:hAnsiTheme="majorBidi" w:cstheme="majorBidi"/>
                <w:b/>
                <w:bCs/>
                <w:color w:val="010205"/>
                <w:sz w:val="24"/>
                <w:szCs w:val="24"/>
              </w:rPr>
            </w:pPr>
            <w:r w:rsidRPr="00457D7C">
              <w:rPr>
                <w:rFonts w:asciiTheme="majorBidi" w:hAnsiTheme="majorBidi" w:cstheme="majorBidi"/>
                <w:b/>
                <w:bCs/>
                <w:color w:val="010205"/>
              </w:rPr>
              <w:t>199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1"/>
              <w:jc w:val="right"/>
              <w:rPr>
                <w:rFonts w:asciiTheme="majorBidi" w:hAnsiTheme="majorBidi" w:cstheme="majorBidi"/>
                <w:b/>
                <w:bCs/>
                <w:color w:val="010205"/>
                <w:sz w:val="24"/>
                <w:szCs w:val="24"/>
              </w:rPr>
            </w:pPr>
            <w:r w:rsidRPr="00457D7C">
              <w:rPr>
                <w:rFonts w:asciiTheme="majorBidi" w:hAnsiTheme="majorBidi" w:cstheme="majorBidi"/>
                <w:b/>
                <w:bCs/>
                <w:color w:val="010205"/>
              </w:rPr>
              <w:t>1 387</w:t>
            </w:r>
          </w:p>
        </w:tc>
      </w:tr>
      <w:tr w:rsidR="00457D7C"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Default="00457D7C">
            <w:pPr>
              <w:spacing w:line="240" w:lineRule="auto"/>
              <w:rPr>
                <w:rFonts w:asciiTheme="majorBidi" w:hAnsiTheme="majorBidi" w:cstheme="majorBidi"/>
                <w:sz w:val="18"/>
                <w:szCs w:val="18"/>
              </w:rPr>
            </w:pPr>
            <w:r>
              <w:rPr>
                <w:rFonts w:asciiTheme="majorBidi" w:hAnsiTheme="majorBidi" w:cstheme="majorBidi"/>
                <w:sz w:val="18"/>
                <w:szCs w:val="18"/>
              </w:rPr>
              <w:t>Taux de féminisation de la population active en chômage (%)</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33,2</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15,5</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30,6</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34,6</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18,5</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32,3</w:t>
            </w:r>
          </w:p>
        </w:tc>
      </w:tr>
      <w:tr w:rsidR="00457D7C"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Default="00457D7C">
            <w:pPr>
              <w:spacing w:line="240" w:lineRule="auto"/>
              <w:rPr>
                <w:rFonts w:asciiTheme="majorBidi" w:hAnsiTheme="majorBidi" w:cstheme="majorBidi"/>
                <w:sz w:val="18"/>
                <w:szCs w:val="18"/>
              </w:rPr>
            </w:pPr>
            <w:r>
              <w:rPr>
                <w:rFonts w:asciiTheme="majorBidi" w:hAnsiTheme="majorBidi" w:cstheme="majorBidi"/>
                <w:sz w:val="18"/>
                <w:szCs w:val="18"/>
              </w:rPr>
              <w:t>Taux de chômage (%)</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18,2</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4,8</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12,8</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15,5</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4,2</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11,2</w:t>
            </w:r>
          </w:p>
        </w:tc>
      </w:tr>
      <w:tr w:rsidR="004E2812" w:rsidTr="0019102D">
        <w:trPr>
          <w:trHeight w:val="309"/>
          <w:jc w:val="center"/>
        </w:trPr>
        <w:tc>
          <w:tcPr>
            <w:tcW w:w="954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i/>
                <w:iCs/>
                <w:sz w:val="18"/>
                <w:szCs w:val="18"/>
              </w:rPr>
            </w:pPr>
            <w:r>
              <w:rPr>
                <w:rFonts w:asciiTheme="majorBidi" w:hAnsiTheme="majorBidi" w:cstheme="majorBidi"/>
                <w:i/>
                <w:iCs/>
                <w:sz w:val="18"/>
                <w:szCs w:val="18"/>
              </w:rPr>
              <w:t>• Selon le sexe</w:t>
            </w:r>
          </w:p>
        </w:tc>
      </w:tr>
      <w:tr w:rsidR="00457D7C"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Default="00457D7C">
            <w:pPr>
              <w:spacing w:line="240" w:lineRule="auto"/>
              <w:rPr>
                <w:rFonts w:asciiTheme="majorBidi" w:hAnsiTheme="majorBidi" w:cstheme="majorBidi"/>
                <w:sz w:val="18"/>
                <w:szCs w:val="18"/>
              </w:rPr>
            </w:pPr>
            <w:r>
              <w:rPr>
                <w:rFonts w:asciiTheme="majorBidi" w:hAnsiTheme="majorBidi" w:cstheme="majorBidi"/>
                <w:sz w:val="18"/>
                <w:szCs w:val="18"/>
              </w:rPr>
              <w:t>Hommes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15,9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5,5</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11,9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13,2</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4,5</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9,9</w:t>
            </w:r>
          </w:p>
        </w:tc>
      </w:tr>
      <w:tr w:rsidR="00457D7C"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Default="00457D7C">
            <w:pPr>
              <w:spacing w:line="240" w:lineRule="auto"/>
              <w:rPr>
                <w:rFonts w:asciiTheme="majorBidi" w:hAnsiTheme="majorBidi" w:cstheme="majorBidi"/>
                <w:sz w:val="18"/>
                <w:szCs w:val="18"/>
              </w:rPr>
            </w:pPr>
            <w:r>
              <w:rPr>
                <w:rFonts w:asciiTheme="majorBidi" w:hAnsiTheme="majorBidi" w:cstheme="majorBidi"/>
                <w:sz w:val="18"/>
                <w:szCs w:val="18"/>
              </w:rPr>
              <w:t>Femmes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25,6</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2,8</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15,9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23,3</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3,1</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15,1</w:t>
            </w:r>
          </w:p>
        </w:tc>
      </w:tr>
      <w:tr w:rsidR="004E2812" w:rsidTr="0019102D">
        <w:trPr>
          <w:trHeight w:val="309"/>
          <w:jc w:val="center"/>
        </w:trPr>
        <w:tc>
          <w:tcPr>
            <w:tcW w:w="954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i/>
                <w:iCs/>
                <w:sz w:val="18"/>
                <w:szCs w:val="18"/>
              </w:rPr>
            </w:pPr>
            <w:r>
              <w:rPr>
                <w:rFonts w:asciiTheme="majorBidi" w:hAnsiTheme="majorBidi" w:cstheme="majorBidi"/>
                <w:i/>
                <w:iCs/>
                <w:sz w:val="18"/>
                <w:szCs w:val="18"/>
              </w:rPr>
              <w:t>• Selon l'âge</w:t>
            </w:r>
          </w:p>
        </w:tc>
      </w:tr>
      <w:tr w:rsidR="00457D7C"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Default="00457D7C">
            <w:pPr>
              <w:spacing w:line="240" w:lineRule="auto"/>
              <w:rPr>
                <w:rFonts w:asciiTheme="majorBidi" w:hAnsiTheme="majorBidi" w:cstheme="majorBidi"/>
                <w:sz w:val="18"/>
                <w:szCs w:val="18"/>
              </w:rPr>
            </w:pPr>
            <w:r>
              <w:rPr>
                <w:rFonts w:asciiTheme="majorBidi" w:hAnsiTheme="majorBidi" w:cstheme="majorBidi"/>
                <w:sz w:val="18"/>
                <w:szCs w:val="18"/>
              </w:rPr>
              <w:t>15-24 ans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47,2</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14,7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30,8</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46,4</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12,7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30,2</w:t>
            </w:r>
          </w:p>
        </w:tc>
      </w:tr>
      <w:tr w:rsidR="00457D7C"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Default="00457D7C">
            <w:pPr>
              <w:spacing w:line="240" w:lineRule="auto"/>
              <w:rPr>
                <w:rFonts w:asciiTheme="majorBidi" w:hAnsiTheme="majorBidi" w:cstheme="majorBidi"/>
                <w:sz w:val="18"/>
                <w:szCs w:val="18"/>
              </w:rPr>
            </w:pPr>
            <w:r>
              <w:rPr>
                <w:rFonts w:asciiTheme="majorBidi" w:hAnsiTheme="majorBidi" w:cstheme="majorBidi"/>
                <w:sz w:val="18"/>
                <w:szCs w:val="18"/>
              </w:rPr>
              <w:t>25-34 ans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28,3</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6,3</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20,9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24,7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6,4</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18,7</w:t>
            </w:r>
          </w:p>
        </w:tc>
      </w:tr>
      <w:tr w:rsidR="00457D7C"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Default="00457D7C">
            <w:pPr>
              <w:spacing w:line="240" w:lineRule="auto"/>
              <w:rPr>
                <w:rFonts w:asciiTheme="majorBidi" w:hAnsiTheme="majorBidi" w:cstheme="majorBidi"/>
                <w:sz w:val="18"/>
                <w:szCs w:val="18"/>
              </w:rPr>
            </w:pPr>
            <w:r>
              <w:rPr>
                <w:rFonts w:asciiTheme="majorBidi" w:hAnsiTheme="majorBidi" w:cstheme="majorBidi"/>
                <w:sz w:val="18"/>
                <w:szCs w:val="18"/>
              </w:rPr>
              <w:t>35-44 ans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10,5</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2,7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7,7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8,3</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2,1</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6,1</w:t>
            </w:r>
          </w:p>
        </w:tc>
      </w:tr>
      <w:tr w:rsidR="00457D7C"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Default="00457D7C">
            <w:pPr>
              <w:spacing w:line="240" w:lineRule="auto"/>
              <w:rPr>
                <w:rFonts w:asciiTheme="majorBidi" w:hAnsiTheme="majorBidi" w:cstheme="majorBidi"/>
                <w:sz w:val="18"/>
                <w:szCs w:val="18"/>
              </w:rPr>
            </w:pPr>
            <w:r>
              <w:rPr>
                <w:rFonts w:asciiTheme="majorBidi" w:hAnsiTheme="majorBidi" w:cstheme="majorBidi"/>
                <w:sz w:val="18"/>
                <w:szCs w:val="18"/>
              </w:rPr>
              <w:t>45 ans et plus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6,6</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1,3</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4,3</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4,3</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1,1</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2,9</w:t>
            </w:r>
          </w:p>
        </w:tc>
      </w:tr>
      <w:tr w:rsidR="004E2812" w:rsidTr="0019102D">
        <w:trPr>
          <w:trHeight w:val="309"/>
          <w:jc w:val="center"/>
        </w:trPr>
        <w:tc>
          <w:tcPr>
            <w:tcW w:w="954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i/>
                <w:iCs/>
                <w:sz w:val="18"/>
                <w:szCs w:val="18"/>
              </w:rPr>
            </w:pPr>
            <w:r>
              <w:rPr>
                <w:rFonts w:asciiTheme="majorBidi" w:hAnsiTheme="majorBidi" w:cstheme="majorBidi"/>
                <w:i/>
                <w:iCs/>
                <w:sz w:val="18"/>
                <w:szCs w:val="18"/>
              </w:rPr>
              <w:t>• Selon le diplôme</w:t>
            </w:r>
          </w:p>
        </w:tc>
      </w:tr>
      <w:tr w:rsidR="00457D7C"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Default="00457D7C">
            <w:pPr>
              <w:spacing w:line="240" w:lineRule="auto"/>
              <w:rPr>
                <w:rFonts w:asciiTheme="majorBidi" w:hAnsiTheme="majorBidi" w:cstheme="majorBidi"/>
                <w:sz w:val="18"/>
                <w:szCs w:val="18"/>
              </w:rPr>
            </w:pPr>
            <w:r>
              <w:rPr>
                <w:rFonts w:asciiTheme="majorBidi" w:hAnsiTheme="majorBidi" w:cstheme="majorBidi"/>
                <w:sz w:val="18"/>
                <w:szCs w:val="18"/>
              </w:rPr>
              <w:t>Non diplômés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9,0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2,1</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5,0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6,3</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1,7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3,6</w:t>
            </w:r>
          </w:p>
        </w:tc>
      </w:tr>
      <w:tr w:rsidR="00457D7C"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Default="00457D7C">
            <w:pPr>
              <w:spacing w:line="240" w:lineRule="auto"/>
              <w:rPr>
                <w:rFonts w:asciiTheme="majorBidi" w:hAnsiTheme="majorBidi" w:cstheme="majorBidi"/>
                <w:sz w:val="18"/>
                <w:szCs w:val="18"/>
              </w:rPr>
            </w:pPr>
            <w:r>
              <w:rPr>
                <w:rFonts w:asciiTheme="majorBidi" w:hAnsiTheme="majorBidi" w:cstheme="majorBidi"/>
                <w:sz w:val="18"/>
                <w:szCs w:val="18"/>
              </w:rPr>
              <w:t>Diplômés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22,8</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11,7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20,4</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20,1</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10,1</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57D7C" w:rsidRPr="00457D7C" w:rsidRDefault="00457D7C" w:rsidP="00457D7C">
            <w:pPr>
              <w:ind w:firstLineChars="100" w:firstLine="220"/>
              <w:jc w:val="right"/>
              <w:rPr>
                <w:rFonts w:asciiTheme="majorBidi" w:hAnsiTheme="majorBidi" w:cstheme="majorBidi"/>
                <w:color w:val="000000"/>
                <w:sz w:val="24"/>
                <w:szCs w:val="24"/>
              </w:rPr>
            </w:pPr>
            <w:r w:rsidRPr="00457D7C">
              <w:rPr>
                <w:rFonts w:asciiTheme="majorBidi" w:hAnsiTheme="majorBidi" w:cstheme="majorBidi"/>
                <w:color w:val="000000"/>
              </w:rPr>
              <w:t>18,0</w:t>
            </w:r>
          </w:p>
        </w:tc>
      </w:tr>
    </w:tbl>
    <w:p w:rsidR="004E2812" w:rsidRDefault="004E2812" w:rsidP="004E2812">
      <w:pPr>
        <w:numPr>
          <w:ilvl w:val="0"/>
          <w:numId w:val="4"/>
        </w:numPr>
        <w:tabs>
          <w:tab w:val="left" w:pos="-720"/>
        </w:tabs>
        <w:suppressAutoHyphens/>
        <w:spacing w:line="256" w:lineRule="auto"/>
        <w:contextualSpacing/>
        <w:jc w:val="both"/>
        <w:rPr>
          <w:rFonts w:ascii="Times New Roman" w:eastAsia="Calibri" w:hAnsi="Times New Roman" w:cs="Times New Roman"/>
          <w:color w:val="222222"/>
          <w:sz w:val="20"/>
          <w:szCs w:val="20"/>
          <w:shd w:val="clear" w:color="auto" w:fill="FFFFFF"/>
          <w:lang w:eastAsia="en-US"/>
        </w:rPr>
      </w:pPr>
      <w:r>
        <w:rPr>
          <w:rFonts w:ascii="Times New Roman" w:eastAsia="Calibri" w:hAnsi="Times New Roman" w:cs="Times New Roman"/>
          <w:color w:val="222222"/>
          <w:sz w:val="20"/>
          <w:szCs w:val="20"/>
          <w:shd w:val="clear" w:color="auto" w:fill="FFFFFF"/>
          <w:lang w:eastAsia="en-US"/>
        </w:rPr>
        <w:t xml:space="preserve">Source : Enquête nationale sur l'emploi, Haut-Commissariat au Plan </w:t>
      </w:r>
    </w:p>
    <w:p w:rsidR="004E2812" w:rsidRDefault="004E2812" w:rsidP="004E2812">
      <w:pPr>
        <w:numPr>
          <w:ilvl w:val="0"/>
          <w:numId w:val="4"/>
        </w:numPr>
        <w:tabs>
          <w:tab w:val="left" w:pos="-720"/>
        </w:tabs>
        <w:suppressAutoHyphens/>
        <w:spacing w:line="256" w:lineRule="auto"/>
        <w:contextualSpacing/>
        <w:jc w:val="both"/>
        <w:rPr>
          <w:rFonts w:ascii="Times New Roman" w:eastAsia="Calibri" w:hAnsi="Times New Roman" w:cs="Times New Roman"/>
          <w:color w:val="222222"/>
          <w:sz w:val="20"/>
          <w:szCs w:val="20"/>
          <w:shd w:val="clear" w:color="auto" w:fill="FFFFFF"/>
          <w:lang w:eastAsia="en-US"/>
        </w:rPr>
      </w:pPr>
      <w:r>
        <w:rPr>
          <w:rFonts w:ascii="Times New Roman" w:eastAsia="Calibri" w:hAnsi="Times New Roman" w:cs="Times New Roman"/>
          <w:color w:val="222222"/>
          <w:sz w:val="20"/>
          <w:szCs w:val="20"/>
          <w:shd w:val="clear" w:color="auto" w:fill="FFFFFF"/>
          <w:lang w:eastAsia="en-US"/>
        </w:rPr>
        <w:t>Pour les définitions des concepts et indicateurs utilisés, se référer au glossaire disponible sur le site web du HCP </w:t>
      </w:r>
      <w:r>
        <w:rPr>
          <w:rFonts w:ascii="Times New Roman" w:eastAsia="Calibri" w:hAnsi="Times New Roman" w:cs="Times New Roman"/>
          <w:b/>
          <w:bCs/>
          <w:color w:val="222222"/>
          <w:sz w:val="20"/>
          <w:szCs w:val="20"/>
          <w:shd w:val="clear" w:color="auto" w:fill="FFFFFF"/>
          <w:lang w:eastAsia="en-US"/>
        </w:rPr>
        <w:t xml:space="preserve">: </w:t>
      </w:r>
      <w:hyperlink r:id="rId17" w:history="1">
        <w:r>
          <w:rPr>
            <w:rStyle w:val="Lienhypertexte"/>
            <w:rFonts w:ascii="Times New Roman" w:eastAsia="Calibri" w:hAnsi="Times New Roman" w:cs="Times New Roman"/>
            <w:b/>
            <w:bCs/>
            <w:color w:val="222222"/>
            <w:sz w:val="20"/>
            <w:szCs w:val="20"/>
            <w:shd w:val="clear" w:color="auto" w:fill="FFFFFF"/>
            <w:lang w:eastAsia="en-US"/>
          </w:rPr>
          <w:t>http://www.hcp.ma</w:t>
        </w:r>
      </w:hyperlink>
      <w:r>
        <w:rPr>
          <w:rFonts w:ascii="Times New Roman" w:eastAsia="Calibri" w:hAnsi="Times New Roman" w:cs="Times New Roman"/>
          <w:color w:val="222222"/>
          <w:sz w:val="20"/>
          <w:szCs w:val="20"/>
          <w:shd w:val="clear" w:color="auto" w:fill="FFFFFF"/>
          <w:lang w:eastAsia="en-US"/>
        </w:rPr>
        <w:t>.</w:t>
      </w:r>
    </w:p>
    <w:p w:rsidR="004E2812" w:rsidRDefault="004E2812" w:rsidP="004E2812">
      <w:pPr>
        <w:numPr>
          <w:ilvl w:val="0"/>
          <w:numId w:val="4"/>
        </w:numPr>
        <w:tabs>
          <w:tab w:val="left" w:pos="-720"/>
        </w:tabs>
        <w:suppressAutoHyphens/>
        <w:spacing w:line="256" w:lineRule="auto"/>
        <w:contextualSpacing/>
        <w:jc w:val="both"/>
        <w:rPr>
          <w:rFonts w:ascii="Book Antiqua" w:eastAsiaTheme="minorEastAsia" w:hAnsi="Book Antiqua" w:cs="Times New Roman"/>
        </w:rPr>
      </w:pPr>
      <w:r>
        <w:rPr>
          <w:rFonts w:ascii="Times New Roman" w:eastAsia="Calibri" w:hAnsi="Times New Roman" w:cs="Times New Roman"/>
          <w:color w:val="222222"/>
          <w:sz w:val="20"/>
          <w:szCs w:val="20"/>
          <w:shd w:val="clear" w:color="auto" w:fill="FFFFFF"/>
          <w:lang w:eastAsia="en-US"/>
        </w:rPr>
        <w:t>Les données chiffrées sont arrondies. Le résultat arrondi d’une combinaison de données chiffrées (qui fait intervenir leurs valeurs réelles) peut se trouver légèrement différent de celui que donnerait la combinaison de leurs valeurs arrondies.</w:t>
      </w:r>
    </w:p>
    <w:p w:rsidR="004E2812" w:rsidRDefault="004E2812" w:rsidP="004E2812">
      <w:pPr>
        <w:rPr>
          <w:rFonts w:ascii="Book Antiqua" w:hAnsi="Book Antiqua" w:cs="Times New Roman"/>
        </w:rPr>
      </w:pPr>
    </w:p>
    <w:p w:rsidR="004E2812" w:rsidRDefault="004E2812" w:rsidP="004E2812">
      <w:pPr>
        <w:rPr>
          <w:rFonts w:ascii="Book Antiqua" w:hAnsi="Book Antiqua" w:cs="Times New Roman"/>
        </w:rPr>
      </w:pPr>
    </w:p>
    <w:p w:rsidR="00750952" w:rsidRDefault="004E2812" w:rsidP="00750952">
      <w:pPr>
        <w:pStyle w:val="Titre1"/>
        <w:keepLines w:val="0"/>
        <w:spacing w:before="240" w:after="0" w:line="240" w:lineRule="auto"/>
        <w:rPr>
          <w:rFonts w:ascii="Book Antiqua" w:eastAsia="Book Antiqua" w:hAnsi="Book Antiqua" w:cs="Book Antiqua"/>
          <w:b/>
          <w:bCs/>
          <w:color w:val="2E74B5" w:themeColor="accent5" w:themeShade="BF"/>
          <w:sz w:val="26"/>
          <w:szCs w:val="26"/>
        </w:rPr>
      </w:pPr>
      <w:r>
        <w:rPr>
          <w:rFonts w:ascii="Book Antiqua" w:hAnsi="Book Antiqua" w:cs="Times New Roman"/>
        </w:rPr>
        <w:br w:type="page"/>
      </w:r>
    </w:p>
    <w:tbl>
      <w:tblPr>
        <w:tblStyle w:val="Grilledutableau"/>
        <w:tblW w:w="4950" w:type="pct"/>
        <w:tblLook w:val="04A0"/>
      </w:tblPr>
      <w:tblGrid>
        <w:gridCol w:w="4635"/>
        <w:gridCol w:w="2313"/>
        <w:gridCol w:w="2247"/>
      </w:tblGrid>
      <w:tr w:rsidR="00750952" w:rsidRPr="001B5566" w:rsidTr="00457D7C">
        <w:trPr>
          <w:trHeight w:val="315"/>
        </w:trPr>
        <w:tc>
          <w:tcPr>
            <w:tcW w:w="5000" w:type="pct"/>
            <w:gridSpan w:val="3"/>
            <w:tcBorders>
              <w:top w:val="nil"/>
              <w:left w:val="nil"/>
              <w:bottom w:val="single" w:sz="4" w:space="0" w:color="auto"/>
              <w:right w:val="nil"/>
            </w:tcBorders>
            <w:noWrap/>
            <w:hideMark/>
          </w:tcPr>
          <w:p w:rsidR="00750952" w:rsidRPr="001B5566" w:rsidRDefault="00750952" w:rsidP="00457D7C">
            <w:pPr>
              <w:spacing w:line="240" w:lineRule="auto"/>
              <w:rPr>
                <w:rFonts w:ascii="Book Antiqua" w:eastAsia="Book Antiqua" w:hAnsi="Book Antiqua" w:cs="Book Antiqua"/>
                <w:b/>
                <w:bCs/>
                <w:sz w:val="20"/>
                <w:szCs w:val="20"/>
              </w:rPr>
            </w:pPr>
            <w:r w:rsidRPr="00AF1591">
              <w:rPr>
                <w:rFonts w:ascii="Book Antiqua" w:eastAsia="Book Antiqua" w:hAnsi="Book Antiqua" w:cs="Book Antiqua"/>
                <w:b/>
                <w:color w:val="0070C0"/>
                <w:sz w:val="24"/>
                <w:szCs w:val="24"/>
              </w:rPr>
              <w:lastRenderedPageBreak/>
              <w:t>Tableau 2 : Taux d'activité, d’emploi et de chômage par région (en%)</w:t>
            </w:r>
          </w:p>
        </w:tc>
      </w:tr>
      <w:tr w:rsidR="00750952" w:rsidRPr="001B5566" w:rsidTr="00457D7C">
        <w:trPr>
          <w:trHeight w:val="315"/>
        </w:trPr>
        <w:tc>
          <w:tcPr>
            <w:tcW w:w="2520" w:type="pct"/>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 </w:t>
            </w:r>
          </w:p>
        </w:tc>
        <w:tc>
          <w:tcPr>
            <w:tcW w:w="1258" w:type="pct"/>
            <w:tcBorders>
              <w:top w:val="single" w:sz="4" w:space="0" w:color="auto"/>
              <w:left w:val="single" w:sz="4" w:space="0" w:color="auto"/>
              <w:bottom w:val="single" w:sz="4" w:space="0" w:color="auto"/>
              <w:right w:val="single" w:sz="4" w:space="0" w:color="auto"/>
            </w:tcBorders>
            <w:noWrap/>
            <w:hideMark/>
          </w:tcPr>
          <w:p w:rsidR="00750952" w:rsidRPr="001B5566" w:rsidRDefault="00750952" w:rsidP="00750952">
            <w:pPr>
              <w:spacing w:line="240" w:lineRule="auto"/>
              <w:jc w:val="center"/>
              <w:rPr>
                <w:rFonts w:ascii="Garamond" w:eastAsia="Book Antiqua" w:hAnsi="Garamond" w:cs="Book Antiqua"/>
                <w:b/>
                <w:bCs/>
                <w:sz w:val="20"/>
                <w:szCs w:val="20"/>
              </w:rPr>
            </w:pPr>
            <w:r w:rsidRPr="001B5566">
              <w:rPr>
                <w:rFonts w:ascii="Book Antiqua" w:eastAsia="Book Antiqua" w:hAnsi="Book Antiqua" w:cs="Book Antiqua"/>
                <w:b/>
                <w:bCs/>
                <w:sz w:val="20"/>
                <w:szCs w:val="20"/>
              </w:rPr>
              <w:t>2</w:t>
            </w:r>
            <w:r w:rsidRPr="001B5566">
              <w:rPr>
                <w:rFonts w:ascii="Book Antiqua" w:eastAsia="Book Antiqua" w:hAnsi="Book Antiqua" w:cs="Book Antiqua"/>
                <w:b/>
                <w:bCs/>
                <w:sz w:val="20"/>
                <w:szCs w:val="20"/>
                <w:vertAlign w:val="superscript"/>
              </w:rPr>
              <w:t>ème</w:t>
            </w:r>
            <w:r w:rsidRPr="001B5566">
              <w:rPr>
                <w:rFonts w:ascii="Book Antiqua" w:eastAsia="Book Antiqua" w:hAnsi="Book Antiqua" w:cs="Book Antiqua"/>
                <w:b/>
                <w:bCs/>
                <w:sz w:val="20"/>
                <w:szCs w:val="20"/>
              </w:rPr>
              <w:t xml:space="preserve"> trimestre de 202</w:t>
            </w:r>
            <w:r>
              <w:rPr>
                <w:rFonts w:ascii="Book Antiqua" w:eastAsia="Book Antiqua" w:hAnsi="Book Antiqua" w:cs="Book Antiqua"/>
                <w:b/>
                <w:bCs/>
                <w:sz w:val="20"/>
                <w:szCs w:val="20"/>
              </w:rPr>
              <w:t>1</w:t>
            </w:r>
          </w:p>
        </w:tc>
        <w:tc>
          <w:tcPr>
            <w:tcW w:w="1222" w:type="pct"/>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jc w:val="center"/>
              <w:rPr>
                <w:rFonts w:ascii="Garamond" w:eastAsia="Book Antiqua" w:hAnsi="Garamond" w:cs="Book Antiqua"/>
                <w:b/>
                <w:bCs/>
                <w:sz w:val="20"/>
                <w:szCs w:val="20"/>
              </w:rPr>
            </w:pPr>
            <w:r w:rsidRPr="001B5566">
              <w:rPr>
                <w:rFonts w:ascii="Book Antiqua" w:eastAsia="Book Antiqua" w:hAnsi="Book Antiqua" w:cs="Book Antiqua"/>
                <w:b/>
                <w:bCs/>
                <w:sz w:val="20"/>
                <w:szCs w:val="20"/>
              </w:rPr>
              <w:t>2</w:t>
            </w:r>
            <w:r w:rsidRPr="001B5566">
              <w:rPr>
                <w:rFonts w:ascii="Book Antiqua" w:eastAsia="Book Antiqua" w:hAnsi="Book Antiqua" w:cs="Book Antiqua"/>
                <w:b/>
                <w:bCs/>
                <w:sz w:val="20"/>
                <w:szCs w:val="20"/>
                <w:vertAlign w:val="superscript"/>
              </w:rPr>
              <w:t>ème</w:t>
            </w:r>
            <w:r w:rsidRPr="001B5566">
              <w:rPr>
                <w:rFonts w:ascii="Book Antiqua" w:eastAsia="Book Antiqua" w:hAnsi="Book Antiqua" w:cs="Book Antiqua"/>
                <w:b/>
                <w:bCs/>
                <w:sz w:val="20"/>
                <w:szCs w:val="20"/>
              </w:rPr>
              <w:t xml:space="preserve"> trimestre de 202</w:t>
            </w:r>
            <w:r>
              <w:rPr>
                <w:rFonts w:ascii="Book Antiqua" w:eastAsia="Book Antiqua" w:hAnsi="Book Antiqua" w:cs="Book Antiqua"/>
                <w:b/>
                <w:bCs/>
                <w:sz w:val="20"/>
                <w:szCs w:val="20"/>
              </w:rPr>
              <w:t>2</w:t>
            </w:r>
          </w:p>
        </w:tc>
      </w:tr>
      <w:tr w:rsidR="00750952" w:rsidRPr="001B5566" w:rsidTr="00457D7C">
        <w:trPr>
          <w:trHeight w:val="315"/>
        </w:trPr>
        <w:tc>
          <w:tcPr>
            <w:tcW w:w="5000" w:type="pct"/>
            <w:gridSpan w:val="3"/>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rPr>
                <w:rFonts w:ascii="Garamond" w:eastAsia="Book Antiqua" w:hAnsi="Garamond" w:cs="Book Antiqua"/>
                <w:b/>
                <w:bCs/>
                <w:color w:val="0070C0"/>
                <w:sz w:val="20"/>
                <w:szCs w:val="20"/>
              </w:rPr>
            </w:pPr>
            <w:r w:rsidRPr="001B5566">
              <w:rPr>
                <w:rFonts w:ascii="Garamond" w:hAnsi="Garamond"/>
                <w:b/>
                <w:bCs/>
                <w:color w:val="0070C0"/>
                <w:sz w:val="20"/>
                <w:szCs w:val="20"/>
              </w:rPr>
              <w:t>Taux d'activité (des 15 ans ou plus)</w:t>
            </w:r>
          </w:p>
        </w:tc>
      </w:tr>
      <w:tr w:rsidR="00750952" w:rsidRPr="001B5566" w:rsidTr="00457D7C">
        <w:trPr>
          <w:trHeight w:val="315"/>
        </w:trPr>
        <w:tc>
          <w:tcPr>
            <w:tcW w:w="2520" w:type="pct"/>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Tanger-Tétouan-Al Hoceïma</w:t>
            </w:r>
          </w:p>
        </w:tc>
        <w:tc>
          <w:tcPr>
            <w:tcW w:w="1258" w:type="pct"/>
            <w:tcBorders>
              <w:top w:val="single" w:sz="4" w:space="0" w:color="auto"/>
              <w:left w:val="single" w:sz="4" w:space="0" w:color="auto"/>
              <w:bottom w:val="single" w:sz="4" w:space="0" w:color="auto"/>
              <w:right w:val="single" w:sz="4" w:space="0" w:color="auto"/>
            </w:tcBorders>
            <w:noWrap/>
            <w:vAlign w:val="bottom"/>
            <w:hideMark/>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52,0</w:t>
            </w:r>
          </w:p>
        </w:tc>
        <w:tc>
          <w:tcPr>
            <w:tcW w:w="1222" w:type="pct"/>
            <w:tcBorders>
              <w:top w:val="single" w:sz="4" w:space="0" w:color="auto"/>
              <w:left w:val="single" w:sz="4" w:space="0" w:color="auto"/>
              <w:bottom w:val="single" w:sz="4" w:space="0" w:color="auto"/>
              <w:right w:val="single" w:sz="4" w:space="0" w:color="auto"/>
            </w:tcBorders>
            <w:noWrap/>
            <w:vAlign w:val="bottom"/>
            <w:hideMark/>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51,2</w:t>
            </w:r>
          </w:p>
        </w:tc>
      </w:tr>
      <w:tr w:rsidR="00750952" w:rsidRPr="001B5566" w:rsidTr="00457D7C">
        <w:trPr>
          <w:trHeight w:val="315"/>
        </w:trPr>
        <w:tc>
          <w:tcPr>
            <w:tcW w:w="2520" w:type="pct"/>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Oriental</w:t>
            </w:r>
          </w:p>
        </w:tc>
        <w:tc>
          <w:tcPr>
            <w:tcW w:w="1258" w:type="pct"/>
            <w:tcBorders>
              <w:top w:val="single" w:sz="4" w:space="0" w:color="auto"/>
              <w:left w:val="single" w:sz="4" w:space="0" w:color="auto"/>
              <w:bottom w:val="single" w:sz="4" w:space="0" w:color="auto"/>
              <w:right w:val="single" w:sz="4" w:space="0" w:color="auto"/>
            </w:tcBorders>
            <w:noWrap/>
            <w:vAlign w:val="bottom"/>
            <w:hideMark/>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43,3</w:t>
            </w:r>
          </w:p>
        </w:tc>
        <w:tc>
          <w:tcPr>
            <w:tcW w:w="1222" w:type="pct"/>
            <w:tcBorders>
              <w:top w:val="single" w:sz="4" w:space="0" w:color="auto"/>
              <w:left w:val="single" w:sz="4" w:space="0" w:color="auto"/>
              <w:bottom w:val="single" w:sz="4" w:space="0" w:color="auto"/>
              <w:right w:val="single" w:sz="4" w:space="0" w:color="auto"/>
            </w:tcBorders>
            <w:noWrap/>
            <w:vAlign w:val="bottom"/>
            <w:hideMark/>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43,1</w:t>
            </w:r>
          </w:p>
        </w:tc>
      </w:tr>
      <w:tr w:rsidR="00750952" w:rsidRPr="001B5566" w:rsidTr="00457D7C">
        <w:trPr>
          <w:trHeight w:val="315"/>
        </w:trPr>
        <w:tc>
          <w:tcPr>
            <w:tcW w:w="2520" w:type="pct"/>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Fès-Meknès</w:t>
            </w:r>
          </w:p>
        </w:tc>
        <w:tc>
          <w:tcPr>
            <w:tcW w:w="1258" w:type="pct"/>
            <w:tcBorders>
              <w:top w:val="single" w:sz="4" w:space="0" w:color="auto"/>
              <w:left w:val="single" w:sz="4" w:space="0" w:color="auto"/>
              <w:bottom w:val="single" w:sz="4" w:space="0" w:color="auto"/>
              <w:right w:val="single" w:sz="4" w:space="0" w:color="auto"/>
            </w:tcBorders>
            <w:noWrap/>
            <w:vAlign w:val="bottom"/>
            <w:hideMark/>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42,3</w:t>
            </w:r>
          </w:p>
        </w:tc>
        <w:tc>
          <w:tcPr>
            <w:tcW w:w="1222" w:type="pct"/>
            <w:tcBorders>
              <w:top w:val="single" w:sz="4" w:space="0" w:color="auto"/>
              <w:left w:val="single" w:sz="4" w:space="0" w:color="auto"/>
              <w:bottom w:val="single" w:sz="4" w:space="0" w:color="auto"/>
              <w:right w:val="single" w:sz="4" w:space="0" w:color="auto"/>
            </w:tcBorders>
            <w:noWrap/>
            <w:vAlign w:val="bottom"/>
            <w:hideMark/>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42,0</w:t>
            </w:r>
          </w:p>
        </w:tc>
      </w:tr>
      <w:tr w:rsidR="00750952" w:rsidRPr="001B5566" w:rsidTr="00457D7C">
        <w:trPr>
          <w:trHeight w:val="315"/>
        </w:trPr>
        <w:tc>
          <w:tcPr>
            <w:tcW w:w="2520" w:type="pct"/>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Rabat-Salé-Kénitra</w:t>
            </w:r>
          </w:p>
        </w:tc>
        <w:tc>
          <w:tcPr>
            <w:tcW w:w="1258" w:type="pct"/>
            <w:tcBorders>
              <w:top w:val="single" w:sz="4" w:space="0" w:color="auto"/>
              <w:left w:val="single" w:sz="4" w:space="0" w:color="auto"/>
              <w:bottom w:val="single" w:sz="4" w:space="0" w:color="auto"/>
              <w:right w:val="single" w:sz="4" w:space="0" w:color="auto"/>
            </w:tcBorders>
            <w:noWrap/>
            <w:vAlign w:val="bottom"/>
            <w:hideMark/>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45,3</w:t>
            </w:r>
          </w:p>
        </w:tc>
        <w:tc>
          <w:tcPr>
            <w:tcW w:w="1222" w:type="pct"/>
            <w:tcBorders>
              <w:top w:val="single" w:sz="4" w:space="0" w:color="auto"/>
              <w:left w:val="single" w:sz="4" w:space="0" w:color="auto"/>
              <w:bottom w:val="single" w:sz="4" w:space="0" w:color="auto"/>
              <w:right w:val="single" w:sz="4" w:space="0" w:color="auto"/>
            </w:tcBorders>
            <w:noWrap/>
            <w:vAlign w:val="bottom"/>
            <w:hideMark/>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45,7</w:t>
            </w:r>
          </w:p>
        </w:tc>
      </w:tr>
      <w:tr w:rsidR="00750952" w:rsidRPr="001B5566" w:rsidTr="00457D7C">
        <w:trPr>
          <w:trHeight w:val="315"/>
        </w:trPr>
        <w:tc>
          <w:tcPr>
            <w:tcW w:w="2520" w:type="pct"/>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Béni Mellal-Khénifra</w:t>
            </w:r>
          </w:p>
        </w:tc>
        <w:tc>
          <w:tcPr>
            <w:tcW w:w="1258" w:type="pct"/>
            <w:tcBorders>
              <w:top w:val="single" w:sz="4" w:space="0" w:color="auto"/>
              <w:left w:val="single" w:sz="4" w:space="0" w:color="auto"/>
              <w:bottom w:val="single" w:sz="4" w:space="0" w:color="auto"/>
              <w:right w:val="single" w:sz="4" w:space="0" w:color="auto"/>
            </w:tcBorders>
            <w:noWrap/>
            <w:vAlign w:val="bottom"/>
            <w:hideMark/>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43,8</w:t>
            </w:r>
          </w:p>
        </w:tc>
        <w:tc>
          <w:tcPr>
            <w:tcW w:w="1222" w:type="pct"/>
            <w:tcBorders>
              <w:top w:val="single" w:sz="4" w:space="0" w:color="auto"/>
              <w:left w:val="single" w:sz="4" w:space="0" w:color="auto"/>
              <w:bottom w:val="single" w:sz="4" w:space="0" w:color="auto"/>
              <w:right w:val="single" w:sz="4" w:space="0" w:color="auto"/>
            </w:tcBorders>
            <w:noWrap/>
            <w:vAlign w:val="bottom"/>
            <w:hideMark/>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41,7</w:t>
            </w:r>
          </w:p>
        </w:tc>
      </w:tr>
      <w:tr w:rsidR="00750952" w:rsidRPr="001B5566" w:rsidTr="00457D7C">
        <w:trPr>
          <w:trHeight w:val="315"/>
        </w:trPr>
        <w:tc>
          <w:tcPr>
            <w:tcW w:w="2520" w:type="pct"/>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Casablanca-Settat</w:t>
            </w:r>
          </w:p>
        </w:tc>
        <w:tc>
          <w:tcPr>
            <w:tcW w:w="1258" w:type="pct"/>
            <w:tcBorders>
              <w:top w:val="single" w:sz="4" w:space="0" w:color="auto"/>
              <w:left w:val="single" w:sz="4" w:space="0" w:color="auto"/>
              <w:bottom w:val="single" w:sz="4" w:space="0" w:color="auto"/>
              <w:right w:val="single" w:sz="4" w:space="0" w:color="auto"/>
            </w:tcBorders>
            <w:noWrap/>
            <w:vAlign w:val="bottom"/>
            <w:hideMark/>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47,9</w:t>
            </w:r>
          </w:p>
        </w:tc>
        <w:tc>
          <w:tcPr>
            <w:tcW w:w="1222" w:type="pct"/>
            <w:tcBorders>
              <w:top w:val="single" w:sz="4" w:space="0" w:color="auto"/>
              <w:left w:val="single" w:sz="4" w:space="0" w:color="auto"/>
              <w:bottom w:val="single" w:sz="4" w:space="0" w:color="auto"/>
              <w:right w:val="single" w:sz="4" w:space="0" w:color="auto"/>
            </w:tcBorders>
            <w:noWrap/>
            <w:vAlign w:val="bottom"/>
            <w:hideMark/>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47,5</w:t>
            </w:r>
          </w:p>
        </w:tc>
      </w:tr>
      <w:tr w:rsidR="00750952" w:rsidRPr="001B5566" w:rsidTr="00457D7C">
        <w:trPr>
          <w:trHeight w:val="315"/>
        </w:trPr>
        <w:tc>
          <w:tcPr>
            <w:tcW w:w="2520" w:type="pct"/>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Marrakech-Safi</w:t>
            </w:r>
          </w:p>
        </w:tc>
        <w:tc>
          <w:tcPr>
            <w:tcW w:w="1258" w:type="pct"/>
            <w:tcBorders>
              <w:top w:val="single" w:sz="4" w:space="0" w:color="auto"/>
              <w:left w:val="single" w:sz="4" w:space="0" w:color="auto"/>
              <w:bottom w:val="single" w:sz="4" w:space="0" w:color="auto"/>
              <w:right w:val="single" w:sz="4" w:space="0" w:color="auto"/>
            </w:tcBorders>
            <w:noWrap/>
            <w:vAlign w:val="bottom"/>
            <w:hideMark/>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48,8</w:t>
            </w:r>
          </w:p>
        </w:tc>
        <w:tc>
          <w:tcPr>
            <w:tcW w:w="1222" w:type="pct"/>
            <w:tcBorders>
              <w:top w:val="single" w:sz="4" w:space="0" w:color="auto"/>
              <w:left w:val="single" w:sz="4" w:space="0" w:color="auto"/>
              <w:bottom w:val="single" w:sz="4" w:space="0" w:color="auto"/>
              <w:right w:val="single" w:sz="4" w:space="0" w:color="auto"/>
            </w:tcBorders>
            <w:noWrap/>
            <w:vAlign w:val="bottom"/>
            <w:hideMark/>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46,5</w:t>
            </w:r>
          </w:p>
        </w:tc>
      </w:tr>
      <w:tr w:rsidR="00750952" w:rsidRPr="001B5566" w:rsidTr="00457D7C">
        <w:trPr>
          <w:trHeight w:val="315"/>
        </w:trPr>
        <w:tc>
          <w:tcPr>
            <w:tcW w:w="2520" w:type="pct"/>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Drâa-Tafilalet</w:t>
            </w:r>
          </w:p>
        </w:tc>
        <w:tc>
          <w:tcPr>
            <w:tcW w:w="1258" w:type="pct"/>
            <w:tcBorders>
              <w:top w:val="single" w:sz="4" w:space="0" w:color="auto"/>
              <w:left w:val="single" w:sz="4" w:space="0" w:color="auto"/>
              <w:bottom w:val="single" w:sz="4" w:space="0" w:color="auto"/>
              <w:right w:val="single" w:sz="4" w:space="0" w:color="auto"/>
            </w:tcBorders>
            <w:noWrap/>
            <w:vAlign w:val="bottom"/>
            <w:hideMark/>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46,6</w:t>
            </w:r>
          </w:p>
        </w:tc>
        <w:tc>
          <w:tcPr>
            <w:tcW w:w="1222" w:type="pct"/>
            <w:tcBorders>
              <w:top w:val="single" w:sz="4" w:space="0" w:color="auto"/>
              <w:left w:val="single" w:sz="4" w:space="0" w:color="auto"/>
              <w:bottom w:val="single" w:sz="4" w:space="0" w:color="auto"/>
              <w:right w:val="single" w:sz="4" w:space="0" w:color="auto"/>
            </w:tcBorders>
            <w:noWrap/>
            <w:vAlign w:val="bottom"/>
            <w:hideMark/>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43,0</w:t>
            </w:r>
          </w:p>
        </w:tc>
      </w:tr>
      <w:tr w:rsidR="00750952" w:rsidRPr="001B5566" w:rsidTr="00457D7C">
        <w:trPr>
          <w:trHeight w:val="315"/>
        </w:trPr>
        <w:tc>
          <w:tcPr>
            <w:tcW w:w="2520" w:type="pct"/>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Souss-Massa</w:t>
            </w:r>
          </w:p>
        </w:tc>
        <w:tc>
          <w:tcPr>
            <w:tcW w:w="1258" w:type="pct"/>
            <w:tcBorders>
              <w:top w:val="single" w:sz="4" w:space="0" w:color="auto"/>
              <w:left w:val="single" w:sz="4" w:space="0" w:color="auto"/>
              <w:bottom w:val="single" w:sz="4" w:space="0" w:color="auto"/>
              <w:right w:val="single" w:sz="4" w:space="0" w:color="auto"/>
            </w:tcBorders>
            <w:noWrap/>
            <w:vAlign w:val="bottom"/>
            <w:hideMark/>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42,0</w:t>
            </w:r>
          </w:p>
        </w:tc>
        <w:tc>
          <w:tcPr>
            <w:tcW w:w="1222" w:type="pct"/>
            <w:tcBorders>
              <w:top w:val="single" w:sz="4" w:space="0" w:color="auto"/>
              <w:left w:val="single" w:sz="4" w:space="0" w:color="auto"/>
              <w:bottom w:val="single" w:sz="4" w:space="0" w:color="auto"/>
              <w:right w:val="single" w:sz="4" w:space="0" w:color="auto"/>
            </w:tcBorders>
            <w:noWrap/>
            <w:vAlign w:val="bottom"/>
            <w:hideMark/>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39,9</w:t>
            </w:r>
          </w:p>
        </w:tc>
      </w:tr>
      <w:tr w:rsidR="00750952" w:rsidRPr="001B5566" w:rsidTr="00457D7C">
        <w:trPr>
          <w:trHeight w:val="315"/>
        </w:trPr>
        <w:tc>
          <w:tcPr>
            <w:tcW w:w="2520" w:type="pct"/>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Régions du Sud</w:t>
            </w:r>
          </w:p>
        </w:tc>
        <w:tc>
          <w:tcPr>
            <w:tcW w:w="1258" w:type="pct"/>
            <w:tcBorders>
              <w:top w:val="single" w:sz="4" w:space="0" w:color="auto"/>
              <w:left w:val="single" w:sz="4" w:space="0" w:color="auto"/>
              <w:bottom w:val="single" w:sz="4" w:space="0" w:color="auto"/>
              <w:right w:val="single" w:sz="4" w:space="0" w:color="auto"/>
            </w:tcBorders>
            <w:noWrap/>
            <w:vAlign w:val="bottom"/>
            <w:hideMark/>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43,8</w:t>
            </w:r>
          </w:p>
        </w:tc>
        <w:tc>
          <w:tcPr>
            <w:tcW w:w="1222" w:type="pct"/>
            <w:tcBorders>
              <w:top w:val="single" w:sz="4" w:space="0" w:color="auto"/>
              <w:left w:val="single" w:sz="4" w:space="0" w:color="auto"/>
              <w:bottom w:val="single" w:sz="4" w:space="0" w:color="auto"/>
              <w:right w:val="single" w:sz="4" w:space="0" w:color="auto"/>
            </w:tcBorders>
            <w:noWrap/>
            <w:vAlign w:val="bottom"/>
            <w:hideMark/>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44,2</w:t>
            </w:r>
          </w:p>
        </w:tc>
      </w:tr>
      <w:tr w:rsidR="00750952" w:rsidRPr="001B5566" w:rsidTr="00457D7C">
        <w:trPr>
          <w:trHeight w:val="315"/>
        </w:trPr>
        <w:tc>
          <w:tcPr>
            <w:tcW w:w="2520" w:type="pct"/>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rPr>
                <w:rFonts w:ascii="Garamond" w:eastAsia="Book Antiqua" w:hAnsi="Garamond" w:cs="Book Antiqua"/>
                <w:b/>
                <w:bCs/>
                <w:sz w:val="20"/>
                <w:szCs w:val="20"/>
              </w:rPr>
            </w:pPr>
            <w:r w:rsidRPr="001B5566">
              <w:rPr>
                <w:rFonts w:ascii="Garamond" w:eastAsia="Book Antiqua" w:hAnsi="Garamond" w:cs="Book Antiqua"/>
                <w:b/>
                <w:bCs/>
                <w:sz w:val="20"/>
                <w:szCs w:val="20"/>
              </w:rPr>
              <w:t>Ensemble</w:t>
            </w:r>
          </w:p>
        </w:tc>
        <w:tc>
          <w:tcPr>
            <w:tcW w:w="1258" w:type="pct"/>
            <w:tcBorders>
              <w:top w:val="single" w:sz="4" w:space="0" w:color="auto"/>
              <w:left w:val="single" w:sz="4" w:space="0" w:color="auto"/>
              <w:bottom w:val="single" w:sz="4" w:space="0" w:color="auto"/>
              <w:right w:val="single" w:sz="4" w:space="0" w:color="auto"/>
            </w:tcBorders>
            <w:noWrap/>
            <w:vAlign w:val="bottom"/>
            <w:hideMark/>
          </w:tcPr>
          <w:p w:rsidR="00750952" w:rsidRPr="00DB7687" w:rsidRDefault="00750952" w:rsidP="00457D7C">
            <w:pPr>
              <w:spacing w:line="240" w:lineRule="auto"/>
              <w:ind w:firstLineChars="300" w:firstLine="723"/>
              <w:rPr>
                <w:rFonts w:asciiTheme="majorBidi" w:eastAsia="Times New Roman" w:hAnsiTheme="majorBidi" w:cstheme="majorBidi"/>
                <w:b/>
                <w:bCs/>
                <w:color w:val="000000"/>
                <w:sz w:val="24"/>
                <w:szCs w:val="24"/>
              </w:rPr>
            </w:pPr>
            <w:r w:rsidRPr="00DB7687">
              <w:rPr>
                <w:rFonts w:asciiTheme="majorBidi" w:eastAsia="Times New Roman" w:hAnsiTheme="majorBidi" w:cstheme="majorBidi"/>
                <w:b/>
                <w:bCs/>
                <w:color w:val="000000"/>
                <w:sz w:val="24"/>
                <w:szCs w:val="24"/>
              </w:rPr>
              <w:t>46,1</w:t>
            </w:r>
          </w:p>
        </w:tc>
        <w:tc>
          <w:tcPr>
            <w:tcW w:w="1222" w:type="pct"/>
            <w:tcBorders>
              <w:top w:val="single" w:sz="4" w:space="0" w:color="auto"/>
              <w:left w:val="single" w:sz="4" w:space="0" w:color="auto"/>
              <w:bottom w:val="single" w:sz="4" w:space="0" w:color="auto"/>
              <w:right w:val="single" w:sz="4" w:space="0" w:color="auto"/>
            </w:tcBorders>
            <w:noWrap/>
            <w:vAlign w:val="bottom"/>
            <w:hideMark/>
          </w:tcPr>
          <w:p w:rsidR="00750952" w:rsidRPr="00DB7687" w:rsidRDefault="00750952" w:rsidP="00457D7C">
            <w:pPr>
              <w:spacing w:line="240" w:lineRule="auto"/>
              <w:ind w:firstLineChars="300" w:firstLine="723"/>
              <w:rPr>
                <w:rFonts w:asciiTheme="majorBidi" w:eastAsia="Times New Roman" w:hAnsiTheme="majorBidi" w:cstheme="majorBidi"/>
                <w:b/>
                <w:bCs/>
                <w:color w:val="000000"/>
                <w:sz w:val="24"/>
                <w:szCs w:val="24"/>
              </w:rPr>
            </w:pPr>
            <w:r w:rsidRPr="00DB7687">
              <w:rPr>
                <w:rFonts w:asciiTheme="majorBidi" w:eastAsia="Times New Roman" w:hAnsiTheme="majorBidi" w:cstheme="majorBidi"/>
                <w:b/>
                <w:bCs/>
                <w:color w:val="000000"/>
                <w:sz w:val="24"/>
                <w:szCs w:val="24"/>
              </w:rPr>
              <w:t>45,2</w:t>
            </w:r>
          </w:p>
        </w:tc>
      </w:tr>
      <w:tr w:rsidR="00750952" w:rsidRPr="001B5566" w:rsidTr="00457D7C">
        <w:trPr>
          <w:trHeight w:val="315"/>
        </w:trPr>
        <w:tc>
          <w:tcPr>
            <w:tcW w:w="5000" w:type="pct"/>
            <w:gridSpan w:val="3"/>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rPr>
                <w:rFonts w:ascii="Garamond" w:eastAsia="Book Antiqua" w:hAnsi="Garamond" w:cs="Book Antiqua"/>
                <w:b/>
                <w:bCs/>
                <w:color w:val="0070C0"/>
                <w:sz w:val="20"/>
                <w:szCs w:val="20"/>
              </w:rPr>
            </w:pPr>
            <w:r w:rsidRPr="001B5566">
              <w:rPr>
                <w:rFonts w:ascii="Garamond" w:hAnsi="Garamond"/>
                <w:b/>
                <w:bCs/>
                <w:color w:val="0070C0"/>
                <w:sz w:val="20"/>
                <w:szCs w:val="20"/>
              </w:rPr>
              <w:t>Taux d'emploi (des 15 ans ou plus)</w:t>
            </w:r>
          </w:p>
        </w:tc>
      </w:tr>
      <w:tr w:rsidR="00750952" w:rsidRPr="001B5566" w:rsidTr="00457D7C">
        <w:trPr>
          <w:trHeight w:val="315"/>
        </w:trPr>
        <w:tc>
          <w:tcPr>
            <w:tcW w:w="2520" w:type="pct"/>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Tanger-Tétouan-Al Hoceïma</w:t>
            </w:r>
          </w:p>
        </w:tc>
        <w:tc>
          <w:tcPr>
            <w:tcW w:w="1258"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46,7</w:t>
            </w:r>
          </w:p>
        </w:tc>
        <w:tc>
          <w:tcPr>
            <w:tcW w:w="1222"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46,7</w:t>
            </w:r>
          </w:p>
        </w:tc>
      </w:tr>
      <w:tr w:rsidR="00750952" w:rsidRPr="001B5566" w:rsidTr="00457D7C">
        <w:trPr>
          <w:trHeight w:val="315"/>
        </w:trPr>
        <w:tc>
          <w:tcPr>
            <w:tcW w:w="2520" w:type="pct"/>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Oriental</w:t>
            </w:r>
          </w:p>
        </w:tc>
        <w:tc>
          <w:tcPr>
            <w:tcW w:w="1258"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35,3</w:t>
            </w:r>
          </w:p>
        </w:tc>
        <w:tc>
          <w:tcPr>
            <w:tcW w:w="1222"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35,2</w:t>
            </w:r>
          </w:p>
        </w:tc>
      </w:tr>
      <w:tr w:rsidR="00750952" w:rsidRPr="001B5566" w:rsidTr="00457D7C">
        <w:trPr>
          <w:trHeight w:val="315"/>
        </w:trPr>
        <w:tc>
          <w:tcPr>
            <w:tcW w:w="2520" w:type="pct"/>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Fès-Meknès</w:t>
            </w:r>
          </w:p>
        </w:tc>
        <w:tc>
          <w:tcPr>
            <w:tcW w:w="1258"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36,1</w:t>
            </w:r>
          </w:p>
        </w:tc>
        <w:tc>
          <w:tcPr>
            <w:tcW w:w="1222"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36,7</w:t>
            </w:r>
          </w:p>
        </w:tc>
      </w:tr>
      <w:tr w:rsidR="00750952" w:rsidRPr="001B5566" w:rsidTr="00457D7C">
        <w:trPr>
          <w:trHeight w:val="315"/>
        </w:trPr>
        <w:tc>
          <w:tcPr>
            <w:tcW w:w="2520" w:type="pct"/>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Rabat-Salé-Kénitra</w:t>
            </w:r>
          </w:p>
        </w:tc>
        <w:tc>
          <w:tcPr>
            <w:tcW w:w="1258"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40,0</w:t>
            </w:r>
          </w:p>
        </w:tc>
        <w:tc>
          <w:tcPr>
            <w:tcW w:w="1222"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41,0</w:t>
            </w:r>
          </w:p>
        </w:tc>
      </w:tr>
      <w:tr w:rsidR="00750952" w:rsidRPr="001B5566" w:rsidTr="00457D7C">
        <w:trPr>
          <w:trHeight w:val="315"/>
        </w:trPr>
        <w:tc>
          <w:tcPr>
            <w:tcW w:w="2520" w:type="pct"/>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Béni Mellal-Khénifra</w:t>
            </w:r>
          </w:p>
        </w:tc>
        <w:tc>
          <w:tcPr>
            <w:tcW w:w="1258"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39,6</w:t>
            </w:r>
          </w:p>
        </w:tc>
        <w:tc>
          <w:tcPr>
            <w:tcW w:w="1222"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38,0</w:t>
            </w:r>
          </w:p>
        </w:tc>
      </w:tr>
      <w:tr w:rsidR="00750952" w:rsidRPr="001B5566" w:rsidTr="00457D7C">
        <w:trPr>
          <w:trHeight w:val="315"/>
        </w:trPr>
        <w:tc>
          <w:tcPr>
            <w:tcW w:w="2520" w:type="pct"/>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Casablanca-Settat</w:t>
            </w:r>
          </w:p>
        </w:tc>
        <w:tc>
          <w:tcPr>
            <w:tcW w:w="1258"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40,2</w:t>
            </w:r>
          </w:p>
        </w:tc>
        <w:tc>
          <w:tcPr>
            <w:tcW w:w="1222"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41,4</w:t>
            </w:r>
          </w:p>
        </w:tc>
      </w:tr>
      <w:tr w:rsidR="00750952" w:rsidRPr="001B5566" w:rsidTr="00457D7C">
        <w:trPr>
          <w:trHeight w:val="315"/>
        </w:trPr>
        <w:tc>
          <w:tcPr>
            <w:tcW w:w="2520" w:type="pct"/>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Marrakech-Safi</w:t>
            </w:r>
          </w:p>
        </w:tc>
        <w:tc>
          <w:tcPr>
            <w:tcW w:w="1258"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44,6</w:t>
            </w:r>
          </w:p>
        </w:tc>
        <w:tc>
          <w:tcPr>
            <w:tcW w:w="1222"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43,4</w:t>
            </w:r>
          </w:p>
        </w:tc>
      </w:tr>
      <w:tr w:rsidR="00750952" w:rsidRPr="001B5566" w:rsidTr="00457D7C">
        <w:trPr>
          <w:trHeight w:val="315"/>
        </w:trPr>
        <w:tc>
          <w:tcPr>
            <w:tcW w:w="2520" w:type="pct"/>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Drâa-Tafilalet</w:t>
            </w:r>
          </w:p>
        </w:tc>
        <w:tc>
          <w:tcPr>
            <w:tcW w:w="1258"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42,6</w:t>
            </w:r>
          </w:p>
        </w:tc>
        <w:tc>
          <w:tcPr>
            <w:tcW w:w="1222"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39,0</w:t>
            </w:r>
          </w:p>
        </w:tc>
      </w:tr>
      <w:tr w:rsidR="00750952" w:rsidRPr="001B5566" w:rsidTr="00457D7C">
        <w:trPr>
          <w:trHeight w:val="315"/>
        </w:trPr>
        <w:tc>
          <w:tcPr>
            <w:tcW w:w="2520" w:type="pct"/>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Souss-Massa</w:t>
            </w:r>
          </w:p>
        </w:tc>
        <w:tc>
          <w:tcPr>
            <w:tcW w:w="1258"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36,9</w:t>
            </w:r>
          </w:p>
        </w:tc>
        <w:tc>
          <w:tcPr>
            <w:tcW w:w="1222"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35,3</w:t>
            </w:r>
          </w:p>
        </w:tc>
      </w:tr>
      <w:tr w:rsidR="00750952" w:rsidRPr="001B5566" w:rsidTr="00457D7C">
        <w:trPr>
          <w:trHeight w:val="315"/>
        </w:trPr>
        <w:tc>
          <w:tcPr>
            <w:tcW w:w="2520" w:type="pct"/>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Régions du Sud</w:t>
            </w:r>
          </w:p>
        </w:tc>
        <w:tc>
          <w:tcPr>
            <w:tcW w:w="1258"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34,7</w:t>
            </w:r>
          </w:p>
        </w:tc>
        <w:tc>
          <w:tcPr>
            <w:tcW w:w="1222"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457D7C">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35,0</w:t>
            </w:r>
          </w:p>
        </w:tc>
      </w:tr>
      <w:tr w:rsidR="00750952" w:rsidRPr="001B5566" w:rsidTr="00457D7C">
        <w:trPr>
          <w:trHeight w:val="315"/>
        </w:trPr>
        <w:tc>
          <w:tcPr>
            <w:tcW w:w="2520" w:type="pct"/>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rPr>
                <w:rFonts w:ascii="Garamond" w:eastAsia="Book Antiqua" w:hAnsi="Garamond" w:cs="Book Antiqua"/>
                <w:b/>
                <w:bCs/>
                <w:sz w:val="20"/>
                <w:szCs w:val="20"/>
              </w:rPr>
            </w:pPr>
            <w:r w:rsidRPr="001B5566">
              <w:rPr>
                <w:rFonts w:ascii="Garamond" w:eastAsia="Book Antiqua" w:hAnsi="Garamond" w:cs="Book Antiqua"/>
                <w:b/>
                <w:bCs/>
                <w:sz w:val="20"/>
                <w:szCs w:val="20"/>
              </w:rPr>
              <w:t>Ensemble</w:t>
            </w:r>
          </w:p>
        </w:tc>
        <w:tc>
          <w:tcPr>
            <w:tcW w:w="1258"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457D7C">
            <w:pPr>
              <w:spacing w:line="240" w:lineRule="auto"/>
              <w:ind w:firstLineChars="300" w:firstLine="723"/>
              <w:rPr>
                <w:rFonts w:asciiTheme="majorBidi" w:eastAsia="Times New Roman" w:hAnsiTheme="majorBidi" w:cstheme="majorBidi"/>
                <w:b/>
                <w:bCs/>
                <w:color w:val="000000"/>
                <w:sz w:val="24"/>
                <w:szCs w:val="24"/>
              </w:rPr>
            </w:pPr>
            <w:r w:rsidRPr="00DB7687">
              <w:rPr>
                <w:rFonts w:asciiTheme="majorBidi" w:eastAsia="Times New Roman" w:hAnsiTheme="majorBidi" w:cstheme="majorBidi"/>
                <w:b/>
                <w:bCs/>
                <w:color w:val="000000"/>
                <w:sz w:val="24"/>
                <w:szCs w:val="24"/>
              </w:rPr>
              <w:t>40,2</w:t>
            </w:r>
          </w:p>
        </w:tc>
        <w:tc>
          <w:tcPr>
            <w:tcW w:w="1222"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457D7C">
            <w:pPr>
              <w:spacing w:line="240" w:lineRule="auto"/>
              <w:ind w:firstLineChars="300" w:firstLine="723"/>
              <w:rPr>
                <w:rFonts w:asciiTheme="majorBidi" w:eastAsia="Times New Roman" w:hAnsiTheme="majorBidi" w:cstheme="majorBidi"/>
                <w:b/>
                <w:bCs/>
                <w:color w:val="000000"/>
                <w:sz w:val="24"/>
                <w:szCs w:val="24"/>
              </w:rPr>
            </w:pPr>
            <w:r w:rsidRPr="00DB7687">
              <w:rPr>
                <w:rFonts w:asciiTheme="majorBidi" w:eastAsia="Times New Roman" w:hAnsiTheme="majorBidi" w:cstheme="majorBidi"/>
                <w:b/>
                <w:bCs/>
                <w:color w:val="000000"/>
                <w:sz w:val="24"/>
                <w:szCs w:val="24"/>
              </w:rPr>
              <w:t>40,2</w:t>
            </w:r>
          </w:p>
        </w:tc>
      </w:tr>
      <w:tr w:rsidR="00750952" w:rsidRPr="001B5566" w:rsidTr="00457D7C">
        <w:trPr>
          <w:trHeight w:val="315"/>
        </w:trPr>
        <w:tc>
          <w:tcPr>
            <w:tcW w:w="5000" w:type="pct"/>
            <w:gridSpan w:val="3"/>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rPr>
                <w:rFonts w:ascii="Garamond" w:eastAsia="Book Antiqua" w:hAnsi="Garamond" w:cs="Book Antiqua"/>
                <w:b/>
                <w:bCs/>
                <w:sz w:val="20"/>
                <w:szCs w:val="20"/>
              </w:rPr>
            </w:pPr>
            <w:r w:rsidRPr="001B5566">
              <w:rPr>
                <w:rFonts w:ascii="Garamond" w:hAnsi="Garamond"/>
                <w:b/>
                <w:bCs/>
                <w:color w:val="0070C0"/>
                <w:sz w:val="20"/>
                <w:szCs w:val="20"/>
              </w:rPr>
              <w:t>Taux de chômage</w:t>
            </w:r>
          </w:p>
        </w:tc>
      </w:tr>
      <w:tr w:rsidR="00750952" w:rsidRPr="001B5566" w:rsidTr="00457D7C">
        <w:trPr>
          <w:trHeight w:val="315"/>
        </w:trPr>
        <w:tc>
          <w:tcPr>
            <w:tcW w:w="2520" w:type="pct"/>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tabs>
                <w:tab w:val="left" w:pos="2505"/>
              </w:tabs>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Tanger-Tétouan-Al Hoceïma</w:t>
            </w:r>
            <w:r w:rsidRPr="001B5566">
              <w:rPr>
                <w:rFonts w:ascii="Garamond" w:eastAsia="Book Antiqua" w:hAnsi="Garamond" w:cs="Book Antiqua"/>
                <w:sz w:val="20"/>
                <w:szCs w:val="20"/>
              </w:rPr>
              <w:tab/>
            </w:r>
          </w:p>
        </w:tc>
        <w:tc>
          <w:tcPr>
            <w:tcW w:w="1258"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990216">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10,2</w:t>
            </w:r>
          </w:p>
        </w:tc>
        <w:tc>
          <w:tcPr>
            <w:tcW w:w="1222"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990216">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8,7</w:t>
            </w:r>
          </w:p>
        </w:tc>
      </w:tr>
      <w:tr w:rsidR="00750952" w:rsidRPr="001B5566" w:rsidTr="00457D7C">
        <w:trPr>
          <w:trHeight w:val="315"/>
        </w:trPr>
        <w:tc>
          <w:tcPr>
            <w:tcW w:w="2520" w:type="pct"/>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Oriental</w:t>
            </w:r>
          </w:p>
        </w:tc>
        <w:tc>
          <w:tcPr>
            <w:tcW w:w="1258"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990216">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18,4</w:t>
            </w:r>
          </w:p>
        </w:tc>
        <w:tc>
          <w:tcPr>
            <w:tcW w:w="1222"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990216">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18,2</w:t>
            </w:r>
          </w:p>
        </w:tc>
      </w:tr>
      <w:tr w:rsidR="00750952" w:rsidRPr="001B5566" w:rsidTr="00457D7C">
        <w:trPr>
          <w:trHeight w:val="315"/>
        </w:trPr>
        <w:tc>
          <w:tcPr>
            <w:tcW w:w="2520" w:type="pct"/>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Fès-Meknès</w:t>
            </w:r>
          </w:p>
        </w:tc>
        <w:tc>
          <w:tcPr>
            <w:tcW w:w="1258"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990216">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14,8</w:t>
            </w:r>
          </w:p>
        </w:tc>
        <w:tc>
          <w:tcPr>
            <w:tcW w:w="1222"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990216">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12,5</w:t>
            </w:r>
          </w:p>
        </w:tc>
      </w:tr>
      <w:tr w:rsidR="00750952" w:rsidRPr="001B5566" w:rsidTr="00457D7C">
        <w:trPr>
          <w:trHeight w:val="315"/>
        </w:trPr>
        <w:tc>
          <w:tcPr>
            <w:tcW w:w="2520" w:type="pct"/>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Rabat-Salé-Kénitra</w:t>
            </w:r>
          </w:p>
        </w:tc>
        <w:tc>
          <w:tcPr>
            <w:tcW w:w="1258"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990216">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11,7</w:t>
            </w:r>
          </w:p>
        </w:tc>
        <w:tc>
          <w:tcPr>
            <w:tcW w:w="1222"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990216">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10,3</w:t>
            </w:r>
          </w:p>
        </w:tc>
      </w:tr>
      <w:tr w:rsidR="00750952" w:rsidRPr="001B5566" w:rsidTr="00457D7C">
        <w:trPr>
          <w:trHeight w:val="315"/>
        </w:trPr>
        <w:tc>
          <w:tcPr>
            <w:tcW w:w="2520" w:type="pct"/>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Béni Mellal-Khénifra</w:t>
            </w:r>
          </w:p>
        </w:tc>
        <w:tc>
          <w:tcPr>
            <w:tcW w:w="1258"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990216">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9,7</w:t>
            </w:r>
          </w:p>
        </w:tc>
        <w:tc>
          <w:tcPr>
            <w:tcW w:w="1222"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990216">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8,7</w:t>
            </w:r>
          </w:p>
        </w:tc>
      </w:tr>
      <w:tr w:rsidR="00750952" w:rsidRPr="001B5566" w:rsidTr="00457D7C">
        <w:trPr>
          <w:trHeight w:val="315"/>
        </w:trPr>
        <w:tc>
          <w:tcPr>
            <w:tcW w:w="2520" w:type="pct"/>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Casablanca-Settat</w:t>
            </w:r>
          </w:p>
        </w:tc>
        <w:tc>
          <w:tcPr>
            <w:tcW w:w="1258"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990216">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16,1</w:t>
            </w:r>
          </w:p>
        </w:tc>
        <w:tc>
          <w:tcPr>
            <w:tcW w:w="1222"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990216">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12,8</w:t>
            </w:r>
          </w:p>
        </w:tc>
      </w:tr>
      <w:tr w:rsidR="00750952" w:rsidRPr="001B5566" w:rsidTr="00457D7C">
        <w:trPr>
          <w:trHeight w:val="315"/>
        </w:trPr>
        <w:tc>
          <w:tcPr>
            <w:tcW w:w="2520" w:type="pct"/>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Marrakech-Safi</w:t>
            </w:r>
          </w:p>
        </w:tc>
        <w:tc>
          <w:tcPr>
            <w:tcW w:w="1258"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990216">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8,7</w:t>
            </w:r>
          </w:p>
        </w:tc>
        <w:tc>
          <w:tcPr>
            <w:tcW w:w="1222"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990216">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6,5</w:t>
            </w:r>
          </w:p>
        </w:tc>
      </w:tr>
      <w:tr w:rsidR="00750952" w:rsidRPr="001B5566" w:rsidTr="00457D7C">
        <w:trPr>
          <w:trHeight w:val="315"/>
        </w:trPr>
        <w:tc>
          <w:tcPr>
            <w:tcW w:w="2520" w:type="pct"/>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Drâa-Tafilalet</w:t>
            </w:r>
          </w:p>
        </w:tc>
        <w:tc>
          <w:tcPr>
            <w:tcW w:w="1258"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990216">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8,5</w:t>
            </w:r>
          </w:p>
        </w:tc>
        <w:tc>
          <w:tcPr>
            <w:tcW w:w="1222"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990216">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9,1</w:t>
            </w:r>
          </w:p>
        </w:tc>
      </w:tr>
      <w:tr w:rsidR="00750952" w:rsidRPr="001B5566" w:rsidTr="00457D7C">
        <w:trPr>
          <w:trHeight w:val="315"/>
        </w:trPr>
        <w:tc>
          <w:tcPr>
            <w:tcW w:w="2520" w:type="pct"/>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Souss-Massa</w:t>
            </w:r>
          </w:p>
        </w:tc>
        <w:tc>
          <w:tcPr>
            <w:tcW w:w="1258"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990216">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12,2</w:t>
            </w:r>
          </w:p>
        </w:tc>
        <w:tc>
          <w:tcPr>
            <w:tcW w:w="1222"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990216">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11,4</w:t>
            </w:r>
          </w:p>
        </w:tc>
      </w:tr>
      <w:tr w:rsidR="00750952" w:rsidRPr="001B5566" w:rsidTr="00457D7C">
        <w:trPr>
          <w:trHeight w:val="315"/>
        </w:trPr>
        <w:tc>
          <w:tcPr>
            <w:tcW w:w="2520" w:type="pct"/>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Régions du Sud</w:t>
            </w:r>
          </w:p>
        </w:tc>
        <w:tc>
          <w:tcPr>
            <w:tcW w:w="1258"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990216">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20,8</w:t>
            </w:r>
          </w:p>
        </w:tc>
        <w:tc>
          <w:tcPr>
            <w:tcW w:w="1222"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990216">
            <w:pPr>
              <w:spacing w:line="240" w:lineRule="auto"/>
              <w:ind w:firstLineChars="300" w:firstLine="720"/>
              <w:rPr>
                <w:rFonts w:asciiTheme="majorBidi" w:eastAsia="Times New Roman" w:hAnsiTheme="majorBidi" w:cstheme="majorBidi"/>
                <w:color w:val="000000"/>
                <w:sz w:val="24"/>
                <w:szCs w:val="24"/>
              </w:rPr>
            </w:pPr>
            <w:r w:rsidRPr="00DB7687">
              <w:rPr>
                <w:rFonts w:asciiTheme="majorBidi" w:eastAsia="Times New Roman" w:hAnsiTheme="majorBidi" w:cstheme="majorBidi"/>
                <w:color w:val="000000"/>
                <w:sz w:val="24"/>
                <w:szCs w:val="24"/>
              </w:rPr>
              <w:t>20,9</w:t>
            </w:r>
          </w:p>
        </w:tc>
      </w:tr>
      <w:tr w:rsidR="00750952" w:rsidRPr="001B5566" w:rsidTr="00457D7C">
        <w:trPr>
          <w:trHeight w:val="315"/>
        </w:trPr>
        <w:tc>
          <w:tcPr>
            <w:tcW w:w="2520" w:type="pct"/>
            <w:tcBorders>
              <w:top w:val="single" w:sz="4" w:space="0" w:color="auto"/>
              <w:left w:val="single" w:sz="4" w:space="0" w:color="auto"/>
              <w:bottom w:val="single" w:sz="4" w:space="0" w:color="auto"/>
              <w:right w:val="single" w:sz="4" w:space="0" w:color="auto"/>
            </w:tcBorders>
            <w:noWrap/>
            <w:hideMark/>
          </w:tcPr>
          <w:p w:rsidR="00750952" w:rsidRPr="001B5566" w:rsidRDefault="00750952" w:rsidP="00457D7C">
            <w:pPr>
              <w:spacing w:line="240" w:lineRule="auto"/>
              <w:rPr>
                <w:rFonts w:ascii="Garamond" w:eastAsia="Book Antiqua" w:hAnsi="Garamond" w:cs="Book Antiqua"/>
                <w:b/>
                <w:bCs/>
                <w:sz w:val="20"/>
                <w:szCs w:val="20"/>
              </w:rPr>
            </w:pPr>
            <w:r w:rsidRPr="001B5566">
              <w:rPr>
                <w:rFonts w:ascii="Garamond" w:eastAsia="Book Antiqua" w:hAnsi="Garamond" w:cs="Book Antiqua"/>
                <w:b/>
                <w:bCs/>
                <w:sz w:val="20"/>
                <w:szCs w:val="20"/>
              </w:rPr>
              <w:t>Ensemble</w:t>
            </w:r>
          </w:p>
        </w:tc>
        <w:tc>
          <w:tcPr>
            <w:tcW w:w="1258"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990216">
            <w:pPr>
              <w:spacing w:line="240" w:lineRule="auto"/>
              <w:ind w:firstLineChars="300" w:firstLine="723"/>
              <w:rPr>
                <w:rFonts w:asciiTheme="majorBidi" w:eastAsia="Times New Roman" w:hAnsiTheme="majorBidi" w:cstheme="majorBidi"/>
                <w:b/>
                <w:bCs/>
                <w:color w:val="000000"/>
                <w:sz w:val="24"/>
                <w:szCs w:val="24"/>
              </w:rPr>
            </w:pPr>
            <w:r w:rsidRPr="00DB7687">
              <w:rPr>
                <w:rFonts w:asciiTheme="majorBidi" w:eastAsia="Times New Roman" w:hAnsiTheme="majorBidi" w:cstheme="majorBidi"/>
                <w:b/>
                <w:bCs/>
                <w:color w:val="000000"/>
                <w:sz w:val="24"/>
                <w:szCs w:val="24"/>
              </w:rPr>
              <w:t>12,8</w:t>
            </w:r>
          </w:p>
        </w:tc>
        <w:tc>
          <w:tcPr>
            <w:tcW w:w="1222" w:type="pct"/>
            <w:tcBorders>
              <w:top w:val="single" w:sz="4" w:space="0" w:color="auto"/>
              <w:left w:val="single" w:sz="4" w:space="0" w:color="auto"/>
              <w:bottom w:val="single" w:sz="4" w:space="0" w:color="auto"/>
              <w:right w:val="single" w:sz="4" w:space="0" w:color="auto"/>
            </w:tcBorders>
            <w:noWrap/>
            <w:vAlign w:val="bottom"/>
          </w:tcPr>
          <w:p w:rsidR="00750952" w:rsidRPr="00DB7687" w:rsidRDefault="00750952" w:rsidP="00990216">
            <w:pPr>
              <w:spacing w:line="240" w:lineRule="auto"/>
              <w:ind w:firstLineChars="300" w:firstLine="723"/>
              <w:rPr>
                <w:rFonts w:asciiTheme="majorBidi" w:eastAsia="Times New Roman" w:hAnsiTheme="majorBidi" w:cstheme="majorBidi"/>
                <w:b/>
                <w:bCs/>
                <w:color w:val="000000"/>
                <w:sz w:val="24"/>
                <w:szCs w:val="24"/>
              </w:rPr>
            </w:pPr>
            <w:r w:rsidRPr="00DB7687">
              <w:rPr>
                <w:rFonts w:asciiTheme="majorBidi" w:eastAsia="Times New Roman" w:hAnsiTheme="majorBidi" w:cstheme="majorBidi"/>
                <w:b/>
                <w:bCs/>
                <w:color w:val="000000"/>
                <w:sz w:val="24"/>
                <w:szCs w:val="24"/>
              </w:rPr>
              <w:t>11,2</w:t>
            </w:r>
          </w:p>
        </w:tc>
      </w:tr>
    </w:tbl>
    <w:p w:rsidR="00750952" w:rsidRDefault="00750952" w:rsidP="00750952">
      <w:pPr>
        <w:rPr>
          <w:rFonts w:ascii="Book Antiqua" w:eastAsia="Book Antiqua" w:hAnsi="Book Antiqua" w:cs="Book Antiqua"/>
          <w:b/>
          <w:bCs/>
          <w:i/>
          <w:iCs/>
          <w:color w:val="0070C0"/>
          <w:sz w:val="26"/>
          <w:szCs w:val="26"/>
        </w:rPr>
      </w:pPr>
      <w:r>
        <w:rPr>
          <w:rFonts w:ascii="Times New Roman" w:eastAsia="Calibri" w:hAnsi="Times New Roman" w:cs="Times New Roman"/>
          <w:color w:val="222222"/>
          <w:sz w:val="20"/>
          <w:szCs w:val="20"/>
          <w:shd w:val="clear" w:color="auto" w:fill="FFFFFF"/>
          <w:lang w:eastAsia="en-US"/>
        </w:rPr>
        <w:t>Source : Enquête nationale sur l'emploi, Haut-Commissariat au Plan</w:t>
      </w:r>
    </w:p>
    <w:p w:rsidR="00134746" w:rsidRPr="00CE7366" w:rsidRDefault="00134746" w:rsidP="004E2812">
      <w:pPr>
        <w:spacing w:before="240" w:after="240" w:line="312" w:lineRule="auto"/>
        <w:jc w:val="both"/>
        <w:rPr>
          <w:rFonts w:ascii="Book Antiqua" w:eastAsia="Book Antiqua" w:hAnsi="Book Antiqua" w:cs="Book Antiqua"/>
          <w:b/>
          <w:bCs/>
          <w:color w:val="2E74B5" w:themeColor="accent5" w:themeShade="BF"/>
          <w:sz w:val="26"/>
          <w:szCs w:val="26"/>
        </w:rPr>
      </w:pPr>
    </w:p>
    <w:sectPr w:rsidR="00134746" w:rsidRPr="00CE7366" w:rsidSect="00027887">
      <w:footerReference w:type="default" r:id="rId18"/>
      <w:headerReference w:type="first" r:id="rId19"/>
      <w:pgSz w:w="11906" w:h="16838"/>
      <w:pgMar w:top="993" w:right="1417" w:bottom="1417" w:left="1417"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0DB" w:rsidRDefault="00B910DB" w:rsidP="000D15FF">
      <w:pPr>
        <w:spacing w:line="240" w:lineRule="auto"/>
      </w:pPr>
      <w:r>
        <w:separator/>
      </w:r>
    </w:p>
  </w:endnote>
  <w:endnote w:type="continuationSeparator" w:id="0">
    <w:p w:rsidR="00B910DB" w:rsidRDefault="00B910DB" w:rsidP="000D15F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rowallia New">
    <w:altName w:val="Arial Unicode MS"/>
    <w:panose1 w:val="020B06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8721692"/>
      <w:docPartObj>
        <w:docPartGallery w:val="Page Numbers (Bottom of Page)"/>
        <w:docPartUnique/>
      </w:docPartObj>
    </w:sdtPr>
    <w:sdtContent>
      <w:p w:rsidR="008B60A3" w:rsidRDefault="00014F86">
        <w:pPr>
          <w:pStyle w:val="Pieddepage"/>
          <w:jc w:val="center"/>
        </w:pPr>
        <w:r>
          <w:fldChar w:fldCharType="begin"/>
        </w:r>
        <w:r w:rsidR="00B910DB">
          <w:instrText>PAGE   \* MERGEFORMAT</w:instrText>
        </w:r>
        <w:r>
          <w:fldChar w:fldCharType="separate"/>
        </w:r>
        <w:r w:rsidR="00027887">
          <w:rPr>
            <w:noProof/>
          </w:rPr>
          <w:t>11</w:t>
        </w:r>
        <w:r>
          <w:rPr>
            <w:noProof/>
          </w:rPr>
          <w:fldChar w:fldCharType="end"/>
        </w:r>
      </w:p>
    </w:sdtContent>
  </w:sdt>
  <w:p w:rsidR="008B60A3" w:rsidRDefault="008B60A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0DB" w:rsidRDefault="00B910DB" w:rsidP="000D15FF">
      <w:pPr>
        <w:spacing w:line="240" w:lineRule="auto"/>
      </w:pPr>
      <w:r>
        <w:separator/>
      </w:r>
    </w:p>
  </w:footnote>
  <w:footnote w:type="continuationSeparator" w:id="0">
    <w:p w:rsidR="00B910DB" w:rsidRDefault="00B910DB" w:rsidP="000D15F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887" w:rsidRDefault="00027887" w:rsidP="00027887">
    <w:pPr>
      <w:pStyle w:val="En-tte"/>
      <w:jc w:val="center"/>
    </w:pPr>
    <w:r w:rsidRPr="00027887">
      <w:drawing>
        <wp:inline distT="0" distB="0" distL="0" distR="0">
          <wp:extent cx="1492250" cy="1156931"/>
          <wp:effectExtent l="19050" t="0" r="0" b="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91826" cy="115660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67B4F"/>
    <w:multiLevelType w:val="hybridMultilevel"/>
    <w:tmpl w:val="0B02A664"/>
    <w:lvl w:ilvl="0" w:tplc="1A1C14BE">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31C642A6"/>
    <w:multiLevelType w:val="multilevel"/>
    <w:tmpl w:val="CDAE4488"/>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5F8383A"/>
    <w:multiLevelType w:val="hybridMultilevel"/>
    <w:tmpl w:val="CE065B3C"/>
    <w:lvl w:ilvl="0" w:tplc="5B52F470">
      <w:start w:val="1"/>
      <w:numFmt w:val="upperRoman"/>
      <w:lvlText w:val="%1."/>
      <w:lvlJc w:val="right"/>
      <w:pPr>
        <w:ind w:left="644" w:hanging="360"/>
      </w:pPr>
      <w:rPr>
        <w:color w:val="4472C4" w:themeColor="accent1"/>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425C17CE"/>
    <w:multiLevelType w:val="hybridMultilevel"/>
    <w:tmpl w:val="E9E23E7C"/>
    <w:lvl w:ilvl="0" w:tplc="5B52F470">
      <w:start w:val="1"/>
      <w:numFmt w:val="upperRoman"/>
      <w:lvlText w:val="%1."/>
      <w:lvlJc w:val="right"/>
      <w:pPr>
        <w:ind w:left="720" w:hanging="360"/>
      </w:pPr>
      <w:rPr>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C71883"/>
    <w:multiLevelType w:val="hybridMultilevel"/>
    <w:tmpl w:val="3AF2B0D4"/>
    <w:lvl w:ilvl="0" w:tplc="FFFFFFFF">
      <w:start w:val="1"/>
      <w:numFmt w:val="upperRoman"/>
      <w:lvlText w:val="%1."/>
      <w:lvlJc w:val="right"/>
      <w:pPr>
        <w:ind w:left="720" w:hanging="360"/>
      </w:pPr>
      <w:rPr>
        <w:color w:val="4472C4"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nsid w:val="77DD2408"/>
    <w:multiLevelType w:val="hybridMultilevel"/>
    <w:tmpl w:val="3AF2B0D4"/>
    <w:lvl w:ilvl="0" w:tplc="FFFFFFFF">
      <w:start w:val="1"/>
      <w:numFmt w:val="upperRoman"/>
      <w:lvlText w:val="%1."/>
      <w:lvlJc w:val="right"/>
      <w:pPr>
        <w:ind w:left="720" w:hanging="360"/>
      </w:pPr>
      <w:rPr>
        <w:color w:val="4472C4"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2"/>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51F24"/>
    <w:rsid w:val="00013FCC"/>
    <w:rsid w:val="00014F86"/>
    <w:rsid w:val="00015881"/>
    <w:rsid w:val="00027887"/>
    <w:rsid w:val="000445F0"/>
    <w:rsid w:val="00044754"/>
    <w:rsid w:val="000538F4"/>
    <w:rsid w:val="00060A8D"/>
    <w:rsid w:val="00066D50"/>
    <w:rsid w:val="000828B8"/>
    <w:rsid w:val="0008730C"/>
    <w:rsid w:val="00095952"/>
    <w:rsid w:val="000A0E50"/>
    <w:rsid w:val="000C14D0"/>
    <w:rsid w:val="000C22AC"/>
    <w:rsid w:val="000D0B48"/>
    <w:rsid w:val="000D15FF"/>
    <w:rsid w:val="000E0B97"/>
    <w:rsid w:val="000F4999"/>
    <w:rsid w:val="00100701"/>
    <w:rsid w:val="001119A1"/>
    <w:rsid w:val="00116999"/>
    <w:rsid w:val="00134746"/>
    <w:rsid w:val="00155A28"/>
    <w:rsid w:val="001571E6"/>
    <w:rsid w:val="00157DEC"/>
    <w:rsid w:val="001722C9"/>
    <w:rsid w:val="00182BF6"/>
    <w:rsid w:val="0019102D"/>
    <w:rsid w:val="00193F45"/>
    <w:rsid w:val="001A3598"/>
    <w:rsid w:val="001A37DF"/>
    <w:rsid w:val="001A3DDE"/>
    <w:rsid w:val="001A5A8D"/>
    <w:rsid w:val="001C41B5"/>
    <w:rsid w:val="001D0613"/>
    <w:rsid w:val="001D49EF"/>
    <w:rsid w:val="001E6D49"/>
    <w:rsid w:val="002011F7"/>
    <w:rsid w:val="00202FF2"/>
    <w:rsid w:val="002152E2"/>
    <w:rsid w:val="00217908"/>
    <w:rsid w:val="0023300C"/>
    <w:rsid w:val="0024692A"/>
    <w:rsid w:val="00273E3A"/>
    <w:rsid w:val="00283D70"/>
    <w:rsid w:val="002A7001"/>
    <w:rsid w:val="002B65C2"/>
    <w:rsid w:val="002C3822"/>
    <w:rsid w:val="002C3C06"/>
    <w:rsid w:val="002D0AE4"/>
    <w:rsid w:val="002F4D68"/>
    <w:rsid w:val="003049D0"/>
    <w:rsid w:val="00312B1C"/>
    <w:rsid w:val="0033301A"/>
    <w:rsid w:val="0033732A"/>
    <w:rsid w:val="00354FC7"/>
    <w:rsid w:val="00355691"/>
    <w:rsid w:val="00371123"/>
    <w:rsid w:val="00391C6F"/>
    <w:rsid w:val="003A173D"/>
    <w:rsid w:val="003A28CA"/>
    <w:rsid w:val="003A75D9"/>
    <w:rsid w:val="003E2305"/>
    <w:rsid w:val="003F5612"/>
    <w:rsid w:val="00457D7C"/>
    <w:rsid w:val="00465CCE"/>
    <w:rsid w:val="00486B5D"/>
    <w:rsid w:val="004C0C16"/>
    <w:rsid w:val="004D671D"/>
    <w:rsid w:val="004E2812"/>
    <w:rsid w:val="004F0B00"/>
    <w:rsid w:val="004F3A41"/>
    <w:rsid w:val="004F4A6A"/>
    <w:rsid w:val="004F641F"/>
    <w:rsid w:val="00500151"/>
    <w:rsid w:val="00527E99"/>
    <w:rsid w:val="00537A06"/>
    <w:rsid w:val="00572CCC"/>
    <w:rsid w:val="00591373"/>
    <w:rsid w:val="00591954"/>
    <w:rsid w:val="00594F9D"/>
    <w:rsid w:val="005A73B4"/>
    <w:rsid w:val="005B2A65"/>
    <w:rsid w:val="005C0AFE"/>
    <w:rsid w:val="005C5391"/>
    <w:rsid w:val="005F4E2E"/>
    <w:rsid w:val="005F50C4"/>
    <w:rsid w:val="005F59B5"/>
    <w:rsid w:val="006174D9"/>
    <w:rsid w:val="006329C7"/>
    <w:rsid w:val="0063618F"/>
    <w:rsid w:val="00651D1E"/>
    <w:rsid w:val="00653B69"/>
    <w:rsid w:val="006A1AEF"/>
    <w:rsid w:val="006A2697"/>
    <w:rsid w:val="006B5C48"/>
    <w:rsid w:val="006D22D2"/>
    <w:rsid w:val="006F619D"/>
    <w:rsid w:val="00727281"/>
    <w:rsid w:val="00740D97"/>
    <w:rsid w:val="00747A46"/>
    <w:rsid w:val="00750952"/>
    <w:rsid w:val="00756185"/>
    <w:rsid w:val="00757469"/>
    <w:rsid w:val="00757BE9"/>
    <w:rsid w:val="007719CB"/>
    <w:rsid w:val="007745DE"/>
    <w:rsid w:val="00784ADD"/>
    <w:rsid w:val="007901A0"/>
    <w:rsid w:val="007B76A0"/>
    <w:rsid w:val="007D2FFA"/>
    <w:rsid w:val="007D7E59"/>
    <w:rsid w:val="007E776C"/>
    <w:rsid w:val="007F23F4"/>
    <w:rsid w:val="007F3BC4"/>
    <w:rsid w:val="008026AA"/>
    <w:rsid w:val="00814346"/>
    <w:rsid w:val="008203BF"/>
    <w:rsid w:val="00825B8A"/>
    <w:rsid w:val="00833D9B"/>
    <w:rsid w:val="008349FD"/>
    <w:rsid w:val="00840D94"/>
    <w:rsid w:val="0084300D"/>
    <w:rsid w:val="008451BE"/>
    <w:rsid w:val="008518BA"/>
    <w:rsid w:val="008603E8"/>
    <w:rsid w:val="008677F0"/>
    <w:rsid w:val="008743C2"/>
    <w:rsid w:val="008A537C"/>
    <w:rsid w:val="008A7F45"/>
    <w:rsid w:val="008B60A3"/>
    <w:rsid w:val="008B7224"/>
    <w:rsid w:val="0090530A"/>
    <w:rsid w:val="009107AD"/>
    <w:rsid w:val="00922DA9"/>
    <w:rsid w:val="009232A8"/>
    <w:rsid w:val="00960906"/>
    <w:rsid w:val="00964164"/>
    <w:rsid w:val="00970A5E"/>
    <w:rsid w:val="00990216"/>
    <w:rsid w:val="009D1DC1"/>
    <w:rsid w:val="009D1FFA"/>
    <w:rsid w:val="009F73AD"/>
    <w:rsid w:val="00A012D9"/>
    <w:rsid w:val="00A21302"/>
    <w:rsid w:val="00A44163"/>
    <w:rsid w:val="00A90492"/>
    <w:rsid w:val="00AA30A7"/>
    <w:rsid w:val="00AA4318"/>
    <w:rsid w:val="00AC2D21"/>
    <w:rsid w:val="00AC62F1"/>
    <w:rsid w:val="00AD1865"/>
    <w:rsid w:val="00AD7C2F"/>
    <w:rsid w:val="00AE136C"/>
    <w:rsid w:val="00AF1591"/>
    <w:rsid w:val="00AF3462"/>
    <w:rsid w:val="00B10909"/>
    <w:rsid w:val="00B8236C"/>
    <w:rsid w:val="00B82867"/>
    <w:rsid w:val="00B82B94"/>
    <w:rsid w:val="00B910DB"/>
    <w:rsid w:val="00B94B99"/>
    <w:rsid w:val="00BA2C39"/>
    <w:rsid w:val="00BB1A38"/>
    <w:rsid w:val="00BC1FD8"/>
    <w:rsid w:val="00BD1011"/>
    <w:rsid w:val="00BD509F"/>
    <w:rsid w:val="00BD6C4B"/>
    <w:rsid w:val="00BF2D25"/>
    <w:rsid w:val="00BF456F"/>
    <w:rsid w:val="00BF58E1"/>
    <w:rsid w:val="00C23499"/>
    <w:rsid w:val="00C24997"/>
    <w:rsid w:val="00C24A63"/>
    <w:rsid w:val="00C35AF9"/>
    <w:rsid w:val="00C8029B"/>
    <w:rsid w:val="00C86FD7"/>
    <w:rsid w:val="00C95867"/>
    <w:rsid w:val="00CA5A3C"/>
    <w:rsid w:val="00CB05D4"/>
    <w:rsid w:val="00CC753B"/>
    <w:rsid w:val="00CD6C99"/>
    <w:rsid w:val="00CE2153"/>
    <w:rsid w:val="00CE37DF"/>
    <w:rsid w:val="00CE7366"/>
    <w:rsid w:val="00CF7E2A"/>
    <w:rsid w:val="00D075E4"/>
    <w:rsid w:val="00D149CE"/>
    <w:rsid w:val="00D2276D"/>
    <w:rsid w:val="00D6752C"/>
    <w:rsid w:val="00D71BCF"/>
    <w:rsid w:val="00D73191"/>
    <w:rsid w:val="00D80DA3"/>
    <w:rsid w:val="00DA1513"/>
    <w:rsid w:val="00DB0266"/>
    <w:rsid w:val="00DB1A94"/>
    <w:rsid w:val="00DB7687"/>
    <w:rsid w:val="00DC1ECA"/>
    <w:rsid w:val="00DC26C5"/>
    <w:rsid w:val="00DC6E41"/>
    <w:rsid w:val="00DE167A"/>
    <w:rsid w:val="00DE7960"/>
    <w:rsid w:val="00DF4F51"/>
    <w:rsid w:val="00E05839"/>
    <w:rsid w:val="00E06FE5"/>
    <w:rsid w:val="00E426AB"/>
    <w:rsid w:val="00E4479D"/>
    <w:rsid w:val="00E45A13"/>
    <w:rsid w:val="00E5426B"/>
    <w:rsid w:val="00E72B0C"/>
    <w:rsid w:val="00E7412C"/>
    <w:rsid w:val="00E76521"/>
    <w:rsid w:val="00E81C00"/>
    <w:rsid w:val="00E945AB"/>
    <w:rsid w:val="00EA1C33"/>
    <w:rsid w:val="00EB0B34"/>
    <w:rsid w:val="00ED42FD"/>
    <w:rsid w:val="00EE0059"/>
    <w:rsid w:val="00F00485"/>
    <w:rsid w:val="00F010C4"/>
    <w:rsid w:val="00F51F24"/>
    <w:rsid w:val="00F63605"/>
    <w:rsid w:val="00F65F53"/>
    <w:rsid w:val="00F74068"/>
    <w:rsid w:val="00F7482C"/>
    <w:rsid w:val="00F85087"/>
    <w:rsid w:val="00F955FD"/>
    <w:rsid w:val="00FE640A"/>
    <w:rsid w:val="00FF3ED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F24"/>
    <w:pPr>
      <w:spacing w:after="0" w:line="276" w:lineRule="auto"/>
    </w:pPr>
    <w:rPr>
      <w:rFonts w:ascii="Arial" w:eastAsia="Arial" w:hAnsi="Arial" w:cs="Arial"/>
      <w:lang w:val="fr-FR" w:eastAsia="fr-FR"/>
    </w:rPr>
  </w:style>
  <w:style w:type="paragraph" w:styleId="Titre1">
    <w:name w:val="heading 1"/>
    <w:basedOn w:val="Normal"/>
    <w:next w:val="Normal"/>
    <w:link w:val="Titre1Car"/>
    <w:uiPriority w:val="99"/>
    <w:qFormat/>
    <w:rsid w:val="004E2812"/>
    <w:pPr>
      <w:keepNext/>
      <w:keepLines/>
      <w:spacing w:before="400" w:after="120"/>
      <w:outlineLvl w:val="0"/>
    </w:pPr>
    <w:rPr>
      <w:sz w:val="40"/>
      <w:szCs w:val="40"/>
    </w:rPr>
  </w:style>
  <w:style w:type="paragraph" w:styleId="Titre2">
    <w:name w:val="heading 2"/>
    <w:basedOn w:val="Normal"/>
    <w:next w:val="Normal"/>
    <w:link w:val="Titre2Car"/>
    <w:uiPriority w:val="9"/>
    <w:semiHidden/>
    <w:unhideWhenUsed/>
    <w:qFormat/>
    <w:rsid w:val="009053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CF7E2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0530A"/>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0530A"/>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D15FF"/>
    <w:pPr>
      <w:spacing w:line="240" w:lineRule="auto"/>
    </w:pPr>
    <w:rPr>
      <w:sz w:val="20"/>
      <w:szCs w:val="20"/>
    </w:rPr>
  </w:style>
  <w:style w:type="character" w:customStyle="1" w:styleId="NotedebasdepageCar">
    <w:name w:val="Note de bas de page Car"/>
    <w:basedOn w:val="Policepardfaut"/>
    <w:link w:val="Notedebasdepage"/>
    <w:uiPriority w:val="99"/>
    <w:semiHidden/>
    <w:rsid w:val="000D15FF"/>
    <w:rPr>
      <w:rFonts w:ascii="Arial" w:eastAsia="Arial" w:hAnsi="Arial" w:cs="Arial"/>
      <w:sz w:val="20"/>
      <w:szCs w:val="20"/>
      <w:lang w:val="fr-FR" w:eastAsia="fr-FR"/>
    </w:rPr>
  </w:style>
  <w:style w:type="character" w:styleId="Appelnotedebasdep">
    <w:name w:val="footnote reference"/>
    <w:basedOn w:val="Policepardfaut"/>
    <w:uiPriority w:val="99"/>
    <w:semiHidden/>
    <w:unhideWhenUsed/>
    <w:rsid w:val="000D15FF"/>
    <w:rPr>
      <w:vertAlign w:val="superscript"/>
    </w:rPr>
  </w:style>
  <w:style w:type="paragraph" w:styleId="Paragraphedeliste">
    <w:name w:val="List Paragraph"/>
    <w:basedOn w:val="Normal"/>
    <w:uiPriority w:val="34"/>
    <w:qFormat/>
    <w:rsid w:val="004E2812"/>
    <w:pPr>
      <w:ind w:left="720"/>
      <w:contextualSpacing/>
    </w:pPr>
  </w:style>
  <w:style w:type="paragraph" w:styleId="En-tte">
    <w:name w:val="header"/>
    <w:basedOn w:val="Normal"/>
    <w:link w:val="En-tteCar"/>
    <w:uiPriority w:val="99"/>
    <w:unhideWhenUsed/>
    <w:rsid w:val="004E2812"/>
    <w:pPr>
      <w:tabs>
        <w:tab w:val="center" w:pos="4536"/>
        <w:tab w:val="right" w:pos="9072"/>
      </w:tabs>
      <w:spacing w:line="240" w:lineRule="auto"/>
    </w:pPr>
  </w:style>
  <w:style w:type="character" w:customStyle="1" w:styleId="En-tteCar">
    <w:name w:val="En-tête Car"/>
    <w:basedOn w:val="Policepardfaut"/>
    <w:link w:val="En-tte"/>
    <w:uiPriority w:val="99"/>
    <w:rsid w:val="004E2812"/>
    <w:rPr>
      <w:rFonts w:ascii="Arial" w:eastAsia="Arial" w:hAnsi="Arial" w:cs="Arial"/>
      <w:lang w:val="fr-FR" w:eastAsia="fr-FR"/>
    </w:rPr>
  </w:style>
  <w:style w:type="paragraph" w:styleId="Pieddepage">
    <w:name w:val="footer"/>
    <w:basedOn w:val="Normal"/>
    <w:link w:val="PieddepageCar"/>
    <w:uiPriority w:val="99"/>
    <w:unhideWhenUsed/>
    <w:rsid w:val="004E2812"/>
    <w:pPr>
      <w:tabs>
        <w:tab w:val="center" w:pos="4536"/>
        <w:tab w:val="right" w:pos="9072"/>
      </w:tabs>
      <w:spacing w:line="240" w:lineRule="auto"/>
    </w:pPr>
  </w:style>
  <w:style w:type="character" w:customStyle="1" w:styleId="PieddepageCar">
    <w:name w:val="Pied de page Car"/>
    <w:basedOn w:val="Policepardfaut"/>
    <w:link w:val="Pieddepage"/>
    <w:uiPriority w:val="99"/>
    <w:rsid w:val="004E2812"/>
    <w:rPr>
      <w:rFonts w:ascii="Arial" w:eastAsia="Arial" w:hAnsi="Arial" w:cs="Arial"/>
      <w:lang w:val="fr-FR" w:eastAsia="fr-FR"/>
    </w:rPr>
  </w:style>
  <w:style w:type="character" w:customStyle="1" w:styleId="Titre1Car">
    <w:name w:val="Titre 1 Car"/>
    <w:basedOn w:val="Policepardfaut"/>
    <w:link w:val="Titre1"/>
    <w:uiPriority w:val="99"/>
    <w:rsid w:val="004E2812"/>
    <w:rPr>
      <w:rFonts w:ascii="Arial" w:eastAsia="Arial" w:hAnsi="Arial" w:cs="Arial"/>
      <w:sz w:val="40"/>
      <w:szCs w:val="40"/>
      <w:lang w:val="fr-FR" w:eastAsia="fr-FR"/>
    </w:rPr>
  </w:style>
  <w:style w:type="table" w:styleId="Grilledutableau">
    <w:name w:val="Table Grid"/>
    <w:basedOn w:val="TableauNormal"/>
    <w:uiPriority w:val="39"/>
    <w:rsid w:val="004E2812"/>
    <w:pPr>
      <w:spacing w:after="0" w:line="240" w:lineRule="auto"/>
    </w:pPr>
    <w:rPr>
      <w:rFonts w:eastAsiaTheme="minorEastAsia"/>
      <w:lang w:val="fr-FR"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4E2812"/>
    <w:rPr>
      <w:color w:val="0000FF"/>
      <w:u w:val="single"/>
    </w:rPr>
  </w:style>
  <w:style w:type="character" w:customStyle="1" w:styleId="Titre3Car">
    <w:name w:val="Titre 3 Car"/>
    <w:basedOn w:val="Policepardfaut"/>
    <w:link w:val="Titre3"/>
    <w:uiPriority w:val="9"/>
    <w:rsid w:val="00CF7E2A"/>
    <w:rPr>
      <w:rFonts w:asciiTheme="majorHAnsi" w:eastAsiaTheme="majorEastAsia" w:hAnsiTheme="majorHAnsi" w:cstheme="majorBidi"/>
      <w:color w:val="1F3763" w:themeColor="accent1" w:themeShade="7F"/>
      <w:sz w:val="24"/>
      <w:szCs w:val="24"/>
      <w:lang w:val="fr-FR" w:eastAsia="fr-FR"/>
    </w:rPr>
  </w:style>
  <w:style w:type="paragraph" w:customStyle="1" w:styleId="MMTopic1">
    <w:name w:val="MM Topic 1"/>
    <w:basedOn w:val="Titre1"/>
    <w:rsid w:val="0090530A"/>
    <w:pPr>
      <w:numPr>
        <w:numId w:val="6"/>
      </w:numPr>
      <w:tabs>
        <w:tab w:val="num" w:pos="360"/>
      </w:tabs>
      <w:spacing w:before="240" w:after="0" w:line="254" w:lineRule="auto"/>
    </w:pPr>
    <w:rPr>
      <w:rFonts w:asciiTheme="majorHAnsi" w:eastAsiaTheme="majorEastAsia" w:hAnsiTheme="majorHAnsi" w:cstheme="majorBidi"/>
      <w:color w:val="2F5496" w:themeColor="accent1" w:themeShade="BF"/>
      <w:sz w:val="32"/>
      <w:szCs w:val="32"/>
      <w:lang w:eastAsia="en-US"/>
    </w:rPr>
  </w:style>
  <w:style w:type="character" w:customStyle="1" w:styleId="MMTopic2Car">
    <w:name w:val="MM Topic 2 Car"/>
    <w:basedOn w:val="Policepardfaut"/>
    <w:link w:val="MMTopic2"/>
    <w:locked/>
    <w:rsid w:val="0090530A"/>
    <w:rPr>
      <w:rFonts w:asciiTheme="majorHAnsi" w:eastAsiaTheme="majorEastAsia" w:hAnsiTheme="majorHAnsi" w:cs="Calibri Light"/>
      <w:color w:val="2F5496" w:themeColor="accent1" w:themeShade="BF"/>
      <w:sz w:val="26"/>
      <w:szCs w:val="26"/>
    </w:rPr>
  </w:style>
  <w:style w:type="paragraph" w:customStyle="1" w:styleId="MMTopic2">
    <w:name w:val="MM Topic 2"/>
    <w:basedOn w:val="Titre2"/>
    <w:link w:val="MMTopic2Car"/>
    <w:rsid w:val="0090530A"/>
    <w:pPr>
      <w:numPr>
        <w:ilvl w:val="1"/>
        <w:numId w:val="6"/>
      </w:numPr>
      <w:spacing w:line="254" w:lineRule="auto"/>
    </w:pPr>
    <w:rPr>
      <w:rFonts w:cs="Calibri Light"/>
      <w:lang w:val="en-US" w:eastAsia="en-US"/>
    </w:rPr>
  </w:style>
  <w:style w:type="paragraph" w:customStyle="1" w:styleId="MMTopic3">
    <w:name w:val="MM Topic 3"/>
    <w:basedOn w:val="Titre3"/>
    <w:rsid w:val="0090530A"/>
    <w:pPr>
      <w:numPr>
        <w:ilvl w:val="2"/>
        <w:numId w:val="6"/>
      </w:numPr>
      <w:tabs>
        <w:tab w:val="num" w:pos="360"/>
      </w:tabs>
      <w:spacing w:line="254" w:lineRule="auto"/>
      <w:ind w:left="360"/>
    </w:pPr>
    <w:rPr>
      <w:lang w:eastAsia="en-US"/>
    </w:rPr>
  </w:style>
  <w:style w:type="paragraph" w:customStyle="1" w:styleId="MMTopic4">
    <w:name w:val="MM Topic 4"/>
    <w:basedOn w:val="Titre4"/>
    <w:rsid w:val="0090530A"/>
    <w:pPr>
      <w:numPr>
        <w:ilvl w:val="3"/>
        <w:numId w:val="6"/>
      </w:numPr>
      <w:tabs>
        <w:tab w:val="num" w:pos="360"/>
      </w:tabs>
      <w:spacing w:line="254" w:lineRule="auto"/>
      <w:ind w:left="540" w:hanging="360"/>
    </w:pPr>
    <w:rPr>
      <w:sz w:val="28"/>
      <w:szCs w:val="28"/>
      <w:lang w:eastAsia="en-US"/>
    </w:rPr>
  </w:style>
  <w:style w:type="paragraph" w:customStyle="1" w:styleId="MMTopic5">
    <w:name w:val="MM Topic 5"/>
    <w:basedOn w:val="Titre5"/>
    <w:rsid w:val="0090530A"/>
    <w:pPr>
      <w:numPr>
        <w:ilvl w:val="4"/>
        <w:numId w:val="6"/>
      </w:numPr>
      <w:tabs>
        <w:tab w:val="num" w:pos="360"/>
      </w:tabs>
      <w:spacing w:line="254" w:lineRule="auto"/>
      <w:ind w:left="720" w:hanging="360"/>
    </w:pPr>
    <w:rPr>
      <w:sz w:val="28"/>
      <w:szCs w:val="28"/>
      <w:lang w:eastAsia="en-US"/>
    </w:rPr>
  </w:style>
  <w:style w:type="character" w:customStyle="1" w:styleId="Titre2Car">
    <w:name w:val="Titre 2 Car"/>
    <w:basedOn w:val="Policepardfaut"/>
    <w:link w:val="Titre2"/>
    <w:uiPriority w:val="9"/>
    <w:semiHidden/>
    <w:rsid w:val="0090530A"/>
    <w:rPr>
      <w:rFonts w:asciiTheme="majorHAnsi" w:eastAsiaTheme="majorEastAsia" w:hAnsiTheme="majorHAnsi" w:cstheme="majorBidi"/>
      <w:color w:val="2F5496" w:themeColor="accent1" w:themeShade="BF"/>
      <w:sz w:val="26"/>
      <w:szCs w:val="26"/>
      <w:lang w:val="fr-FR" w:eastAsia="fr-FR"/>
    </w:rPr>
  </w:style>
  <w:style w:type="character" w:customStyle="1" w:styleId="Titre4Car">
    <w:name w:val="Titre 4 Car"/>
    <w:basedOn w:val="Policepardfaut"/>
    <w:link w:val="Titre4"/>
    <w:uiPriority w:val="9"/>
    <w:semiHidden/>
    <w:rsid w:val="0090530A"/>
    <w:rPr>
      <w:rFonts w:asciiTheme="majorHAnsi" w:eastAsiaTheme="majorEastAsia" w:hAnsiTheme="majorHAnsi" w:cstheme="majorBidi"/>
      <w:i/>
      <w:iCs/>
      <w:color w:val="2F5496" w:themeColor="accent1" w:themeShade="BF"/>
      <w:lang w:val="fr-FR" w:eastAsia="fr-FR"/>
    </w:rPr>
  </w:style>
  <w:style w:type="character" w:customStyle="1" w:styleId="Titre5Car">
    <w:name w:val="Titre 5 Car"/>
    <w:basedOn w:val="Policepardfaut"/>
    <w:link w:val="Titre5"/>
    <w:uiPriority w:val="9"/>
    <w:semiHidden/>
    <w:rsid w:val="0090530A"/>
    <w:rPr>
      <w:rFonts w:asciiTheme="majorHAnsi" w:eastAsiaTheme="majorEastAsia" w:hAnsiTheme="majorHAnsi" w:cstheme="majorBidi"/>
      <w:color w:val="2F5496" w:themeColor="accent1" w:themeShade="BF"/>
      <w:lang w:val="fr-FR" w:eastAsia="fr-FR"/>
    </w:rPr>
  </w:style>
  <w:style w:type="paragraph" w:styleId="Textedebulles">
    <w:name w:val="Balloon Text"/>
    <w:basedOn w:val="Normal"/>
    <w:link w:val="TextedebullesCar"/>
    <w:uiPriority w:val="99"/>
    <w:semiHidden/>
    <w:unhideWhenUsed/>
    <w:rsid w:val="00527E9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7E99"/>
    <w:rPr>
      <w:rFonts w:ascii="Tahoma" w:eastAsia="Arial" w:hAnsi="Tahoma" w:cs="Tahoma"/>
      <w:sz w:val="16"/>
      <w:szCs w:val="16"/>
      <w:lang w:val="fr-FR" w:eastAsia="fr-FR"/>
    </w:rPr>
  </w:style>
</w:styles>
</file>

<file path=word/webSettings.xml><?xml version="1.0" encoding="utf-8"?>
<w:webSettings xmlns:r="http://schemas.openxmlformats.org/officeDocument/2006/relationships" xmlns:w="http://schemas.openxmlformats.org/wordprocessingml/2006/main">
  <w:divs>
    <w:div w:id="155998026">
      <w:bodyDiv w:val="1"/>
      <w:marLeft w:val="0"/>
      <w:marRight w:val="0"/>
      <w:marTop w:val="0"/>
      <w:marBottom w:val="0"/>
      <w:divBdr>
        <w:top w:val="none" w:sz="0" w:space="0" w:color="auto"/>
        <w:left w:val="none" w:sz="0" w:space="0" w:color="auto"/>
        <w:bottom w:val="none" w:sz="0" w:space="0" w:color="auto"/>
        <w:right w:val="none" w:sz="0" w:space="0" w:color="auto"/>
      </w:divBdr>
    </w:div>
    <w:div w:id="175655880">
      <w:bodyDiv w:val="1"/>
      <w:marLeft w:val="0"/>
      <w:marRight w:val="0"/>
      <w:marTop w:val="0"/>
      <w:marBottom w:val="0"/>
      <w:divBdr>
        <w:top w:val="none" w:sz="0" w:space="0" w:color="auto"/>
        <w:left w:val="none" w:sz="0" w:space="0" w:color="auto"/>
        <w:bottom w:val="none" w:sz="0" w:space="0" w:color="auto"/>
        <w:right w:val="none" w:sz="0" w:space="0" w:color="auto"/>
      </w:divBdr>
    </w:div>
    <w:div w:id="395982179">
      <w:bodyDiv w:val="1"/>
      <w:marLeft w:val="0"/>
      <w:marRight w:val="0"/>
      <w:marTop w:val="0"/>
      <w:marBottom w:val="0"/>
      <w:divBdr>
        <w:top w:val="none" w:sz="0" w:space="0" w:color="auto"/>
        <w:left w:val="none" w:sz="0" w:space="0" w:color="auto"/>
        <w:bottom w:val="none" w:sz="0" w:space="0" w:color="auto"/>
        <w:right w:val="none" w:sz="0" w:space="0" w:color="auto"/>
      </w:divBdr>
    </w:div>
    <w:div w:id="407650834">
      <w:bodyDiv w:val="1"/>
      <w:marLeft w:val="0"/>
      <w:marRight w:val="0"/>
      <w:marTop w:val="0"/>
      <w:marBottom w:val="0"/>
      <w:divBdr>
        <w:top w:val="none" w:sz="0" w:space="0" w:color="auto"/>
        <w:left w:val="none" w:sz="0" w:space="0" w:color="auto"/>
        <w:bottom w:val="none" w:sz="0" w:space="0" w:color="auto"/>
        <w:right w:val="none" w:sz="0" w:space="0" w:color="auto"/>
      </w:divBdr>
    </w:div>
    <w:div w:id="419178185">
      <w:bodyDiv w:val="1"/>
      <w:marLeft w:val="0"/>
      <w:marRight w:val="0"/>
      <w:marTop w:val="0"/>
      <w:marBottom w:val="0"/>
      <w:divBdr>
        <w:top w:val="none" w:sz="0" w:space="0" w:color="auto"/>
        <w:left w:val="none" w:sz="0" w:space="0" w:color="auto"/>
        <w:bottom w:val="none" w:sz="0" w:space="0" w:color="auto"/>
        <w:right w:val="none" w:sz="0" w:space="0" w:color="auto"/>
      </w:divBdr>
    </w:div>
    <w:div w:id="426734901">
      <w:bodyDiv w:val="1"/>
      <w:marLeft w:val="0"/>
      <w:marRight w:val="0"/>
      <w:marTop w:val="0"/>
      <w:marBottom w:val="0"/>
      <w:divBdr>
        <w:top w:val="none" w:sz="0" w:space="0" w:color="auto"/>
        <w:left w:val="none" w:sz="0" w:space="0" w:color="auto"/>
        <w:bottom w:val="none" w:sz="0" w:space="0" w:color="auto"/>
        <w:right w:val="none" w:sz="0" w:space="0" w:color="auto"/>
      </w:divBdr>
    </w:div>
    <w:div w:id="445737129">
      <w:bodyDiv w:val="1"/>
      <w:marLeft w:val="0"/>
      <w:marRight w:val="0"/>
      <w:marTop w:val="0"/>
      <w:marBottom w:val="0"/>
      <w:divBdr>
        <w:top w:val="none" w:sz="0" w:space="0" w:color="auto"/>
        <w:left w:val="none" w:sz="0" w:space="0" w:color="auto"/>
        <w:bottom w:val="none" w:sz="0" w:space="0" w:color="auto"/>
        <w:right w:val="none" w:sz="0" w:space="0" w:color="auto"/>
      </w:divBdr>
    </w:div>
    <w:div w:id="452749831">
      <w:bodyDiv w:val="1"/>
      <w:marLeft w:val="0"/>
      <w:marRight w:val="0"/>
      <w:marTop w:val="0"/>
      <w:marBottom w:val="0"/>
      <w:divBdr>
        <w:top w:val="none" w:sz="0" w:space="0" w:color="auto"/>
        <w:left w:val="none" w:sz="0" w:space="0" w:color="auto"/>
        <w:bottom w:val="none" w:sz="0" w:space="0" w:color="auto"/>
        <w:right w:val="none" w:sz="0" w:space="0" w:color="auto"/>
      </w:divBdr>
    </w:div>
    <w:div w:id="460881545">
      <w:bodyDiv w:val="1"/>
      <w:marLeft w:val="0"/>
      <w:marRight w:val="0"/>
      <w:marTop w:val="0"/>
      <w:marBottom w:val="0"/>
      <w:divBdr>
        <w:top w:val="none" w:sz="0" w:space="0" w:color="auto"/>
        <w:left w:val="none" w:sz="0" w:space="0" w:color="auto"/>
        <w:bottom w:val="none" w:sz="0" w:space="0" w:color="auto"/>
        <w:right w:val="none" w:sz="0" w:space="0" w:color="auto"/>
      </w:divBdr>
    </w:div>
    <w:div w:id="496729548">
      <w:bodyDiv w:val="1"/>
      <w:marLeft w:val="0"/>
      <w:marRight w:val="0"/>
      <w:marTop w:val="0"/>
      <w:marBottom w:val="0"/>
      <w:divBdr>
        <w:top w:val="none" w:sz="0" w:space="0" w:color="auto"/>
        <w:left w:val="none" w:sz="0" w:space="0" w:color="auto"/>
        <w:bottom w:val="none" w:sz="0" w:space="0" w:color="auto"/>
        <w:right w:val="none" w:sz="0" w:space="0" w:color="auto"/>
      </w:divBdr>
    </w:div>
    <w:div w:id="600844955">
      <w:bodyDiv w:val="1"/>
      <w:marLeft w:val="0"/>
      <w:marRight w:val="0"/>
      <w:marTop w:val="0"/>
      <w:marBottom w:val="0"/>
      <w:divBdr>
        <w:top w:val="none" w:sz="0" w:space="0" w:color="auto"/>
        <w:left w:val="none" w:sz="0" w:space="0" w:color="auto"/>
        <w:bottom w:val="none" w:sz="0" w:space="0" w:color="auto"/>
        <w:right w:val="none" w:sz="0" w:space="0" w:color="auto"/>
      </w:divBdr>
    </w:div>
    <w:div w:id="677122771">
      <w:bodyDiv w:val="1"/>
      <w:marLeft w:val="0"/>
      <w:marRight w:val="0"/>
      <w:marTop w:val="0"/>
      <w:marBottom w:val="0"/>
      <w:divBdr>
        <w:top w:val="none" w:sz="0" w:space="0" w:color="auto"/>
        <w:left w:val="none" w:sz="0" w:space="0" w:color="auto"/>
        <w:bottom w:val="none" w:sz="0" w:space="0" w:color="auto"/>
        <w:right w:val="none" w:sz="0" w:space="0" w:color="auto"/>
      </w:divBdr>
    </w:div>
    <w:div w:id="738597746">
      <w:bodyDiv w:val="1"/>
      <w:marLeft w:val="0"/>
      <w:marRight w:val="0"/>
      <w:marTop w:val="0"/>
      <w:marBottom w:val="0"/>
      <w:divBdr>
        <w:top w:val="none" w:sz="0" w:space="0" w:color="auto"/>
        <w:left w:val="none" w:sz="0" w:space="0" w:color="auto"/>
        <w:bottom w:val="none" w:sz="0" w:space="0" w:color="auto"/>
        <w:right w:val="none" w:sz="0" w:space="0" w:color="auto"/>
      </w:divBdr>
    </w:div>
    <w:div w:id="839540245">
      <w:bodyDiv w:val="1"/>
      <w:marLeft w:val="0"/>
      <w:marRight w:val="0"/>
      <w:marTop w:val="0"/>
      <w:marBottom w:val="0"/>
      <w:divBdr>
        <w:top w:val="none" w:sz="0" w:space="0" w:color="auto"/>
        <w:left w:val="none" w:sz="0" w:space="0" w:color="auto"/>
        <w:bottom w:val="none" w:sz="0" w:space="0" w:color="auto"/>
        <w:right w:val="none" w:sz="0" w:space="0" w:color="auto"/>
      </w:divBdr>
    </w:div>
    <w:div w:id="851994607">
      <w:bodyDiv w:val="1"/>
      <w:marLeft w:val="0"/>
      <w:marRight w:val="0"/>
      <w:marTop w:val="0"/>
      <w:marBottom w:val="0"/>
      <w:divBdr>
        <w:top w:val="none" w:sz="0" w:space="0" w:color="auto"/>
        <w:left w:val="none" w:sz="0" w:space="0" w:color="auto"/>
        <w:bottom w:val="none" w:sz="0" w:space="0" w:color="auto"/>
        <w:right w:val="none" w:sz="0" w:space="0" w:color="auto"/>
      </w:divBdr>
    </w:div>
    <w:div w:id="1001009150">
      <w:bodyDiv w:val="1"/>
      <w:marLeft w:val="0"/>
      <w:marRight w:val="0"/>
      <w:marTop w:val="0"/>
      <w:marBottom w:val="0"/>
      <w:divBdr>
        <w:top w:val="none" w:sz="0" w:space="0" w:color="auto"/>
        <w:left w:val="none" w:sz="0" w:space="0" w:color="auto"/>
        <w:bottom w:val="none" w:sz="0" w:space="0" w:color="auto"/>
        <w:right w:val="none" w:sz="0" w:space="0" w:color="auto"/>
      </w:divBdr>
    </w:div>
    <w:div w:id="1022979259">
      <w:bodyDiv w:val="1"/>
      <w:marLeft w:val="0"/>
      <w:marRight w:val="0"/>
      <w:marTop w:val="0"/>
      <w:marBottom w:val="0"/>
      <w:divBdr>
        <w:top w:val="none" w:sz="0" w:space="0" w:color="auto"/>
        <w:left w:val="none" w:sz="0" w:space="0" w:color="auto"/>
        <w:bottom w:val="none" w:sz="0" w:space="0" w:color="auto"/>
        <w:right w:val="none" w:sz="0" w:space="0" w:color="auto"/>
      </w:divBdr>
    </w:div>
    <w:div w:id="1057434266">
      <w:bodyDiv w:val="1"/>
      <w:marLeft w:val="0"/>
      <w:marRight w:val="0"/>
      <w:marTop w:val="0"/>
      <w:marBottom w:val="0"/>
      <w:divBdr>
        <w:top w:val="none" w:sz="0" w:space="0" w:color="auto"/>
        <w:left w:val="none" w:sz="0" w:space="0" w:color="auto"/>
        <w:bottom w:val="none" w:sz="0" w:space="0" w:color="auto"/>
        <w:right w:val="none" w:sz="0" w:space="0" w:color="auto"/>
      </w:divBdr>
    </w:div>
    <w:div w:id="1089472897">
      <w:bodyDiv w:val="1"/>
      <w:marLeft w:val="0"/>
      <w:marRight w:val="0"/>
      <w:marTop w:val="0"/>
      <w:marBottom w:val="0"/>
      <w:divBdr>
        <w:top w:val="none" w:sz="0" w:space="0" w:color="auto"/>
        <w:left w:val="none" w:sz="0" w:space="0" w:color="auto"/>
        <w:bottom w:val="none" w:sz="0" w:space="0" w:color="auto"/>
        <w:right w:val="none" w:sz="0" w:space="0" w:color="auto"/>
      </w:divBdr>
    </w:div>
    <w:div w:id="1127894692">
      <w:bodyDiv w:val="1"/>
      <w:marLeft w:val="0"/>
      <w:marRight w:val="0"/>
      <w:marTop w:val="0"/>
      <w:marBottom w:val="0"/>
      <w:divBdr>
        <w:top w:val="none" w:sz="0" w:space="0" w:color="auto"/>
        <w:left w:val="none" w:sz="0" w:space="0" w:color="auto"/>
        <w:bottom w:val="none" w:sz="0" w:space="0" w:color="auto"/>
        <w:right w:val="none" w:sz="0" w:space="0" w:color="auto"/>
      </w:divBdr>
    </w:div>
    <w:div w:id="1129588669">
      <w:bodyDiv w:val="1"/>
      <w:marLeft w:val="0"/>
      <w:marRight w:val="0"/>
      <w:marTop w:val="0"/>
      <w:marBottom w:val="0"/>
      <w:divBdr>
        <w:top w:val="none" w:sz="0" w:space="0" w:color="auto"/>
        <w:left w:val="none" w:sz="0" w:space="0" w:color="auto"/>
        <w:bottom w:val="none" w:sz="0" w:space="0" w:color="auto"/>
        <w:right w:val="none" w:sz="0" w:space="0" w:color="auto"/>
      </w:divBdr>
    </w:div>
    <w:div w:id="1145273748">
      <w:bodyDiv w:val="1"/>
      <w:marLeft w:val="0"/>
      <w:marRight w:val="0"/>
      <w:marTop w:val="0"/>
      <w:marBottom w:val="0"/>
      <w:divBdr>
        <w:top w:val="none" w:sz="0" w:space="0" w:color="auto"/>
        <w:left w:val="none" w:sz="0" w:space="0" w:color="auto"/>
        <w:bottom w:val="none" w:sz="0" w:space="0" w:color="auto"/>
        <w:right w:val="none" w:sz="0" w:space="0" w:color="auto"/>
      </w:divBdr>
    </w:div>
    <w:div w:id="1187645744">
      <w:bodyDiv w:val="1"/>
      <w:marLeft w:val="0"/>
      <w:marRight w:val="0"/>
      <w:marTop w:val="0"/>
      <w:marBottom w:val="0"/>
      <w:divBdr>
        <w:top w:val="none" w:sz="0" w:space="0" w:color="auto"/>
        <w:left w:val="none" w:sz="0" w:space="0" w:color="auto"/>
        <w:bottom w:val="none" w:sz="0" w:space="0" w:color="auto"/>
        <w:right w:val="none" w:sz="0" w:space="0" w:color="auto"/>
      </w:divBdr>
    </w:div>
    <w:div w:id="1204251903">
      <w:bodyDiv w:val="1"/>
      <w:marLeft w:val="0"/>
      <w:marRight w:val="0"/>
      <w:marTop w:val="0"/>
      <w:marBottom w:val="0"/>
      <w:divBdr>
        <w:top w:val="none" w:sz="0" w:space="0" w:color="auto"/>
        <w:left w:val="none" w:sz="0" w:space="0" w:color="auto"/>
        <w:bottom w:val="none" w:sz="0" w:space="0" w:color="auto"/>
        <w:right w:val="none" w:sz="0" w:space="0" w:color="auto"/>
      </w:divBdr>
    </w:div>
    <w:div w:id="1239099130">
      <w:bodyDiv w:val="1"/>
      <w:marLeft w:val="0"/>
      <w:marRight w:val="0"/>
      <w:marTop w:val="0"/>
      <w:marBottom w:val="0"/>
      <w:divBdr>
        <w:top w:val="none" w:sz="0" w:space="0" w:color="auto"/>
        <w:left w:val="none" w:sz="0" w:space="0" w:color="auto"/>
        <w:bottom w:val="none" w:sz="0" w:space="0" w:color="auto"/>
        <w:right w:val="none" w:sz="0" w:space="0" w:color="auto"/>
      </w:divBdr>
    </w:div>
    <w:div w:id="1274823850">
      <w:bodyDiv w:val="1"/>
      <w:marLeft w:val="0"/>
      <w:marRight w:val="0"/>
      <w:marTop w:val="0"/>
      <w:marBottom w:val="0"/>
      <w:divBdr>
        <w:top w:val="none" w:sz="0" w:space="0" w:color="auto"/>
        <w:left w:val="none" w:sz="0" w:space="0" w:color="auto"/>
        <w:bottom w:val="none" w:sz="0" w:space="0" w:color="auto"/>
        <w:right w:val="none" w:sz="0" w:space="0" w:color="auto"/>
      </w:divBdr>
    </w:div>
    <w:div w:id="1356805870">
      <w:bodyDiv w:val="1"/>
      <w:marLeft w:val="0"/>
      <w:marRight w:val="0"/>
      <w:marTop w:val="0"/>
      <w:marBottom w:val="0"/>
      <w:divBdr>
        <w:top w:val="none" w:sz="0" w:space="0" w:color="auto"/>
        <w:left w:val="none" w:sz="0" w:space="0" w:color="auto"/>
        <w:bottom w:val="none" w:sz="0" w:space="0" w:color="auto"/>
        <w:right w:val="none" w:sz="0" w:space="0" w:color="auto"/>
      </w:divBdr>
    </w:div>
    <w:div w:id="1444767254">
      <w:bodyDiv w:val="1"/>
      <w:marLeft w:val="0"/>
      <w:marRight w:val="0"/>
      <w:marTop w:val="0"/>
      <w:marBottom w:val="0"/>
      <w:divBdr>
        <w:top w:val="none" w:sz="0" w:space="0" w:color="auto"/>
        <w:left w:val="none" w:sz="0" w:space="0" w:color="auto"/>
        <w:bottom w:val="none" w:sz="0" w:space="0" w:color="auto"/>
        <w:right w:val="none" w:sz="0" w:space="0" w:color="auto"/>
      </w:divBdr>
    </w:div>
    <w:div w:id="1529374073">
      <w:bodyDiv w:val="1"/>
      <w:marLeft w:val="0"/>
      <w:marRight w:val="0"/>
      <w:marTop w:val="0"/>
      <w:marBottom w:val="0"/>
      <w:divBdr>
        <w:top w:val="none" w:sz="0" w:space="0" w:color="auto"/>
        <w:left w:val="none" w:sz="0" w:space="0" w:color="auto"/>
        <w:bottom w:val="none" w:sz="0" w:space="0" w:color="auto"/>
        <w:right w:val="none" w:sz="0" w:space="0" w:color="auto"/>
      </w:divBdr>
    </w:div>
    <w:div w:id="1563517781">
      <w:bodyDiv w:val="1"/>
      <w:marLeft w:val="0"/>
      <w:marRight w:val="0"/>
      <w:marTop w:val="0"/>
      <w:marBottom w:val="0"/>
      <w:divBdr>
        <w:top w:val="none" w:sz="0" w:space="0" w:color="auto"/>
        <w:left w:val="none" w:sz="0" w:space="0" w:color="auto"/>
        <w:bottom w:val="none" w:sz="0" w:space="0" w:color="auto"/>
        <w:right w:val="none" w:sz="0" w:space="0" w:color="auto"/>
      </w:divBdr>
    </w:div>
    <w:div w:id="1567574185">
      <w:bodyDiv w:val="1"/>
      <w:marLeft w:val="0"/>
      <w:marRight w:val="0"/>
      <w:marTop w:val="0"/>
      <w:marBottom w:val="0"/>
      <w:divBdr>
        <w:top w:val="none" w:sz="0" w:space="0" w:color="auto"/>
        <w:left w:val="none" w:sz="0" w:space="0" w:color="auto"/>
        <w:bottom w:val="none" w:sz="0" w:space="0" w:color="auto"/>
        <w:right w:val="none" w:sz="0" w:space="0" w:color="auto"/>
      </w:divBdr>
    </w:div>
    <w:div w:id="1645625515">
      <w:bodyDiv w:val="1"/>
      <w:marLeft w:val="0"/>
      <w:marRight w:val="0"/>
      <w:marTop w:val="0"/>
      <w:marBottom w:val="0"/>
      <w:divBdr>
        <w:top w:val="none" w:sz="0" w:space="0" w:color="auto"/>
        <w:left w:val="none" w:sz="0" w:space="0" w:color="auto"/>
        <w:bottom w:val="none" w:sz="0" w:space="0" w:color="auto"/>
        <w:right w:val="none" w:sz="0" w:space="0" w:color="auto"/>
      </w:divBdr>
    </w:div>
    <w:div w:id="1689284440">
      <w:bodyDiv w:val="1"/>
      <w:marLeft w:val="0"/>
      <w:marRight w:val="0"/>
      <w:marTop w:val="0"/>
      <w:marBottom w:val="0"/>
      <w:divBdr>
        <w:top w:val="none" w:sz="0" w:space="0" w:color="auto"/>
        <w:left w:val="none" w:sz="0" w:space="0" w:color="auto"/>
        <w:bottom w:val="none" w:sz="0" w:space="0" w:color="auto"/>
        <w:right w:val="none" w:sz="0" w:space="0" w:color="auto"/>
      </w:divBdr>
    </w:div>
    <w:div w:id="1767460827">
      <w:bodyDiv w:val="1"/>
      <w:marLeft w:val="0"/>
      <w:marRight w:val="0"/>
      <w:marTop w:val="0"/>
      <w:marBottom w:val="0"/>
      <w:divBdr>
        <w:top w:val="none" w:sz="0" w:space="0" w:color="auto"/>
        <w:left w:val="none" w:sz="0" w:space="0" w:color="auto"/>
        <w:bottom w:val="none" w:sz="0" w:space="0" w:color="auto"/>
        <w:right w:val="none" w:sz="0" w:space="0" w:color="auto"/>
      </w:divBdr>
    </w:div>
    <w:div w:id="1935433043">
      <w:bodyDiv w:val="1"/>
      <w:marLeft w:val="0"/>
      <w:marRight w:val="0"/>
      <w:marTop w:val="0"/>
      <w:marBottom w:val="0"/>
      <w:divBdr>
        <w:top w:val="none" w:sz="0" w:space="0" w:color="auto"/>
        <w:left w:val="none" w:sz="0" w:space="0" w:color="auto"/>
        <w:bottom w:val="none" w:sz="0" w:space="0" w:color="auto"/>
        <w:right w:val="none" w:sz="0" w:space="0" w:color="auto"/>
      </w:divBdr>
    </w:div>
    <w:div w:id="1977024700">
      <w:bodyDiv w:val="1"/>
      <w:marLeft w:val="0"/>
      <w:marRight w:val="0"/>
      <w:marTop w:val="0"/>
      <w:marBottom w:val="0"/>
      <w:divBdr>
        <w:top w:val="none" w:sz="0" w:space="0" w:color="auto"/>
        <w:left w:val="none" w:sz="0" w:space="0" w:color="auto"/>
        <w:bottom w:val="none" w:sz="0" w:space="0" w:color="auto"/>
        <w:right w:val="none" w:sz="0" w:space="0" w:color="auto"/>
      </w:divBdr>
    </w:div>
    <w:div w:id="2023238249">
      <w:bodyDiv w:val="1"/>
      <w:marLeft w:val="0"/>
      <w:marRight w:val="0"/>
      <w:marTop w:val="0"/>
      <w:marBottom w:val="0"/>
      <w:divBdr>
        <w:top w:val="none" w:sz="0" w:space="0" w:color="auto"/>
        <w:left w:val="none" w:sz="0" w:space="0" w:color="auto"/>
        <w:bottom w:val="none" w:sz="0" w:space="0" w:color="auto"/>
        <w:right w:val="none" w:sz="0" w:space="0" w:color="auto"/>
      </w:divBdr>
    </w:div>
    <w:div w:id="2029289029">
      <w:bodyDiv w:val="1"/>
      <w:marLeft w:val="0"/>
      <w:marRight w:val="0"/>
      <w:marTop w:val="0"/>
      <w:marBottom w:val="0"/>
      <w:divBdr>
        <w:top w:val="none" w:sz="0" w:space="0" w:color="auto"/>
        <w:left w:val="none" w:sz="0" w:space="0" w:color="auto"/>
        <w:bottom w:val="none" w:sz="0" w:space="0" w:color="auto"/>
        <w:right w:val="none" w:sz="0" w:space="0" w:color="auto"/>
      </w:divBdr>
    </w:div>
    <w:div w:id="2037925630">
      <w:bodyDiv w:val="1"/>
      <w:marLeft w:val="0"/>
      <w:marRight w:val="0"/>
      <w:marTop w:val="0"/>
      <w:marBottom w:val="0"/>
      <w:divBdr>
        <w:top w:val="none" w:sz="0" w:space="0" w:color="auto"/>
        <w:left w:val="none" w:sz="0" w:space="0" w:color="auto"/>
        <w:bottom w:val="none" w:sz="0" w:space="0" w:color="auto"/>
        <w:right w:val="none" w:sz="0" w:space="0" w:color="auto"/>
      </w:divBdr>
    </w:div>
    <w:div w:id="2097827091">
      <w:bodyDiv w:val="1"/>
      <w:marLeft w:val="0"/>
      <w:marRight w:val="0"/>
      <w:marTop w:val="0"/>
      <w:marBottom w:val="0"/>
      <w:divBdr>
        <w:top w:val="none" w:sz="0" w:space="0" w:color="auto"/>
        <w:left w:val="none" w:sz="0" w:space="0" w:color="auto"/>
        <w:bottom w:val="none" w:sz="0" w:space="0" w:color="auto"/>
        <w:right w:val="none" w:sz="0" w:space="0" w:color="auto"/>
      </w:divBdr>
    </w:div>
    <w:div w:id="214711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www.hcp.ma"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maaib\Desktop\T2%202022\2022T2-Note%20sur%20les%20chiffres%20cl&#233;s%20Tabulat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aib\Desktop\T2%202022\2022T2-Note%20sur%20les%20chiffres%20cl&#233;s%20Tabulatio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aib\Desktop\Graphiques%20Pour%20la%20note%20en%20F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aib\Desktop\T2%202022\2022T2-Note%20sur%20les%20chiffres%20cl&#233;s%20Tabulatio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aaib\Desktop\T2%202022\2022T2-Note%20sur%20les%20chiffres%20cl&#233;s%20Tabulatio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aaib\Desktop\T2%202022\2022T2-Note%20sur%20les%20chiffres%20cl&#233;s%20Tabulatio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aaib\Desktop\T2%202022\2022T2-Note%20sur%20les%20chiffres%20cl&#233;s%20Tabulation.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aaib\Desktop\T2%202022\2022T2-Note%20sur%20les%20chiffres%20cl&#233;s%20Tabulation.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aaib\Desktop\T2%202022\2022T2-Note%20sur%20les%20chiffres%20cl&#233;s%20Tabul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lineChart>
        <c:grouping val="standard"/>
        <c:ser>
          <c:idx val="0"/>
          <c:order val="0"/>
          <c:tx>
            <c:strRef>
              <c:f>Graphiques!$B$189</c:f>
              <c:strCache>
                <c:ptCount val="1"/>
                <c:pt idx="0">
                  <c:v>Urbain</c:v>
                </c:pt>
              </c:strCache>
            </c:strRef>
          </c:tx>
          <c:marker>
            <c:symbol val="none"/>
          </c:marker>
          <c:dLbls>
            <c:spPr>
              <a:noFill/>
              <a:ln>
                <a:noFill/>
              </a:ln>
              <a:effectLst/>
            </c:spPr>
            <c:txPr>
              <a:bodyPr/>
              <a:lstStyle/>
              <a:p>
                <a:pPr>
                  <a:defRPr sz="800"/>
                </a:pPr>
                <a:endParaRPr lang="fr-FR"/>
              </a:p>
            </c:txPr>
            <c:showVal val="1"/>
            <c:extLst xmlns:c16r2="http://schemas.microsoft.com/office/drawing/2015/06/chart">
              <c:ext xmlns:c15="http://schemas.microsoft.com/office/drawing/2012/chart" uri="{CE6537A1-D6FC-4f65-9D91-7224C49458BB}">
                <c15:showLeaderLines val="0"/>
              </c:ext>
            </c:extLst>
          </c:dLbls>
          <c:cat>
            <c:numRef>
              <c:f>Graphiques!$C$188:$H$188</c:f>
              <c:numCache>
                <c:formatCode>General</c:formatCode>
                <c:ptCount val="6"/>
                <c:pt idx="0">
                  <c:v>2017</c:v>
                </c:pt>
                <c:pt idx="1">
                  <c:v>2018</c:v>
                </c:pt>
                <c:pt idx="2">
                  <c:v>2019</c:v>
                </c:pt>
                <c:pt idx="3">
                  <c:v>2020</c:v>
                </c:pt>
                <c:pt idx="4">
                  <c:v>2021</c:v>
                </c:pt>
                <c:pt idx="5">
                  <c:v>2022</c:v>
                </c:pt>
              </c:numCache>
            </c:numRef>
          </c:cat>
          <c:val>
            <c:numRef>
              <c:f>Graphiques!$C$189:$H$189</c:f>
              <c:numCache>
                <c:formatCode>General</c:formatCode>
                <c:ptCount val="6"/>
                <c:pt idx="0">
                  <c:v>42.3</c:v>
                </c:pt>
                <c:pt idx="1">
                  <c:v>42.6</c:v>
                </c:pt>
                <c:pt idx="2">
                  <c:v>41.8</c:v>
                </c:pt>
                <c:pt idx="3">
                  <c:v>42.2</c:v>
                </c:pt>
                <c:pt idx="4">
                  <c:v>42.6</c:v>
                </c:pt>
                <c:pt idx="5">
                  <c:v>42.3</c:v>
                </c:pt>
              </c:numCache>
            </c:numRef>
          </c:val>
          <c:extLst xmlns:c16r2="http://schemas.microsoft.com/office/drawing/2015/06/chart">
            <c:ext xmlns:c16="http://schemas.microsoft.com/office/drawing/2014/chart" uri="{C3380CC4-5D6E-409C-BE32-E72D297353CC}">
              <c16:uniqueId val="{00000000-C9D8-4900-A8BE-6EB2C1192413}"/>
            </c:ext>
          </c:extLst>
        </c:ser>
        <c:ser>
          <c:idx val="1"/>
          <c:order val="1"/>
          <c:tx>
            <c:strRef>
              <c:f>Graphiques!$B$190</c:f>
              <c:strCache>
                <c:ptCount val="1"/>
                <c:pt idx="0">
                  <c:v>Rural</c:v>
                </c:pt>
              </c:strCache>
            </c:strRef>
          </c:tx>
          <c:marker>
            <c:symbol val="none"/>
          </c:marker>
          <c:dLbls>
            <c:dLbl>
              <c:idx val="5"/>
              <c:tx>
                <c:rich>
                  <a:bodyPr/>
                  <a:lstStyle/>
                  <a:p>
                    <a:r>
                      <a:rPr lang="en-US"/>
                      <a:t>50,8</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C9D8-4900-A8BE-6EB2C1192413}"/>
                </c:ext>
              </c:extLst>
            </c:dLbl>
            <c:spPr>
              <a:noFill/>
              <a:ln>
                <a:noFill/>
              </a:ln>
              <a:effectLst/>
            </c:spPr>
            <c:txPr>
              <a:bodyPr/>
              <a:lstStyle/>
              <a:p>
                <a:pPr>
                  <a:defRPr sz="800"/>
                </a:pPr>
                <a:endParaRPr lang="fr-FR"/>
              </a:p>
            </c:txPr>
            <c:showVal val="1"/>
            <c:extLst xmlns:c16r2="http://schemas.microsoft.com/office/drawing/2015/06/chart">
              <c:ext xmlns:c15="http://schemas.microsoft.com/office/drawing/2012/chart" uri="{CE6537A1-D6FC-4f65-9D91-7224C49458BB}">
                <c15:showLeaderLines val="0"/>
              </c:ext>
            </c:extLst>
          </c:dLbls>
          <c:cat>
            <c:numRef>
              <c:f>Graphiques!$C$188:$H$188</c:f>
              <c:numCache>
                <c:formatCode>General</c:formatCode>
                <c:ptCount val="6"/>
                <c:pt idx="0">
                  <c:v>2017</c:v>
                </c:pt>
                <c:pt idx="1">
                  <c:v>2018</c:v>
                </c:pt>
                <c:pt idx="2">
                  <c:v>2019</c:v>
                </c:pt>
                <c:pt idx="3">
                  <c:v>2020</c:v>
                </c:pt>
                <c:pt idx="4">
                  <c:v>2021</c:v>
                </c:pt>
                <c:pt idx="5">
                  <c:v>2022</c:v>
                </c:pt>
              </c:numCache>
            </c:numRef>
          </c:cat>
          <c:val>
            <c:numRef>
              <c:f>Graphiques!$C$190:$H$190</c:f>
              <c:numCache>
                <c:formatCode>General</c:formatCode>
                <c:ptCount val="6"/>
                <c:pt idx="0">
                  <c:v>56</c:v>
                </c:pt>
                <c:pt idx="1">
                  <c:v>54.9</c:v>
                </c:pt>
                <c:pt idx="2">
                  <c:v>53.2</c:v>
                </c:pt>
                <c:pt idx="3">
                  <c:v>49.6</c:v>
                </c:pt>
                <c:pt idx="4">
                  <c:v>52.9</c:v>
                </c:pt>
                <c:pt idx="5">
                  <c:v>50.9</c:v>
                </c:pt>
              </c:numCache>
            </c:numRef>
          </c:val>
          <c:extLst xmlns:c16r2="http://schemas.microsoft.com/office/drawing/2015/06/chart">
            <c:ext xmlns:c16="http://schemas.microsoft.com/office/drawing/2014/chart" uri="{C3380CC4-5D6E-409C-BE32-E72D297353CC}">
              <c16:uniqueId val="{00000002-C9D8-4900-A8BE-6EB2C1192413}"/>
            </c:ext>
          </c:extLst>
        </c:ser>
        <c:ser>
          <c:idx val="2"/>
          <c:order val="2"/>
          <c:tx>
            <c:strRef>
              <c:f>Graphiques!$B$191</c:f>
              <c:strCache>
                <c:ptCount val="1"/>
                <c:pt idx="0">
                  <c:v>National</c:v>
                </c:pt>
              </c:strCache>
            </c:strRef>
          </c:tx>
          <c:marker>
            <c:symbol val="none"/>
          </c:marker>
          <c:dLbls>
            <c:spPr>
              <a:noFill/>
              <a:ln>
                <a:noFill/>
              </a:ln>
              <a:effectLst/>
            </c:spPr>
            <c:txPr>
              <a:bodyPr/>
              <a:lstStyle/>
              <a:p>
                <a:pPr>
                  <a:defRPr sz="800"/>
                </a:pPr>
                <a:endParaRPr lang="fr-FR"/>
              </a:p>
            </c:txPr>
            <c:showVal val="1"/>
            <c:extLst xmlns:c16r2="http://schemas.microsoft.com/office/drawing/2015/06/chart">
              <c:ext xmlns:c15="http://schemas.microsoft.com/office/drawing/2012/chart" uri="{CE6537A1-D6FC-4f65-9D91-7224C49458BB}">
                <c15:showLeaderLines val="0"/>
              </c:ext>
            </c:extLst>
          </c:dLbls>
          <c:cat>
            <c:numRef>
              <c:f>Graphiques!$C$188:$H$188</c:f>
              <c:numCache>
                <c:formatCode>General</c:formatCode>
                <c:ptCount val="6"/>
                <c:pt idx="0">
                  <c:v>2017</c:v>
                </c:pt>
                <c:pt idx="1">
                  <c:v>2018</c:v>
                </c:pt>
                <c:pt idx="2">
                  <c:v>2019</c:v>
                </c:pt>
                <c:pt idx="3">
                  <c:v>2020</c:v>
                </c:pt>
                <c:pt idx="4">
                  <c:v>2021</c:v>
                </c:pt>
                <c:pt idx="5">
                  <c:v>2022</c:v>
                </c:pt>
              </c:numCache>
            </c:numRef>
          </c:cat>
          <c:val>
            <c:numRef>
              <c:f>Graphiques!$C$191:$H$191</c:f>
              <c:numCache>
                <c:formatCode>General</c:formatCode>
                <c:ptCount val="6"/>
                <c:pt idx="0">
                  <c:v>47.3</c:v>
                </c:pt>
                <c:pt idx="1">
                  <c:v>47</c:v>
                </c:pt>
                <c:pt idx="2">
                  <c:v>45.8</c:v>
                </c:pt>
                <c:pt idx="3">
                  <c:v>44.8</c:v>
                </c:pt>
                <c:pt idx="4">
                  <c:v>46.1</c:v>
                </c:pt>
                <c:pt idx="5">
                  <c:v>45.2</c:v>
                </c:pt>
              </c:numCache>
            </c:numRef>
          </c:val>
          <c:extLst xmlns:c16r2="http://schemas.microsoft.com/office/drawing/2015/06/chart">
            <c:ext xmlns:c16="http://schemas.microsoft.com/office/drawing/2014/chart" uri="{C3380CC4-5D6E-409C-BE32-E72D297353CC}">
              <c16:uniqueId val="{00000003-C9D8-4900-A8BE-6EB2C1192413}"/>
            </c:ext>
          </c:extLst>
        </c:ser>
        <c:dLbls>
          <c:showVal val="1"/>
        </c:dLbls>
        <c:marker val="1"/>
        <c:axId val="83680256"/>
        <c:axId val="83719680"/>
      </c:lineChart>
      <c:catAx>
        <c:axId val="83680256"/>
        <c:scaling>
          <c:orientation val="minMax"/>
        </c:scaling>
        <c:axPos val="b"/>
        <c:numFmt formatCode="General" sourceLinked="1"/>
        <c:majorTickMark val="none"/>
        <c:tickLblPos val="nextTo"/>
        <c:crossAx val="83719680"/>
        <c:crosses val="autoZero"/>
        <c:auto val="1"/>
        <c:lblAlgn val="ctr"/>
        <c:lblOffset val="100"/>
      </c:catAx>
      <c:valAx>
        <c:axId val="83719680"/>
        <c:scaling>
          <c:orientation val="minMax"/>
          <c:max val="60"/>
          <c:min val="0"/>
        </c:scaling>
        <c:delete val="1"/>
        <c:axPos val="l"/>
        <c:numFmt formatCode="General" sourceLinked="1"/>
        <c:majorTickMark val="none"/>
        <c:tickLblPos val="none"/>
        <c:crossAx val="83680256"/>
        <c:crosses val="autoZero"/>
        <c:crossBetween val="between"/>
        <c:majorUnit val="10"/>
        <c:minorUnit val="2"/>
      </c:valAx>
    </c:plotArea>
    <c:legend>
      <c:legendPos val="t"/>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fr-FR"/>
  <c:chart>
    <c:autoTitleDeleted val="1"/>
    <c:plotArea>
      <c:layout>
        <c:manualLayout>
          <c:layoutTarget val="inner"/>
          <c:xMode val="edge"/>
          <c:yMode val="edge"/>
          <c:x val="2.4250440917107582E-2"/>
          <c:y val="5.2542618946785934E-2"/>
          <c:w val="0.95149911816579036"/>
          <c:h val="0.5100936740492118"/>
        </c:manualLayout>
      </c:layout>
      <c:lineChart>
        <c:grouping val="standard"/>
        <c:ser>
          <c:idx val="0"/>
          <c:order val="0"/>
          <c:tx>
            <c:strRef>
              <c:f>Graphiques!$B$164</c:f>
              <c:strCache>
                <c:ptCount val="1"/>
                <c:pt idx="0">
                  <c:v>Urbain</c:v>
                </c:pt>
              </c:strCache>
            </c:strRef>
          </c:tx>
          <c:marker>
            <c:symbol val="none"/>
          </c:marke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Graphiques!$C$163:$H$163</c:f>
              <c:numCache>
                <c:formatCode>General</c:formatCode>
                <c:ptCount val="6"/>
                <c:pt idx="0">
                  <c:v>2017</c:v>
                </c:pt>
                <c:pt idx="1">
                  <c:v>2018</c:v>
                </c:pt>
                <c:pt idx="2">
                  <c:v>2019</c:v>
                </c:pt>
                <c:pt idx="3">
                  <c:v>2020</c:v>
                </c:pt>
                <c:pt idx="4">
                  <c:v>2021</c:v>
                </c:pt>
                <c:pt idx="5">
                  <c:v>2022</c:v>
                </c:pt>
              </c:numCache>
            </c:numRef>
          </c:cat>
          <c:val>
            <c:numRef>
              <c:f>Graphiques!$C$164:$H$164</c:f>
              <c:numCache>
                <c:formatCode>General</c:formatCode>
                <c:ptCount val="6"/>
                <c:pt idx="0">
                  <c:v>36.4</c:v>
                </c:pt>
                <c:pt idx="1">
                  <c:v>36.800000000000004</c:v>
                </c:pt>
                <c:pt idx="2">
                  <c:v>36.9</c:v>
                </c:pt>
                <c:pt idx="3">
                  <c:v>35.6</c:v>
                </c:pt>
                <c:pt idx="4">
                  <c:v>34.9</c:v>
                </c:pt>
                <c:pt idx="5">
                  <c:v>35.700000000000003</c:v>
                </c:pt>
              </c:numCache>
            </c:numRef>
          </c:val>
          <c:extLst xmlns:c16r2="http://schemas.microsoft.com/office/drawing/2015/06/chart">
            <c:ext xmlns:c16="http://schemas.microsoft.com/office/drawing/2014/chart" uri="{C3380CC4-5D6E-409C-BE32-E72D297353CC}">
              <c16:uniqueId val="{00000000-632F-4690-8184-7D6F069CA821}"/>
            </c:ext>
          </c:extLst>
        </c:ser>
        <c:ser>
          <c:idx val="1"/>
          <c:order val="1"/>
          <c:tx>
            <c:strRef>
              <c:f>Graphiques!$B$165</c:f>
              <c:strCache>
                <c:ptCount val="1"/>
                <c:pt idx="0">
                  <c:v>Rural</c:v>
                </c:pt>
              </c:strCache>
            </c:strRef>
          </c:tx>
          <c:marker>
            <c:symbol val="none"/>
          </c:marker>
          <c:dLbls>
            <c:dLbl>
              <c:idx val="3"/>
              <c:layout>
                <c:manualLayout>
                  <c:x val="0"/>
                  <c:y val="-4.597701149425286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32F-4690-8184-7D6F069CA821}"/>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Graphiques!$C$163:$H$163</c:f>
              <c:numCache>
                <c:formatCode>General</c:formatCode>
                <c:ptCount val="6"/>
                <c:pt idx="0">
                  <c:v>2017</c:v>
                </c:pt>
                <c:pt idx="1">
                  <c:v>2018</c:v>
                </c:pt>
                <c:pt idx="2">
                  <c:v>2019</c:v>
                </c:pt>
                <c:pt idx="3">
                  <c:v>2020</c:v>
                </c:pt>
                <c:pt idx="4">
                  <c:v>2021</c:v>
                </c:pt>
                <c:pt idx="5">
                  <c:v>2022</c:v>
                </c:pt>
              </c:numCache>
            </c:numRef>
          </c:cat>
          <c:val>
            <c:numRef>
              <c:f>Graphiques!$C$165:$H$165</c:f>
              <c:numCache>
                <c:formatCode>General</c:formatCode>
                <c:ptCount val="6"/>
                <c:pt idx="0">
                  <c:v>54.2</c:v>
                </c:pt>
                <c:pt idx="1">
                  <c:v>53.1</c:v>
                </c:pt>
                <c:pt idx="2">
                  <c:v>51.6</c:v>
                </c:pt>
                <c:pt idx="3">
                  <c:v>46</c:v>
                </c:pt>
                <c:pt idx="4">
                  <c:v>50.4</c:v>
                </c:pt>
                <c:pt idx="5">
                  <c:v>48.7</c:v>
                </c:pt>
              </c:numCache>
            </c:numRef>
          </c:val>
          <c:extLst xmlns:c16r2="http://schemas.microsoft.com/office/drawing/2015/06/chart">
            <c:ext xmlns:c16="http://schemas.microsoft.com/office/drawing/2014/chart" uri="{C3380CC4-5D6E-409C-BE32-E72D297353CC}">
              <c16:uniqueId val="{00000002-632F-4690-8184-7D6F069CA821}"/>
            </c:ext>
          </c:extLst>
        </c:ser>
        <c:ser>
          <c:idx val="2"/>
          <c:order val="2"/>
          <c:tx>
            <c:strRef>
              <c:f>Graphiques!$B$166</c:f>
              <c:strCache>
                <c:ptCount val="1"/>
                <c:pt idx="0">
                  <c:v>National</c:v>
                </c:pt>
              </c:strCache>
            </c:strRef>
          </c:tx>
          <c:marker>
            <c:symbol val="none"/>
          </c:marke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Graphiques!$C$163:$H$163</c:f>
              <c:numCache>
                <c:formatCode>General</c:formatCode>
                <c:ptCount val="6"/>
                <c:pt idx="0">
                  <c:v>2017</c:v>
                </c:pt>
                <c:pt idx="1">
                  <c:v>2018</c:v>
                </c:pt>
                <c:pt idx="2">
                  <c:v>2019</c:v>
                </c:pt>
                <c:pt idx="3">
                  <c:v>2020</c:v>
                </c:pt>
                <c:pt idx="4">
                  <c:v>2021</c:v>
                </c:pt>
                <c:pt idx="5">
                  <c:v>2022</c:v>
                </c:pt>
              </c:numCache>
            </c:numRef>
          </c:cat>
          <c:val>
            <c:numRef>
              <c:f>Graphiques!$C$166:$H$166</c:f>
              <c:numCache>
                <c:formatCode>General</c:formatCode>
                <c:ptCount val="6"/>
                <c:pt idx="0">
                  <c:v>42.9</c:v>
                </c:pt>
                <c:pt idx="1">
                  <c:v>42.7</c:v>
                </c:pt>
                <c:pt idx="2">
                  <c:v>42.1</c:v>
                </c:pt>
                <c:pt idx="3">
                  <c:v>39.300000000000004</c:v>
                </c:pt>
                <c:pt idx="4">
                  <c:v>40.200000000000003</c:v>
                </c:pt>
                <c:pt idx="5">
                  <c:v>40.200000000000003</c:v>
                </c:pt>
              </c:numCache>
            </c:numRef>
          </c:val>
          <c:extLst xmlns:c16r2="http://schemas.microsoft.com/office/drawing/2015/06/chart">
            <c:ext xmlns:c16="http://schemas.microsoft.com/office/drawing/2014/chart" uri="{C3380CC4-5D6E-409C-BE32-E72D297353CC}">
              <c16:uniqueId val="{00000003-632F-4690-8184-7D6F069CA821}"/>
            </c:ext>
          </c:extLst>
        </c:ser>
        <c:marker val="1"/>
        <c:axId val="84078592"/>
        <c:axId val="84172800"/>
      </c:lineChart>
      <c:catAx>
        <c:axId val="84078592"/>
        <c:scaling>
          <c:orientation val="minMax"/>
        </c:scaling>
        <c:axPos val="b"/>
        <c:numFmt formatCode="General" sourceLinked="1"/>
        <c:majorTickMark val="none"/>
        <c:tickLblPos val="nextTo"/>
        <c:crossAx val="84172800"/>
        <c:crosses val="autoZero"/>
        <c:auto val="1"/>
        <c:lblAlgn val="ctr"/>
        <c:lblOffset val="100"/>
      </c:catAx>
      <c:valAx>
        <c:axId val="84172800"/>
        <c:scaling>
          <c:orientation val="minMax"/>
        </c:scaling>
        <c:delete val="1"/>
        <c:axPos val="l"/>
        <c:numFmt formatCode="General" sourceLinked="1"/>
        <c:majorTickMark val="none"/>
        <c:tickLblPos val="none"/>
        <c:crossAx val="84078592"/>
        <c:crosses val="autoZero"/>
        <c:crossBetween val="between"/>
      </c:valAx>
    </c:plotArea>
    <c:legend>
      <c:legendPos val="b"/>
      <c:layout>
        <c:manualLayout>
          <c:xMode val="edge"/>
          <c:yMode val="edge"/>
          <c:x val="0.29463608715577388"/>
          <c:y val="0.75224240115146901"/>
          <c:w val="0.41072782568845811"/>
          <c:h val="9.7219964439928419E-2"/>
        </c:manualLayout>
      </c:layout>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Graphiques!$C$17</c:f>
              <c:strCache>
                <c:ptCount val="1"/>
                <c:pt idx="0">
                  <c:v>Emploi rémunéré</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Graphiques!$D$16:$F$16</c:f>
              <c:strCache>
                <c:ptCount val="3"/>
                <c:pt idx="0">
                  <c:v>Urbain</c:v>
                </c:pt>
                <c:pt idx="1">
                  <c:v>Rural</c:v>
                </c:pt>
                <c:pt idx="2">
                  <c:v>Ensemble</c:v>
                </c:pt>
              </c:strCache>
            </c:strRef>
          </c:cat>
          <c:val>
            <c:numRef>
              <c:f>Graphiques!$D$17:$F$17</c:f>
              <c:numCache>
                <c:formatCode>0</c:formatCode>
                <c:ptCount val="3"/>
                <c:pt idx="0">
                  <c:v>306.97068486349571</c:v>
                </c:pt>
                <c:pt idx="1">
                  <c:v>-7.9138612681962526</c:v>
                </c:pt>
                <c:pt idx="2">
                  <c:v>299.05682359517726</c:v>
                </c:pt>
              </c:numCache>
            </c:numRef>
          </c:val>
          <c:extLst xmlns:c16r2="http://schemas.microsoft.com/office/drawing/2015/06/chart">
            <c:ext xmlns:c16="http://schemas.microsoft.com/office/drawing/2014/chart" uri="{C3380CC4-5D6E-409C-BE32-E72D297353CC}">
              <c16:uniqueId val="{00000000-0D6E-4EE0-A34D-D9674D3F03E1}"/>
            </c:ext>
          </c:extLst>
        </c:ser>
        <c:ser>
          <c:idx val="1"/>
          <c:order val="1"/>
          <c:tx>
            <c:strRef>
              <c:f>Graphiques!$C$18</c:f>
              <c:strCache>
                <c:ptCount val="1"/>
                <c:pt idx="0">
                  <c:v>Emploi non rémunéré</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Graphiques!$D$16:$F$16</c:f>
              <c:strCache>
                <c:ptCount val="3"/>
                <c:pt idx="0">
                  <c:v>Urbain</c:v>
                </c:pt>
                <c:pt idx="1">
                  <c:v>Rural</c:v>
                </c:pt>
                <c:pt idx="2">
                  <c:v>Ensemble</c:v>
                </c:pt>
              </c:strCache>
            </c:strRef>
          </c:cat>
          <c:val>
            <c:numRef>
              <c:f>Graphiques!$D$18:$F$18</c:f>
              <c:numCache>
                <c:formatCode>0</c:formatCode>
                <c:ptCount val="3"/>
                <c:pt idx="0">
                  <c:v>-22.319707128428981</c:v>
                </c:pt>
                <c:pt idx="1">
                  <c:v>-144.29288077095816</c:v>
                </c:pt>
                <c:pt idx="2">
                  <c:v>-166</c:v>
                </c:pt>
              </c:numCache>
            </c:numRef>
          </c:val>
          <c:extLst xmlns:c16r2="http://schemas.microsoft.com/office/drawing/2015/06/chart">
            <c:ext xmlns:c16="http://schemas.microsoft.com/office/drawing/2014/chart" uri="{C3380CC4-5D6E-409C-BE32-E72D297353CC}">
              <c16:uniqueId val="{00000001-0D6E-4EE0-A34D-D9674D3F03E1}"/>
            </c:ext>
          </c:extLst>
        </c:ser>
        <c:ser>
          <c:idx val="2"/>
          <c:order val="2"/>
          <c:tx>
            <c:strRef>
              <c:f>Graphiques!$C$19</c:f>
              <c:strCache>
                <c:ptCount val="1"/>
                <c:pt idx="0">
                  <c:v>Emploi total</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Graphiques!$D$16:$F$16</c:f>
              <c:strCache>
                <c:ptCount val="3"/>
                <c:pt idx="0">
                  <c:v>Urbain</c:v>
                </c:pt>
                <c:pt idx="1">
                  <c:v>Rural</c:v>
                </c:pt>
                <c:pt idx="2">
                  <c:v>Ensemble</c:v>
                </c:pt>
              </c:strCache>
            </c:strRef>
          </c:cat>
          <c:val>
            <c:numRef>
              <c:f>Graphiques!$D$19:$F$19</c:f>
              <c:numCache>
                <c:formatCode>0</c:formatCode>
                <c:ptCount val="3"/>
                <c:pt idx="0">
                  <c:v>284.65097773506687</c:v>
                </c:pt>
                <c:pt idx="1">
                  <c:v>-152.20674203915442</c:v>
                </c:pt>
                <c:pt idx="2">
                  <c:v>133</c:v>
                </c:pt>
              </c:numCache>
            </c:numRef>
          </c:val>
          <c:extLst xmlns:c16r2="http://schemas.microsoft.com/office/drawing/2015/06/chart">
            <c:ext xmlns:c16="http://schemas.microsoft.com/office/drawing/2014/chart" uri="{C3380CC4-5D6E-409C-BE32-E72D297353CC}">
              <c16:uniqueId val="{00000002-0D6E-4EE0-A34D-D9674D3F03E1}"/>
            </c:ext>
          </c:extLst>
        </c:ser>
        <c:gapWidth val="75"/>
        <c:overlap val="-25"/>
        <c:axId val="84894848"/>
        <c:axId val="85231872"/>
      </c:barChart>
      <c:catAx>
        <c:axId val="84894848"/>
        <c:scaling>
          <c:orientation val="minMax"/>
        </c:scaling>
        <c:axPos val="b"/>
        <c:numFmt formatCode="General" sourceLinked="0"/>
        <c:majorTickMark val="none"/>
        <c:tickLblPos val="low"/>
        <c:crossAx val="85231872"/>
        <c:crosses val="autoZero"/>
        <c:auto val="1"/>
        <c:lblAlgn val="ctr"/>
        <c:lblOffset val="100"/>
      </c:catAx>
      <c:valAx>
        <c:axId val="85231872"/>
        <c:scaling>
          <c:orientation val="minMax"/>
        </c:scaling>
        <c:delete val="1"/>
        <c:axPos val="l"/>
        <c:numFmt formatCode="0" sourceLinked="1"/>
        <c:majorTickMark val="none"/>
        <c:tickLblPos val="none"/>
        <c:crossAx val="84894848"/>
        <c:crosses val="autoZero"/>
        <c:crossBetween val="between"/>
      </c:valAx>
    </c:plotArea>
    <c:legend>
      <c:legendPos val="t"/>
    </c:legend>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fr-FR"/>
  <c:chart>
    <c:autoTitleDeleted val="1"/>
    <c:plotArea>
      <c:layout>
        <c:manualLayout>
          <c:layoutTarget val="inner"/>
          <c:xMode val="edge"/>
          <c:yMode val="edge"/>
          <c:x val="3.0555555555555582E-2"/>
          <c:y val="5.0925925925925923E-2"/>
          <c:w val="0.93888888888889388"/>
          <c:h val="0.70477435112277664"/>
        </c:manualLayout>
      </c:layout>
      <c:barChart>
        <c:barDir val="col"/>
        <c:grouping val="clustered"/>
        <c:ser>
          <c:idx val="0"/>
          <c:order val="0"/>
          <c:tx>
            <c:strRef>
              <c:f>Graphiques!$D$24</c:f>
              <c:strCache>
                <c:ptCount val="1"/>
                <c:pt idx="0">
                  <c:v>Urbain</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Graphiques!$C$25:$C$28</c:f>
              <c:strCache>
                <c:ptCount val="4"/>
                <c:pt idx="0">
                  <c:v>Agriculture, forêt et pêche</c:v>
                </c:pt>
                <c:pt idx="1">
                  <c:v>Industrie</c:v>
                </c:pt>
                <c:pt idx="2">
                  <c:v>BTP</c:v>
                </c:pt>
                <c:pt idx="3">
                  <c:v>Services</c:v>
                </c:pt>
              </c:strCache>
            </c:strRef>
          </c:cat>
          <c:val>
            <c:numRef>
              <c:f>Graphiques!$D$25:$D$28</c:f>
              <c:numCache>
                <c:formatCode>#,##0,</c:formatCode>
                <c:ptCount val="4"/>
                <c:pt idx="0">
                  <c:v>16473.743651985296</c:v>
                </c:pt>
                <c:pt idx="1">
                  <c:v>68568.240963323318</c:v>
                </c:pt>
                <c:pt idx="2">
                  <c:v>16177.261084027587</c:v>
                </c:pt>
                <c:pt idx="3">
                  <c:v>184034.8150272429</c:v>
                </c:pt>
              </c:numCache>
            </c:numRef>
          </c:val>
          <c:extLst xmlns:c16r2="http://schemas.microsoft.com/office/drawing/2015/06/chart">
            <c:ext xmlns:c16="http://schemas.microsoft.com/office/drawing/2014/chart" uri="{C3380CC4-5D6E-409C-BE32-E72D297353CC}">
              <c16:uniqueId val="{00000000-CC16-4DD8-AD90-A34E2B8EB6A3}"/>
            </c:ext>
          </c:extLst>
        </c:ser>
        <c:ser>
          <c:idx val="1"/>
          <c:order val="1"/>
          <c:tx>
            <c:strRef>
              <c:f>Graphiques!$E$24</c:f>
              <c:strCache>
                <c:ptCount val="1"/>
                <c:pt idx="0">
                  <c:v>Rural</c:v>
                </c:pt>
              </c:strCache>
            </c:strRef>
          </c:tx>
          <c:dLbls>
            <c:dLbl>
              <c:idx val="0"/>
              <c:spPr>
                <a:noFill/>
              </c:spPr>
              <c:txPr>
                <a:bodyPr/>
                <a:lstStyle/>
                <a:p>
                  <a:pPr>
                    <a:defRPr/>
                  </a:pPr>
                  <a:endParaRPr lang="fr-FR"/>
                </a:p>
              </c:txPr>
            </c:dLbl>
            <c:spPr>
              <a:noFill/>
            </c:spPr>
            <c:showVal val="1"/>
            <c:extLst xmlns:c16r2="http://schemas.microsoft.com/office/drawing/2015/06/chart">
              <c:ext xmlns:c15="http://schemas.microsoft.com/office/drawing/2012/chart" uri="{CE6537A1-D6FC-4f65-9D91-7224C49458BB}">
                <c15:showLeaderLines val="0"/>
              </c:ext>
            </c:extLst>
          </c:dLbls>
          <c:cat>
            <c:strRef>
              <c:f>Graphiques!$C$25:$C$28</c:f>
              <c:strCache>
                <c:ptCount val="4"/>
                <c:pt idx="0">
                  <c:v>Agriculture, forêt et pêche</c:v>
                </c:pt>
                <c:pt idx="1">
                  <c:v>Industrie</c:v>
                </c:pt>
                <c:pt idx="2">
                  <c:v>BTP</c:v>
                </c:pt>
                <c:pt idx="3">
                  <c:v>Services</c:v>
                </c:pt>
              </c:strCache>
            </c:strRef>
          </c:cat>
          <c:val>
            <c:numRef>
              <c:f>Graphiques!$E$25:$E$28</c:f>
              <c:numCache>
                <c:formatCode>#,##0,</c:formatCode>
                <c:ptCount val="4"/>
                <c:pt idx="0">
                  <c:v>-225503.95708922271</c:v>
                </c:pt>
                <c:pt idx="1">
                  <c:v>7029.4705631412189</c:v>
                </c:pt>
                <c:pt idx="2">
                  <c:v>13594.890954506171</c:v>
                </c:pt>
                <c:pt idx="3">
                  <c:v>52672.853532428759</c:v>
                </c:pt>
              </c:numCache>
            </c:numRef>
          </c:val>
          <c:extLst xmlns:c16r2="http://schemas.microsoft.com/office/drawing/2015/06/chart">
            <c:ext xmlns:c16="http://schemas.microsoft.com/office/drawing/2014/chart" uri="{C3380CC4-5D6E-409C-BE32-E72D297353CC}">
              <c16:uniqueId val="{00000002-CC16-4DD8-AD90-A34E2B8EB6A3}"/>
            </c:ext>
          </c:extLst>
        </c:ser>
        <c:ser>
          <c:idx val="2"/>
          <c:order val="2"/>
          <c:tx>
            <c:strRef>
              <c:f>Graphiques!$F$24</c:f>
              <c:strCache>
                <c:ptCount val="1"/>
                <c:pt idx="0">
                  <c:v>Ensemble</c:v>
                </c:pt>
              </c:strCache>
            </c:strRef>
          </c:tx>
          <c:dLbls>
            <c:dLbl>
              <c:idx val="0"/>
              <c:tx>
                <c:rich>
                  <a:bodyPr/>
                  <a:lstStyle/>
                  <a:p>
                    <a:r>
                      <a:rPr lang="en-US"/>
                      <a:t>-210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CC16-4DD8-AD90-A34E2B8EB6A3}"/>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Graphiques!$C$25:$C$28</c:f>
              <c:strCache>
                <c:ptCount val="4"/>
                <c:pt idx="0">
                  <c:v>Agriculture, forêt et pêche</c:v>
                </c:pt>
                <c:pt idx="1">
                  <c:v>Industrie</c:v>
                </c:pt>
                <c:pt idx="2">
                  <c:v>BTP</c:v>
                </c:pt>
                <c:pt idx="3">
                  <c:v>Services</c:v>
                </c:pt>
              </c:strCache>
            </c:strRef>
          </c:cat>
          <c:val>
            <c:numRef>
              <c:f>Graphiques!$F$25:$F$28</c:f>
              <c:numCache>
                <c:formatCode>#,##0,</c:formatCode>
                <c:ptCount val="4"/>
                <c:pt idx="0">
                  <c:v>-209030.21343723655</c:v>
                </c:pt>
                <c:pt idx="1">
                  <c:v>75597.711526460364</c:v>
                </c:pt>
                <c:pt idx="2">
                  <c:v>29772.152038537177</c:v>
                </c:pt>
                <c:pt idx="3">
                  <c:v>236707.66855965077</c:v>
                </c:pt>
              </c:numCache>
            </c:numRef>
          </c:val>
          <c:extLst xmlns:c16r2="http://schemas.microsoft.com/office/drawing/2015/06/chart">
            <c:ext xmlns:c16="http://schemas.microsoft.com/office/drawing/2014/chart" uri="{C3380CC4-5D6E-409C-BE32-E72D297353CC}">
              <c16:uniqueId val="{00000004-CC16-4DD8-AD90-A34E2B8EB6A3}"/>
            </c:ext>
          </c:extLst>
        </c:ser>
        <c:gapWidth val="75"/>
        <c:overlap val="-25"/>
        <c:axId val="85936768"/>
        <c:axId val="86526208"/>
      </c:barChart>
      <c:catAx>
        <c:axId val="85936768"/>
        <c:scaling>
          <c:orientation val="minMax"/>
        </c:scaling>
        <c:axPos val="b"/>
        <c:numFmt formatCode="General" sourceLinked="0"/>
        <c:majorTickMark val="none"/>
        <c:tickLblPos val="low"/>
        <c:crossAx val="86526208"/>
        <c:crosses val="autoZero"/>
        <c:auto val="1"/>
        <c:lblAlgn val="ctr"/>
        <c:lblOffset val="100"/>
      </c:catAx>
      <c:valAx>
        <c:axId val="86526208"/>
        <c:scaling>
          <c:orientation val="minMax"/>
        </c:scaling>
        <c:delete val="1"/>
        <c:axPos val="l"/>
        <c:numFmt formatCode="#,##0," sourceLinked="1"/>
        <c:majorTickMark val="none"/>
        <c:tickLblPos val="none"/>
        <c:crossAx val="85936768"/>
        <c:crosses val="autoZero"/>
        <c:crossBetween val="between"/>
      </c:valAx>
    </c:plotArea>
    <c:legend>
      <c:legendPos val="b"/>
      <c:layout>
        <c:manualLayout>
          <c:xMode val="edge"/>
          <c:yMode val="edge"/>
          <c:x val="0.28403849518810148"/>
          <c:y val="4.5912438028579923E-2"/>
          <c:w val="0.44303390201224846"/>
          <c:h val="8.3717191601050026E-2"/>
        </c:manualLayout>
      </c:layout>
    </c:legend>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lineChart>
        <c:grouping val="standard"/>
        <c:ser>
          <c:idx val="0"/>
          <c:order val="0"/>
          <c:tx>
            <c:strRef>
              <c:f>Graphiques!$C$142</c:f>
              <c:strCache>
                <c:ptCount val="1"/>
                <c:pt idx="0">
                  <c:v>Urbain</c:v>
                </c:pt>
              </c:strCache>
            </c:strRef>
          </c:tx>
          <c:marker>
            <c:symbol val="none"/>
          </c:marke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Graphiques!$D$141:$I$141</c:f>
              <c:numCache>
                <c:formatCode>General</c:formatCode>
                <c:ptCount val="6"/>
                <c:pt idx="0">
                  <c:v>2017</c:v>
                </c:pt>
                <c:pt idx="1">
                  <c:v>2018</c:v>
                </c:pt>
                <c:pt idx="2">
                  <c:v>2019</c:v>
                </c:pt>
                <c:pt idx="3">
                  <c:v>2020</c:v>
                </c:pt>
                <c:pt idx="4">
                  <c:v>2021</c:v>
                </c:pt>
                <c:pt idx="5">
                  <c:v>2022</c:v>
                </c:pt>
              </c:numCache>
            </c:numRef>
          </c:cat>
          <c:val>
            <c:numRef>
              <c:f>Graphiques!$D$142:$I$142</c:f>
              <c:numCache>
                <c:formatCode>General</c:formatCode>
                <c:ptCount val="6"/>
                <c:pt idx="0">
                  <c:v>14</c:v>
                </c:pt>
                <c:pt idx="1">
                  <c:v>13.6</c:v>
                </c:pt>
                <c:pt idx="2">
                  <c:v>11.7</c:v>
                </c:pt>
                <c:pt idx="3">
                  <c:v>15.6</c:v>
                </c:pt>
                <c:pt idx="4">
                  <c:v>18.2</c:v>
                </c:pt>
                <c:pt idx="5">
                  <c:v>15.5</c:v>
                </c:pt>
              </c:numCache>
            </c:numRef>
          </c:val>
          <c:extLst xmlns:c16r2="http://schemas.microsoft.com/office/drawing/2015/06/chart">
            <c:ext xmlns:c16="http://schemas.microsoft.com/office/drawing/2014/chart" uri="{C3380CC4-5D6E-409C-BE32-E72D297353CC}">
              <c16:uniqueId val="{00000000-750F-4F46-9E65-2B24AC7544DC}"/>
            </c:ext>
          </c:extLst>
        </c:ser>
        <c:ser>
          <c:idx val="1"/>
          <c:order val="1"/>
          <c:tx>
            <c:strRef>
              <c:f>Graphiques!$C$143</c:f>
              <c:strCache>
                <c:ptCount val="1"/>
                <c:pt idx="0">
                  <c:v>Rural</c:v>
                </c:pt>
              </c:strCache>
            </c:strRef>
          </c:tx>
          <c:marker>
            <c:symbol val="none"/>
          </c:marke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Graphiques!$D$141:$I$141</c:f>
              <c:numCache>
                <c:formatCode>General</c:formatCode>
                <c:ptCount val="6"/>
                <c:pt idx="0">
                  <c:v>2017</c:v>
                </c:pt>
                <c:pt idx="1">
                  <c:v>2018</c:v>
                </c:pt>
                <c:pt idx="2">
                  <c:v>2019</c:v>
                </c:pt>
                <c:pt idx="3">
                  <c:v>2020</c:v>
                </c:pt>
                <c:pt idx="4">
                  <c:v>2021</c:v>
                </c:pt>
                <c:pt idx="5">
                  <c:v>2022</c:v>
                </c:pt>
              </c:numCache>
            </c:numRef>
          </c:cat>
          <c:val>
            <c:numRef>
              <c:f>Graphiques!$D$143:$I$143</c:f>
              <c:numCache>
                <c:formatCode>General</c:formatCode>
                <c:ptCount val="6"/>
                <c:pt idx="0">
                  <c:v>3.2</c:v>
                </c:pt>
                <c:pt idx="1">
                  <c:v>3.3</c:v>
                </c:pt>
                <c:pt idx="2">
                  <c:v>3</c:v>
                </c:pt>
                <c:pt idx="3">
                  <c:v>7.2</c:v>
                </c:pt>
                <c:pt idx="4">
                  <c:v>4.8</c:v>
                </c:pt>
                <c:pt idx="5">
                  <c:v>4.2</c:v>
                </c:pt>
              </c:numCache>
            </c:numRef>
          </c:val>
          <c:extLst xmlns:c16r2="http://schemas.microsoft.com/office/drawing/2015/06/chart">
            <c:ext xmlns:c16="http://schemas.microsoft.com/office/drawing/2014/chart" uri="{C3380CC4-5D6E-409C-BE32-E72D297353CC}">
              <c16:uniqueId val="{00000001-750F-4F46-9E65-2B24AC7544DC}"/>
            </c:ext>
          </c:extLst>
        </c:ser>
        <c:ser>
          <c:idx val="2"/>
          <c:order val="2"/>
          <c:tx>
            <c:strRef>
              <c:f>Graphiques!$C$144</c:f>
              <c:strCache>
                <c:ptCount val="1"/>
                <c:pt idx="0">
                  <c:v>National</c:v>
                </c:pt>
              </c:strCache>
            </c:strRef>
          </c:tx>
          <c:marker>
            <c:symbol val="none"/>
          </c:marke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Graphiques!$D$141:$I$141</c:f>
              <c:numCache>
                <c:formatCode>General</c:formatCode>
                <c:ptCount val="6"/>
                <c:pt idx="0">
                  <c:v>2017</c:v>
                </c:pt>
                <c:pt idx="1">
                  <c:v>2018</c:v>
                </c:pt>
                <c:pt idx="2">
                  <c:v>2019</c:v>
                </c:pt>
                <c:pt idx="3">
                  <c:v>2020</c:v>
                </c:pt>
                <c:pt idx="4">
                  <c:v>2021</c:v>
                </c:pt>
                <c:pt idx="5">
                  <c:v>2022</c:v>
                </c:pt>
              </c:numCache>
            </c:numRef>
          </c:cat>
          <c:val>
            <c:numRef>
              <c:f>Graphiques!$D$144:$I$144</c:f>
              <c:numCache>
                <c:formatCode>General</c:formatCode>
                <c:ptCount val="6"/>
                <c:pt idx="0">
                  <c:v>9.3000000000000007</c:v>
                </c:pt>
                <c:pt idx="1">
                  <c:v>9.3000000000000007</c:v>
                </c:pt>
                <c:pt idx="2">
                  <c:v>8.1</c:v>
                </c:pt>
                <c:pt idx="3">
                  <c:v>12.3</c:v>
                </c:pt>
                <c:pt idx="4">
                  <c:v>12.8</c:v>
                </c:pt>
                <c:pt idx="5">
                  <c:v>11.2</c:v>
                </c:pt>
              </c:numCache>
            </c:numRef>
          </c:val>
          <c:extLst xmlns:c16r2="http://schemas.microsoft.com/office/drawing/2015/06/chart">
            <c:ext xmlns:c16="http://schemas.microsoft.com/office/drawing/2014/chart" uri="{C3380CC4-5D6E-409C-BE32-E72D297353CC}">
              <c16:uniqueId val="{00000002-750F-4F46-9E65-2B24AC7544DC}"/>
            </c:ext>
          </c:extLst>
        </c:ser>
        <c:marker val="1"/>
        <c:axId val="98460800"/>
        <c:axId val="98462336"/>
      </c:lineChart>
      <c:catAx>
        <c:axId val="98460800"/>
        <c:scaling>
          <c:orientation val="minMax"/>
        </c:scaling>
        <c:axPos val="b"/>
        <c:numFmt formatCode="General" sourceLinked="1"/>
        <c:majorTickMark val="none"/>
        <c:tickLblPos val="nextTo"/>
        <c:crossAx val="98462336"/>
        <c:crosses val="autoZero"/>
        <c:auto val="1"/>
        <c:lblAlgn val="ctr"/>
        <c:lblOffset val="100"/>
      </c:catAx>
      <c:valAx>
        <c:axId val="98462336"/>
        <c:scaling>
          <c:orientation val="minMax"/>
        </c:scaling>
        <c:delete val="1"/>
        <c:axPos val="l"/>
        <c:numFmt formatCode="General" sourceLinked="1"/>
        <c:majorTickMark val="none"/>
        <c:tickLblPos val="none"/>
        <c:crossAx val="98460800"/>
        <c:crosses val="autoZero"/>
        <c:crossBetween val="between"/>
      </c:valAx>
      <c:spPr>
        <a:noFill/>
        <a:ln w="25400">
          <a:noFill/>
        </a:ln>
      </c:spPr>
    </c:plotArea>
    <c:legend>
      <c:legendPos val="b"/>
    </c:legend>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fr-FR"/>
  <c:chart>
    <c:autoTitleDeleted val="1"/>
    <c:plotArea>
      <c:layout/>
      <c:barChart>
        <c:barDir val="col"/>
        <c:grouping val="clustered"/>
        <c:ser>
          <c:idx val="0"/>
          <c:order val="0"/>
          <c:tx>
            <c:strRef>
              <c:f>Graphiques!$D$42</c:f>
              <c:strCache>
                <c:ptCount val="1"/>
                <c:pt idx="0">
                  <c:v>2021</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Graphiques!$C$43:$C$50</c:f>
              <c:strCache>
                <c:ptCount val="8"/>
                <c:pt idx="0">
                  <c:v>Urbain</c:v>
                </c:pt>
                <c:pt idx="1">
                  <c:v>Rural</c:v>
                </c:pt>
                <c:pt idx="2">
                  <c:v>Hommes</c:v>
                </c:pt>
                <c:pt idx="3">
                  <c:v>Femmes</c:v>
                </c:pt>
                <c:pt idx="4">
                  <c:v>15-24 ans</c:v>
                </c:pt>
                <c:pt idx="5">
                  <c:v>Non diplômés</c:v>
                </c:pt>
                <c:pt idx="6">
                  <c:v>Diplômés</c:v>
                </c:pt>
                <c:pt idx="7">
                  <c:v>National</c:v>
                </c:pt>
              </c:strCache>
            </c:strRef>
          </c:cat>
          <c:val>
            <c:numRef>
              <c:f>Graphiques!$D$43:$D$50</c:f>
              <c:numCache>
                <c:formatCode>0.0</c:formatCode>
                <c:ptCount val="8"/>
                <c:pt idx="0">
                  <c:v>18.158882439431</c:v>
                </c:pt>
                <c:pt idx="1">
                  <c:v>4.7518225076686589</c:v>
                </c:pt>
                <c:pt idx="2">
                  <c:v>11.85025450405506</c:v>
                </c:pt>
                <c:pt idx="3">
                  <c:v>15.864955021852367</c:v>
                </c:pt>
                <c:pt idx="4">
                  <c:v>30.801824710460895</c:v>
                </c:pt>
                <c:pt idx="5">
                  <c:v>4.9508478614563352</c:v>
                </c:pt>
                <c:pt idx="6">
                  <c:v>20.429913622170126</c:v>
                </c:pt>
                <c:pt idx="7">
                  <c:v>12.8</c:v>
                </c:pt>
              </c:numCache>
            </c:numRef>
          </c:val>
          <c:extLst xmlns:c16r2="http://schemas.microsoft.com/office/drawing/2015/06/chart">
            <c:ext xmlns:c16="http://schemas.microsoft.com/office/drawing/2014/chart" uri="{C3380CC4-5D6E-409C-BE32-E72D297353CC}">
              <c16:uniqueId val="{00000000-FF6F-416F-BB8A-5E992809191D}"/>
            </c:ext>
          </c:extLst>
        </c:ser>
        <c:ser>
          <c:idx val="1"/>
          <c:order val="1"/>
          <c:tx>
            <c:strRef>
              <c:f>Graphiques!$E$42</c:f>
              <c:strCache>
                <c:ptCount val="1"/>
                <c:pt idx="0">
                  <c:v>2022</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Graphiques!$C$43:$C$50</c:f>
              <c:strCache>
                <c:ptCount val="8"/>
                <c:pt idx="0">
                  <c:v>Urbain</c:v>
                </c:pt>
                <c:pt idx="1">
                  <c:v>Rural</c:v>
                </c:pt>
                <c:pt idx="2">
                  <c:v>Hommes</c:v>
                </c:pt>
                <c:pt idx="3">
                  <c:v>Femmes</c:v>
                </c:pt>
                <c:pt idx="4">
                  <c:v>15-24 ans</c:v>
                </c:pt>
                <c:pt idx="5">
                  <c:v>Non diplômés</c:v>
                </c:pt>
                <c:pt idx="6">
                  <c:v>Diplômés</c:v>
                </c:pt>
                <c:pt idx="7">
                  <c:v>National</c:v>
                </c:pt>
              </c:strCache>
            </c:strRef>
          </c:cat>
          <c:val>
            <c:numRef>
              <c:f>Graphiques!$E$43:$E$50</c:f>
              <c:numCache>
                <c:formatCode>0.0</c:formatCode>
                <c:ptCount val="8"/>
                <c:pt idx="0">
                  <c:v>15.532640319919174</c:v>
                </c:pt>
                <c:pt idx="1">
                  <c:v>4.1754630286292702</c:v>
                </c:pt>
                <c:pt idx="2">
                  <c:v>9.9353483494830162</c:v>
                </c:pt>
                <c:pt idx="3">
                  <c:v>15.115046365419534</c:v>
                </c:pt>
                <c:pt idx="4">
                  <c:v>30.177284294397637</c:v>
                </c:pt>
                <c:pt idx="5">
                  <c:v>3.6475612609705785</c:v>
                </c:pt>
                <c:pt idx="6">
                  <c:v>17.960199216170697</c:v>
                </c:pt>
                <c:pt idx="7">
                  <c:v>11.2</c:v>
                </c:pt>
              </c:numCache>
            </c:numRef>
          </c:val>
          <c:extLst xmlns:c16r2="http://schemas.microsoft.com/office/drawing/2015/06/chart">
            <c:ext xmlns:c16="http://schemas.microsoft.com/office/drawing/2014/chart" uri="{C3380CC4-5D6E-409C-BE32-E72D297353CC}">
              <c16:uniqueId val="{00000001-FF6F-416F-BB8A-5E992809191D}"/>
            </c:ext>
          </c:extLst>
        </c:ser>
        <c:gapWidth val="75"/>
        <c:overlap val="-25"/>
        <c:axId val="98488704"/>
        <c:axId val="98490240"/>
      </c:barChart>
      <c:catAx>
        <c:axId val="98488704"/>
        <c:scaling>
          <c:orientation val="minMax"/>
        </c:scaling>
        <c:axPos val="b"/>
        <c:numFmt formatCode="General" sourceLinked="0"/>
        <c:majorTickMark val="none"/>
        <c:tickLblPos val="nextTo"/>
        <c:crossAx val="98490240"/>
        <c:crosses val="autoZero"/>
        <c:auto val="1"/>
        <c:lblAlgn val="ctr"/>
        <c:lblOffset val="100"/>
      </c:catAx>
      <c:valAx>
        <c:axId val="98490240"/>
        <c:scaling>
          <c:orientation val="minMax"/>
        </c:scaling>
        <c:delete val="1"/>
        <c:axPos val="l"/>
        <c:numFmt formatCode="0.0" sourceLinked="1"/>
        <c:majorTickMark val="none"/>
        <c:tickLblPos val="none"/>
        <c:crossAx val="98488704"/>
        <c:crosses val="autoZero"/>
        <c:crossBetween val="between"/>
      </c:valAx>
    </c:plotArea>
    <c:legend>
      <c:legendPos val="b"/>
    </c:legend>
    <c:plotVisOnly val="1"/>
    <c:dispBlanksAs val="gap"/>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fr-FR"/>
  <c:chart>
    <c:autoTitleDeleted val="1"/>
    <c:plotArea>
      <c:layout/>
      <c:barChart>
        <c:barDir val="col"/>
        <c:grouping val="clustered"/>
        <c:ser>
          <c:idx val="0"/>
          <c:order val="0"/>
          <c:tx>
            <c:strRef>
              <c:f>Graphiques!$E$59</c:f>
              <c:strCache>
                <c:ptCount val="1"/>
                <c:pt idx="0">
                  <c:v>2021</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Graphiques!$D$60:$D$62</c:f>
              <c:strCache>
                <c:ptCount val="3"/>
                <c:pt idx="0">
                  <c:v>Urbain</c:v>
                </c:pt>
                <c:pt idx="1">
                  <c:v>Rural</c:v>
                </c:pt>
                <c:pt idx="2">
                  <c:v>National</c:v>
                </c:pt>
              </c:strCache>
            </c:strRef>
          </c:cat>
          <c:val>
            <c:numRef>
              <c:f>Graphiques!$E$60:$E$62</c:f>
              <c:numCache>
                <c:formatCode>0.0</c:formatCode>
                <c:ptCount val="3"/>
                <c:pt idx="0">
                  <c:v>8.9228374885771693</c:v>
                </c:pt>
                <c:pt idx="1">
                  <c:v>9.4971113518565389</c:v>
                </c:pt>
                <c:pt idx="2">
                  <c:v>9.1716356668134331</c:v>
                </c:pt>
              </c:numCache>
            </c:numRef>
          </c:val>
          <c:extLst xmlns:c16r2="http://schemas.microsoft.com/office/drawing/2015/06/chart">
            <c:ext xmlns:c16="http://schemas.microsoft.com/office/drawing/2014/chart" uri="{C3380CC4-5D6E-409C-BE32-E72D297353CC}">
              <c16:uniqueId val="{00000000-090F-4A1E-9525-F8613CCD75B6}"/>
            </c:ext>
          </c:extLst>
        </c:ser>
        <c:ser>
          <c:idx val="1"/>
          <c:order val="1"/>
          <c:tx>
            <c:strRef>
              <c:f>Graphiques!$F$59</c:f>
              <c:strCache>
                <c:ptCount val="1"/>
                <c:pt idx="0">
                  <c:v>2022</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Graphiques!$D$60:$D$62</c:f>
              <c:strCache>
                <c:ptCount val="3"/>
                <c:pt idx="0">
                  <c:v>Urbain</c:v>
                </c:pt>
                <c:pt idx="1">
                  <c:v>Rural</c:v>
                </c:pt>
                <c:pt idx="2">
                  <c:v>National</c:v>
                </c:pt>
              </c:strCache>
            </c:strRef>
          </c:cat>
          <c:val>
            <c:numRef>
              <c:f>Graphiques!$F$60:$F$62</c:f>
              <c:numCache>
                <c:formatCode>0.0</c:formatCode>
                <c:ptCount val="3"/>
                <c:pt idx="0">
                  <c:v>7.7484927184997634</c:v>
                </c:pt>
                <c:pt idx="1">
                  <c:v>9.6111551494596039</c:v>
                </c:pt>
                <c:pt idx="2">
                  <c:v>8.5200171630970019</c:v>
                </c:pt>
              </c:numCache>
            </c:numRef>
          </c:val>
          <c:extLst xmlns:c16r2="http://schemas.microsoft.com/office/drawing/2015/06/chart">
            <c:ext xmlns:c16="http://schemas.microsoft.com/office/drawing/2014/chart" uri="{C3380CC4-5D6E-409C-BE32-E72D297353CC}">
              <c16:uniqueId val="{00000001-090F-4A1E-9525-F8613CCD75B6}"/>
            </c:ext>
          </c:extLst>
        </c:ser>
        <c:gapWidth val="75"/>
        <c:overlap val="-25"/>
        <c:axId val="98504064"/>
        <c:axId val="98509952"/>
      </c:barChart>
      <c:catAx>
        <c:axId val="98504064"/>
        <c:scaling>
          <c:orientation val="minMax"/>
        </c:scaling>
        <c:axPos val="b"/>
        <c:numFmt formatCode="General" sourceLinked="0"/>
        <c:majorTickMark val="none"/>
        <c:tickLblPos val="nextTo"/>
        <c:crossAx val="98509952"/>
        <c:crosses val="autoZero"/>
        <c:auto val="1"/>
        <c:lblAlgn val="ctr"/>
        <c:lblOffset val="100"/>
      </c:catAx>
      <c:valAx>
        <c:axId val="98509952"/>
        <c:scaling>
          <c:orientation val="minMax"/>
        </c:scaling>
        <c:delete val="1"/>
        <c:axPos val="l"/>
        <c:numFmt formatCode="0.0" sourceLinked="1"/>
        <c:majorTickMark val="none"/>
        <c:tickLblPos val="none"/>
        <c:crossAx val="98504064"/>
        <c:crosses val="autoZero"/>
        <c:crossBetween val="between"/>
      </c:valAx>
    </c:plotArea>
    <c:legend>
      <c:legendPos val="b"/>
    </c:legend>
    <c:plotVisOnly val="1"/>
    <c:dispBlanksAs val="gap"/>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fr-FR"/>
  <c:chart>
    <c:plotArea>
      <c:layout/>
      <c:barChart>
        <c:barDir val="bar"/>
        <c:grouping val="clustered"/>
        <c:ser>
          <c:idx val="0"/>
          <c:order val="0"/>
          <c:dPt>
            <c:idx val="10"/>
            <c:spPr>
              <a:solidFill>
                <a:schemeClr val="accent2"/>
              </a:solidFill>
            </c:spPr>
            <c:extLst xmlns:c16r2="http://schemas.microsoft.com/office/drawing/2015/06/chart">
              <c:ext xmlns:c16="http://schemas.microsoft.com/office/drawing/2014/chart" uri="{C3380CC4-5D6E-409C-BE32-E72D297353CC}">
                <c16:uniqueId val="{00000000-0EBA-4BD3-88F0-DD0825EFC2D3}"/>
              </c:ext>
            </c:extLst>
          </c:dPt>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Graphiques!$E$73:$E$83</c:f>
              <c:strCache>
                <c:ptCount val="11"/>
                <c:pt idx="0">
                  <c:v>Tanger-Tétouan-Al Hoceïma</c:v>
                </c:pt>
                <c:pt idx="1">
                  <c:v>Oriental</c:v>
                </c:pt>
                <c:pt idx="2">
                  <c:v>Fès-Meknès</c:v>
                </c:pt>
                <c:pt idx="3">
                  <c:v>Rabat-Salé-Kénitra</c:v>
                </c:pt>
                <c:pt idx="4">
                  <c:v>Béni Mellal-Khénifra</c:v>
                </c:pt>
                <c:pt idx="5">
                  <c:v>Casablanca-Settat</c:v>
                </c:pt>
                <c:pt idx="6">
                  <c:v>Marrakech-Safi</c:v>
                </c:pt>
                <c:pt idx="7">
                  <c:v>Drâa-Tafilalet</c:v>
                </c:pt>
                <c:pt idx="8">
                  <c:v>Souss-Massa</c:v>
                </c:pt>
                <c:pt idx="9">
                  <c:v>Régions du Sud</c:v>
                </c:pt>
                <c:pt idx="10">
                  <c:v>National</c:v>
                </c:pt>
              </c:strCache>
            </c:strRef>
          </c:cat>
          <c:val>
            <c:numRef>
              <c:f>Graphiques!$F$73:$F$83</c:f>
              <c:numCache>
                <c:formatCode>0.0</c:formatCode>
                <c:ptCount val="11"/>
                <c:pt idx="0">
                  <c:v>51.164910034045462</c:v>
                </c:pt>
                <c:pt idx="1">
                  <c:v>43.065640406515179</c:v>
                </c:pt>
                <c:pt idx="2">
                  <c:v>42.001887376356208</c:v>
                </c:pt>
                <c:pt idx="3">
                  <c:v>45.707514654956391</c:v>
                </c:pt>
                <c:pt idx="4">
                  <c:v>41.666345420964063</c:v>
                </c:pt>
                <c:pt idx="5">
                  <c:v>47.522453184403183</c:v>
                </c:pt>
                <c:pt idx="6">
                  <c:v>46.456930335536278</c:v>
                </c:pt>
                <c:pt idx="7">
                  <c:v>42.954791314672136</c:v>
                </c:pt>
                <c:pt idx="8">
                  <c:v>39.88302821944724</c:v>
                </c:pt>
                <c:pt idx="9">
                  <c:v>44.242223515927783</c:v>
                </c:pt>
                <c:pt idx="10">
                  <c:v>45.205452374588148</c:v>
                </c:pt>
              </c:numCache>
            </c:numRef>
          </c:val>
          <c:extLst xmlns:c16r2="http://schemas.microsoft.com/office/drawing/2015/06/chart">
            <c:ext xmlns:c16="http://schemas.microsoft.com/office/drawing/2014/chart" uri="{C3380CC4-5D6E-409C-BE32-E72D297353CC}">
              <c16:uniqueId val="{00000001-0EBA-4BD3-88F0-DD0825EFC2D3}"/>
            </c:ext>
          </c:extLst>
        </c:ser>
        <c:axId val="98518912"/>
        <c:axId val="98520448"/>
      </c:barChart>
      <c:catAx>
        <c:axId val="98518912"/>
        <c:scaling>
          <c:orientation val="minMax"/>
        </c:scaling>
        <c:axPos val="l"/>
        <c:numFmt formatCode="General" sourceLinked="0"/>
        <c:tickLblPos val="nextTo"/>
        <c:crossAx val="98520448"/>
        <c:crosses val="autoZero"/>
        <c:auto val="1"/>
        <c:lblAlgn val="ctr"/>
        <c:lblOffset val="100"/>
      </c:catAx>
      <c:valAx>
        <c:axId val="98520448"/>
        <c:scaling>
          <c:orientation val="minMax"/>
        </c:scaling>
        <c:delete val="1"/>
        <c:axPos val="b"/>
        <c:numFmt formatCode="0.0" sourceLinked="1"/>
        <c:tickLblPos val="none"/>
        <c:crossAx val="98518912"/>
        <c:crosses val="autoZero"/>
        <c:crossBetween val="between"/>
      </c:valAx>
    </c:plotArea>
    <c:plotVisOnly val="1"/>
    <c:dispBlanksAs val="gap"/>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fr-FR"/>
  <c:chart>
    <c:autoTitleDeleted val="1"/>
    <c:plotArea>
      <c:layout/>
      <c:barChart>
        <c:barDir val="bar"/>
        <c:grouping val="clustered"/>
        <c:ser>
          <c:idx val="0"/>
          <c:order val="0"/>
          <c:dPt>
            <c:idx val="10"/>
            <c:spPr>
              <a:solidFill>
                <a:schemeClr val="accent2"/>
              </a:solidFill>
            </c:spPr>
            <c:extLst xmlns:c16r2="http://schemas.microsoft.com/office/drawing/2015/06/chart">
              <c:ext xmlns:c16="http://schemas.microsoft.com/office/drawing/2014/chart" uri="{C3380CC4-5D6E-409C-BE32-E72D297353CC}">
                <c16:uniqueId val="{00000000-3D21-443E-B618-CA6B8C799898}"/>
              </c:ext>
            </c:extLst>
          </c:dPt>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Graphiques!$E$105:$E$115</c:f>
              <c:strCache>
                <c:ptCount val="11"/>
                <c:pt idx="0">
                  <c:v>Tanger-Tétouan-Al Hoceïma</c:v>
                </c:pt>
                <c:pt idx="1">
                  <c:v>Oriental</c:v>
                </c:pt>
                <c:pt idx="2">
                  <c:v>Fès-Meknès</c:v>
                </c:pt>
                <c:pt idx="3">
                  <c:v>Rabat-Salé-Kénitra</c:v>
                </c:pt>
                <c:pt idx="4">
                  <c:v>Béni Mellal-Khénifra</c:v>
                </c:pt>
                <c:pt idx="5">
                  <c:v>Casablanca-Settat</c:v>
                </c:pt>
                <c:pt idx="6">
                  <c:v>Marrakech-Safi</c:v>
                </c:pt>
                <c:pt idx="7">
                  <c:v>Drâa-Tafilalet</c:v>
                </c:pt>
                <c:pt idx="8">
                  <c:v>Souss-Massa</c:v>
                </c:pt>
                <c:pt idx="9">
                  <c:v>Régions du Sud</c:v>
                </c:pt>
                <c:pt idx="10">
                  <c:v>National</c:v>
                </c:pt>
              </c:strCache>
            </c:strRef>
          </c:cat>
          <c:val>
            <c:numRef>
              <c:f>Graphiques!$F$105:$F$115</c:f>
              <c:numCache>
                <c:formatCode>0.0</c:formatCode>
                <c:ptCount val="11"/>
                <c:pt idx="0">
                  <c:v>8.7069046195620228</c:v>
                </c:pt>
                <c:pt idx="1">
                  <c:v>18.188631948796989</c:v>
                </c:pt>
                <c:pt idx="2">
                  <c:v>12.527046510674156</c:v>
                </c:pt>
                <c:pt idx="3">
                  <c:v>10.319272483666689</c:v>
                </c:pt>
                <c:pt idx="4">
                  <c:v>8.6964016979635428</c:v>
                </c:pt>
                <c:pt idx="5">
                  <c:v>12.823718771581801</c:v>
                </c:pt>
                <c:pt idx="6">
                  <c:v>6.5350334578666098</c:v>
                </c:pt>
                <c:pt idx="7">
                  <c:v>9.1075169925485504</c:v>
                </c:pt>
                <c:pt idx="8">
                  <c:v>11.429095806584717</c:v>
                </c:pt>
                <c:pt idx="9">
                  <c:v>20.925793723526681</c:v>
                </c:pt>
                <c:pt idx="10">
                  <c:v>11.171832997745772</c:v>
                </c:pt>
              </c:numCache>
            </c:numRef>
          </c:val>
          <c:extLst xmlns:c16r2="http://schemas.microsoft.com/office/drawing/2015/06/chart">
            <c:ext xmlns:c16="http://schemas.microsoft.com/office/drawing/2014/chart" uri="{C3380CC4-5D6E-409C-BE32-E72D297353CC}">
              <c16:uniqueId val="{00000001-3D21-443E-B618-CA6B8C799898}"/>
            </c:ext>
          </c:extLst>
        </c:ser>
        <c:gapWidth val="75"/>
        <c:overlap val="-25"/>
        <c:axId val="98553856"/>
        <c:axId val="98555392"/>
      </c:barChart>
      <c:catAx>
        <c:axId val="98553856"/>
        <c:scaling>
          <c:orientation val="minMax"/>
        </c:scaling>
        <c:axPos val="l"/>
        <c:numFmt formatCode="General" sourceLinked="0"/>
        <c:majorTickMark val="none"/>
        <c:tickLblPos val="nextTo"/>
        <c:crossAx val="98555392"/>
        <c:crosses val="autoZero"/>
        <c:auto val="1"/>
        <c:lblAlgn val="ctr"/>
        <c:lblOffset val="100"/>
      </c:catAx>
      <c:valAx>
        <c:axId val="98555392"/>
        <c:scaling>
          <c:orientation val="minMax"/>
        </c:scaling>
        <c:delete val="1"/>
        <c:axPos val="b"/>
        <c:numFmt formatCode="0.0" sourceLinked="1"/>
        <c:majorTickMark val="none"/>
        <c:tickLblPos val="none"/>
        <c:crossAx val="98553856"/>
        <c:crosses val="autoZero"/>
        <c:crossBetween val="between"/>
      </c:valAx>
    </c:plotArea>
    <c:plotVisOnly val="1"/>
    <c:dispBlanksAs val="gap"/>
  </c:chart>
  <c:spPr>
    <a:ln>
      <a:noFill/>
    </a:ln>
  </c:sp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72809-71B6-4796-A4FD-7BEE6B6FC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1962</Words>
  <Characters>10796</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OMarseli</dc:creator>
  <cp:lastModifiedBy>HCP</cp:lastModifiedBy>
  <cp:revision>6</cp:revision>
  <cp:lastPrinted>2022-07-26T14:19:00Z</cp:lastPrinted>
  <dcterms:created xsi:type="dcterms:W3CDTF">2022-07-29T10:58:00Z</dcterms:created>
  <dcterms:modified xsi:type="dcterms:W3CDTF">2022-08-01T15:06:00Z</dcterms:modified>
</cp:coreProperties>
</file>