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Pr="007F3405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7F340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d'information </w:t>
      </w:r>
    </w:p>
    <w:p w:rsidR="002959F6" w:rsidRPr="007F3405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7F340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2959F6" w:rsidRPr="007F3405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7F340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à l'Indice des prix à la consommation (IPC)</w:t>
      </w:r>
    </w:p>
    <w:p w:rsidR="002959F6" w:rsidRPr="007F3405" w:rsidRDefault="00FD14A5" w:rsidP="00FD14A5">
      <w:pPr>
        <w:jc w:val="center"/>
        <w:rPr>
          <w:sz w:val="28"/>
          <w:szCs w:val="28"/>
          <w:rtl/>
          <w:lang w:bidi="ar-MA"/>
        </w:rPr>
      </w:pPr>
      <w:r w:rsidRPr="007F340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de l’année  2022</w:t>
      </w: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Default="003D1731" w:rsidP="00D101E9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rtl/>
          <w:lang w:bidi="ar-MA"/>
        </w:rPr>
      </w:pPr>
      <w:r w:rsidRPr="003D1731">
        <w:rPr>
          <w:rFonts w:ascii="Arial" w:hAnsi="Arial" w:cs="Arial"/>
          <w:b/>
          <w:bCs/>
          <w:color w:val="000000" w:themeColor="text1"/>
          <w:lang w:bidi="ar-MA"/>
        </w:rPr>
        <w:t xml:space="preserve">L’IPC du mois de décembre 2022 a connu une hausse de 0,1% par rapport au mois précédent ; au terme de l’année 2022, l’IPC annuel moyen aura progressé de </w:t>
      </w:r>
      <w:r>
        <w:rPr>
          <w:rFonts w:ascii="Arial" w:hAnsi="Arial" w:cs="Arial" w:hint="cs"/>
          <w:b/>
          <w:bCs/>
          <w:color w:val="000000" w:themeColor="text1"/>
          <w:rtl/>
          <w:lang w:bidi="ar-MA"/>
        </w:rPr>
        <w:t>6</w:t>
      </w:r>
      <w:r w:rsidRPr="003D1731">
        <w:rPr>
          <w:rFonts w:ascii="Arial" w:hAnsi="Arial" w:cs="Arial"/>
          <w:b/>
          <w:bCs/>
          <w:color w:val="000000" w:themeColor="text1"/>
          <w:lang w:bidi="ar-MA"/>
        </w:rPr>
        <w:t>,</w:t>
      </w:r>
      <w:r>
        <w:rPr>
          <w:rFonts w:ascii="Arial" w:hAnsi="Arial" w:cs="Arial" w:hint="cs"/>
          <w:b/>
          <w:bCs/>
          <w:color w:val="000000" w:themeColor="text1"/>
          <w:rtl/>
          <w:lang w:bidi="ar-MA"/>
        </w:rPr>
        <w:t>6</w:t>
      </w:r>
      <w:r w:rsidRPr="003D1731">
        <w:rPr>
          <w:rFonts w:ascii="Arial" w:hAnsi="Arial" w:cs="Arial"/>
          <w:b/>
          <w:bCs/>
          <w:color w:val="000000" w:themeColor="text1"/>
          <w:lang w:bidi="ar-MA"/>
        </w:rPr>
        <w:t xml:space="preserve">% et l’indicateur annuel d’inflation sous-jacente de </w:t>
      </w:r>
      <w:r w:rsidR="00D101E9">
        <w:rPr>
          <w:rFonts w:ascii="Arial" w:hAnsi="Arial" w:cs="Arial"/>
          <w:b/>
          <w:bCs/>
          <w:color w:val="000000" w:themeColor="text1"/>
          <w:lang w:bidi="ar-MA"/>
        </w:rPr>
        <w:t>5</w:t>
      </w:r>
      <w:r w:rsidRPr="003D1731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D101E9">
        <w:rPr>
          <w:rFonts w:ascii="Arial" w:hAnsi="Arial" w:cs="Arial"/>
          <w:b/>
          <w:bCs/>
          <w:color w:val="000000" w:themeColor="text1"/>
          <w:lang w:bidi="ar-MA"/>
        </w:rPr>
        <w:t>8</w:t>
      </w:r>
      <w:r w:rsidRPr="003D1731">
        <w:rPr>
          <w:rFonts w:ascii="Arial" w:hAnsi="Arial" w:cs="Arial"/>
          <w:b/>
          <w:bCs/>
          <w:color w:val="000000" w:themeColor="text1"/>
          <w:lang w:bidi="ar-MA"/>
        </w:rPr>
        <w:t>%.</w:t>
      </w:r>
    </w:p>
    <w:p w:rsidR="003D1731" w:rsidRDefault="003D1731" w:rsidP="003D1731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rtl/>
          <w:lang w:bidi="ar-MA"/>
        </w:rPr>
      </w:pPr>
    </w:p>
    <w:p w:rsidR="003D1731" w:rsidRDefault="003D1731" w:rsidP="00D101E9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rtl/>
        </w:rPr>
      </w:pPr>
      <w:r w:rsidRPr="003D1731">
        <w:rPr>
          <w:rFonts w:ascii="Arial" w:hAnsi="Arial" w:cs="Arial"/>
          <w:b/>
          <w:bCs/>
          <w:color w:val="000000" w:themeColor="text1"/>
        </w:rPr>
        <w:t>Hausse de 0,1% de l’IPC et de 0,</w:t>
      </w:r>
      <w:r w:rsidR="00D101E9">
        <w:rPr>
          <w:rFonts w:ascii="Arial" w:hAnsi="Arial" w:cs="Arial"/>
          <w:b/>
          <w:bCs/>
          <w:color w:val="000000" w:themeColor="text1"/>
        </w:rPr>
        <w:t>7</w:t>
      </w:r>
      <w:r w:rsidRPr="003D1731">
        <w:rPr>
          <w:rFonts w:ascii="Arial" w:hAnsi="Arial" w:cs="Arial"/>
          <w:b/>
          <w:bCs/>
          <w:color w:val="000000" w:themeColor="text1"/>
        </w:rPr>
        <w:t>% de l’indicateur d’inflation sous-jacente au cours du mois de décembre 2022</w:t>
      </w:r>
    </w:p>
    <w:p w:rsidR="004B513F" w:rsidRDefault="004B513F" w:rsidP="00487BBB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AC1FEF">
        <w:rPr>
          <w:rFonts w:ascii="Arial" w:hAnsi="Arial" w:cs="Arial"/>
          <w:lang w:bidi="ar-MA"/>
        </w:rPr>
        <w:t xml:space="preserve">de </w:t>
      </w:r>
      <w:r w:rsidR="003B73AE">
        <w:rPr>
          <w:rFonts w:ascii="Arial" w:hAnsi="Arial" w:cs="Arial"/>
          <w:lang w:bidi="ar-MA"/>
        </w:rPr>
        <w:t>décembre</w:t>
      </w:r>
      <w:r w:rsidRPr="004B513F">
        <w:rPr>
          <w:rFonts w:ascii="Arial" w:hAnsi="Arial" w:cs="Arial"/>
          <w:lang w:bidi="ar-MA"/>
        </w:rPr>
        <w:t xml:space="preserve"> 2022, une hausse de </w:t>
      </w:r>
      <w:r w:rsidR="00E85778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487BBB">
        <w:rPr>
          <w:rFonts w:ascii="Arial" w:hAnsi="Arial" w:cs="Arial" w:hint="cs"/>
          <w:rtl/>
          <w:lang w:bidi="ar-MA"/>
        </w:rPr>
        <w:t>1</w:t>
      </w:r>
      <w:r w:rsidRPr="004B513F">
        <w:rPr>
          <w:rFonts w:ascii="Arial" w:hAnsi="Arial" w:cs="Arial"/>
          <w:lang w:bidi="ar-MA"/>
        </w:rPr>
        <w:t xml:space="preserve">% par rapport au mois précédent. Cette variation est le résultat de la hausse de </w:t>
      </w:r>
      <w:r w:rsidR="00E85778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487BBB">
        <w:rPr>
          <w:rFonts w:ascii="Arial" w:hAnsi="Arial" w:cs="Arial" w:hint="cs"/>
          <w:rtl/>
          <w:lang w:bidi="ar-MA"/>
        </w:rPr>
        <w:t>7</w:t>
      </w:r>
      <w:r w:rsidRPr="004B513F">
        <w:rPr>
          <w:rFonts w:ascii="Arial" w:hAnsi="Arial" w:cs="Arial"/>
          <w:lang w:bidi="ar-MA"/>
        </w:rPr>
        <w:t xml:space="preserve">% de l’indice des produits alimentaires </w:t>
      </w:r>
      <w:r w:rsidR="00014332" w:rsidRPr="00014332">
        <w:rPr>
          <w:rFonts w:ascii="Arial" w:hAnsi="Arial" w:cs="Arial"/>
          <w:lang w:bidi="ar-MA"/>
        </w:rPr>
        <w:t xml:space="preserve">et </w:t>
      </w:r>
      <w:r w:rsidRPr="004B513F">
        <w:rPr>
          <w:rFonts w:ascii="Arial" w:hAnsi="Arial" w:cs="Arial"/>
          <w:lang w:bidi="ar-MA"/>
        </w:rPr>
        <w:t>de</w:t>
      </w:r>
      <w:r w:rsidR="00637C8A">
        <w:rPr>
          <w:rFonts w:ascii="Arial" w:hAnsi="Arial" w:cs="Arial"/>
          <w:lang w:bidi="ar-MA"/>
        </w:rPr>
        <w:t xml:space="preserve"> la</w:t>
      </w:r>
      <w:r w:rsidRPr="004B513F">
        <w:rPr>
          <w:rFonts w:ascii="Arial" w:hAnsi="Arial" w:cs="Arial"/>
          <w:lang w:bidi="ar-MA"/>
        </w:rPr>
        <w:t xml:space="preserve"> </w:t>
      </w:r>
      <w:r w:rsidR="00487BBB">
        <w:rPr>
          <w:rFonts w:ascii="Arial" w:hAnsi="Arial" w:cs="Arial"/>
          <w:lang w:bidi="ar-MA"/>
        </w:rPr>
        <w:t xml:space="preserve">baisse de </w:t>
      </w:r>
      <w:r w:rsidRPr="004B513F">
        <w:rPr>
          <w:rFonts w:ascii="Arial" w:hAnsi="Arial" w:cs="Arial"/>
          <w:lang w:bidi="ar-MA"/>
        </w:rPr>
        <w:t>0,</w:t>
      </w:r>
      <w:r w:rsidR="00487BBB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% de l’indice des produits</w:t>
      </w:r>
      <w:r w:rsidR="00CE7B14">
        <w:rPr>
          <w:rFonts w:ascii="Arial" w:hAnsi="Arial" w:cs="Arial"/>
          <w:lang w:bidi="ar-MA"/>
        </w:rPr>
        <w:t xml:space="preserve"> non</w:t>
      </w:r>
      <w:r w:rsidRPr="004B513F">
        <w:rPr>
          <w:rFonts w:ascii="Arial" w:hAnsi="Arial" w:cs="Arial"/>
          <w:lang w:bidi="ar-MA"/>
        </w:rPr>
        <w:t xml:space="preserve"> alimentaires.</w:t>
      </w:r>
    </w:p>
    <w:p w:rsidR="0085717A" w:rsidRPr="004B513F" w:rsidRDefault="0085717A" w:rsidP="00487BBB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Default="004B513F" w:rsidP="0085717A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CE7B14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3B73AE">
        <w:rPr>
          <w:rFonts w:ascii="Arial" w:hAnsi="Arial" w:cs="Arial"/>
          <w:lang w:bidi="ar-MA"/>
        </w:rPr>
        <w:t>novembre</w:t>
      </w:r>
      <w:r w:rsidR="00607979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 xml:space="preserve">et </w:t>
      </w:r>
      <w:r w:rsidR="003B73AE">
        <w:rPr>
          <w:rFonts w:ascii="Arial" w:hAnsi="Arial" w:cs="Arial"/>
          <w:lang w:bidi="ar-MA"/>
        </w:rPr>
        <w:t>décembre</w:t>
      </w:r>
      <w:r w:rsidR="00014332">
        <w:rPr>
          <w:rFonts w:ascii="Arial" w:hAnsi="Arial" w:cs="Arial" w:hint="cs"/>
          <w:rtl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>20</w:t>
      </w:r>
      <w:r w:rsidR="00637C8A">
        <w:rPr>
          <w:rFonts w:ascii="Arial" w:hAnsi="Arial" w:cs="Arial"/>
          <w:lang w:bidi="ar-MA"/>
        </w:rPr>
        <w:t>22 concernent principalement le</w:t>
      </w:r>
      <w:r w:rsidRPr="004B513F">
        <w:rPr>
          <w:rFonts w:ascii="Arial" w:hAnsi="Arial" w:cs="Arial"/>
          <w:lang w:bidi="ar-MA"/>
        </w:rPr>
        <w:t xml:space="preserve"> «</w:t>
      </w:r>
      <w:r w:rsidR="00637C8A" w:rsidRPr="00CB6E01">
        <w:rPr>
          <w:rFonts w:ascii="Arial" w:hAnsi="Arial" w:cs="Arial"/>
          <w:lang w:bidi="ar-MA"/>
        </w:rPr>
        <w:t>Lait, fromage et œufs</w:t>
      </w:r>
      <w:r w:rsidRPr="004B513F">
        <w:rPr>
          <w:rFonts w:ascii="Arial" w:hAnsi="Arial" w:cs="Arial"/>
          <w:lang w:bidi="ar-MA"/>
        </w:rPr>
        <w:t xml:space="preserve">» </w:t>
      </w:r>
      <w:r w:rsidR="00401CE7" w:rsidRPr="00401CE7">
        <w:rPr>
          <w:rFonts w:ascii="Arial" w:hAnsi="Arial" w:cs="Arial"/>
          <w:lang w:bidi="ar-MA"/>
        </w:rPr>
        <w:t xml:space="preserve">avec </w:t>
      </w:r>
      <w:r w:rsidR="00637C8A">
        <w:rPr>
          <w:rFonts w:ascii="Arial" w:hAnsi="Arial" w:cs="Arial"/>
          <w:lang w:bidi="ar-MA"/>
        </w:rPr>
        <w:t>2</w:t>
      </w:r>
      <w:r w:rsidR="00401CE7" w:rsidRPr="00401CE7">
        <w:rPr>
          <w:rFonts w:ascii="Arial" w:hAnsi="Arial" w:cs="Arial"/>
          <w:lang w:bidi="ar-MA"/>
        </w:rPr>
        <w:t>,</w:t>
      </w:r>
      <w:r w:rsidR="0085717A">
        <w:rPr>
          <w:rFonts w:ascii="Arial" w:hAnsi="Arial" w:cs="Arial"/>
          <w:lang w:bidi="ar-MA"/>
        </w:rPr>
        <w:t>3</w:t>
      </w:r>
      <w:r w:rsidR="00401CE7" w:rsidRPr="00401CE7">
        <w:rPr>
          <w:rFonts w:ascii="Arial" w:hAnsi="Arial" w:cs="Arial"/>
          <w:lang w:bidi="ar-MA"/>
        </w:rPr>
        <w:t xml:space="preserve">%, </w:t>
      </w:r>
      <w:r w:rsidR="00CE7B14">
        <w:rPr>
          <w:rFonts w:ascii="Arial" w:hAnsi="Arial" w:cs="Arial"/>
          <w:lang w:bidi="ar-MA"/>
        </w:rPr>
        <w:t>le</w:t>
      </w:r>
      <w:r w:rsidR="00637C8A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637C8A" w:rsidRPr="00637C8A">
        <w:rPr>
          <w:rFonts w:ascii="Arial" w:hAnsi="Arial" w:cs="Arial"/>
          <w:lang w:bidi="ar-MA"/>
        </w:rPr>
        <w:t>Huiles et graisses</w:t>
      </w:r>
      <w:r w:rsidRPr="004B513F">
        <w:rPr>
          <w:rFonts w:ascii="Arial" w:hAnsi="Arial" w:cs="Arial"/>
          <w:lang w:bidi="ar-MA"/>
        </w:rPr>
        <w:t xml:space="preserve">» avec </w:t>
      </w:r>
      <w:r w:rsidR="00401CE7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637C8A">
        <w:rPr>
          <w:rFonts w:ascii="Arial" w:hAnsi="Arial" w:cs="Arial"/>
          <w:lang w:bidi="ar-MA"/>
        </w:rPr>
        <w:t>9</w:t>
      </w:r>
      <w:r w:rsidRPr="004B513F">
        <w:rPr>
          <w:rFonts w:ascii="Arial" w:hAnsi="Arial" w:cs="Arial"/>
          <w:lang w:bidi="ar-MA"/>
        </w:rPr>
        <w:t>%,</w:t>
      </w:r>
      <w:r w:rsidR="00014332" w:rsidRPr="00014332">
        <w:rPr>
          <w:rFonts w:ascii="Arial" w:hAnsi="Arial" w:cs="Arial"/>
          <w:lang w:bidi="ar-MA"/>
        </w:rPr>
        <w:t xml:space="preserve"> </w:t>
      </w:r>
      <w:r w:rsidR="00014332" w:rsidRPr="004B513F">
        <w:rPr>
          <w:rFonts w:ascii="Arial" w:hAnsi="Arial" w:cs="Arial"/>
          <w:lang w:bidi="ar-MA"/>
        </w:rPr>
        <w:t>le</w:t>
      </w:r>
      <w:r w:rsidR="00021A81">
        <w:rPr>
          <w:rFonts w:ascii="Arial" w:hAnsi="Arial" w:cs="Arial"/>
          <w:lang w:bidi="ar-MA"/>
        </w:rPr>
        <w:t>s</w:t>
      </w:r>
      <w:r w:rsidR="00014332" w:rsidRPr="004B513F">
        <w:rPr>
          <w:rFonts w:ascii="Arial" w:hAnsi="Arial" w:cs="Arial"/>
          <w:lang w:bidi="ar-MA"/>
        </w:rPr>
        <w:t xml:space="preserve"> «</w:t>
      </w:r>
      <w:r w:rsidR="00637C8A" w:rsidRPr="00C27E48">
        <w:rPr>
          <w:rFonts w:ascii="Arial" w:hAnsi="Arial" w:cs="Arial"/>
          <w:lang w:bidi="ar-MA"/>
        </w:rPr>
        <w:t>Poissons et fruits de mer</w:t>
      </w:r>
      <w:r w:rsidR="00014332" w:rsidRPr="004B513F">
        <w:rPr>
          <w:rFonts w:ascii="Arial" w:hAnsi="Arial" w:cs="Arial"/>
          <w:lang w:bidi="ar-MA"/>
        </w:rPr>
        <w:t xml:space="preserve">» avec </w:t>
      </w:r>
      <w:r w:rsidR="00637C8A">
        <w:rPr>
          <w:rFonts w:ascii="Arial" w:hAnsi="Arial" w:cs="Arial"/>
          <w:lang w:bidi="ar-MA"/>
        </w:rPr>
        <w:t>1</w:t>
      </w:r>
      <w:r w:rsidR="00014332" w:rsidRPr="004B513F">
        <w:rPr>
          <w:rFonts w:ascii="Arial" w:hAnsi="Arial" w:cs="Arial"/>
          <w:lang w:bidi="ar-MA"/>
        </w:rPr>
        <w:t>,</w:t>
      </w:r>
      <w:r w:rsidR="00637C8A">
        <w:rPr>
          <w:rFonts w:ascii="Arial" w:hAnsi="Arial" w:cs="Arial"/>
          <w:lang w:bidi="ar-MA"/>
        </w:rPr>
        <w:t>7</w:t>
      </w:r>
      <w:r w:rsidR="00014332">
        <w:rPr>
          <w:rFonts w:ascii="Arial" w:hAnsi="Arial" w:cs="Arial"/>
          <w:lang w:bidi="ar-MA"/>
        </w:rPr>
        <w:t>%,</w:t>
      </w:r>
      <w:r w:rsidRPr="004B513F">
        <w:rPr>
          <w:rFonts w:ascii="Arial" w:hAnsi="Arial" w:cs="Arial"/>
          <w:lang w:bidi="ar-MA"/>
        </w:rPr>
        <w:t xml:space="preserve"> </w:t>
      </w:r>
      <w:r w:rsidR="00C27E48" w:rsidRPr="00C27E48">
        <w:rPr>
          <w:rFonts w:ascii="Arial" w:hAnsi="Arial" w:cs="Arial"/>
          <w:lang w:bidi="ar-MA"/>
        </w:rPr>
        <w:t>le</w:t>
      </w:r>
      <w:r w:rsidR="00637C8A">
        <w:rPr>
          <w:rFonts w:ascii="Arial" w:hAnsi="Arial" w:cs="Arial"/>
          <w:lang w:bidi="ar-MA"/>
        </w:rPr>
        <w:t>s</w:t>
      </w:r>
      <w:r w:rsidR="00C27E48" w:rsidRPr="00C27E48">
        <w:rPr>
          <w:rFonts w:ascii="Arial" w:hAnsi="Arial" w:cs="Arial"/>
          <w:lang w:bidi="ar-MA"/>
        </w:rPr>
        <w:t xml:space="preserve"> «</w:t>
      </w:r>
      <w:r w:rsidR="00637C8A" w:rsidRPr="00637C8A">
        <w:rPr>
          <w:rFonts w:ascii="Arial" w:hAnsi="Arial" w:cs="Arial"/>
          <w:lang w:bidi="ar-MA"/>
        </w:rPr>
        <w:t>Légumes</w:t>
      </w:r>
      <w:r w:rsidR="00C27E48">
        <w:rPr>
          <w:rFonts w:ascii="Arial" w:hAnsi="Arial" w:cs="Arial"/>
          <w:lang w:bidi="ar-MA"/>
        </w:rPr>
        <w:t xml:space="preserve">» avec </w:t>
      </w:r>
      <w:r w:rsidR="00637C8A">
        <w:rPr>
          <w:rFonts w:ascii="Arial" w:hAnsi="Arial" w:cs="Arial"/>
          <w:lang w:bidi="ar-MA"/>
        </w:rPr>
        <w:t>1</w:t>
      </w:r>
      <w:r w:rsidR="00C27E48">
        <w:rPr>
          <w:rFonts w:ascii="Arial" w:hAnsi="Arial" w:cs="Arial"/>
          <w:lang w:bidi="ar-MA"/>
        </w:rPr>
        <w:t>,</w:t>
      </w:r>
      <w:r w:rsidR="0085717A">
        <w:rPr>
          <w:rFonts w:ascii="Arial" w:hAnsi="Arial" w:cs="Arial"/>
          <w:lang w:bidi="ar-MA"/>
        </w:rPr>
        <w:t>1</w:t>
      </w:r>
      <w:r w:rsidR="00C27E48">
        <w:rPr>
          <w:rFonts w:ascii="Arial" w:hAnsi="Arial" w:cs="Arial"/>
          <w:lang w:bidi="ar-MA"/>
        </w:rPr>
        <w:t>%</w:t>
      </w:r>
      <w:r w:rsidR="00637C8A">
        <w:rPr>
          <w:rFonts w:ascii="Arial" w:hAnsi="Arial" w:cs="Arial"/>
          <w:lang w:bidi="ar-MA"/>
        </w:rPr>
        <w:t xml:space="preserve">, le </w:t>
      </w:r>
      <w:r w:rsidR="00637C8A" w:rsidRPr="00C94B93">
        <w:rPr>
          <w:rFonts w:ascii="Arial" w:hAnsi="Arial" w:cs="Arial"/>
          <w:lang w:bidi="ar-MA"/>
        </w:rPr>
        <w:t>«</w:t>
      </w:r>
      <w:r w:rsidR="00637C8A">
        <w:rPr>
          <w:rFonts w:ascii="Arial" w:hAnsi="Arial" w:cs="Arial"/>
          <w:lang w:bidi="ar-MA"/>
        </w:rPr>
        <w:t>C</w:t>
      </w:r>
      <w:r w:rsidR="00637C8A" w:rsidRPr="00C94B93">
        <w:rPr>
          <w:rFonts w:ascii="Arial" w:hAnsi="Arial" w:cs="Arial"/>
          <w:lang w:bidi="ar-MA"/>
        </w:rPr>
        <w:t>afé, the et cacao»</w:t>
      </w:r>
      <w:r w:rsidR="00637C8A" w:rsidRPr="004B513F">
        <w:rPr>
          <w:rFonts w:ascii="Arial" w:hAnsi="Arial" w:cs="Arial"/>
          <w:lang w:bidi="ar-MA"/>
        </w:rPr>
        <w:t xml:space="preserve"> avec </w:t>
      </w:r>
      <w:r w:rsidR="00637C8A">
        <w:rPr>
          <w:rFonts w:ascii="Arial" w:hAnsi="Arial" w:cs="Arial"/>
          <w:lang w:bidi="ar-MA"/>
        </w:rPr>
        <w:t>0</w:t>
      </w:r>
      <w:r w:rsidR="00637C8A" w:rsidRPr="004B513F">
        <w:rPr>
          <w:rFonts w:ascii="Arial" w:hAnsi="Arial" w:cs="Arial"/>
          <w:lang w:bidi="ar-MA"/>
        </w:rPr>
        <w:t>,</w:t>
      </w:r>
      <w:r w:rsidR="00637C8A">
        <w:rPr>
          <w:rFonts w:ascii="Arial" w:hAnsi="Arial" w:cs="Arial"/>
          <w:lang w:bidi="ar-MA"/>
        </w:rPr>
        <w:t>7%,</w:t>
      </w:r>
      <w:r w:rsidR="00C27E48">
        <w:rPr>
          <w:rFonts w:ascii="Arial" w:hAnsi="Arial" w:cs="Arial"/>
          <w:lang w:bidi="ar-MA"/>
        </w:rPr>
        <w:t xml:space="preserve"> </w:t>
      </w:r>
      <w:r w:rsidR="00CB6E01" w:rsidRPr="004B513F">
        <w:rPr>
          <w:rFonts w:ascii="Arial" w:hAnsi="Arial" w:cs="Arial"/>
          <w:lang w:bidi="ar-MA"/>
        </w:rPr>
        <w:t>le «</w:t>
      </w:r>
      <w:r w:rsidR="00607979">
        <w:rPr>
          <w:rFonts w:ascii="Arial" w:hAnsi="Arial" w:cs="Arial"/>
          <w:lang w:bidi="ar-MA"/>
        </w:rPr>
        <w:t>P</w:t>
      </w:r>
      <w:r w:rsidR="00607979" w:rsidRPr="00607979">
        <w:rPr>
          <w:rFonts w:ascii="Arial" w:hAnsi="Arial" w:cs="Arial"/>
          <w:lang w:bidi="ar-MA"/>
        </w:rPr>
        <w:t>ain et céréales</w:t>
      </w:r>
      <w:r w:rsidR="00CB6E01" w:rsidRPr="004B513F">
        <w:rPr>
          <w:rFonts w:ascii="Arial" w:hAnsi="Arial" w:cs="Arial"/>
          <w:lang w:bidi="ar-MA"/>
        </w:rPr>
        <w:t>»</w:t>
      </w:r>
      <w:r w:rsidR="00637C8A" w:rsidRPr="00637C8A">
        <w:rPr>
          <w:rFonts w:ascii="Arial" w:hAnsi="Arial" w:cs="Arial"/>
          <w:lang w:bidi="ar-MA"/>
        </w:rPr>
        <w:t xml:space="preserve"> </w:t>
      </w:r>
      <w:r w:rsidR="00637C8A" w:rsidRPr="004B513F">
        <w:rPr>
          <w:rFonts w:ascii="Arial" w:hAnsi="Arial" w:cs="Arial"/>
          <w:lang w:bidi="ar-MA"/>
        </w:rPr>
        <w:t xml:space="preserve">avec </w:t>
      </w:r>
      <w:r w:rsidR="00637C8A">
        <w:rPr>
          <w:rFonts w:ascii="Arial" w:hAnsi="Arial" w:cs="Arial"/>
          <w:lang w:bidi="ar-MA"/>
        </w:rPr>
        <w:t>0</w:t>
      </w:r>
      <w:r w:rsidR="00637C8A" w:rsidRPr="004B513F">
        <w:rPr>
          <w:rFonts w:ascii="Arial" w:hAnsi="Arial" w:cs="Arial"/>
          <w:lang w:bidi="ar-MA"/>
        </w:rPr>
        <w:t>,</w:t>
      </w:r>
      <w:r w:rsidR="00637C8A">
        <w:rPr>
          <w:rFonts w:ascii="Arial" w:hAnsi="Arial" w:cs="Arial"/>
          <w:lang w:bidi="ar-MA"/>
        </w:rPr>
        <w:t>4%</w:t>
      </w:r>
      <w:r w:rsidR="00C94B93" w:rsidRPr="00C94B93">
        <w:t xml:space="preserve"> </w:t>
      </w:r>
      <w:r w:rsidR="00C94B93" w:rsidRPr="00C94B93">
        <w:rPr>
          <w:rFonts w:ascii="Arial" w:hAnsi="Arial" w:cs="Arial"/>
          <w:lang w:bidi="ar-MA"/>
        </w:rPr>
        <w:t xml:space="preserve">et </w:t>
      </w:r>
      <w:r w:rsidR="00637C8A" w:rsidRPr="00C27E48">
        <w:rPr>
          <w:rFonts w:ascii="Arial" w:hAnsi="Arial" w:cs="Arial"/>
          <w:lang w:bidi="ar-MA"/>
        </w:rPr>
        <w:t>les «Viandes»</w:t>
      </w:r>
      <w:r w:rsidR="00637C8A">
        <w:rPr>
          <w:rFonts w:ascii="Arial" w:hAnsi="Arial" w:cs="Arial"/>
          <w:lang w:bidi="ar-MA"/>
        </w:rPr>
        <w:t xml:space="preserve"> </w:t>
      </w:r>
      <w:r w:rsidR="00CB6E01" w:rsidRPr="004B513F">
        <w:rPr>
          <w:rFonts w:ascii="Arial" w:hAnsi="Arial" w:cs="Arial"/>
          <w:lang w:bidi="ar-MA"/>
        </w:rPr>
        <w:t xml:space="preserve">avec </w:t>
      </w:r>
      <w:r w:rsidR="00CB6E01">
        <w:rPr>
          <w:rFonts w:ascii="Arial" w:hAnsi="Arial" w:cs="Arial"/>
          <w:lang w:bidi="ar-MA"/>
        </w:rPr>
        <w:t>0</w:t>
      </w:r>
      <w:r w:rsidR="00CB6E01" w:rsidRPr="004B513F">
        <w:rPr>
          <w:rFonts w:ascii="Arial" w:hAnsi="Arial" w:cs="Arial"/>
          <w:lang w:bidi="ar-MA"/>
        </w:rPr>
        <w:t>,</w:t>
      </w:r>
      <w:r w:rsidR="00637C8A">
        <w:rPr>
          <w:rFonts w:ascii="Arial" w:hAnsi="Arial" w:cs="Arial"/>
          <w:lang w:bidi="ar-MA"/>
        </w:rPr>
        <w:t>1</w:t>
      </w:r>
      <w:r w:rsidR="00CB6E01">
        <w:rPr>
          <w:rFonts w:ascii="Arial" w:hAnsi="Arial" w:cs="Arial"/>
          <w:lang w:bidi="ar-MA"/>
        </w:rPr>
        <w:t>%</w:t>
      </w:r>
      <w:r w:rsidR="00265EF9">
        <w:rPr>
          <w:rFonts w:ascii="Arial" w:hAnsi="Arial" w:cs="Arial"/>
          <w:lang w:bidi="ar-MA"/>
        </w:rPr>
        <w:t xml:space="preserve">. </w:t>
      </w:r>
      <w:r w:rsidR="00607979" w:rsidRPr="00607979">
        <w:rPr>
          <w:rFonts w:ascii="Arial" w:hAnsi="Arial" w:cs="Arial"/>
          <w:lang w:bidi="ar-MA"/>
        </w:rPr>
        <w:t xml:space="preserve">En revanche, les prix ont diminué de </w:t>
      </w:r>
      <w:r w:rsidR="00312A34">
        <w:rPr>
          <w:rFonts w:ascii="Arial" w:hAnsi="Arial" w:cs="Arial"/>
          <w:lang w:bidi="ar-MA"/>
        </w:rPr>
        <w:t>1</w:t>
      </w:r>
      <w:r w:rsidR="00607979" w:rsidRPr="00607979">
        <w:rPr>
          <w:rFonts w:ascii="Arial" w:hAnsi="Arial" w:cs="Arial"/>
          <w:lang w:bidi="ar-MA"/>
        </w:rPr>
        <w:t>,</w:t>
      </w:r>
      <w:r w:rsidR="00312A34">
        <w:rPr>
          <w:rFonts w:ascii="Arial" w:hAnsi="Arial" w:cs="Arial"/>
          <w:lang w:bidi="ar-MA"/>
        </w:rPr>
        <w:t>8</w:t>
      </w:r>
      <w:r w:rsidR="00607979" w:rsidRPr="00607979">
        <w:rPr>
          <w:rFonts w:ascii="Arial" w:hAnsi="Arial" w:cs="Arial"/>
          <w:lang w:bidi="ar-MA"/>
        </w:rPr>
        <w:t>% pour les «</w:t>
      </w:r>
      <w:r w:rsidR="00C27E48" w:rsidRPr="00141341">
        <w:rPr>
          <w:rFonts w:ascii="Arial" w:hAnsi="Arial" w:cs="Arial"/>
          <w:lang w:bidi="ar-MA"/>
        </w:rPr>
        <w:t>Fruits</w:t>
      </w:r>
      <w:r w:rsidR="00607979" w:rsidRPr="00141341">
        <w:rPr>
          <w:rFonts w:ascii="Arial" w:hAnsi="Arial" w:cs="Arial"/>
          <w:lang w:bidi="ar-MA"/>
        </w:rPr>
        <w:t xml:space="preserve">». </w:t>
      </w:r>
      <w:r w:rsidRPr="00141341">
        <w:rPr>
          <w:rFonts w:ascii="Arial" w:hAnsi="Arial" w:cs="Arial"/>
          <w:lang w:bidi="ar-MA"/>
        </w:rPr>
        <w:t xml:space="preserve">Pour les produits non alimentaires, la </w:t>
      </w:r>
      <w:r w:rsidR="00637C8A">
        <w:rPr>
          <w:rFonts w:ascii="Arial" w:hAnsi="Arial" w:cs="Arial"/>
          <w:lang w:bidi="ar-MA"/>
        </w:rPr>
        <w:t>bai</w:t>
      </w:r>
      <w:r w:rsidR="00CE1888" w:rsidRPr="00141341">
        <w:rPr>
          <w:rFonts w:ascii="Arial" w:hAnsi="Arial" w:cs="Arial"/>
          <w:lang w:bidi="ar-MA"/>
        </w:rPr>
        <w:t>sse</w:t>
      </w:r>
      <w:r w:rsidRPr="00141341">
        <w:rPr>
          <w:rFonts w:ascii="Arial" w:hAnsi="Arial" w:cs="Arial"/>
          <w:lang w:bidi="ar-MA"/>
        </w:rPr>
        <w:t xml:space="preserve"> a concerné principalement les prix de</w:t>
      </w:r>
      <w:r w:rsidR="0066525A">
        <w:rPr>
          <w:rFonts w:ascii="Arial" w:hAnsi="Arial" w:cs="Arial"/>
          <w:lang w:bidi="ar-MA"/>
        </w:rPr>
        <w:t xml:space="preserve">s </w:t>
      </w:r>
      <w:r w:rsidRPr="00141341">
        <w:rPr>
          <w:rFonts w:ascii="Arial" w:hAnsi="Arial" w:cs="Arial"/>
          <w:lang w:bidi="ar-MA"/>
        </w:rPr>
        <w:t>«</w:t>
      </w:r>
      <w:r w:rsidR="0066525A" w:rsidRPr="00021A81">
        <w:rPr>
          <w:rFonts w:ascii="Arial" w:hAnsi="Arial" w:cs="Arial"/>
          <w:lang w:bidi="ar-MA"/>
        </w:rPr>
        <w:t>Carburants</w:t>
      </w:r>
      <w:r w:rsidRPr="00141341">
        <w:rPr>
          <w:rFonts w:ascii="Arial" w:hAnsi="Arial" w:cs="Arial"/>
          <w:lang w:bidi="ar-MA"/>
        </w:rPr>
        <w:t xml:space="preserve">» avec </w:t>
      </w:r>
      <w:r w:rsidR="00C94B93">
        <w:rPr>
          <w:rFonts w:ascii="Arial" w:hAnsi="Arial" w:cs="Arial"/>
          <w:lang w:bidi="ar-MA"/>
        </w:rPr>
        <w:t>7</w:t>
      </w:r>
      <w:r w:rsidRPr="00141341">
        <w:rPr>
          <w:rFonts w:ascii="Arial" w:hAnsi="Arial" w:cs="Arial"/>
          <w:lang w:bidi="ar-MA"/>
        </w:rPr>
        <w:t>,</w:t>
      </w:r>
      <w:r w:rsidR="00637C8A">
        <w:rPr>
          <w:rFonts w:ascii="Arial" w:hAnsi="Arial" w:cs="Arial"/>
          <w:lang w:bidi="ar-MA"/>
        </w:rPr>
        <w:t>5</w:t>
      </w:r>
      <w:r w:rsidRPr="00141341">
        <w:rPr>
          <w:rFonts w:ascii="Arial" w:hAnsi="Arial" w:cs="Arial"/>
          <w:lang w:bidi="ar-MA"/>
        </w:rPr>
        <w:t>%.</w:t>
      </w:r>
    </w:p>
    <w:p w:rsidR="0085717A" w:rsidRDefault="0085717A" w:rsidP="00312A34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87BBB" w:rsidRDefault="00487BBB" w:rsidP="00D101E9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87BBB">
        <w:rPr>
          <w:rFonts w:ascii="Arial" w:hAnsi="Arial" w:cs="Arial"/>
          <w:lang w:bidi="ar-MA"/>
        </w:rPr>
        <w:t>Dans ces conditions, l’indicateur d’inflation sous-jacente, qui exclut</w:t>
      </w:r>
      <w:r w:rsidR="007C40CF">
        <w:rPr>
          <w:rFonts w:ascii="Arial" w:hAnsi="Arial" w:cs="Arial"/>
          <w:lang w:bidi="ar-MA"/>
        </w:rPr>
        <w:t xml:space="preserve"> les produits à prix volatiles </w:t>
      </w:r>
      <w:r w:rsidRPr="00487BBB">
        <w:rPr>
          <w:rFonts w:ascii="Arial" w:hAnsi="Arial" w:cs="Arial"/>
          <w:lang w:bidi="ar-MA"/>
        </w:rPr>
        <w:t>et les produits à tarifs publics, aurait connu une hausse de 0,</w:t>
      </w:r>
      <w:r w:rsidR="00D101E9">
        <w:rPr>
          <w:rFonts w:ascii="Arial" w:hAnsi="Arial" w:cs="Arial"/>
          <w:lang w:bidi="ar-MA"/>
        </w:rPr>
        <w:t>7</w:t>
      </w:r>
      <w:r w:rsidRPr="00487BBB">
        <w:rPr>
          <w:rFonts w:ascii="Arial" w:hAnsi="Arial" w:cs="Arial"/>
          <w:lang w:bidi="ar-MA"/>
        </w:rPr>
        <w:t>% au cours du mois de décembre 2022 par rapport au mois précédent.</w:t>
      </w:r>
    </w:p>
    <w:p w:rsidR="005915F0" w:rsidRDefault="005915F0" w:rsidP="004B513F">
      <w:pPr>
        <w:tabs>
          <w:tab w:val="left" w:pos="0"/>
        </w:tabs>
        <w:ind w:right="74"/>
        <w:rPr>
          <w:rFonts w:ascii="Arial" w:hAnsi="Arial" w:cs="Arial"/>
          <w:b/>
          <w:bCs/>
          <w:color w:val="000000" w:themeColor="text1"/>
        </w:rPr>
      </w:pPr>
    </w:p>
    <w:p w:rsidR="004B513F" w:rsidRPr="00487BBB" w:rsidRDefault="00487BBB" w:rsidP="009C526E">
      <w:pPr>
        <w:tabs>
          <w:tab w:val="left" w:pos="0"/>
        </w:tabs>
        <w:ind w:right="74"/>
        <w:rPr>
          <w:rFonts w:ascii="Arial" w:hAnsi="Arial" w:cs="Arial"/>
          <w:b/>
          <w:bCs/>
          <w:color w:val="000000" w:themeColor="text1"/>
        </w:rPr>
      </w:pPr>
      <w:r w:rsidRPr="00487BBB">
        <w:rPr>
          <w:rFonts w:ascii="Arial" w:hAnsi="Arial" w:cs="Arial"/>
          <w:b/>
          <w:bCs/>
          <w:color w:val="000000" w:themeColor="text1"/>
        </w:rPr>
        <w:t xml:space="preserve">Hausse de l’IPC annuel de </w:t>
      </w:r>
      <w:r w:rsidR="004261C3">
        <w:rPr>
          <w:rFonts w:ascii="Arial" w:hAnsi="Arial" w:cs="Arial"/>
          <w:b/>
          <w:bCs/>
          <w:color w:val="000000" w:themeColor="text1"/>
        </w:rPr>
        <w:t>6</w:t>
      </w:r>
      <w:r w:rsidRPr="00487BBB">
        <w:rPr>
          <w:rFonts w:ascii="Arial" w:hAnsi="Arial" w:cs="Arial"/>
          <w:b/>
          <w:bCs/>
          <w:color w:val="000000" w:themeColor="text1"/>
        </w:rPr>
        <w:t>,</w:t>
      </w:r>
      <w:r w:rsidR="004261C3">
        <w:rPr>
          <w:rFonts w:ascii="Arial" w:hAnsi="Arial" w:cs="Arial"/>
          <w:b/>
          <w:bCs/>
          <w:color w:val="000000" w:themeColor="text1"/>
        </w:rPr>
        <w:t>6</w:t>
      </w:r>
      <w:r w:rsidRPr="00487BBB">
        <w:rPr>
          <w:rFonts w:ascii="Arial" w:hAnsi="Arial" w:cs="Arial"/>
          <w:b/>
          <w:bCs/>
          <w:color w:val="000000" w:themeColor="text1"/>
        </w:rPr>
        <w:t xml:space="preserve">% et de l’indicateur annuel d’inflation sous-jacente de </w:t>
      </w:r>
      <w:r w:rsidR="009C526E">
        <w:rPr>
          <w:rFonts w:ascii="Arial" w:hAnsi="Arial" w:cs="Arial"/>
          <w:b/>
          <w:bCs/>
          <w:color w:val="000000" w:themeColor="text1"/>
        </w:rPr>
        <w:t>5</w:t>
      </w:r>
      <w:r w:rsidRPr="00487BBB">
        <w:rPr>
          <w:rFonts w:ascii="Arial" w:hAnsi="Arial" w:cs="Arial"/>
          <w:b/>
          <w:bCs/>
          <w:color w:val="000000" w:themeColor="text1"/>
        </w:rPr>
        <w:t>,</w:t>
      </w:r>
      <w:r w:rsidR="009C526E">
        <w:rPr>
          <w:rFonts w:ascii="Arial" w:hAnsi="Arial" w:cs="Arial"/>
          <w:b/>
          <w:bCs/>
          <w:color w:val="000000" w:themeColor="text1"/>
        </w:rPr>
        <w:t>8</w:t>
      </w:r>
      <w:r w:rsidRPr="00487BBB">
        <w:rPr>
          <w:rFonts w:ascii="Arial" w:hAnsi="Arial" w:cs="Arial"/>
          <w:b/>
          <w:bCs/>
          <w:color w:val="000000" w:themeColor="text1"/>
        </w:rPr>
        <w:t>%</w:t>
      </w:r>
    </w:p>
    <w:p w:rsidR="00637C8A" w:rsidRPr="00637C8A" w:rsidRDefault="00637C8A" w:rsidP="00637C8A">
      <w:pPr>
        <w:tabs>
          <w:tab w:val="left" w:pos="0"/>
        </w:tabs>
        <w:ind w:right="74"/>
        <w:jc w:val="both"/>
        <w:rPr>
          <w:rFonts w:ascii="Arial" w:hAnsi="Arial" w:cs="Arial"/>
          <w:rtl/>
          <w:lang w:bidi="ar-MA"/>
        </w:rPr>
      </w:pPr>
      <w:r w:rsidRPr="00637C8A">
        <w:rPr>
          <w:rFonts w:ascii="Arial" w:hAnsi="Arial" w:cs="Arial"/>
          <w:lang w:bidi="ar-MA"/>
        </w:rPr>
        <w:t>L'IPC</w:t>
      </w:r>
      <w:r w:rsidRPr="00637C8A">
        <w:rPr>
          <w:rFonts w:ascii="Arial" w:hAnsi="Arial" w:cs="Arial"/>
          <w:b/>
          <w:bCs/>
          <w:lang w:bidi="ar-MA"/>
        </w:rPr>
        <w:t xml:space="preserve"> </w:t>
      </w:r>
      <w:r w:rsidRPr="00637C8A">
        <w:rPr>
          <w:rFonts w:ascii="Arial" w:hAnsi="Arial" w:cs="Arial"/>
          <w:lang w:bidi="ar-MA"/>
        </w:rPr>
        <w:t xml:space="preserve">annuel moyen a enregistré, au terme de l’année 2022, une augmentation de </w:t>
      </w:r>
      <w:r>
        <w:rPr>
          <w:rFonts w:ascii="Arial" w:hAnsi="Arial" w:cs="Arial"/>
          <w:lang w:bidi="ar-MA"/>
        </w:rPr>
        <w:t>6</w:t>
      </w:r>
      <w:r w:rsidRPr="00637C8A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6</w:t>
      </w:r>
      <w:r w:rsidRPr="00637C8A">
        <w:rPr>
          <w:rFonts w:ascii="Arial" w:hAnsi="Arial" w:cs="Arial"/>
          <w:lang w:bidi="ar-MA"/>
        </w:rPr>
        <w:t xml:space="preserve">% par rapport à l’année 2021. Conséquence de la hausse de l’indice des produits alimentaires de </w:t>
      </w:r>
      <w:r>
        <w:rPr>
          <w:rFonts w:ascii="Arial" w:hAnsi="Arial" w:cs="Arial"/>
          <w:lang w:bidi="ar-MA"/>
        </w:rPr>
        <w:t>11</w:t>
      </w:r>
      <w:r w:rsidRPr="00637C8A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0</w:t>
      </w:r>
      <w:r w:rsidRPr="00637C8A">
        <w:rPr>
          <w:rFonts w:ascii="Arial" w:hAnsi="Arial" w:cs="Arial"/>
          <w:lang w:bidi="ar-MA"/>
        </w:rPr>
        <w:t xml:space="preserve">% et de celui des produits non alimentaires de </w:t>
      </w:r>
      <w:r>
        <w:rPr>
          <w:rFonts w:ascii="Arial" w:hAnsi="Arial" w:cs="Arial"/>
          <w:lang w:bidi="ar-MA"/>
        </w:rPr>
        <w:t>3</w:t>
      </w:r>
      <w:r w:rsidRPr="00637C8A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9</w:t>
      </w:r>
      <w:r w:rsidRPr="00637C8A">
        <w:rPr>
          <w:rFonts w:ascii="Arial" w:hAnsi="Arial" w:cs="Arial"/>
          <w:lang w:bidi="ar-MA"/>
        </w:rPr>
        <w:t xml:space="preserve">%. Les variations enregistrées pour les produits non alimentaires vont d’une </w:t>
      </w:r>
      <w:r>
        <w:rPr>
          <w:rFonts w:ascii="Arial" w:hAnsi="Arial" w:cs="Arial"/>
          <w:lang w:bidi="ar-MA"/>
        </w:rPr>
        <w:t>hausse</w:t>
      </w:r>
      <w:r w:rsidRPr="00637C8A">
        <w:rPr>
          <w:rFonts w:ascii="Arial" w:hAnsi="Arial" w:cs="Arial"/>
          <w:lang w:bidi="ar-MA"/>
        </w:rPr>
        <w:t xml:space="preserve"> de 0,</w:t>
      </w:r>
      <w:r>
        <w:rPr>
          <w:rFonts w:ascii="Arial" w:hAnsi="Arial" w:cs="Arial"/>
          <w:lang w:bidi="ar-MA"/>
        </w:rPr>
        <w:t>1</w:t>
      </w:r>
      <w:r w:rsidRPr="00637C8A">
        <w:rPr>
          <w:rFonts w:ascii="Arial" w:hAnsi="Arial" w:cs="Arial"/>
          <w:lang w:bidi="ar-MA"/>
        </w:rPr>
        <w:t>% pour l</w:t>
      </w:r>
      <w:r>
        <w:rPr>
          <w:rFonts w:ascii="Arial" w:hAnsi="Arial" w:cs="Arial"/>
          <w:lang w:bidi="ar-MA"/>
        </w:rPr>
        <w:t>a</w:t>
      </w:r>
      <w:r w:rsidRPr="00637C8A">
        <w:rPr>
          <w:rFonts w:ascii="Arial" w:hAnsi="Arial" w:cs="Arial"/>
          <w:lang w:bidi="ar-MA"/>
        </w:rPr>
        <w:t xml:space="preserve"> «Santé» à </w:t>
      </w:r>
      <w:r>
        <w:rPr>
          <w:rFonts w:ascii="Arial" w:hAnsi="Arial" w:cs="Arial"/>
          <w:lang w:bidi="ar-MA"/>
        </w:rPr>
        <w:t>12</w:t>
      </w:r>
      <w:r w:rsidRPr="00637C8A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2</w:t>
      </w:r>
      <w:r w:rsidRPr="00637C8A">
        <w:rPr>
          <w:rFonts w:ascii="Arial" w:hAnsi="Arial" w:cs="Arial"/>
          <w:lang w:bidi="ar-MA"/>
        </w:rPr>
        <w:t>% pour les «Transports».</w:t>
      </w:r>
    </w:p>
    <w:p w:rsidR="00637C8A" w:rsidRPr="00637C8A" w:rsidRDefault="00637C8A" w:rsidP="00637C8A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637C8A" w:rsidRPr="00637C8A" w:rsidRDefault="00637C8A" w:rsidP="00D101E9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637C8A">
        <w:rPr>
          <w:rFonts w:ascii="Arial" w:hAnsi="Arial" w:cs="Arial"/>
          <w:lang w:bidi="ar-MA"/>
        </w:rPr>
        <w:t xml:space="preserve">Sur cette base, l’indicateur d’inflation sous-jacente aurait connu une hausse de </w:t>
      </w:r>
      <w:r w:rsidR="00D101E9">
        <w:rPr>
          <w:rFonts w:ascii="Arial" w:hAnsi="Arial" w:cs="Arial"/>
          <w:lang w:bidi="ar-MA"/>
        </w:rPr>
        <w:t>5</w:t>
      </w:r>
      <w:r w:rsidRPr="00637C8A">
        <w:rPr>
          <w:rFonts w:ascii="Arial" w:hAnsi="Arial" w:cs="Arial"/>
          <w:lang w:bidi="ar-MA"/>
        </w:rPr>
        <w:t>,</w:t>
      </w:r>
      <w:r w:rsidR="00D101E9">
        <w:rPr>
          <w:rFonts w:ascii="Arial" w:hAnsi="Arial" w:cs="Arial"/>
          <w:lang w:bidi="ar-MA"/>
        </w:rPr>
        <w:t>8</w:t>
      </w:r>
      <w:r w:rsidRPr="00637C8A">
        <w:rPr>
          <w:rFonts w:ascii="Arial" w:hAnsi="Arial" w:cs="Arial"/>
          <w:lang w:bidi="ar-MA"/>
        </w:rPr>
        <w:t>% au cours de l’année 2022 par rapport à l’année 2021.</w:t>
      </w:r>
    </w:p>
    <w:p w:rsidR="005915F0" w:rsidRDefault="005915F0" w:rsidP="005915F0">
      <w:pPr>
        <w:tabs>
          <w:tab w:val="left" w:pos="0"/>
        </w:tabs>
        <w:ind w:right="74"/>
        <w:rPr>
          <w:rFonts w:ascii="Arial" w:hAnsi="Arial" w:cs="Arial"/>
          <w:b/>
          <w:bCs/>
          <w:color w:val="000000" w:themeColor="text1"/>
        </w:rPr>
      </w:pPr>
    </w:p>
    <w:p w:rsidR="005915F0" w:rsidRPr="005915F0" w:rsidRDefault="005915F0" w:rsidP="005915F0">
      <w:pPr>
        <w:tabs>
          <w:tab w:val="left" w:pos="0"/>
        </w:tabs>
        <w:ind w:right="74"/>
        <w:rPr>
          <w:rFonts w:ascii="Arial" w:hAnsi="Arial" w:cs="Arial"/>
          <w:b/>
          <w:bCs/>
          <w:color w:val="000000" w:themeColor="text1"/>
        </w:rPr>
      </w:pPr>
      <w:r w:rsidRPr="005915F0">
        <w:rPr>
          <w:rFonts w:ascii="Arial" w:hAnsi="Arial" w:cs="Arial"/>
          <w:b/>
          <w:bCs/>
          <w:color w:val="000000" w:themeColor="text1"/>
        </w:rPr>
        <w:t>Les plus fortes hausses à Al-hoceima, Kénitra et Beni-Mellal</w:t>
      </w:r>
    </w:p>
    <w:p w:rsidR="005915F0" w:rsidRDefault="005915F0" w:rsidP="00482889">
      <w:pPr>
        <w:tabs>
          <w:tab w:val="left" w:pos="0"/>
        </w:tabs>
        <w:ind w:right="74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/>
          <w:lang w:bidi="ar-MA"/>
        </w:rPr>
        <w:t xml:space="preserve">Les hausses les plus importantes de l’IPC annuel ont été enregistrées </w:t>
      </w:r>
      <w:r w:rsidRPr="00846B58">
        <w:rPr>
          <w:rFonts w:ascii="Arial" w:hAnsi="Arial" w:cs="Arial"/>
          <w:lang w:bidi="ar-MA"/>
        </w:rPr>
        <w:t xml:space="preserve">à </w:t>
      </w:r>
      <w:r w:rsidRPr="005915F0">
        <w:rPr>
          <w:rFonts w:ascii="Arial" w:hAnsi="Arial" w:cs="Arial"/>
          <w:lang w:bidi="ar-MA"/>
        </w:rPr>
        <w:t>Al-hoceima</w:t>
      </w:r>
      <w:r>
        <w:rPr>
          <w:rFonts w:ascii="Arial" w:hAnsi="Arial" w:cs="Arial"/>
          <w:lang w:bidi="ar-MA"/>
        </w:rPr>
        <w:t xml:space="preserve">   avec 8,4%, à </w:t>
      </w:r>
      <w:r w:rsidRPr="005915F0">
        <w:rPr>
          <w:rFonts w:ascii="Arial" w:hAnsi="Arial" w:cs="Arial"/>
          <w:lang w:bidi="ar-MA"/>
        </w:rPr>
        <w:t>Kénitra</w:t>
      </w:r>
      <w:r>
        <w:rPr>
          <w:rFonts w:ascii="Arial" w:hAnsi="Arial" w:cs="Arial"/>
          <w:lang w:bidi="ar-MA"/>
        </w:rPr>
        <w:t xml:space="preserve"> </w:t>
      </w:r>
      <w:r w:rsidR="00482889">
        <w:rPr>
          <w:rFonts w:ascii="Arial" w:hAnsi="Arial" w:cs="Arial"/>
          <w:lang w:bidi="ar-MA"/>
        </w:rPr>
        <w:t xml:space="preserve">et </w:t>
      </w:r>
      <w:r w:rsidRPr="005915F0">
        <w:rPr>
          <w:rFonts w:ascii="Arial" w:hAnsi="Arial" w:cs="Arial"/>
          <w:lang w:bidi="ar-MA"/>
        </w:rPr>
        <w:t>Beni-Mellal</w:t>
      </w:r>
      <w:r w:rsidRPr="003D361F">
        <w:rPr>
          <w:rFonts w:ascii="Arial" w:hAnsi="Arial" w:cs="Arial"/>
          <w:lang w:bidi="ar-MA"/>
        </w:rPr>
        <w:t xml:space="preserve"> </w:t>
      </w:r>
      <w:r>
        <w:rPr>
          <w:rFonts w:ascii="Arial" w:hAnsi="Arial" w:cs="Arial"/>
          <w:lang w:bidi="ar-MA"/>
        </w:rPr>
        <w:t xml:space="preserve">avec 8,0%, à </w:t>
      </w:r>
      <w:r w:rsidRPr="005915F0">
        <w:rPr>
          <w:rFonts w:ascii="Arial" w:hAnsi="Arial" w:cs="Arial"/>
          <w:lang w:bidi="ar-MA"/>
        </w:rPr>
        <w:t>Errachidia</w:t>
      </w:r>
      <w:r>
        <w:rPr>
          <w:rFonts w:ascii="Arial" w:hAnsi="Arial" w:cs="Arial"/>
          <w:lang w:bidi="ar-MA"/>
        </w:rPr>
        <w:t xml:space="preserve"> avec 7,6%, à </w:t>
      </w:r>
      <w:r w:rsidRPr="005915F0">
        <w:rPr>
          <w:rFonts w:ascii="Arial" w:hAnsi="Arial" w:cs="Arial"/>
          <w:lang w:bidi="ar-MA"/>
        </w:rPr>
        <w:t>Marrakech</w:t>
      </w:r>
      <w:r w:rsidRPr="003D361F">
        <w:rPr>
          <w:rFonts w:ascii="Arial" w:hAnsi="Arial" w:cs="Arial"/>
          <w:lang w:bidi="ar-MA"/>
        </w:rPr>
        <w:t xml:space="preserve"> </w:t>
      </w:r>
      <w:r>
        <w:rPr>
          <w:rFonts w:ascii="Arial" w:hAnsi="Arial" w:cs="Arial"/>
          <w:lang w:bidi="ar-MA"/>
        </w:rPr>
        <w:t>avec 7,3%,</w:t>
      </w:r>
      <w:r w:rsidRPr="003D361F">
        <w:rPr>
          <w:rFonts w:ascii="Arial" w:hAnsi="Arial" w:cs="Arial"/>
          <w:lang w:bidi="ar-MA"/>
        </w:rPr>
        <w:t xml:space="preserve"> </w:t>
      </w:r>
      <w:r>
        <w:rPr>
          <w:rFonts w:ascii="Arial" w:hAnsi="Arial" w:cs="Arial"/>
          <w:lang w:bidi="ar-MA"/>
        </w:rPr>
        <w:t xml:space="preserve">à </w:t>
      </w:r>
      <w:r w:rsidRPr="005915F0">
        <w:rPr>
          <w:rFonts w:ascii="Arial" w:hAnsi="Arial" w:cs="Arial"/>
          <w:lang w:bidi="ar-MA"/>
        </w:rPr>
        <w:t>Safi</w:t>
      </w:r>
      <w:r w:rsidRPr="003D361F">
        <w:rPr>
          <w:rFonts w:ascii="Arial" w:hAnsi="Arial" w:cs="Arial"/>
          <w:lang w:bidi="ar-MA"/>
        </w:rPr>
        <w:t xml:space="preserve"> </w:t>
      </w:r>
      <w:r>
        <w:rPr>
          <w:rFonts w:ascii="Arial" w:hAnsi="Arial" w:cs="Arial"/>
          <w:lang w:bidi="ar-MA"/>
        </w:rPr>
        <w:t xml:space="preserve">avec 7,0%, à </w:t>
      </w:r>
      <w:r w:rsidRPr="005915F0">
        <w:rPr>
          <w:rFonts w:ascii="Arial" w:hAnsi="Arial" w:cs="Arial"/>
          <w:lang w:bidi="ar-MA"/>
        </w:rPr>
        <w:t>Fès</w:t>
      </w:r>
      <w:r>
        <w:rPr>
          <w:rFonts w:ascii="Arial" w:hAnsi="Arial" w:cs="Arial"/>
          <w:lang w:bidi="ar-MA"/>
        </w:rPr>
        <w:t xml:space="preserve"> et </w:t>
      </w:r>
      <w:r w:rsidRPr="005915F0">
        <w:rPr>
          <w:rFonts w:ascii="Arial" w:hAnsi="Arial" w:cs="Arial"/>
          <w:lang w:bidi="ar-MA"/>
        </w:rPr>
        <w:t>Oujda</w:t>
      </w:r>
      <w:r>
        <w:rPr>
          <w:rFonts w:ascii="Arial" w:hAnsi="Arial" w:cs="Arial"/>
          <w:lang w:bidi="ar-MA"/>
        </w:rPr>
        <w:t xml:space="preserve"> avec 6,9% et à </w:t>
      </w:r>
      <w:r w:rsidRPr="005915F0">
        <w:rPr>
          <w:rFonts w:ascii="Arial" w:hAnsi="Arial" w:cs="Arial"/>
          <w:lang w:bidi="ar-MA"/>
        </w:rPr>
        <w:t>Tétouan</w:t>
      </w:r>
      <w:r>
        <w:rPr>
          <w:rFonts w:ascii="Arial" w:hAnsi="Arial" w:cs="Arial"/>
          <w:lang w:bidi="ar-MA"/>
        </w:rPr>
        <w:t xml:space="preserve"> et </w:t>
      </w:r>
      <w:r w:rsidRPr="005915F0">
        <w:rPr>
          <w:rFonts w:ascii="Arial" w:hAnsi="Arial" w:cs="Arial"/>
          <w:lang w:bidi="ar-MA"/>
        </w:rPr>
        <w:t>Meknès</w:t>
      </w:r>
      <w:r>
        <w:rPr>
          <w:rFonts w:ascii="Arial" w:hAnsi="Arial" w:cs="Arial"/>
          <w:lang w:bidi="ar-MA"/>
        </w:rPr>
        <w:t xml:space="preserve"> avec 6,8%. </w:t>
      </w:r>
    </w:p>
    <w:p w:rsidR="00A91361" w:rsidRDefault="00A9136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8"/>
          <w:lang w:bidi="ar-MA"/>
        </w:rPr>
      </w:pPr>
      <w:r w:rsidRPr="0045660F">
        <w:rPr>
          <w:b/>
          <w:i/>
          <w:color w:val="E36C0A"/>
          <w:spacing w:val="-3"/>
          <w:sz w:val="48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78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77"/>
        <w:gridCol w:w="1713"/>
        <w:gridCol w:w="1713"/>
        <w:gridCol w:w="1175"/>
      </w:tblGrid>
      <w:tr w:rsidR="002959F6" w:rsidRPr="00402008" w:rsidTr="008565DC">
        <w:trPr>
          <w:trHeight w:val="287"/>
          <w:jc w:val="center"/>
        </w:trPr>
        <w:tc>
          <w:tcPr>
            <w:tcW w:w="4877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601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D41BBF">
        <w:trPr>
          <w:trHeight w:val="287"/>
          <w:jc w:val="center"/>
        </w:trPr>
        <w:tc>
          <w:tcPr>
            <w:tcW w:w="4877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C62D70" w:rsidRDefault="003B73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Novembre</w:t>
            </w:r>
            <w:r w:rsidR="00C62D70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565DC" w:rsidRDefault="003B73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Décembre</w:t>
            </w:r>
          </w:p>
          <w:p w:rsidR="004B513F" w:rsidRPr="00324B4E" w:rsidRDefault="00195260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 </w:t>
            </w:r>
            <w:r w:rsidR="004B513F">
              <w:rPr>
                <w:b/>
                <w:bCs/>
                <w:lang w:bidi="ar-MA"/>
              </w:rPr>
              <w:t>2022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3B3B2C" w:rsidRPr="00402008" w:rsidTr="00D41BBF">
        <w:trPr>
          <w:trHeight w:val="272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3B3B2C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B3B2C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B3B2C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 w:rsidP="00E06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</w:t>
            </w:r>
            <w:r w:rsidR="00E069B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 w:rsidP="00E06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</w:t>
            </w:r>
            <w:r w:rsidR="00E069B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3B3B2C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B3B2C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B3B2C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B3B2C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B3B2C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125,2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-2,5</w:t>
            </w:r>
          </w:p>
        </w:tc>
      </w:tr>
      <w:tr w:rsidR="003B3B2C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B3B2C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3B3B2C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B3B2C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B3B2C" w:rsidRPr="00402008" w:rsidTr="00D41BBF">
        <w:trPr>
          <w:trHeight w:val="272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B3B2C" w:rsidRPr="00402008" w:rsidTr="00D41BBF">
        <w:trPr>
          <w:trHeight w:val="28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114,3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402008" w:rsidRDefault="002959F6" w:rsidP="00B174FB">
      <w:pPr>
        <w:rPr>
          <w:b/>
          <w:i/>
          <w:spacing w:val="-2"/>
          <w:lang w:bidi="ar-MA"/>
        </w:rPr>
      </w:pPr>
      <w:r w:rsidRPr="00402008">
        <w:rPr>
          <w:b/>
          <w:i/>
          <w:spacing w:val="-2"/>
          <w:lang w:bidi="ar-MA"/>
        </w:rPr>
        <w:t xml:space="preserve"> </w:t>
      </w:r>
    </w:p>
    <w:tbl>
      <w:tblPr>
        <w:tblW w:w="10275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189"/>
        <w:gridCol w:w="1192"/>
        <w:gridCol w:w="1192"/>
        <w:gridCol w:w="840"/>
        <w:gridCol w:w="1015"/>
        <w:gridCol w:w="1059"/>
        <w:gridCol w:w="840"/>
      </w:tblGrid>
      <w:tr w:rsidR="002959F6" w:rsidRPr="00402008" w:rsidTr="006226A5">
        <w:trPr>
          <w:trHeight w:val="285"/>
        </w:trPr>
        <w:tc>
          <w:tcPr>
            <w:tcW w:w="4189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197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2888" w:type="dxa"/>
            <w:gridSpan w:val="3"/>
            <w:shd w:val="clear" w:color="auto" w:fill="auto"/>
            <w:noWrap/>
            <w:vAlign w:val="center"/>
          </w:tcPr>
          <w:p w:rsidR="002959F6" w:rsidRPr="00793709" w:rsidRDefault="003B73AE" w:rsidP="009204B8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</w:rPr>
              <w:t>Indices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 moyens annuels</w:t>
            </w:r>
          </w:p>
        </w:tc>
      </w:tr>
      <w:tr w:rsidR="004B513F" w:rsidRPr="00402008" w:rsidTr="006226A5">
        <w:trPr>
          <w:trHeight w:val="360"/>
        </w:trPr>
        <w:tc>
          <w:tcPr>
            <w:tcW w:w="4189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="004B513F" w:rsidRDefault="003B73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Décembre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="004B513F" w:rsidRDefault="003B73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Décembre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3B3B2C" w:rsidRPr="00402008" w:rsidTr="006226A5">
        <w:trPr>
          <w:trHeight w:val="270"/>
        </w:trPr>
        <w:tc>
          <w:tcPr>
            <w:tcW w:w="4189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105,1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11,0</w:t>
            </w:r>
          </w:p>
        </w:tc>
      </w:tr>
      <w:tr w:rsidR="003B3B2C" w:rsidRPr="00402008" w:rsidTr="006226A5">
        <w:trPr>
          <w:trHeight w:val="255"/>
        </w:trPr>
        <w:tc>
          <w:tcPr>
            <w:tcW w:w="4189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</w:tr>
      <w:tr w:rsidR="003B3B2C" w:rsidRPr="00402008" w:rsidTr="006226A5">
        <w:trPr>
          <w:trHeight w:val="255"/>
        </w:trPr>
        <w:tc>
          <w:tcPr>
            <w:tcW w:w="4189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3B3B2C" w:rsidRPr="00402008" w:rsidTr="006226A5">
        <w:trPr>
          <w:trHeight w:val="255"/>
        </w:trPr>
        <w:tc>
          <w:tcPr>
            <w:tcW w:w="4189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105,7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</w:t>
            </w:r>
            <w:r w:rsidR="00A10D0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</w:t>
            </w:r>
            <w:r w:rsidR="00A10D0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108,5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3,9</w:t>
            </w:r>
          </w:p>
        </w:tc>
      </w:tr>
      <w:tr w:rsidR="003B3B2C" w:rsidRPr="00402008" w:rsidTr="006226A5">
        <w:trPr>
          <w:trHeight w:val="255"/>
        </w:trPr>
        <w:tc>
          <w:tcPr>
            <w:tcW w:w="4189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3B3B2C" w:rsidRPr="00402008" w:rsidTr="006226A5">
        <w:trPr>
          <w:trHeight w:val="255"/>
        </w:trPr>
        <w:tc>
          <w:tcPr>
            <w:tcW w:w="4189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B3B2C" w:rsidRPr="00402008" w:rsidTr="006226A5">
        <w:trPr>
          <w:trHeight w:val="255"/>
        </w:trPr>
        <w:tc>
          <w:tcPr>
            <w:tcW w:w="4189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3B3B2C" w:rsidRPr="00402008" w:rsidTr="006226A5">
        <w:trPr>
          <w:trHeight w:val="255"/>
        </w:trPr>
        <w:tc>
          <w:tcPr>
            <w:tcW w:w="4189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B3B2C" w:rsidRPr="00402008" w:rsidTr="006226A5">
        <w:trPr>
          <w:trHeight w:val="255"/>
        </w:trPr>
        <w:tc>
          <w:tcPr>
            <w:tcW w:w="4189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</w:t>
            </w:r>
          </w:p>
        </w:tc>
      </w:tr>
      <w:tr w:rsidR="003B3B2C" w:rsidRPr="00402008" w:rsidTr="006226A5">
        <w:trPr>
          <w:trHeight w:val="255"/>
        </w:trPr>
        <w:tc>
          <w:tcPr>
            <w:tcW w:w="4189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B3B2C" w:rsidRPr="00402008" w:rsidTr="006226A5">
        <w:trPr>
          <w:trHeight w:val="255"/>
        </w:trPr>
        <w:tc>
          <w:tcPr>
            <w:tcW w:w="4189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3B3B2C" w:rsidRPr="00402008" w:rsidTr="006226A5">
        <w:trPr>
          <w:trHeight w:val="255"/>
        </w:trPr>
        <w:tc>
          <w:tcPr>
            <w:tcW w:w="4189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3B3B2C" w:rsidRPr="00402008" w:rsidTr="006226A5">
        <w:trPr>
          <w:trHeight w:val="255"/>
        </w:trPr>
        <w:tc>
          <w:tcPr>
            <w:tcW w:w="4189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3B3B2C" w:rsidRPr="00402008" w:rsidTr="006226A5">
        <w:trPr>
          <w:trHeight w:val="270"/>
        </w:trPr>
        <w:tc>
          <w:tcPr>
            <w:tcW w:w="4189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3B3B2C" w:rsidRPr="00402008" w:rsidTr="006226A5">
        <w:trPr>
          <w:trHeight w:val="285"/>
        </w:trPr>
        <w:tc>
          <w:tcPr>
            <w:tcW w:w="4189" w:type="dxa"/>
            <w:shd w:val="clear" w:color="auto" w:fill="auto"/>
            <w:noWrap/>
            <w:vAlign w:val="bottom"/>
          </w:tcPr>
          <w:p w:rsidR="003B3B2C" w:rsidRPr="00402008" w:rsidRDefault="003B3B2C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8,3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B3B2C" w:rsidRDefault="003B3B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6,6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3B73AE" w:rsidP="009204B8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</w:rPr>
              <w:t>Indices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 moyens annuels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3B73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Novembre</w:t>
            </w:r>
            <w:r w:rsidR="004B513F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3B73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Décembre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3F606A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5,3</w:t>
            </w:r>
          </w:p>
        </w:tc>
      </w:tr>
      <w:tr w:rsidR="003F606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104,4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6,5</w:t>
            </w:r>
          </w:p>
        </w:tc>
      </w:tr>
      <w:tr w:rsidR="003F606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6,9</w:t>
            </w:r>
          </w:p>
        </w:tc>
      </w:tr>
      <w:tr w:rsidR="003F606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111,1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8,0</w:t>
            </w:r>
          </w:p>
        </w:tc>
      </w:tr>
      <w:tr w:rsidR="003F606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103,9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7,3</w:t>
            </w:r>
          </w:p>
        </w:tc>
      </w:tr>
      <w:tr w:rsidR="003F606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6,9</w:t>
            </w:r>
          </w:p>
        </w:tc>
      </w:tr>
      <w:tr w:rsidR="003F606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6,0</w:t>
            </w:r>
          </w:p>
        </w:tc>
      </w:tr>
      <w:tr w:rsidR="003F606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6,8</w:t>
            </w:r>
          </w:p>
        </w:tc>
      </w:tr>
      <w:tr w:rsidR="003F606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110,6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6,8</w:t>
            </w:r>
          </w:p>
        </w:tc>
      </w:tr>
      <w:tr w:rsidR="003F606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110,6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6,7</w:t>
            </w:r>
          </w:p>
        </w:tc>
      </w:tr>
      <w:tr w:rsidR="003F606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5,4</w:t>
            </w:r>
          </w:p>
        </w:tc>
      </w:tr>
      <w:tr w:rsidR="003F606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5,3</w:t>
            </w:r>
          </w:p>
        </w:tc>
      </w:tr>
      <w:tr w:rsidR="003F606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5,8</w:t>
            </w:r>
          </w:p>
        </w:tc>
      </w:tr>
      <w:tr w:rsidR="003F606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6,6</w:t>
            </w:r>
          </w:p>
        </w:tc>
      </w:tr>
      <w:tr w:rsidR="003F606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106,5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7,0</w:t>
            </w:r>
          </w:p>
        </w:tc>
      </w:tr>
      <w:tr w:rsidR="003F606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8,0</w:t>
            </w:r>
          </w:p>
        </w:tc>
      </w:tr>
      <w:tr w:rsidR="003F606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8,4</w:t>
            </w:r>
          </w:p>
        </w:tc>
      </w:tr>
      <w:tr w:rsidR="003F606A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</w:t>
            </w:r>
            <w:r w:rsidR="002D37E8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2D37E8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</w:rPr>
            </w:pPr>
            <w:r w:rsidRPr="003F606A">
              <w:rPr>
                <w:rFonts w:ascii="Arial" w:hAnsi="Arial" w:cs="Arial"/>
              </w:rPr>
              <w:t>7,6</w:t>
            </w:r>
          </w:p>
        </w:tc>
      </w:tr>
      <w:tr w:rsidR="003F606A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F606A" w:rsidRPr="00402008" w:rsidRDefault="003F606A" w:rsidP="005050C3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F606A" w:rsidRDefault="003F60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06A"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06A"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606A" w:rsidRPr="003F606A" w:rsidRDefault="003F60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06A">
              <w:rPr>
                <w:rFonts w:ascii="Arial" w:hAnsi="Arial" w:cs="Arial"/>
                <w:b/>
                <w:bCs/>
              </w:rPr>
              <w:t>6,6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</w:t>
      </w:r>
      <w:bookmarkStart w:id="0" w:name="_GoBack"/>
      <w:bookmarkEnd w:id="0"/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43E" w:rsidRDefault="002C443E">
      <w:r>
        <w:separator/>
      </w:r>
    </w:p>
  </w:endnote>
  <w:endnote w:type="continuationSeparator" w:id="1">
    <w:p w:rsidR="002C443E" w:rsidRDefault="002C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charset w:val="B2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EA6AA6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EA6AA6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2B6928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2B6928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EA6AA6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56.1pt;margin-top:-15.95pt;width:274.9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43E" w:rsidRDefault="002C443E">
      <w:r>
        <w:separator/>
      </w:r>
    </w:p>
  </w:footnote>
  <w:footnote w:type="continuationSeparator" w:id="1">
    <w:p w:rsidR="002C443E" w:rsidRDefault="002C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-450215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4B03"/>
    <w:rsid w:val="00085E86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1341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4930"/>
    <w:rsid w:val="001F60F1"/>
    <w:rsid w:val="001F6847"/>
    <w:rsid w:val="001F6AD9"/>
    <w:rsid w:val="002019A3"/>
    <w:rsid w:val="00205A6A"/>
    <w:rsid w:val="00205FDF"/>
    <w:rsid w:val="0020658F"/>
    <w:rsid w:val="00206659"/>
    <w:rsid w:val="00206AB2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688F"/>
    <w:rsid w:val="002B62D8"/>
    <w:rsid w:val="002B6928"/>
    <w:rsid w:val="002C02CC"/>
    <w:rsid w:val="002C09B2"/>
    <w:rsid w:val="002C443E"/>
    <w:rsid w:val="002C6433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30466B"/>
    <w:rsid w:val="0030560D"/>
    <w:rsid w:val="0030605C"/>
    <w:rsid w:val="003121A0"/>
    <w:rsid w:val="00312A34"/>
    <w:rsid w:val="0031319F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236"/>
    <w:rsid w:val="00361B0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0B29"/>
    <w:rsid w:val="003B3B2C"/>
    <w:rsid w:val="003B73AE"/>
    <w:rsid w:val="003B7C9A"/>
    <w:rsid w:val="003C104F"/>
    <w:rsid w:val="003C131B"/>
    <w:rsid w:val="003C357A"/>
    <w:rsid w:val="003D1731"/>
    <w:rsid w:val="003D4A23"/>
    <w:rsid w:val="003E5DDB"/>
    <w:rsid w:val="003F28EA"/>
    <w:rsid w:val="003F445E"/>
    <w:rsid w:val="003F606A"/>
    <w:rsid w:val="00401CE7"/>
    <w:rsid w:val="00401D3E"/>
    <w:rsid w:val="00403A20"/>
    <w:rsid w:val="00412BBC"/>
    <w:rsid w:val="0041796D"/>
    <w:rsid w:val="004261C3"/>
    <w:rsid w:val="004275D6"/>
    <w:rsid w:val="0043220A"/>
    <w:rsid w:val="00446DB7"/>
    <w:rsid w:val="00447FBC"/>
    <w:rsid w:val="00455540"/>
    <w:rsid w:val="00461967"/>
    <w:rsid w:val="004640B2"/>
    <w:rsid w:val="0047170E"/>
    <w:rsid w:val="004744FF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78FE"/>
    <w:rsid w:val="00524F14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49EE"/>
    <w:rsid w:val="005578F1"/>
    <w:rsid w:val="00562178"/>
    <w:rsid w:val="00564AE3"/>
    <w:rsid w:val="0057148E"/>
    <w:rsid w:val="00571918"/>
    <w:rsid w:val="00573169"/>
    <w:rsid w:val="005746EB"/>
    <w:rsid w:val="005754A6"/>
    <w:rsid w:val="0057589F"/>
    <w:rsid w:val="00580DF5"/>
    <w:rsid w:val="005814DE"/>
    <w:rsid w:val="00582403"/>
    <w:rsid w:val="00590E1B"/>
    <w:rsid w:val="005915F0"/>
    <w:rsid w:val="00594250"/>
    <w:rsid w:val="00594D60"/>
    <w:rsid w:val="00595235"/>
    <w:rsid w:val="00596CDD"/>
    <w:rsid w:val="005A0778"/>
    <w:rsid w:val="005B0675"/>
    <w:rsid w:val="005B3582"/>
    <w:rsid w:val="005B48EA"/>
    <w:rsid w:val="005C28E5"/>
    <w:rsid w:val="005C6583"/>
    <w:rsid w:val="005C707A"/>
    <w:rsid w:val="005C7D21"/>
    <w:rsid w:val="005D0550"/>
    <w:rsid w:val="005D14CD"/>
    <w:rsid w:val="005D2AFF"/>
    <w:rsid w:val="005D486E"/>
    <w:rsid w:val="005D694A"/>
    <w:rsid w:val="005D71A1"/>
    <w:rsid w:val="005D72D0"/>
    <w:rsid w:val="005E3BDC"/>
    <w:rsid w:val="005E4938"/>
    <w:rsid w:val="005F2BBD"/>
    <w:rsid w:val="00604836"/>
    <w:rsid w:val="00607979"/>
    <w:rsid w:val="00610ADF"/>
    <w:rsid w:val="00611B94"/>
    <w:rsid w:val="00613BEE"/>
    <w:rsid w:val="0061442D"/>
    <w:rsid w:val="006206D6"/>
    <w:rsid w:val="00621F5D"/>
    <w:rsid w:val="006226A5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50FBE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1AA3"/>
    <w:rsid w:val="00692552"/>
    <w:rsid w:val="00694FF6"/>
    <w:rsid w:val="00695BAE"/>
    <w:rsid w:val="006A3883"/>
    <w:rsid w:val="006B5F68"/>
    <w:rsid w:val="006C5727"/>
    <w:rsid w:val="006C5DCA"/>
    <w:rsid w:val="006C63B8"/>
    <w:rsid w:val="006D22BC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7AC0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47065"/>
    <w:rsid w:val="007570CB"/>
    <w:rsid w:val="00761A7E"/>
    <w:rsid w:val="00762728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3405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205C4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4B8"/>
    <w:rsid w:val="00930BC1"/>
    <w:rsid w:val="00931126"/>
    <w:rsid w:val="00944B4F"/>
    <w:rsid w:val="0095153B"/>
    <w:rsid w:val="00953DB4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C526E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0237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417BE"/>
    <w:rsid w:val="00B42470"/>
    <w:rsid w:val="00B43C5F"/>
    <w:rsid w:val="00B4691E"/>
    <w:rsid w:val="00B476C7"/>
    <w:rsid w:val="00B5039A"/>
    <w:rsid w:val="00B5100D"/>
    <w:rsid w:val="00B607B2"/>
    <w:rsid w:val="00B61271"/>
    <w:rsid w:val="00B62ED5"/>
    <w:rsid w:val="00B63BC7"/>
    <w:rsid w:val="00B643DC"/>
    <w:rsid w:val="00B66FB4"/>
    <w:rsid w:val="00B674E5"/>
    <w:rsid w:val="00B70238"/>
    <w:rsid w:val="00B7222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E39"/>
    <w:rsid w:val="00BA5F9D"/>
    <w:rsid w:val="00BB27CA"/>
    <w:rsid w:val="00BB3BD2"/>
    <w:rsid w:val="00BB55C0"/>
    <w:rsid w:val="00BB621D"/>
    <w:rsid w:val="00BC035F"/>
    <w:rsid w:val="00BC2E39"/>
    <w:rsid w:val="00BC2EE7"/>
    <w:rsid w:val="00BC3115"/>
    <w:rsid w:val="00BC49B4"/>
    <w:rsid w:val="00BD05AA"/>
    <w:rsid w:val="00BD3618"/>
    <w:rsid w:val="00BD611F"/>
    <w:rsid w:val="00BD7B29"/>
    <w:rsid w:val="00BE12C8"/>
    <w:rsid w:val="00BF630A"/>
    <w:rsid w:val="00C005F2"/>
    <w:rsid w:val="00C02BDF"/>
    <w:rsid w:val="00C03E14"/>
    <w:rsid w:val="00C10731"/>
    <w:rsid w:val="00C10BDD"/>
    <w:rsid w:val="00C14DCE"/>
    <w:rsid w:val="00C23F30"/>
    <w:rsid w:val="00C26145"/>
    <w:rsid w:val="00C2678A"/>
    <w:rsid w:val="00C27E48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666BC"/>
    <w:rsid w:val="00C77AA4"/>
    <w:rsid w:val="00C90DF4"/>
    <w:rsid w:val="00C92504"/>
    <w:rsid w:val="00C92E38"/>
    <w:rsid w:val="00C94B93"/>
    <w:rsid w:val="00C94FAA"/>
    <w:rsid w:val="00C97001"/>
    <w:rsid w:val="00CA2232"/>
    <w:rsid w:val="00CB055F"/>
    <w:rsid w:val="00CB05C8"/>
    <w:rsid w:val="00CB21EC"/>
    <w:rsid w:val="00CB3A44"/>
    <w:rsid w:val="00CB5926"/>
    <w:rsid w:val="00CB6E01"/>
    <w:rsid w:val="00CC289A"/>
    <w:rsid w:val="00CC5A17"/>
    <w:rsid w:val="00CC5F3B"/>
    <w:rsid w:val="00CC7345"/>
    <w:rsid w:val="00CD4E56"/>
    <w:rsid w:val="00CD6E99"/>
    <w:rsid w:val="00CD7C5C"/>
    <w:rsid w:val="00CE08CE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01E9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6A93"/>
    <w:rsid w:val="00D4763E"/>
    <w:rsid w:val="00D60382"/>
    <w:rsid w:val="00D71FF6"/>
    <w:rsid w:val="00D820EB"/>
    <w:rsid w:val="00D82174"/>
    <w:rsid w:val="00D84D76"/>
    <w:rsid w:val="00DB27A9"/>
    <w:rsid w:val="00DB293A"/>
    <w:rsid w:val="00DB41D2"/>
    <w:rsid w:val="00DB4566"/>
    <w:rsid w:val="00DB5B3F"/>
    <w:rsid w:val="00DC0263"/>
    <w:rsid w:val="00DC0C38"/>
    <w:rsid w:val="00DC10F3"/>
    <w:rsid w:val="00DD1685"/>
    <w:rsid w:val="00DD4344"/>
    <w:rsid w:val="00DD4AEF"/>
    <w:rsid w:val="00DD5A2F"/>
    <w:rsid w:val="00DE1986"/>
    <w:rsid w:val="00DE635A"/>
    <w:rsid w:val="00DF19E2"/>
    <w:rsid w:val="00E022E3"/>
    <w:rsid w:val="00E02633"/>
    <w:rsid w:val="00E02C7B"/>
    <w:rsid w:val="00E03B7C"/>
    <w:rsid w:val="00E052C6"/>
    <w:rsid w:val="00E069B4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4A3C"/>
    <w:rsid w:val="00E81203"/>
    <w:rsid w:val="00E81537"/>
    <w:rsid w:val="00E82E2E"/>
    <w:rsid w:val="00E84D02"/>
    <w:rsid w:val="00E85778"/>
    <w:rsid w:val="00E85B18"/>
    <w:rsid w:val="00E86900"/>
    <w:rsid w:val="00E900D7"/>
    <w:rsid w:val="00E947A6"/>
    <w:rsid w:val="00E96DAD"/>
    <w:rsid w:val="00E9733C"/>
    <w:rsid w:val="00EA5644"/>
    <w:rsid w:val="00EA6AA6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77847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4A5"/>
    <w:rsid w:val="00FD3095"/>
    <w:rsid w:val="00FD4E57"/>
    <w:rsid w:val="00FD762B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20</cp:revision>
  <cp:lastPrinted>2023-01-18T09:04:00Z</cp:lastPrinted>
  <dcterms:created xsi:type="dcterms:W3CDTF">2023-01-17T12:31:00Z</dcterms:created>
  <dcterms:modified xsi:type="dcterms:W3CDTF">2023-01-18T14:37:00Z</dcterms:modified>
</cp:coreProperties>
</file>