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DF" w:rsidRDefault="000D4B17" w:rsidP="001B4BEC">
      <w:pPr>
        <w:bidi/>
        <w:spacing w:after="0" w:line="240" w:lineRule="auto"/>
        <w:rPr>
          <w:sz w:val="36"/>
          <w:szCs w:val="36"/>
          <w:rtl/>
          <w:lang w:bidi="ar-MA"/>
        </w:rPr>
      </w:pPr>
      <w:r w:rsidRPr="000D4B17">
        <w:rPr>
          <w:noProof/>
          <w:rtl/>
          <w:lang w:eastAsia="fr-FR"/>
        </w:rPr>
        <w:pict>
          <v:rect id="_x0000_s1026" style="position:absolute;left:0;text-align:left;margin-left:-211.3pt;margin-top:-67.25pt;width:898.5pt;height:577.55pt;z-index:-251658752" o:preferrelative="t" filled="f" stroked="f" insetpen="t" o:cliptowrap="t">
            <v:imagedata r:id="rId6" o:title=""/>
            <v:path o:extrusionok="f"/>
            <o:lock v:ext="edit" aspectratio="t"/>
            <w10:wrap anchorx="page"/>
          </v:rect>
          <o:OLEObject Type="Embed" ProgID="PBrush" ShapeID="_x0000_s1026" DrawAspect="Content" ObjectID="_1747766442" r:id="rId7"/>
        </w:pict>
      </w:r>
      <w:r w:rsidR="00695E68" w:rsidRPr="00AF01BC">
        <w:rPr>
          <w:sz w:val="36"/>
          <w:szCs w:val="36"/>
          <w:lang w:bidi="ar-MA"/>
        </w:rPr>
        <w:t xml:space="preserve">   </w:t>
      </w:r>
    </w:p>
    <w:p w:rsidR="009B4BDF" w:rsidRDefault="009B4BDF" w:rsidP="009B4BDF">
      <w:pPr>
        <w:bidi/>
        <w:spacing w:after="0" w:line="240" w:lineRule="auto"/>
        <w:rPr>
          <w:sz w:val="36"/>
          <w:szCs w:val="36"/>
          <w:rtl/>
          <w:lang w:bidi="ar-MA"/>
        </w:rPr>
      </w:pPr>
    </w:p>
    <w:p w:rsidR="009B4BDF" w:rsidRDefault="009B4BDF" w:rsidP="009B4BDF">
      <w:pPr>
        <w:bidi/>
        <w:spacing w:after="0" w:line="240" w:lineRule="auto"/>
        <w:rPr>
          <w:sz w:val="36"/>
          <w:szCs w:val="36"/>
          <w:lang w:bidi="ar-MA"/>
        </w:rPr>
      </w:pPr>
    </w:p>
    <w:p w:rsidR="009B4BDF" w:rsidRDefault="009B4BDF" w:rsidP="009B4BDF">
      <w:pPr>
        <w:bidi/>
        <w:spacing w:after="0" w:line="240" w:lineRule="auto"/>
        <w:rPr>
          <w:sz w:val="36"/>
          <w:szCs w:val="36"/>
          <w:rtl/>
          <w:lang w:bidi="ar-MA"/>
        </w:rPr>
      </w:pPr>
    </w:p>
    <w:p w:rsidR="009B4BDF" w:rsidRDefault="009B4BDF" w:rsidP="009B4BDF">
      <w:pPr>
        <w:bidi/>
        <w:spacing w:after="0" w:line="240" w:lineRule="exact"/>
        <w:rPr>
          <w:rFonts w:cs="Simplified Arabic"/>
          <w:sz w:val="36"/>
          <w:szCs w:val="36"/>
          <w:rtl/>
          <w:lang w:bidi="ar-MA"/>
        </w:rPr>
      </w:pPr>
    </w:p>
    <w:p w:rsidR="009B4BDF" w:rsidRPr="003C7276" w:rsidRDefault="009B4BDF" w:rsidP="009B4BDF">
      <w:pPr>
        <w:bidi/>
        <w:spacing w:after="0" w:line="240" w:lineRule="exact"/>
        <w:rPr>
          <w:rFonts w:cs="Simplified Arabic"/>
          <w:sz w:val="36"/>
          <w:szCs w:val="36"/>
          <w:lang w:bidi="ar-MA"/>
        </w:rPr>
      </w:pPr>
    </w:p>
    <w:p w:rsidR="00666A68" w:rsidRDefault="00567DC7" w:rsidP="00D9311A">
      <w:pPr>
        <w:ind w:firstLine="709"/>
        <w:jc w:val="center"/>
        <w:rPr>
          <w:rFonts w:cs="Simplified Arabic"/>
          <w:b/>
          <w:bCs/>
          <w:sz w:val="32"/>
          <w:szCs w:val="32"/>
          <w:lang w:bidi="ar-MA"/>
        </w:rPr>
      </w:pPr>
      <w:r>
        <w:rPr>
          <w:rFonts w:cs="Simplified Arabic"/>
          <w:b/>
          <w:bCs/>
          <w:sz w:val="32"/>
          <w:szCs w:val="32"/>
          <w:lang w:bidi="ar-MA"/>
        </w:rPr>
        <w:t xml:space="preserve">      </w:t>
      </w:r>
    </w:p>
    <w:p w:rsidR="003E39F2" w:rsidRPr="000C2236" w:rsidRDefault="00567DC7" w:rsidP="00572F0B">
      <w:pPr>
        <w:pStyle w:val="Titre"/>
        <w:spacing w:line="312" w:lineRule="auto"/>
        <w:ind w:right="-58"/>
        <w:rPr>
          <w:rFonts w:ascii="Cambria" w:hAnsi="Cambria" w:cs="Times"/>
          <w:shadow/>
          <w:color w:val="660033"/>
          <w:sz w:val="36"/>
          <w:szCs w:val="36"/>
        </w:rPr>
      </w:pPr>
      <w:r w:rsidRPr="00572F0B">
        <w:rPr>
          <w:rFonts w:ascii="Cambria" w:hAnsi="Cambria" w:cs="Simplified Arabic"/>
          <w:b w:val="0"/>
          <w:bCs w:val="0"/>
          <w:sz w:val="32"/>
          <w:szCs w:val="32"/>
          <w:lang w:bidi="ar-MA"/>
        </w:rPr>
        <w:t xml:space="preserve">  </w:t>
      </w:r>
      <w:r w:rsidR="003E39F2" w:rsidRPr="000C2236">
        <w:rPr>
          <w:rFonts w:ascii="Cambria" w:hAnsi="Cambria" w:cs="Times"/>
          <w:shadow/>
          <w:color w:val="660033"/>
          <w:sz w:val="36"/>
          <w:szCs w:val="36"/>
        </w:rPr>
        <w:t xml:space="preserve">Situation économique nationale </w:t>
      </w:r>
      <w:r w:rsidR="005343A3" w:rsidRPr="000C2236">
        <w:rPr>
          <w:rFonts w:ascii="Cambria" w:hAnsi="Cambria" w:cs="Times"/>
          <w:shadow/>
          <w:color w:val="660033"/>
          <w:sz w:val="36"/>
          <w:szCs w:val="36"/>
        </w:rPr>
        <w:t>en 2</w:t>
      </w:r>
      <w:r w:rsidR="003E39F2" w:rsidRPr="000C2236">
        <w:rPr>
          <w:rFonts w:ascii="Cambria" w:hAnsi="Cambria" w:cs="Times"/>
          <w:shadow/>
          <w:color w:val="660033"/>
          <w:sz w:val="36"/>
          <w:szCs w:val="36"/>
        </w:rPr>
        <w:t>0</w:t>
      </w:r>
      <w:r w:rsidR="00291D17" w:rsidRPr="000C2236">
        <w:rPr>
          <w:rFonts w:ascii="Cambria" w:hAnsi="Cambria" w:cs="Times"/>
          <w:shadow/>
          <w:color w:val="660033"/>
          <w:sz w:val="36"/>
          <w:szCs w:val="36"/>
        </w:rPr>
        <w:t>2</w:t>
      </w:r>
      <w:r w:rsidR="00A11276" w:rsidRPr="000C2236">
        <w:rPr>
          <w:rFonts w:ascii="Cambria" w:hAnsi="Cambria" w:cs="Times"/>
          <w:shadow/>
          <w:color w:val="660033"/>
          <w:sz w:val="36"/>
          <w:szCs w:val="36"/>
        </w:rPr>
        <w:t>2</w:t>
      </w:r>
    </w:p>
    <w:p w:rsidR="00072FAE" w:rsidRDefault="00072FAE" w:rsidP="007D5FAC">
      <w:pPr>
        <w:spacing w:before="60" w:after="0" w:line="240" w:lineRule="auto"/>
        <w:ind w:firstLine="709"/>
        <w:jc w:val="center"/>
        <w:rPr>
          <w:rFonts w:ascii="Book Antiqua" w:eastAsia="Times New Roman" w:hAnsi="Book Antiqua" w:cs="Times New Roman"/>
          <w:bCs/>
          <w:sz w:val="24"/>
          <w:szCs w:val="24"/>
          <w:lang w:eastAsia="fr-FR"/>
        </w:rPr>
      </w:pPr>
    </w:p>
    <w:p w:rsidR="00CE5173" w:rsidRPr="00572F0B" w:rsidRDefault="00A11276" w:rsidP="00D348F4">
      <w:pPr>
        <w:shd w:val="clear" w:color="auto" w:fill="FFFFFF"/>
        <w:spacing w:after="120" w:line="240" w:lineRule="auto"/>
        <w:ind w:right="51"/>
        <w:jc w:val="both"/>
        <w:outlineLvl w:val="2"/>
        <w:rPr>
          <w:rFonts w:ascii="Cambria" w:eastAsia="Times New Roman" w:hAnsi="Cambria" w:cs="Times New Roman"/>
          <w:b/>
          <w:bCs/>
          <w:color w:val="222222"/>
          <w:sz w:val="27"/>
          <w:szCs w:val="27"/>
          <w:lang w:eastAsia="fr-FR"/>
        </w:rPr>
      </w:pPr>
      <w:r w:rsidRPr="00572F0B">
        <w:rPr>
          <w:rFonts w:ascii="Cambria" w:eastAsia="Times New Roman" w:hAnsi="Cambria" w:cs="Times New Roman"/>
          <w:b/>
          <w:bCs/>
          <w:color w:val="222222"/>
          <w:sz w:val="28"/>
          <w:szCs w:val="28"/>
          <w:lang w:eastAsia="fr-FR"/>
        </w:rPr>
        <w:t xml:space="preserve">L’arrêté des comptes nationaux de l’année 2022 fait ressortir un net ralentissement de la croissance </w:t>
      </w:r>
      <w:r w:rsidR="00DD730D" w:rsidRPr="00572F0B">
        <w:rPr>
          <w:rFonts w:ascii="Cambria" w:eastAsia="Times New Roman" w:hAnsi="Cambria" w:cs="Times New Roman"/>
          <w:b/>
          <w:bCs/>
          <w:color w:val="222222"/>
          <w:sz w:val="28"/>
          <w:szCs w:val="28"/>
          <w:lang w:eastAsia="fr-FR"/>
        </w:rPr>
        <w:t>économique</w:t>
      </w:r>
      <w:r w:rsidRPr="00572F0B">
        <w:rPr>
          <w:rFonts w:ascii="Cambria" w:eastAsia="Times New Roman" w:hAnsi="Cambria" w:cs="Times New Roman"/>
          <w:b/>
          <w:bCs/>
          <w:color w:val="222222"/>
          <w:sz w:val="28"/>
          <w:szCs w:val="28"/>
          <w:lang w:eastAsia="fr-FR"/>
        </w:rPr>
        <w:t xml:space="preserve"> se situant à </w:t>
      </w:r>
      <w:r w:rsidR="00DB550A" w:rsidRPr="00572F0B">
        <w:rPr>
          <w:rFonts w:ascii="Cambria" w:eastAsia="Times New Roman" w:hAnsi="Cambria" w:cs="Times New Roman"/>
          <w:b/>
          <w:bCs/>
          <w:color w:val="222222"/>
          <w:sz w:val="28"/>
          <w:szCs w:val="28"/>
          <w:lang w:eastAsia="fr-FR"/>
        </w:rPr>
        <w:t>1,3</w:t>
      </w:r>
      <w:r w:rsidRPr="00572F0B">
        <w:rPr>
          <w:rFonts w:ascii="Cambria" w:eastAsia="Times New Roman" w:hAnsi="Cambria" w:cs="Times New Roman"/>
          <w:b/>
          <w:bCs/>
          <w:color w:val="222222"/>
          <w:sz w:val="28"/>
          <w:szCs w:val="28"/>
          <w:lang w:eastAsia="fr-FR"/>
        </w:rPr>
        <w:t>% au lieu de </w:t>
      </w:r>
      <w:r w:rsidR="00D55034" w:rsidRPr="00572F0B">
        <w:rPr>
          <w:rFonts w:ascii="Cambria" w:eastAsia="Times New Roman" w:hAnsi="Cambria" w:cs="Times New Roman"/>
          <w:b/>
          <w:bCs/>
          <w:color w:val="222222"/>
          <w:sz w:val="28"/>
          <w:szCs w:val="28"/>
          <w:lang w:eastAsia="fr-FR"/>
        </w:rPr>
        <w:t>8</w:t>
      </w:r>
      <w:r w:rsidR="00DB550A" w:rsidRPr="00572F0B">
        <w:rPr>
          <w:rFonts w:ascii="Cambria" w:eastAsia="Times New Roman" w:hAnsi="Cambria" w:cs="Times New Roman"/>
          <w:b/>
          <w:bCs/>
          <w:color w:val="222222"/>
          <w:sz w:val="28"/>
          <w:szCs w:val="28"/>
          <w:lang w:eastAsia="fr-FR"/>
        </w:rPr>
        <w:t xml:space="preserve">% </w:t>
      </w:r>
      <w:r w:rsidRPr="00572F0B">
        <w:rPr>
          <w:rFonts w:ascii="Cambria" w:eastAsia="Times New Roman" w:hAnsi="Cambria" w:cs="Times New Roman"/>
          <w:b/>
          <w:bCs/>
          <w:color w:val="222222"/>
          <w:sz w:val="28"/>
          <w:szCs w:val="28"/>
          <w:lang w:eastAsia="fr-FR"/>
        </w:rPr>
        <w:t xml:space="preserve">l’année précédente. </w:t>
      </w:r>
      <w:r w:rsidR="00CE5173" w:rsidRPr="00572F0B">
        <w:rPr>
          <w:rFonts w:ascii="Cambria" w:eastAsia="Times New Roman" w:hAnsi="Cambria" w:cs="Times New Roman"/>
          <w:b/>
          <w:bCs/>
          <w:color w:val="222222"/>
          <w:sz w:val="28"/>
          <w:szCs w:val="28"/>
          <w:lang w:eastAsia="fr-FR"/>
        </w:rPr>
        <w:t>Les activités non agricoles ont affiché une augmentation de 3% et celles du secteur agricole une baisse de 12 ,</w:t>
      </w:r>
      <w:r w:rsidR="00CE5173" w:rsidRPr="00572F0B">
        <w:rPr>
          <w:rFonts w:ascii="Cambria" w:eastAsia="Times New Roman" w:hAnsi="Cambria" w:cs="Times New Roman"/>
          <w:b/>
          <w:bCs/>
          <w:color w:val="222222"/>
          <w:sz w:val="28"/>
          <w:szCs w:val="28"/>
          <w:rtl/>
          <w:lang w:eastAsia="fr-FR"/>
        </w:rPr>
        <w:t>9</w:t>
      </w:r>
      <w:r w:rsidR="00CE5173" w:rsidRPr="00572F0B">
        <w:rPr>
          <w:rFonts w:ascii="Cambria" w:eastAsia="Times New Roman" w:hAnsi="Cambria" w:cs="Times New Roman"/>
          <w:b/>
          <w:bCs/>
          <w:color w:val="222222"/>
          <w:sz w:val="28"/>
          <w:szCs w:val="28"/>
          <w:lang w:eastAsia="fr-FR"/>
        </w:rPr>
        <w:t>%.</w:t>
      </w:r>
    </w:p>
    <w:p w:rsidR="00A11276" w:rsidRPr="00572F0B" w:rsidRDefault="00A11276" w:rsidP="00341941">
      <w:pPr>
        <w:shd w:val="clear" w:color="auto" w:fill="FFFFFF"/>
        <w:spacing w:after="120" w:line="240" w:lineRule="auto"/>
        <w:ind w:right="49"/>
        <w:jc w:val="both"/>
        <w:outlineLvl w:val="2"/>
        <w:rPr>
          <w:rFonts w:ascii="Cambria" w:eastAsia="Times New Roman" w:hAnsi="Cambria" w:cs="Times New Roman"/>
          <w:b/>
          <w:bCs/>
          <w:color w:val="222222"/>
          <w:sz w:val="27"/>
          <w:szCs w:val="27"/>
          <w:lang w:eastAsia="fr-FR"/>
        </w:rPr>
      </w:pPr>
      <w:r w:rsidRPr="00572F0B">
        <w:rPr>
          <w:rFonts w:ascii="Cambria" w:eastAsia="Times New Roman" w:hAnsi="Cambria" w:cs="Times New Roman"/>
          <w:b/>
          <w:bCs/>
          <w:color w:val="222222"/>
          <w:sz w:val="28"/>
          <w:szCs w:val="28"/>
          <w:lang w:eastAsia="fr-FR"/>
        </w:rPr>
        <w:t xml:space="preserve">Tirée par la demande extérieure, cette croissance a été réalisée dans un contexte d’une </w:t>
      </w:r>
      <w:r w:rsidR="00341941" w:rsidRPr="00572F0B">
        <w:rPr>
          <w:rFonts w:ascii="Cambria" w:eastAsia="Times New Roman" w:hAnsi="Cambria" w:cs="Times New Roman"/>
          <w:b/>
          <w:bCs/>
          <w:color w:val="222222"/>
          <w:sz w:val="28"/>
          <w:szCs w:val="28"/>
          <w:lang w:eastAsia="fr-FR"/>
        </w:rPr>
        <w:t>hausse d’</w:t>
      </w:r>
      <w:r w:rsidRPr="00572F0B">
        <w:rPr>
          <w:rFonts w:ascii="Cambria" w:eastAsia="Times New Roman" w:hAnsi="Cambria" w:cs="Times New Roman"/>
          <w:b/>
          <w:bCs/>
          <w:color w:val="222222"/>
          <w:sz w:val="28"/>
          <w:szCs w:val="28"/>
          <w:lang w:eastAsia="fr-FR"/>
        </w:rPr>
        <w:t xml:space="preserve">inflation et d’une </w:t>
      </w:r>
      <w:r w:rsidR="00853B25" w:rsidRPr="00572F0B">
        <w:rPr>
          <w:rFonts w:ascii="Cambria" w:eastAsia="Times New Roman" w:hAnsi="Cambria" w:cs="Times New Roman"/>
          <w:b/>
          <w:bCs/>
          <w:color w:val="222222"/>
          <w:sz w:val="28"/>
          <w:szCs w:val="28"/>
          <w:lang w:eastAsia="fr-FR"/>
        </w:rPr>
        <w:t>aggravation</w:t>
      </w:r>
      <w:r w:rsidRPr="00572F0B">
        <w:rPr>
          <w:rFonts w:ascii="Cambria" w:eastAsia="Times New Roman" w:hAnsi="Cambria" w:cs="Times New Roman"/>
          <w:b/>
          <w:bCs/>
          <w:color w:val="222222"/>
          <w:sz w:val="28"/>
          <w:szCs w:val="28"/>
          <w:lang w:eastAsia="fr-FR"/>
        </w:rPr>
        <w:t xml:space="preserve"> du besoin de financement de l’économie nationale.</w:t>
      </w:r>
    </w:p>
    <w:p w:rsidR="00426B10" w:rsidRPr="00572F0B" w:rsidRDefault="00426B10" w:rsidP="006B6CB7">
      <w:pPr>
        <w:spacing w:after="0" w:line="240" w:lineRule="auto"/>
        <w:jc w:val="both"/>
        <w:outlineLvl w:val="2"/>
        <w:rPr>
          <w:rFonts w:ascii="Cambria" w:eastAsia="Times New Roman" w:hAnsi="Cambria" w:cs="Times New Roman"/>
          <w:b/>
          <w:bCs/>
          <w:sz w:val="28"/>
          <w:szCs w:val="28"/>
          <w:lang w:eastAsia="fr-FR"/>
        </w:rPr>
      </w:pPr>
    </w:p>
    <w:p w:rsidR="00F13D96" w:rsidRPr="00572F0B" w:rsidRDefault="00F13D96" w:rsidP="00F13D96">
      <w:pPr>
        <w:spacing w:after="120"/>
        <w:jc w:val="both"/>
        <w:rPr>
          <w:rFonts w:ascii="Cambria" w:hAnsi="Cambria"/>
          <w:b/>
          <w:bCs/>
          <w:sz w:val="28"/>
          <w:szCs w:val="28"/>
        </w:rPr>
      </w:pPr>
      <w:r w:rsidRPr="00572F0B">
        <w:rPr>
          <w:rFonts w:ascii="Cambria" w:hAnsi="Cambria"/>
          <w:b/>
          <w:bCs/>
          <w:sz w:val="28"/>
          <w:szCs w:val="28"/>
        </w:rPr>
        <w:t>Net ralentissement de la croissance économique</w:t>
      </w:r>
    </w:p>
    <w:p w:rsidR="00F13D96" w:rsidRPr="00572F0B" w:rsidRDefault="00F13D96" w:rsidP="001F73CE">
      <w:pPr>
        <w:spacing w:after="60"/>
        <w:jc w:val="both"/>
        <w:rPr>
          <w:rFonts w:ascii="Cambria" w:hAnsi="Cambria"/>
          <w:sz w:val="24"/>
          <w:szCs w:val="24"/>
        </w:rPr>
      </w:pPr>
      <w:r w:rsidRPr="00572F0B">
        <w:rPr>
          <w:rFonts w:ascii="Cambria" w:hAnsi="Cambria"/>
          <w:sz w:val="24"/>
          <w:szCs w:val="24"/>
        </w:rPr>
        <w:t xml:space="preserve">La </w:t>
      </w:r>
      <w:r w:rsidRPr="00572F0B">
        <w:rPr>
          <w:rFonts w:ascii="Cambria" w:hAnsi="Cambria"/>
          <w:b/>
          <w:bCs/>
          <w:sz w:val="24"/>
          <w:szCs w:val="24"/>
        </w:rPr>
        <w:t xml:space="preserve">valeur ajoutée du secteur primaire </w:t>
      </w:r>
      <w:r w:rsidRPr="00572F0B">
        <w:rPr>
          <w:rFonts w:ascii="Cambria" w:hAnsi="Cambria"/>
          <w:sz w:val="24"/>
          <w:szCs w:val="24"/>
        </w:rPr>
        <w:t xml:space="preserve">en volume s’est contractée de 12,7% après avoir enregistré un accroissement de 19% l’année précédente. Ceci s’explique par </w:t>
      </w:r>
      <w:r w:rsidR="001F73CE" w:rsidRPr="00572F0B">
        <w:rPr>
          <w:rFonts w:ascii="Cambria" w:hAnsi="Cambria"/>
          <w:sz w:val="24"/>
          <w:szCs w:val="24"/>
        </w:rPr>
        <w:t>une</w:t>
      </w:r>
      <w:r w:rsidRPr="00572F0B">
        <w:rPr>
          <w:rFonts w:ascii="Cambria" w:hAnsi="Cambria"/>
          <w:sz w:val="24"/>
          <w:szCs w:val="24"/>
        </w:rPr>
        <w:t xml:space="preserve"> baisse de la </w:t>
      </w:r>
      <w:r w:rsidRPr="00572F0B">
        <w:rPr>
          <w:rStyle w:val="lev"/>
          <w:rFonts w:ascii="Cambria" w:hAnsi="Cambria"/>
          <w:sz w:val="24"/>
          <w:szCs w:val="24"/>
        </w:rPr>
        <w:t>valeur ajoutée </w:t>
      </w:r>
      <w:r w:rsidRPr="00D348F4">
        <w:rPr>
          <w:rStyle w:val="lev"/>
          <w:rFonts w:ascii="Cambria" w:hAnsi="Cambria"/>
          <w:b w:val="0"/>
          <w:bCs w:val="0"/>
          <w:sz w:val="24"/>
          <w:szCs w:val="24"/>
        </w:rPr>
        <w:t>de</w:t>
      </w:r>
      <w:r w:rsidRPr="00572F0B">
        <w:rPr>
          <w:rStyle w:val="lev"/>
          <w:rFonts w:ascii="Cambria" w:hAnsi="Cambria"/>
          <w:sz w:val="24"/>
          <w:szCs w:val="24"/>
        </w:rPr>
        <w:t xml:space="preserve"> </w:t>
      </w:r>
      <w:r w:rsidRPr="00572F0B">
        <w:rPr>
          <w:rFonts w:ascii="Cambria" w:hAnsi="Cambria"/>
          <w:sz w:val="24"/>
          <w:szCs w:val="24"/>
        </w:rPr>
        <w:t>l’agriculture de 12,9% au lieu d’une hausse de</w:t>
      </w:r>
      <w:r w:rsidR="003A2348" w:rsidRPr="00572F0B">
        <w:rPr>
          <w:rFonts w:ascii="Cambria" w:hAnsi="Cambria"/>
          <w:sz w:val="24"/>
          <w:szCs w:val="24"/>
        </w:rPr>
        <w:t xml:space="preserve"> 19,5</w:t>
      </w:r>
      <w:r w:rsidRPr="00572F0B">
        <w:rPr>
          <w:rFonts w:ascii="Cambria" w:hAnsi="Cambria"/>
          <w:sz w:val="24"/>
          <w:szCs w:val="24"/>
        </w:rPr>
        <w:t xml:space="preserve"> % et de celle de la pêche de 9,7% au lieu d’une </w:t>
      </w:r>
      <w:r w:rsidR="00325834" w:rsidRPr="00572F0B">
        <w:rPr>
          <w:rFonts w:ascii="Cambria" w:hAnsi="Cambria"/>
          <w:sz w:val="24"/>
          <w:szCs w:val="24"/>
        </w:rPr>
        <w:t>hausse</w:t>
      </w:r>
      <w:r w:rsidRPr="00572F0B">
        <w:rPr>
          <w:rFonts w:ascii="Cambria" w:hAnsi="Cambria"/>
          <w:sz w:val="24"/>
          <w:szCs w:val="24"/>
        </w:rPr>
        <w:t xml:space="preserve"> de </w:t>
      </w:r>
      <w:r w:rsidR="003A2348" w:rsidRPr="00572F0B">
        <w:rPr>
          <w:rFonts w:ascii="Cambria" w:hAnsi="Cambria"/>
          <w:sz w:val="24"/>
          <w:szCs w:val="24"/>
        </w:rPr>
        <w:t>9,9</w:t>
      </w:r>
      <w:r w:rsidRPr="00572F0B">
        <w:rPr>
          <w:rFonts w:ascii="Cambria" w:hAnsi="Cambria"/>
          <w:sz w:val="24"/>
          <w:szCs w:val="24"/>
        </w:rPr>
        <w:t>%</w:t>
      </w:r>
      <w:r w:rsidR="00325834" w:rsidRPr="00572F0B">
        <w:rPr>
          <w:rFonts w:ascii="Cambria" w:hAnsi="Cambria"/>
          <w:sz w:val="24"/>
          <w:szCs w:val="24"/>
        </w:rPr>
        <w:t xml:space="preserve"> en 2021</w:t>
      </w:r>
      <w:r w:rsidRPr="00572F0B">
        <w:rPr>
          <w:rFonts w:ascii="Cambria" w:hAnsi="Cambria"/>
          <w:sz w:val="24"/>
          <w:szCs w:val="24"/>
        </w:rPr>
        <w:t>.</w:t>
      </w:r>
    </w:p>
    <w:p w:rsidR="00F13D96" w:rsidRPr="00572F0B" w:rsidRDefault="00F13D96" w:rsidP="00D348F4">
      <w:pPr>
        <w:autoSpaceDE w:val="0"/>
        <w:autoSpaceDN w:val="0"/>
        <w:adjustRightInd w:val="0"/>
        <w:spacing w:before="160"/>
        <w:ind w:right="-70"/>
        <w:jc w:val="lowKashida"/>
        <w:rPr>
          <w:rFonts w:ascii="Cambria" w:hAnsi="Cambria"/>
          <w:sz w:val="24"/>
          <w:szCs w:val="24"/>
        </w:rPr>
      </w:pPr>
      <w:r w:rsidRPr="00572F0B">
        <w:rPr>
          <w:rFonts w:ascii="Cambria" w:hAnsi="Cambria"/>
          <w:sz w:val="24"/>
          <w:szCs w:val="24"/>
        </w:rPr>
        <w:t>De son côté,</w:t>
      </w:r>
      <w:r w:rsidRPr="00572F0B">
        <w:rPr>
          <w:rFonts w:ascii="Cambria" w:hAnsi="Cambria"/>
          <w:b/>
          <w:bCs/>
          <w:sz w:val="24"/>
          <w:szCs w:val="24"/>
        </w:rPr>
        <w:t xml:space="preserve"> la valeur ajoutée du secteur secondaire </w:t>
      </w:r>
      <w:r w:rsidRPr="00572F0B">
        <w:rPr>
          <w:rFonts w:ascii="Cambria" w:hAnsi="Cambria"/>
          <w:sz w:val="24"/>
          <w:szCs w:val="24"/>
        </w:rPr>
        <w:t xml:space="preserve">a connu un ralentissement de son taux d’accroissement passant de </w:t>
      </w:r>
      <w:r w:rsidR="003A2348" w:rsidRPr="00572F0B">
        <w:rPr>
          <w:rFonts w:ascii="Cambria" w:hAnsi="Cambria"/>
          <w:sz w:val="24"/>
          <w:szCs w:val="24"/>
        </w:rPr>
        <w:t>7</w:t>
      </w:r>
      <w:r w:rsidRPr="00572F0B">
        <w:rPr>
          <w:rFonts w:ascii="Cambria" w:hAnsi="Cambria"/>
          <w:sz w:val="24"/>
          <w:szCs w:val="24"/>
        </w:rPr>
        <w:t xml:space="preserve">,1% l’année précédente à </w:t>
      </w:r>
      <w:r w:rsidR="00325834" w:rsidRPr="00572F0B">
        <w:rPr>
          <w:rFonts w:ascii="Cambria" w:hAnsi="Cambria"/>
          <w:sz w:val="24"/>
          <w:szCs w:val="24"/>
        </w:rPr>
        <w:t>une baisse de 1,7</w:t>
      </w:r>
      <w:r w:rsidRPr="00572F0B">
        <w:rPr>
          <w:rFonts w:ascii="Cambria" w:hAnsi="Cambria"/>
          <w:sz w:val="24"/>
          <w:szCs w:val="24"/>
        </w:rPr>
        <w:t>%</w:t>
      </w:r>
      <w:r w:rsidR="00C8277D" w:rsidRPr="00572F0B">
        <w:rPr>
          <w:rFonts w:ascii="Cambria" w:hAnsi="Cambria"/>
          <w:sz w:val="24"/>
          <w:szCs w:val="24"/>
        </w:rPr>
        <w:t xml:space="preserve"> en 2022</w:t>
      </w:r>
      <w:r w:rsidRPr="00572F0B">
        <w:rPr>
          <w:rFonts w:ascii="Cambria" w:hAnsi="Cambria"/>
          <w:sz w:val="24"/>
          <w:szCs w:val="24"/>
        </w:rPr>
        <w:t>. Ceci a été le résultat de la baisse des valeurs ajoutées :</w:t>
      </w:r>
    </w:p>
    <w:p w:rsidR="00FE0F77" w:rsidRPr="00572F0B" w:rsidRDefault="00FE0F77" w:rsidP="00FE0F7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5" w:right="-68" w:firstLine="0"/>
        <w:jc w:val="both"/>
        <w:rPr>
          <w:rFonts w:ascii="Cambria" w:hAnsi="Cambria"/>
          <w:sz w:val="24"/>
          <w:szCs w:val="24"/>
        </w:rPr>
      </w:pPr>
      <w:r w:rsidRPr="00572F0B">
        <w:rPr>
          <w:rFonts w:ascii="Cambria" w:hAnsi="Cambria"/>
          <w:sz w:val="24"/>
          <w:szCs w:val="24"/>
        </w:rPr>
        <w:t>de l’industrie d’extraction de 9,4% au lieu d’une hausse de 7,3% ;</w:t>
      </w:r>
    </w:p>
    <w:p w:rsidR="00F13D96" w:rsidRPr="00AA1EE4" w:rsidRDefault="00F13D96" w:rsidP="00AA1EE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5" w:right="-68" w:firstLine="0"/>
        <w:jc w:val="both"/>
        <w:rPr>
          <w:rFonts w:ascii="Cambria" w:hAnsi="Cambria"/>
          <w:sz w:val="24"/>
          <w:szCs w:val="24"/>
        </w:rPr>
      </w:pPr>
      <w:r w:rsidRPr="00AA1EE4">
        <w:rPr>
          <w:rFonts w:ascii="Cambria" w:hAnsi="Cambria"/>
          <w:sz w:val="24"/>
          <w:szCs w:val="24"/>
        </w:rPr>
        <w:t xml:space="preserve">du bâtiment et travaux publics de </w:t>
      </w:r>
      <w:r w:rsidR="00982833" w:rsidRPr="00AA1EE4">
        <w:rPr>
          <w:rFonts w:ascii="Cambria" w:hAnsi="Cambria"/>
          <w:sz w:val="24"/>
          <w:szCs w:val="24"/>
        </w:rPr>
        <w:t>3</w:t>
      </w:r>
      <w:r w:rsidRPr="00AA1EE4">
        <w:rPr>
          <w:rFonts w:ascii="Cambria" w:hAnsi="Cambria"/>
          <w:sz w:val="24"/>
          <w:szCs w:val="24"/>
        </w:rPr>
        <w:t>,</w:t>
      </w:r>
      <w:r w:rsidR="00982833" w:rsidRPr="00AA1EE4">
        <w:rPr>
          <w:rFonts w:ascii="Cambria" w:hAnsi="Cambria"/>
          <w:sz w:val="24"/>
          <w:szCs w:val="24"/>
        </w:rPr>
        <w:t>6</w:t>
      </w:r>
      <w:r w:rsidRPr="00AA1EE4">
        <w:rPr>
          <w:rFonts w:ascii="Cambria" w:hAnsi="Cambria"/>
          <w:sz w:val="24"/>
          <w:szCs w:val="24"/>
        </w:rPr>
        <w:t xml:space="preserve">% au lieu d’une hausse de </w:t>
      </w:r>
      <w:r w:rsidR="00982833" w:rsidRPr="00AA1EE4">
        <w:rPr>
          <w:rFonts w:ascii="Cambria" w:hAnsi="Cambria"/>
          <w:sz w:val="24"/>
          <w:szCs w:val="24"/>
        </w:rPr>
        <w:t>4</w:t>
      </w:r>
      <w:r w:rsidRPr="00AA1EE4">
        <w:rPr>
          <w:rFonts w:ascii="Cambria" w:hAnsi="Cambria"/>
          <w:sz w:val="24"/>
          <w:szCs w:val="24"/>
        </w:rPr>
        <w:t>,</w:t>
      </w:r>
      <w:r w:rsidR="00982833" w:rsidRPr="00AA1EE4">
        <w:rPr>
          <w:rFonts w:ascii="Cambria" w:hAnsi="Cambria"/>
          <w:sz w:val="24"/>
          <w:szCs w:val="24"/>
        </w:rPr>
        <w:t>7</w:t>
      </w:r>
      <w:r w:rsidRPr="00AA1EE4">
        <w:rPr>
          <w:rFonts w:ascii="Cambria" w:hAnsi="Cambria"/>
          <w:sz w:val="24"/>
          <w:szCs w:val="24"/>
        </w:rPr>
        <w:t>% ;</w:t>
      </w:r>
    </w:p>
    <w:p w:rsidR="00F13D96" w:rsidRPr="00572F0B" w:rsidRDefault="00F13D96" w:rsidP="0098283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5" w:right="-68" w:firstLine="0"/>
        <w:jc w:val="both"/>
        <w:rPr>
          <w:rFonts w:ascii="Cambria" w:hAnsi="Cambria"/>
          <w:sz w:val="24"/>
          <w:szCs w:val="24"/>
        </w:rPr>
      </w:pPr>
      <w:r w:rsidRPr="00572F0B">
        <w:rPr>
          <w:rFonts w:ascii="Cambria" w:hAnsi="Cambria"/>
          <w:sz w:val="24"/>
          <w:szCs w:val="24"/>
        </w:rPr>
        <w:t>de</w:t>
      </w:r>
      <w:r w:rsidRPr="00AA1EE4">
        <w:rPr>
          <w:rFonts w:ascii="Cambria" w:hAnsi="Cambria"/>
          <w:sz w:val="24"/>
          <w:szCs w:val="24"/>
        </w:rPr>
        <w:t xml:space="preserve"> « Electricité, gaz, eau, assainissement et déchets » de </w:t>
      </w:r>
      <w:r w:rsidR="00982833" w:rsidRPr="00AA1EE4">
        <w:rPr>
          <w:rFonts w:ascii="Cambria" w:hAnsi="Cambria"/>
          <w:sz w:val="24"/>
          <w:szCs w:val="24"/>
        </w:rPr>
        <w:t>3</w:t>
      </w:r>
      <w:r w:rsidRPr="00AA1EE4">
        <w:rPr>
          <w:rFonts w:ascii="Cambria" w:hAnsi="Cambria"/>
          <w:sz w:val="24"/>
          <w:szCs w:val="24"/>
        </w:rPr>
        <w:t>,</w:t>
      </w:r>
      <w:r w:rsidR="00982833" w:rsidRPr="00AA1EE4">
        <w:rPr>
          <w:rFonts w:ascii="Cambria" w:hAnsi="Cambria"/>
          <w:sz w:val="24"/>
          <w:szCs w:val="24"/>
        </w:rPr>
        <w:t>2</w:t>
      </w:r>
      <w:r w:rsidRPr="00AA1EE4">
        <w:rPr>
          <w:rFonts w:ascii="Cambria" w:hAnsi="Cambria"/>
          <w:sz w:val="24"/>
          <w:szCs w:val="24"/>
        </w:rPr>
        <w:t xml:space="preserve">% au lieu d’une hausse de </w:t>
      </w:r>
      <w:r w:rsidR="00982833" w:rsidRPr="00AA1EE4">
        <w:rPr>
          <w:rFonts w:ascii="Cambria" w:hAnsi="Cambria"/>
          <w:sz w:val="24"/>
          <w:szCs w:val="24"/>
        </w:rPr>
        <w:t>7</w:t>
      </w:r>
      <w:r w:rsidRPr="00AA1EE4">
        <w:rPr>
          <w:rFonts w:ascii="Cambria" w:hAnsi="Cambria"/>
          <w:sz w:val="24"/>
          <w:szCs w:val="24"/>
        </w:rPr>
        <w:t>,</w:t>
      </w:r>
      <w:r w:rsidR="00982833" w:rsidRPr="00AA1EE4">
        <w:rPr>
          <w:rFonts w:ascii="Cambria" w:hAnsi="Cambria"/>
          <w:sz w:val="24"/>
          <w:szCs w:val="24"/>
        </w:rPr>
        <w:t>5</w:t>
      </w:r>
      <w:r w:rsidRPr="00AA1EE4">
        <w:rPr>
          <w:rFonts w:ascii="Cambria" w:hAnsi="Cambria"/>
          <w:sz w:val="24"/>
          <w:szCs w:val="24"/>
        </w:rPr>
        <w:t>% ;</w:t>
      </w:r>
    </w:p>
    <w:p w:rsidR="001F73CE" w:rsidRPr="00572F0B" w:rsidRDefault="001F73CE" w:rsidP="00FE0F77">
      <w:pPr>
        <w:autoSpaceDE w:val="0"/>
        <w:autoSpaceDN w:val="0"/>
        <w:adjustRightInd w:val="0"/>
        <w:spacing w:after="0" w:line="240" w:lineRule="auto"/>
        <w:ind w:right="-68"/>
        <w:jc w:val="both"/>
        <w:rPr>
          <w:rFonts w:ascii="Cambria" w:hAnsi="Cambria"/>
          <w:color w:val="222222"/>
          <w:sz w:val="24"/>
          <w:szCs w:val="24"/>
        </w:rPr>
      </w:pPr>
    </w:p>
    <w:p w:rsidR="00FE0F77" w:rsidRPr="00572F0B" w:rsidRDefault="001F73CE" w:rsidP="00FE0F77">
      <w:pPr>
        <w:autoSpaceDE w:val="0"/>
        <w:autoSpaceDN w:val="0"/>
        <w:adjustRightInd w:val="0"/>
        <w:spacing w:after="0" w:line="240" w:lineRule="auto"/>
        <w:ind w:right="-68"/>
        <w:jc w:val="both"/>
        <w:rPr>
          <w:rFonts w:ascii="Cambria" w:hAnsi="Cambria"/>
          <w:sz w:val="24"/>
          <w:szCs w:val="24"/>
        </w:rPr>
      </w:pPr>
      <w:r w:rsidRPr="00572F0B">
        <w:rPr>
          <w:rFonts w:ascii="Cambria" w:hAnsi="Cambria"/>
          <w:color w:val="222222"/>
          <w:sz w:val="24"/>
          <w:szCs w:val="24"/>
        </w:rPr>
        <w:t>Et</w:t>
      </w:r>
      <w:r w:rsidR="00FE0F77" w:rsidRPr="00572F0B">
        <w:rPr>
          <w:rFonts w:ascii="Cambria" w:hAnsi="Cambria"/>
          <w:color w:val="222222"/>
          <w:sz w:val="24"/>
          <w:szCs w:val="24"/>
        </w:rPr>
        <w:t xml:space="preserve"> de la hausse de celle des industries manufacturières de 0,3% </w:t>
      </w:r>
      <w:r w:rsidR="00FE0F77" w:rsidRPr="00572F0B">
        <w:rPr>
          <w:rFonts w:ascii="Cambria" w:hAnsi="Cambria"/>
          <w:sz w:val="24"/>
          <w:szCs w:val="24"/>
        </w:rPr>
        <w:t xml:space="preserve">au lieu d’une hausse </w:t>
      </w:r>
      <w:r w:rsidR="00FE0F77" w:rsidRPr="00572F0B">
        <w:rPr>
          <w:rFonts w:ascii="Cambria" w:hAnsi="Cambria"/>
          <w:color w:val="222222"/>
          <w:sz w:val="24"/>
          <w:szCs w:val="24"/>
        </w:rPr>
        <w:t>de 7,8%.</w:t>
      </w:r>
    </w:p>
    <w:p w:rsidR="00FE0F77" w:rsidRPr="00572F0B" w:rsidRDefault="00FE0F77" w:rsidP="00FE0F77">
      <w:pPr>
        <w:shd w:val="clear" w:color="auto" w:fill="FFFFFF"/>
        <w:spacing w:after="0"/>
        <w:ind w:right="-70"/>
        <w:jc w:val="both"/>
        <w:rPr>
          <w:rFonts w:ascii="Cambria" w:hAnsi="Cambria"/>
          <w:color w:val="222222"/>
          <w:sz w:val="24"/>
          <w:szCs w:val="24"/>
        </w:rPr>
      </w:pPr>
    </w:p>
    <w:p w:rsidR="00F13D96" w:rsidRPr="00572F0B" w:rsidRDefault="00F13D96" w:rsidP="006C286A">
      <w:pPr>
        <w:spacing w:after="60"/>
        <w:jc w:val="both"/>
        <w:rPr>
          <w:rFonts w:ascii="Cambria" w:hAnsi="Cambria"/>
          <w:sz w:val="24"/>
          <w:szCs w:val="24"/>
        </w:rPr>
      </w:pPr>
      <w:r w:rsidRPr="00572F0B">
        <w:rPr>
          <w:rStyle w:val="lev"/>
          <w:rFonts w:ascii="Cambria" w:hAnsi="Cambria"/>
          <w:sz w:val="24"/>
          <w:szCs w:val="24"/>
        </w:rPr>
        <w:t>La valeur ajoutée du secteur tertiaire</w:t>
      </w:r>
      <w:r w:rsidRPr="00572F0B">
        <w:rPr>
          <w:rFonts w:ascii="Cambria" w:hAnsi="Cambria"/>
          <w:sz w:val="24"/>
          <w:szCs w:val="24"/>
        </w:rPr>
        <w:t>, par ailleurs,</w:t>
      </w:r>
      <w:r w:rsidRPr="00572F0B">
        <w:rPr>
          <w:rFonts w:ascii="Cambria" w:hAnsi="Cambria"/>
          <w:b/>
          <w:bCs/>
        </w:rPr>
        <w:t xml:space="preserve"> </w:t>
      </w:r>
      <w:r w:rsidR="00982833" w:rsidRPr="00572F0B">
        <w:rPr>
          <w:rFonts w:ascii="Cambria" w:hAnsi="Cambria"/>
          <w:sz w:val="24"/>
          <w:szCs w:val="24"/>
        </w:rPr>
        <w:t xml:space="preserve"> a enregistré </w:t>
      </w:r>
      <w:r w:rsidR="00FE0F77" w:rsidRPr="00572F0B">
        <w:rPr>
          <w:rFonts w:ascii="Cambria" w:hAnsi="Cambria"/>
          <w:sz w:val="24"/>
          <w:szCs w:val="24"/>
        </w:rPr>
        <w:t>un  ralentissement</w:t>
      </w:r>
      <w:r w:rsidR="00982833" w:rsidRPr="00572F0B">
        <w:rPr>
          <w:rFonts w:ascii="Cambria" w:hAnsi="Cambria"/>
          <w:sz w:val="24"/>
          <w:szCs w:val="24"/>
        </w:rPr>
        <w:t xml:space="preserve"> </w:t>
      </w:r>
      <w:r w:rsidRPr="00572F0B">
        <w:rPr>
          <w:rFonts w:ascii="Cambria" w:hAnsi="Cambria"/>
          <w:sz w:val="24"/>
          <w:szCs w:val="24"/>
        </w:rPr>
        <w:t xml:space="preserve">de son taux d’accroissement passant de </w:t>
      </w:r>
      <w:r w:rsidR="00982833" w:rsidRPr="00572F0B">
        <w:rPr>
          <w:rFonts w:ascii="Cambria" w:hAnsi="Cambria"/>
          <w:sz w:val="24"/>
          <w:szCs w:val="24"/>
        </w:rPr>
        <w:t>5</w:t>
      </w:r>
      <w:r w:rsidRPr="00572F0B">
        <w:rPr>
          <w:rFonts w:ascii="Cambria" w:hAnsi="Cambria"/>
          <w:sz w:val="24"/>
          <w:szCs w:val="24"/>
        </w:rPr>
        <w:t>,</w:t>
      </w:r>
      <w:r w:rsidR="00982833" w:rsidRPr="00572F0B">
        <w:rPr>
          <w:rFonts w:ascii="Cambria" w:hAnsi="Cambria"/>
          <w:sz w:val="24"/>
          <w:szCs w:val="24"/>
        </w:rPr>
        <w:t>8</w:t>
      </w:r>
      <w:r w:rsidRPr="00572F0B">
        <w:rPr>
          <w:rFonts w:ascii="Cambria" w:hAnsi="Cambria"/>
          <w:sz w:val="24"/>
          <w:szCs w:val="24"/>
        </w:rPr>
        <w:t xml:space="preserve">% l’année précédente à </w:t>
      </w:r>
      <w:r w:rsidR="00FE0F77" w:rsidRPr="00572F0B">
        <w:rPr>
          <w:rFonts w:ascii="Cambria" w:hAnsi="Cambria"/>
          <w:sz w:val="24"/>
          <w:szCs w:val="24"/>
        </w:rPr>
        <w:t>5</w:t>
      </w:r>
      <w:r w:rsidRPr="00572F0B">
        <w:rPr>
          <w:rFonts w:ascii="Cambria" w:hAnsi="Cambria"/>
          <w:sz w:val="24"/>
          <w:szCs w:val="24"/>
        </w:rPr>
        <w:t>,</w:t>
      </w:r>
      <w:r w:rsidR="00FE0F77" w:rsidRPr="00572F0B">
        <w:rPr>
          <w:rFonts w:ascii="Cambria" w:hAnsi="Cambria"/>
          <w:sz w:val="24"/>
          <w:szCs w:val="24"/>
        </w:rPr>
        <w:t>4</w:t>
      </w:r>
      <w:r w:rsidRPr="00572F0B">
        <w:rPr>
          <w:rFonts w:ascii="Cambria" w:hAnsi="Cambria"/>
          <w:sz w:val="24"/>
          <w:szCs w:val="24"/>
        </w:rPr>
        <w:t>%</w:t>
      </w:r>
      <w:r w:rsidR="00CE5173" w:rsidRPr="00572F0B">
        <w:rPr>
          <w:rFonts w:ascii="Cambria" w:hAnsi="Cambria"/>
          <w:sz w:val="24"/>
          <w:szCs w:val="24"/>
        </w:rPr>
        <w:t xml:space="preserve"> en 2022</w:t>
      </w:r>
      <w:r w:rsidRPr="00572F0B">
        <w:rPr>
          <w:rFonts w:ascii="Cambria" w:hAnsi="Cambria"/>
          <w:sz w:val="24"/>
          <w:szCs w:val="24"/>
        </w:rPr>
        <w:t xml:space="preserve">. </w:t>
      </w:r>
      <w:r w:rsidR="001F73CE" w:rsidRPr="00572F0B">
        <w:rPr>
          <w:rFonts w:ascii="Cambria" w:hAnsi="Cambria"/>
          <w:color w:val="222222"/>
          <w:sz w:val="24"/>
          <w:szCs w:val="24"/>
        </w:rPr>
        <w:t xml:space="preserve">Elle a été marquée par </w:t>
      </w:r>
      <w:r w:rsidR="006C286A" w:rsidRPr="00572F0B">
        <w:rPr>
          <w:rFonts w:ascii="Cambria" w:hAnsi="Cambria"/>
          <w:color w:val="222222"/>
          <w:sz w:val="24"/>
          <w:szCs w:val="24"/>
        </w:rPr>
        <w:t>le ralentissement</w:t>
      </w:r>
      <w:r w:rsidR="001F73CE" w:rsidRPr="00572F0B">
        <w:rPr>
          <w:rFonts w:ascii="Cambria" w:hAnsi="Cambria"/>
          <w:color w:val="222222"/>
          <w:sz w:val="24"/>
          <w:szCs w:val="24"/>
        </w:rPr>
        <w:t xml:space="preserve"> </w:t>
      </w:r>
      <w:r w:rsidRPr="00572F0B">
        <w:rPr>
          <w:rFonts w:ascii="Cambria" w:hAnsi="Cambria"/>
          <w:color w:val="222222"/>
          <w:sz w:val="24"/>
          <w:szCs w:val="24"/>
        </w:rPr>
        <w:t>des activités de</w:t>
      </w:r>
      <w:r w:rsidRPr="00572F0B">
        <w:rPr>
          <w:rFonts w:ascii="Cambria" w:hAnsi="Cambria"/>
          <w:sz w:val="24"/>
          <w:szCs w:val="24"/>
        </w:rPr>
        <w:t xml:space="preserve">: </w:t>
      </w:r>
    </w:p>
    <w:p w:rsidR="00982833" w:rsidRPr="00572F0B" w:rsidRDefault="00982833" w:rsidP="00D348F4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color w:val="222222"/>
          <w:sz w:val="24"/>
          <w:szCs w:val="24"/>
        </w:rPr>
      </w:pPr>
      <w:r w:rsidRPr="00572F0B">
        <w:rPr>
          <w:rFonts w:ascii="Cambria" w:hAnsi="Cambria"/>
          <w:color w:val="222222"/>
          <w:sz w:val="24"/>
          <w:szCs w:val="24"/>
        </w:rPr>
        <w:t>Recherche et développement et services rendus aux entreprises à 5,4% au lieu de 9,6%;</w:t>
      </w:r>
    </w:p>
    <w:p w:rsidR="009E404D" w:rsidRPr="00572F0B" w:rsidRDefault="009E404D" w:rsidP="00D348F4">
      <w:pPr>
        <w:numPr>
          <w:ilvl w:val="0"/>
          <w:numId w:val="10"/>
        </w:numPr>
        <w:shd w:val="clear" w:color="auto" w:fill="FFFFFF"/>
        <w:spacing w:after="0"/>
        <w:ind w:right="-70"/>
        <w:rPr>
          <w:rFonts w:ascii="Cambria" w:hAnsi="Cambria"/>
          <w:sz w:val="24"/>
          <w:szCs w:val="24"/>
        </w:rPr>
      </w:pPr>
      <w:r w:rsidRPr="00572F0B">
        <w:rPr>
          <w:rFonts w:ascii="Cambria" w:hAnsi="Cambria"/>
          <w:sz w:val="24"/>
          <w:szCs w:val="24"/>
        </w:rPr>
        <w:lastRenderedPageBreak/>
        <w:t xml:space="preserve">Services rendus par l’Administration publique générale et la sécurité sociale, </w:t>
      </w:r>
      <w:r w:rsidR="001F73CE" w:rsidRPr="00572F0B">
        <w:rPr>
          <w:rFonts w:ascii="Cambria" w:hAnsi="Cambria"/>
          <w:sz w:val="24"/>
          <w:szCs w:val="24"/>
        </w:rPr>
        <w:t>à</w:t>
      </w:r>
      <w:r w:rsidRPr="00572F0B">
        <w:rPr>
          <w:rFonts w:ascii="Cambria" w:hAnsi="Cambria"/>
          <w:sz w:val="24"/>
          <w:szCs w:val="24"/>
        </w:rPr>
        <w:t xml:space="preserve"> 4,2% au lieu de 5,1%; </w:t>
      </w:r>
    </w:p>
    <w:p w:rsidR="00F13D96" w:rsidRPr="00572F0B" w:rsidRDefault="00F13D96" w:rsidP="00982833">
      <w:pPr>
        <w:numPr>
          <w:ilvl w:val="0"/>
          <w:numId w:val="10"/>
        </w:numPr>
        <w:spacing w:after="0" w:line="240" w:lineRule="auto"/>
        <w:rPr>
          <w:rFonts w:ascii="Cambria" w:hAnsi="Cambria"/>
          <w:color w:val="222222"/>
          <w:sz w:val="24"/>
          <w:szCs w:val="24"/>
        </w:rPr>
      </w:pPr>
      <w:r w:rsidRPr="00572F0B">
        <w:rPr>
          <w:rFonts w:ascii="Cambria" w:hAnsi="Cambria"/>
          <w:color w:val="222222"/>
          <w:sz w:val="24"/>
          <w:szCs w:val="24"/>
        </w:rPr>
        <w:t xml:space="preserve">Transports et entreposage à </w:t>
      </w:r>
      <w:r w:rsidR="00982833" w:rsidRPr="00572F0B">
        <w:rPr>
          <w:rFonts w:ascii="Cambria" w:hAnsi="Cambria"/>
          <w:color w:val="222222"/>
          <w:sz w:val="24"/>
          <w:szCs w:val="24"/>
        </w:rPr>
        <w:t>3</w:t>
      </w:r>
      <w:r w:rsidRPr="00572F0B">
        <w:rPr>
          <w:rFonts w:ascii="Cambria" w:hAnsi="Cambria"/>
          <w:color w:val="222222"/>
          <w:sz w:val="24"/>
          <w:szCs w:val="24"/>
        </w:rPr>
        <w:t>,</w:t>
      </w:r>
      <w:r w:rsidR="00FE0F77" w:rsidRPr="00572F0B">
        <w:rPr>
          <w:rFonts w:ascii="Cambria" w:hAnsi="Cambria"/>
          <w:color w:val="222222"/>
          <w:sz w:val="24"/>
          <w:szCs w:val="24"/>
        </w:rPr>
        <w:t>8</w:t>
      </w:r>
      <w:r w:rsidRPr="00572F0B">
        <w:rPr>
          <w:rFonts w:ascii="Cambria" w:hAnsi="Cambria"/>
          <w:color w:val="222222"/>
          <w:sz w:val="24"/>
          <w:szCs w:val="24"/>
        </w:rPr>
        <w:t xml:space="preserve">% au lieu de </w:t>
      </w:r>
      <w:r w:rsidR="00982833" w:rsidRPr="00572F0B">
        <w:rPr>
          <w:rFonts w:ascii="Cambria" w:hAnsi="Cambria"/>
          <w:color w:val="222222"/>
          <w:sz w:val="24"/>
          <w:szCs w:val="24"/>
        </w:rPr>
        <w:t>10</w:t>
      </w:r>
      <w:r w:rsidRPr="00572F0B">
        <w:rPr>
          <w:rFonts w:ascii="Cambria" w:hAnsi="Cambria"/>
          <w:color w:val="222222"/>
          <w:sz w:val="24"/>
          <w:szCs w:val="24"/>
        </w:rPr>
        <w:t>,</w:t>
      </w:r>
      <w:r w:rsidR="00982833" w:rsidRPr="00572F0B">
        <w:rPr>
          <w:rFonts w:ascii="Cambria" w:hAnsi="Cambria"/>
          <w:color w:val="222222"/>
          <w:sz w:val="24"/>
          <w:szCs w:val="24"/>
        </w:rPr>
        <w:t>5</w:t>
      </w:r>
      <w:r w:rsidRPr="00572F0B">
        <w:rPr>
          <w:rFonts w:ascii="Cambria" w:hAnsi="Cambria"/>
          <w:color w:val="222222"/>
          <w:sz w:val="24"/>
          <w:szCs w:val="24"/>
        </w:rPr>
        <w:t>%;</w:t>
      </w:r>
    </w:p>
    <w:p w:rsidR="00982833" w:rsidRPr="00572F0B" w:rsidRDefault="00982833" w:rsidP="00982833">
      <w:pPr>
        <w:numPr>
          <w:ilvl w:val="0"/>
          <w:numId w:val="10"/>
        </w:numPr>
        <w:shd w:val="clear" w:color="auto" w:fill="FFFFFF"/>
        <w:spacing w:after="0"/>
        <w:ind w:right="-70"/>
        <w:jc w:val="both"/>
        <w:rPr>
          <w:rFonts w:ascii="Cambria" w:hAnsi="Cambria"/>
          <w:color w:val="222222"/>
          <w:sz w:val="24"/>
          <w:szCs w:val="24"/>
        </w:rPr>
      </w:pPr>
      <w:r w:rsidRPr="00572F0B">
        <w:rPr>
          <w:rFonts w:ascii="Cambria" w:hAnsi="Cambria"/>
          <w:color w:val="222222"/>
          <w:sz w:val="24"/>
          <w:szCs w:val="24"/>
        </w:rPr>
        <w:t>Services immobiliers à 1,4% au lieu de 2,9% ;</w:t>
      </w:r>
    </w:p>
    <w:p w:rsidR="00F13D96" w:rsidRPr="00572F0B" w:rsidRDefault="00F13D96" w:rsidP="00982833">
      <w:pPr>
        <w:numPr>
          <w:ilvl w:val="0"/>
          <w:numId w:val="10"/>
        </w:numPr>
        <w:shd w:val="clear" w:color="auto" w:fill="FFFFFF"/>
        <w:spacing w:after="0"/>
        <w:ind w:right="-70"/>
        <w:jc w:val="both"/>
        <w:rPr>
          <w:rFonts w:ascii="Cambria" w:hAnsi="Cambria"/>
          <w:color w:val="222222"/>
          <w:sz w:val="24"/>
          <w:szCs w:val="24"/>
        </w:rPr>
      </w:pPr>
      <w:r w:rsidRPr="00572F0B">
        <w:rPr>
          <w:rFonts w:ascii="Cambria" w:hAnsi="Cambria"/>
          <w:color w:val="222222"/>
          <w:sz w:val="24"/>
          <w:szCs w:val="24"/>
        </w:rPr>
        <w:t xml:space="preserve">Commerce et réparation véhicules à </w:t>
      </w:r>
      <w:r w:rsidR="00982833" w:rsidRPr="00572F0B">
        <w:rPr>
          <w:rFonts w:ascii="Cambria" w:hAnsi="Cambria"/>
          <w:color w:val="222222"/>
          <w:sz w:val="24"/>
          <w:szCs w:val="24"/>
        </w:rPr>
        <w:t>0</w:t>
      </w:r>
      <w:r w:rsidRPr="00572F0B">
        <w:rPr>
          <w:rFonts w:ascii="Cambria" w:hAnsi="Cambria"/>
          <w:color w:val="222222"/>
          <w:sz w:val="24"/>
          <w:szCs w:val="24"/>
        </w:rPr>
        <w:t xml:space="preserve">,4% au lieu de </w:t>
      </w:r>
      <w:r w:rsidR="00982833" w:rsidRPr="00572F0B">
        <w:rPr>
          <w:rFonts w:ascii="Cambria" w:hAnsi="Cambria"/>
          <w:color w:val="222222"/>
          <w:sz w:val="24"/>
          <w:szCs w:val="24"/>
        </w:rPr>
        <w:t>8</w:t>
      </w:r>
      <w:r w:rsidRPr="00572F0B">
        <w:rPr>
          <w:rFonts w:ascii="Cambria" w:hAnsi="Cambria"/>
          <w:color w:val="222222"/>
          <w:sz w:val="24"/>
          <w:szCs w:val="24"/>
        </w:rPr>
        <w:t>,</w:t>
      </w:r>
      <w:r w:rsidR="00982833" w:rsidRPr="00572F0B">
        <w:rPr>
          <w:rFonts w:ascii="Cambria" w:hAnsi="Cambria"/>
          <w:color w:val="222222"/>
          <w:sz w:val="24"/>
          <w:szCs w:val="24"/>
        </w:rPr>
        <w:t>2</w:t>
      </w:r>
      <w:r w:rsidRPr="00572F0B">
        <w:rPr>
          <w:rFonts w:ascii="Cambria" w:hAnsi="Cambria"/>
          <w:color w:val="222222"/>
          <w:sz w:val="24"/>
          <w:szCs w:val="24"/>
        </w:rPr>
        <w:t>%</w:t>
      </w:r>
      <w:r w:rsidR="00982833" w:rsidRPr="00572F0B">
        <w:rPr>
          <w:rFonts w:ascii="Cambria" w:hAnsi="Cambria"/>
          <w:color w:val="222222"/>
          <w:sz w:val="24"/>
          <w:szCs w:val="24"/>
        </w:rPr>
        <w:t>.</w:t>
      </w:r>
    </w:p>
    <w:p w:rsidR="00C8277D" w:rsidRPr="00572F0B" w:rsidRDefault="00C8277D" w:rsidP="00F13D96">
      <w:pPr>
        <w:shd w:val="clear" w:color="auto" w:fill="FFFFFF"/>
        <w:spacing w:after="120"/>
        <w:ind w:right="-68"/>
        <w:jc w:val="both"/>
        <w:rPr>
          <w:rFonts w:ascii="Cambria" w:hAnsi="Cambria"/>
          <w:color w:val="222222"/>
          <w:sz w:val="24"/>
          <w:szCs w:val="24"/>
        </w:rPr>
      </w:pPr>
    </w:p>
    <w:p w:rsidR="00F13D96" w:rsidRPr="00572F0B" w:rsidRDefault="00F72B80" w:rsidP="006C286A">
      <w:pPr>
        <w:shd w:val="clear" w:color="auto" w:fill="FFFFFF"/>
        <w:spacing w:after="120"/>
        <w:ind w:right="-68"/>
        <w:jc w:val="both"/>
        <w:rPr>
          <w:rFonts w:ascii="Cambria" w:hAnsi="Cambria"/>
          <w:color w:val="222222"/>
          <w:sz w:val="24"/>
          <w:szCs w:val="24"/>
        </w:rPr>
      </w:pPr>
      <w:r>
        <w:rPr>
          <w:rFonts w:ascii="Cambria" w:hAnsi="Cambria"/>
          <w:color w:val="222222"/>
          <w:sz w:val="24"/>
          <w:szCs w:val="24"/>
        </w:rPr>
        <w:t>Et de la hausse de celles</w:t>
      </w:r>
      <w:r w:rsidR="00F13D96" w:rsidRPr="00572F0B">
        <w:rPr>
          <w:rFonts w:ascii="Cambria" w:hAnsi="Cambria"/>
          <w:color w:val="222222"/>
          <w:sz w:val="24"/>
          <w:szCs w:val="24"/>
        </w:rPr>
        <w:t xml:space="preserve"> :</w:t>
      </w:r>
    </w:p>
    <w:p w:rsidR="009E404D" w:rsidRPr="00572F0B" w:rsidRDefault="00F72B80" w:rsidP="00F72B80">
      <w:pPr>
        <w:numPr>
          <w:ilvl w:val="0"/>
          <w:numId w:val="10"/>
        </w:numPr>
        <w:shd w:val="clear" w:color="auto" w:fill="FFFFFF"/>
        <w:spacing w:after="0"/>
        <w:ind w:right="-70"/>
        <w:jc w:val="both"/>
        <w:rPr>
          <w:rFonts w:ascii="Cambria" w:hAnsi="Cambria"/>
          <w:color w:val="222222"/>
          <w:sz w:val="24"/>
          <w:szCs w:val="24"/>
        </w:rPr>
      </w:pPr>
      <w:r>
        <w:rPr>
          <w:rFonts w:ascii="Cambria" w:hAnsi="Cambria"/>
          <w:color w:val="222222"/>
          <w:sz w:val="24"/>
          <w:szCs w:val="24"/>
        </w:rPr>
        <w:t>de l’h</w:t>
      </w:r>
      <w:r w:rsidR="00354185" w:rsidRPr="00572F0B">
        <w:rPr>
          <w:rFonts w:ascii="Cambria" w:hAnsi="Cambria"/>
          <w:color w:val="222222"/>
          <w:sz w:val="24"/>
          <w:szCs w:val="24"/>
        </w:rPr>
        <w:t>ébergement et restauration, avec</w:t>
      </w:r>
      <w:r w:rsidR="009E404D" w:rsidRPr="00572F0B">
        <w:rPr>
          <w:rFonts w:ascii="Cambria" w:hAnsi="Cambria"/>
          <w:color w:val="222222"/>
          <w:sz w:val="24"/>
          <w:szCs w:val="24"/>
        </w:rPr>
        <w:t xml:space="preserve"> 53,7% au lieu de 15,4%;</w:t>
      </w:r>
    </w:p>
    <w:p w:rsidR="009E404D" w:rsidRPr="00572F0B" w:rsidRDefault="00F72B80" w:rsidP="00F72B80">
      <w:pPr>
        <w:numPr>
          <w:ilvl w:val="0"/>
          <w:numId w:val="10"/>
        </w:numPr>
        <w:shd w:val="clear" w:color="auto" w:fill="FFFFFF"/>
        <w:spacing w:after="0"/>
        <w:ind w:left="714" w:right="-68" w:hanging="357"/>
        <w:jc w:val="both"/>
        <w:rPr>
          <w:rFonts w:ascii="Cambria" w:hAnsi="Cambria"/>
          <w:color w:val="222222"/>
          <w:sz w:val="24"/>
          <w:szCs w:val="24"/>
        </w:rPr>
      </w:pPr>
      <w:r>
        <w:rPr>
          <w:rFonts w:ascii="Cambria" w:hAnsi="Cambria"/>
          <w:color w:val="222222"/>
          <w:sz w:val="24"/>
          <w:szCs w:val="24"/>
        </w:rPr>
        <w:t>des s</w:t>
      </w:r>
      <w:r w:rsidR="009E404D" w:rsidRPr="00572F0B">
        <w:rPr>
          <w:rFonts w:ascii="Cambria" w:hAnsi="Cambria"/>
          <w:color w:val="222222"/>
          <w:sz w:val="24"/>
          <w:szCs w:val="24"/>
        </w:rPr>
        <w:t xml:space="preserve">ervices de l’éducation, de </w:t>
      </w:r>
      <w:r w:rsidR="00354185" w:rsidRPr="00572F0B">
        <w:rPr>
          <w:rFonts w:ascii="Cambria" w:hAnsi="Cambria"/>
          <w:color w:val="222222"/>
          <w:sz w:val="24"/>
          <w:szCs w:val="24"/>
        </w:rPr>
        <w:t xml:space="preserve">la santé et de l’action sociale, avec </w:t>
      </w:r>
      <w:r w:rsidR="009E404D" w:rsidRPr="00572F0B">
        <w:rPr>
          <w:rFonts w:ascii="Cambria" w:hAnsi="Cambria"/>
          <w:color w:val="222222"/>
          <w:sz w:val="24"/>
          <w:szCs w:val="24"/>
        </w:rPr>
        <w:t>5,5% au lieu de 3,6%;</w:t>
      </w:r>
    </w:p>
    <w:p w:rsidR="00F13D96" w:rsidRPr="00572F0B" w:rsidRDefault="00F72B80" w:rsidP="00F72B80">
      <w:pPr>
        <w:numPr>
          <w:ilvl w:val="0"/>
          <w:numId w:val="10"/>
        </w:numPr>
        <w:shd w:val="clear" w:color="auto" w:fill="FFFFFF"/>
        <w:spacing w:after="0"/>
        <w:ind w:right="-70"/>
        <w:jc w:val="both"/>
        <w:rPr>
          <w:rFonts w:ascii="Cambria" w:hAnsi="Cambria"/>
          <w:color w:val="222222"/>
          <w:sz w:val="24"/>
          <w:szCs w:val="24"/>
        </w:rPr>
      </w:pPr>
      <w:r>
        <w:rPr>
          <w:rFonts w:ascii="Cambria" w:hAnsi="Cambria"/>
          <w:color w:val="222222"/>
          <w:sz w:val="24"/>
          <w:szCs w:val="24"/>
        </w:rPr>
        <w:t>des s</w:t>
      </w:r>
      <w:r w:rsidR="00F13D96" w:rsidRPr="00572F0B">
        <w:rPr>
          <w:rFonts w:ascii="Cambria" w:hAnsi="Cambria"/>
          <w:color w:val="222222"/>
          <w:sz w:val="24"/>
          <w:szCs w:val="24"/>
        </w:rPr>
        <w:t xml:space="preserve">ervices financiers et assurances, avec </w:t>
      </w:r>
      <w:r w:rsidR="009E404D" w:rsidRPr="00572F0B">
        <w:rPr>
          <w:rFonts w:ascii="Cambria" w:hAnsi="Cambria"/>
          <w:color w:val="222222"/>
          <w:sz w:val="24"/>
          <w:szCs w:val="24"/>
        </w:rPr>
        <w:t>7</w:t>
      </w:r>
      <w:r w:rsidR="00F13D96" w:rsidRPr="00572F0B">
        <w:rPr>
          <w:rFonts w:ascii="Cambria" w:hAnsi="Cambria"/>
          <w:color w:val="222222"/>
          <w:sz w:val="24"/>
          <w:szCs w:val="24"/>
        </w:rPr>
        <w:t>,</w:t>
      </w:r>
      <w:r w:rsidR="009E404D" w:rsidRPr="00572F0B">
        <w:rPr>
          <w:rFonts w:ascii="Cambria" w:hAnsi="Cambria"/>
          <w:color w:val="222222"/>
          <w:sz w:val="24"/>
          <w:szCs w:val="24"/>
        </w:rPr>
        <w:t>0</w:t>
      </w:r>
      <w:r w:rsidR="00F13D96" w:rsidRPr="00572F0B">
        <w:rPr>
          <w:rFonts w:ascii="Cambria" w:hAnsi="Cambria"/>
          <w:color w:val="222222"/>
          <w:sz w:val="24"/>
          <w:szCs w:val="24"/>
        </w:rPr>
        <w:t xml:space="preserve">% au lieu de </w:t>
      </w:r>
      <w:r w:rsidR="009E404D" w:rsidRPr="00572F0B">
        <w:rPr>
          <w:rFonts w:ascii="Cambria" w:hAnsi="Cambria"/>
          <w:color w:val="222222"/>
          <w:sz w:val="24"/>
          <w:szCs w:val="24"/>
        </w:rPr>
        <w:t>4</w:t>
      </w:r>
      <w:r w:rsidR="00F13D96" w:rsidRPr="00572F0B">
        <w:rPr>
          <w:rFonts w:ascii="Cambria" w:hAnsi="Cambria"/>
          <w:color w:val="222222"/>
          <w:sz w:val="24"/>
          <w:szCs w:val="24"/>
        </w:rPr>
        <w:t>,</w:t>
      </w:r>
      <w:r w:rsidR="009E404D" w:rsidRPr="00572F0B">
        <w:rPr>
          <w:rFonts w:ascii="Cambria" w:hAnsi="Cambria"/>
          <w:color w:val="222222"/>
          <w:sz w:val="24"/>
          <w:szCs w:val="24"/>
        </w:rPr>
        <w:t>8</w:t>
      </w:r>
      <w:r w:rsidR="00F13D96" w:rsidRPr="00572F0B">
        <w:rPr>
          <w:rFonts w:ascii="Cambria" w:hAnsi="Cambria"/>
          <w:color w:val="222222"/>
          <w:sz w:val="24"/>
          <w:szCs w:val="24"/>
        </w:rPr>
        <w:t>%;</w:t>
      </w:r>
    </w:p>
    <w:p w:rsidR="00F13D96" w:rsidRPr="00572F0B" w:rsidRDefault="00F72B80" w:rsidP="00F72B80">
      <w:pPr>
        <w:numPr>
          <w:ilvl w:val="0"/>
          <w:numId w:val="10"/>
        </w:numPr>
        <w:shd w:val="clear" w:color="auto" w:fill="FFFFFF"/>
        <w:spacing w:after="120"/>
        <w:ind w:left="714" w:right="-68" w:hanging="357"/>
        <w:jc w:val="both"/>
        <w:rPr>
          <w:rFonts w:ascii="Cambria" w:hAnsi="Cambria"/>
          <w:color w:val="222222"/>
          <w:sz w:val="24"/>
          <w:szCs w:val="24"/>
        </w:rPr>
      </w:pPr>
      <w:r>
        <w:rPr>
          <w:rFonts w:ascii="Cambria" w:hAnsi="Cambria"/>
          <w:color w:val="222222"/>
          <w:sz w:val="24"/>
          <w:szCs w:val="24"/>
        </w:rPr>
        <w:t>de l’i</w:t>
      </w:r>
      <w:r w:rsidR="00F13D96" w:rsidRPr="00572F0B">
        <w:rPr>
          <w:rFonts w:ascii="Cambria" w:hAnsi="Cambria"/>
          <w:color w:val="222222"/>
          <w:sz w:val="24"/>
          <w:szCs w:val="24"/>
        </w:rPr>
        <w:t xml:space="preserve">nformation et communication, avec </w:t>
      </w:r>
      <w:r w:rsidR="009E404D" w:rsidRPr="00572F0B">
        <w:rPr>
          <w:rFonts w:ascii="Cambria" w:hAnsi="Cambria"/>
          <w:color w:val="222222"/>
          <w:sz w:val="24"/>
          <w:szCs w:val="24"/>
        </w:rPr>
        <w:t>2</w:t>
      </w:r>
      <w:r w:rsidR="00F13D96" w:rsidRPr="00572F0B">
        <w:rPr>
          <w:rFonts w:ascii="Cambria" w:hAnsi="Cambria"/>
          <w:color w:val="222222"/>
          <w:sz w:val="24"/>
          <w:szCs w:val="24"/>
        </w:rPr>
        <w:t>,</w:t>
      </w:r>
      <w:r w:rsidR="009E404D" w:rsidRPr="00572F0B">
        <w:rPr>
          <w:rFonts w:ascii="Cambria" w:hAnsi="Cambria"/>
          <w:color w:val="222222"/>
          <w:sz w:val="24"/>
          <w:szCs w:val="24"/>
        </w:rPr>
        <w:t>6% au lieu d’une baisse</w:t>
      </w:r>
      <w:r w:rsidR="00F13D96" w:rsidRPr="00572F0B">
        <w:rPr>
          <w:rFonts w:ascii="Cambria" w:hAnsi="Cambria"/>
          <w:color w:val="222222"/>
          <w:sz w:val="24"/>
          <w:szCs w:val="24"/>
        </w:rPr>
        <w:t xml:space="preserve"> </w:t>
      </w:r>
      <w:r w:rsidR="009E404D" w:rsidRPr="00572F0B">
        <w:rPr>
          <w:rFonts w:ascii="Cambria" w:hAnsi="Cambria"/>
          <w:color w:val="222222"/>
          <w:sz w:val="24"/>
          <w:szCs w:val="24"/>
        </w:rPr>
        <w:t>1</w:t>
      </w:r>
      <w:r w:rsidR="00F13D96" w:rsidRPr="00572F0B">
        <w:rPr>
          <w:rFonts w:ascii="Cambria" w:hAnsi="Cambria"/>
          <w:color w:val="222222"/>
          <w:sz w:val="24"/>
          <w:szCs w:val="24"/>
        </w:rPr>
        <w:t>,</w:t>
      </w:r>
      <w:r w:rsidR="009E404D" w:rsidRPr="00572F0B">
        <w:rPr>
          <w:rFonts w:ascii="Cambria" w:hAnsi="Cambria"/>
          <w:color w:val="222222"/>
          <w:sz w:val="24"/>
          <w:szCs w:val="24"/>
        </w:rPr>
        <w:t>5</w:t>
      </w:r>
      <w:r w:rsidR="00F13D96" w:rsidRPr="00572F0B">
        <w:rPr>
          <w:rFonts w:ascii="Cambria" w:hAnsi="Cambria"/>
          <w:color w:val="222222"/>
          <w:sz w:val="24"/>
          <w:szCs w:val="24"/>
        </w:rPr>
        <w:t>%.</w:t>
      </w:r>
    </w:p>
    <w:p w:rsidR="00F13D96" w:rsidRPr="00572F0B" w:rsidRDefault="00F13D96" w:rsidP="00F72B80">
      <w:pPr>
        <w:shd w:val="clear" w:color="auto" w:fill="FFFFFF"/>
        <w:spacing w:before="120" w:after="120"/>
        <w:ind w:right="45"/>
        <w:rPr>
          <w:rFonts w:ascii="Cambria" w:hAnsi="Cambria"/>
          <w:sz w:val="24"/>
          <w:szCs w:val="24"/>
        </w:rPr>
      </w:pPr>
      <w:r w:rsidRPr="00572F0B">
        <w:rPr>
          <w:rFonts w:ascii="Cambria" w:hAnsi="Cambria"/>
          <w:sz w:val="24"/>
          <w:szCs w:val="24"/>
        </w:rPr>
        <w:t xml:space="preserve">Au total, la </w:t>
      </w:r>
      <w:r w:rsidRPr="00572F0B">
        <w:rPr>
          <w:rStyle w:val="lev"/>
          <w:rFonts w:ascii="Cambria" w:hAnsi="Cambria"/>
          <w:sz w:val="24"/>
          <w:szCs w:val="24"/>
        </w:rPr>
        <w:t xml:space="preserve">valeur ajoutée des activités non agricoles </w:t>
      </w:r>
      <w:r w:rsidRPr="00572F0B">
        <w:rPr>
          <w:rFonts w:ascii="Cambria" w:hAnsi="Cambria"/>
          <w:sz w:val="24"/>
          <w:szCs w:val="24"/>
        </w:rPr>
        <w:t xml:space="preserve">a connu </w:t>
      </w:r>
      <w:r w:rsidR="00952B3E" w:rsidRPr="00572F0B">
        <w:rPr>
          <w:rFonts w:ascii="Cambria" w:hAnsi="Cambria"/>
          <w:sz w:val="24"/>
          <w:szCs w:val="24"/>
        </w:rPr>
        <w:t xml:space="preserve">une </w:t>
      </w:r>
      <w:r w:rsidR="00473269" w:rsidRPr="00572F0B">
        <w:rPr>
          <w:rFonts w:ascii="Cambria" w:hAnsi="Cambria"/>
          <w:sz w:val="24"/>
          <w:szCs w:val="24"/>
        </w:rPr>
        <w:t>hausse de</w:t>
      </w:r>
      <w:r w:rsidR="00256332" w:rsidRPr="00572F0B">
        <w:rPr>
          <w:rFonts w:ascii="Cambria" w:hAnsi="Cambria"/>
          <w:sz w:val="24"/>
          <w:szCs w:val="24"/>
        </w:rPr>
        <w:t xml:space="preserve"> 3</w:t>
      </w:r>
      <w:r w:rsidRPr="00572F0B">
        <w:rPr>
          <w:rFonts w:ascii="Cambria" w:hAnsi="Cambria"/>
          <w:sz w:val="24"/>
          <w:szCs w:val="24"/>
        </w:rPr>
        <w:t>% durant</w:t>
      </w:r>
      <w:r w:rsidR="00354185" w:rsidRPr="00572F0B">
        <w:rPr>
          <w:rFonts w:ascii="Cambria" w:hAnsi="Cambria"/>
          <w:sz w:val="24"/>
          <w:szCs w:val="24"/>
        </w:rPr>
        <w:t xml:space="preserve"> l’année</w:t>
      </w:r>
      <w:r w:rsidRPr="00572F0B">
        <w:rPr>
          <w:rFonts w:ascii="Cambria" w:hAnsi="Cambria"/>
          <w:sz w:val="24"/>
          <w:szCs w:val="24"/>
        </w:rPr>
        <w:t xml:space="preserve"> 2022 au lieu de </w:t>
      </w:r>
      <w:r w:rsidR="009E404D" w:rsidRPr="00572F0B">
        <w:rPr>
          <w:rFonts w:ascii="Cambria" w:hAnsi="Cambria"/>
          <w:sz w:val="24"/>
          <w:szCs w:val="24"/>
        </w:rPr>
        <w:t>6</w:t>
      </w:r>
      <w:r w:rsidRPr="00572F0B">
        <w:rPr>
          <w:rFonts w:ascii="Cambria" w:hAnsi="Cambria"/>
          <w:sz w:val="24"/>
          <w:szCs w:val="24"/>
        </w:rPr>
        <w:t>,</w:t>
      </w:r>
      <w:r w:rsidR="009E404D" w:rsidRPr="00572F0B">
        <w:rPr>
          <w:rFonts w:ascii="Cambria" w:hAnsi="Cambria"/>
          <w:sz w:val="24"/>
          <w:szCs w:val="24"/>
        </w:rPr>
        <w:t>3</w:t>
      </w:r>
      <w:r w:rsidRPr="00572F0B">
        <w:rPr>
          <w:rFonts w:ascii="Cambria" w:hAnsi="Cambria"/>
          <w:sz w:val="24"/>
          <w:szCs w:val="24"/>
        </w:rPr>
        <w:t xml:space="preserve">% </w:t>
      </w:r>
      <w:r w:rsidR="00354185" w:rsidRPr="00572F0B">
        <w:rPr>
          <w:rFonts w:ascii="Cambria" w:hAnsi="Cambria"/>
          <w:sz w:val="24"/>
          <w:szCs w:val="24"/>
        </w:rPr>
        <w:t>une année auparavant</w:t>
      </w:r>
      <w:r w:rsidRPr="00572F0B">
        <w:rPr>
          <w:rFonts w:ascii="Cambria" w:hAnsi="Cambria"/>
          <w:sz w:val="24"/>
          <w:szCs w:val="24"/>
        </w:rPr>
        <w:t>.</w:t>
      </w:r>
    </w:p>
    <w:p w:rsidR="00F13D96" w:rsidRPr="00572F0B" w:rsidRDefault="00F13D96" w:rsidP="00C03FC0">
      <w:pPr>
        <w:shd w:val="clear" w:color="auto" w:fill="FFFFFF"/>
        <w:tabs>
          <w:tab w:val="left" w:pos="9286"/>
        </w:tabs>
        <w:spacing w:before="240" w:after="120"/>
        <w:jc w:val="both"/>
        <w:rPr>
          <w:rFonts w:ascii="Cambria" w:hAnsi="Cambria"/>
          <w:sz w:val="24"/>
          <w:szCs w:val="24"/>
        </w:rPr>
      </w:pPr>
      <w:r w:rsidRPr="00572F0B">
        <w:rPr>
          <w:rFonts w:ascii="Cambria" w:hAnsi="Cambria"/>
          <w:sz w:val="24"/>
          <w:szCs w:val="24"/>
        </w:rPr>
        <w:t xml:space="preserve">Dans ces conditions, </w:t>
      </w:r>
      <w:r w:rsidR="00C8277D" w:rsidRPr="00572F0B">
        <w:rPr>
          <w:rFonts w:ascii="Cambria" w:hAnsi="Cambria"/>
          <w:sz w:val="24"/>
          <w:szCs w:val="24"/>
        </w:rPr>
        <w:t xml:space="preserve"> </w:t>
      </w:r>
      <w:r w:rsidRPr="00572F0B">
        <w:rPr>
          <w:rFonts w:ascii="Cambria" w:hAnsi="Cambria"/>
          <w:sz w:val="24"/>
          <w:szCs w:val="24"/>
        </w:rPr>
        <w:t>et tenant compte de la hausse de 3,</w:t>
      </w:r>
      <w:r w:rsidR="0065209D" w:rsidRPr="00572F0B">
        <w:rPr>
          <w:rFonts w:ascii="Cambria" w:hAnsi="Cambria"/>
          <w:sz w:val="24"/>
          <w:szCs w:val="24"/>
        </w:rPr>
        <w:t>9</w:t>
      </w:r>
      <w:r w:rsidRPr="00572F0B">
        <w:rPr>
          <w:rFonts w:ascii="Cambria" w:hAnsi="Cambria"/>
          <w:sz w:val="24"/>
          <w:szCs w:val="24"/>
        </w:rPr>
        <w:t xml:space="preserve">% des impôts sur les produits nets des subventions, </w:t>
      </w:r>
      <w:r w:rsidR="00C8277D" w:rsidRPr="00572F0B">
        <w:rPr>
          <w:rFonts w:ascii="Cambria" w:hAnsi="Cambria"/>
          <w:sz w:val="24"/>
          <w:szCs w:val="24"/>
        </w:rPr>
        <w:t xml:space="preserve"> </w:t>
      </w:r>
      <w:r w:rsidRPr="00572F0B">
        <w:rPr>
          <w:rFonts w:ascii="Cambria" w:hAnsi="Cambria"/>
          <w:sz w:val="24"/>
          <w:szCs w:val="24"/>
        </w:rPr>
        <w:t xml:space="preserve">le </w:t>
      </w:r>
      <w:r w:rsidRPr="00572F0B">
        <w:rPr>
          <w:rFonts w:ascii="Cambria" w:hAnsi="Cambria"/>
          <w:b/>
          <w:bCs/>
          <w:sz w:val="24"/>
          <w:szCs w:val="24"/>
        </w:rPr>
        <w:t>taux de croissance économique</w:t>
      </w:r>
      <w:r w:rsidRPr="00572F0B">
        <w:rPr>
          <w:rFonts w:ascii="Cambria" w:hAnsi="Cambria"/>
          <w:sz w:val="24"/>
          <w:szCs w:val="24"/>
        </w:rPr>
        <w:t xml:space="preserve"> a connu </w:t>
      </w:r>
      <w:r w:rsidR="00864762" w:rsidRPr="00572F0B">
        <w:rPr>
          <w:rFonts w:ascii="Cambria" w:hAnsi="Cambria"/>
          <w:sz w:val="24"/>
          <w:szCs w:val="24"/>
        </w:rPr>
        <w:t>un net ralentissement</w:t>
      </w:r>
      <w:r w:rsidRPr="00572F0B">
        <w:rPr>
          <w:rFonts w:ascii="Cambria" w:hAnsi="Cambria"/>
          <w:sz w:val="24"/>
          <w:szCs w:val="24"/>
        </w:rPr>
        <w:t>,</w:t>
      </w:r>
      <w:r w:rsidR="00C8277D" w:rsidRPr="00572F0B">
        <w:rPr>
          <w:rFonts w:ascii="Cambria" w:hAnsi="Cambria"/>
          <w:sz w:val="24"/>
          <w:szCs w:val="24"/>
        </w:rPr>
        <w:t xml:space="preserve"> </w:t>
      </w:r>
      <w:r w:rsidRPr="00572F0B">
        <w:rPr>
          <w:rFonts w:ascii="Cambria" w:hAnsi="Cambria"/>
          <w:sz w:val="24"/>
          <w:szCs w:val="24"/>
        </w:rPr>
        <w:t xml:space="preserve">passant de </w:t>
      </w:r>
      <w:r w:rsidR="00256332" w:rsidRPr="00572F0B">
        <w:rPr>
          <w:rFonts w:ascii="Cambria" w:hAnsi="Cambria"/>
          <w:sz w:val="24"/>
          <w:szCs w:val="24"/>
        </w:rPr>
        <w:t>8</w:t>
      </w:r>
      <w:r w:rsidRPr="00572F0B">
        <w:rPr>
          <w:rFonts w:ascii="Cambria" w:hAnsi="Cambria"/>
          <w:sz w:val="24"/>
          <w:szCs w:val="24"/>
        </w:rPr>
        <w:t xml:space="preserve">% </w:t>
      </w:r>
      <w:r w:rsidR="00C03FC0">
        <w:rPr>
          <w:rFonts w:ascii="Cambria" w:hAnsi="Cambria"/>
          <w:sz w:val="24"/>
          <w:szCs w:val="24"/>
        </w:rPr>
        <w:t>en 2021</w:t>
      </w:r>
      <w:r w:rsidRPr="00572F0B">
        <w:rPr>
          <w:rFonts w:ascii="Cambria" w:hAnsi="Cambria"/>
          <w:sz w:val="24"/>
          <w:szCs w:val="24"/>
        </w:rPr>
        <w:t xml:space="preserve"> à </w:t>
      </w:r>
      <w:r w:rsidR="009E404D" w:rsidRPr="00572F0B">
        <w:rPr>
          <w:rFonts w:ascii="Cambria" w:hAnsi="Cambria"/>
          <w:sz w:val="24"/>
          <w:szCs w:val="24"/>
        </w:rPr>
        <w:t>1</w:t>
      </w:r>
      <w:r w:rsidRPr="00572F0B">
        <w:rPr>
          <w:rFonts w:ascii="Cambria" w:hAnsi="Cambria"/>
          <w:sz w:val="24"/>
          <w:szCs w:val="24"/>
        </w:rPr>
        <w:t>,</w:t>
      </w:r>
      <w:r w:rsidR="0065209D" w:rsidRPr="00572F0B">
        <w:rPr>
          <w:rFonts w:ascii="Cambria" w:hAnsi="Cambria"/>
          <w:sz w:val="24"/>
          <w:szCs w:val="24"/>
        </w:rPr>
        <w:t>3</w:t>
      </w:r>
      <w:r w:rsidRPr="00572F0B">
        <w:rPr>
          <w:rFonts w:ascii="Cambria" w:hAnsi="Cambria"/>
          <w:sz w:val="24"/>
          <w:szCs w:val="24"/>
        </w:rPr>
        <w:t>%</w:t>
      </w:r>
      <w:r w:rsidR="006C286A" w:rsidRPr="00572F0B">
        <w:rPr>
          <w:rFonts w:ascii="Cambria" w:hAnsi="Cambria"/>
          <w:sz w:val="24"/>
          <w:szCs w:val="24"/>
        </w:rPr>
        <w:t xml:space="preserve"> en 2022</w:t>
      </w:r>
      <w:r w:rsidRPr="00572F0B">
        <w:rPr>
          <w:rFonts w:ascii="Cambria" w:hAnsi="Cambria"/>
          <w:sz w:val="24"/>
          <w:szCs w:val="24"/>
        </w:rPr>
        <w:t>.</w:t>
      </w:r>
    </w:p>
    <w:p w:rsidR="0001007A" w:rsidRPr="00572F0B" w:rsidRDefault="00354185" w:rsidP="00354185">
      <w:pPr>
        <w:shd w:val="clear" w:color="auto" w:fill="FFFFFF"/>
        <w:spacing w:before="160"/>
        <w:ind w:right="215"/>
        <w:jc w:val="both"/>
        <w:rPr>
          <w:rFonts w:ascii="Cambria" w:hAnsi="Cambria" w:cs="Calibri"/>
          <w:b/>
          <w:bCs/>
          <w:sz w:val="28"/>
          <w:szCs w:val="28"/>
        </w:rPr>
      </w:pPr>
      <w:r w:rsidRPr="00572F0B">
        <w:rPr>
          <w:rFonts w:ascii="Cambria" w:hAnsi="Cambria" w:cs="Calibri"/>
          <w:b/>
          <w:bCs/>
          <w:sz w:val="28"/>
          <w:szCs w:val="28"/>
        </w:rPr>
        <w:t>Hausse du n</w:t>
      </w:r>
      <w:r w:rsidR="0001007A" w:rsidRPr="00572F0B">
        <w:rPr>
          <w:rFonts w:ascii="Cambria" w:hAnsi="Cambria" w:cs="Calibri"/>
          <w:b/>
          <w:bCs/>
          <w:sz w:val="28"/>
          <w:szCs w:val="28"/>
        </w:rPr>
        <w:t xml:space="preserve">iveau général des prix </w:t>
      </w:r>
    </w:p>
    <w:p w:rsidR="00426078" w:rsidRPr="00572F0B" w:rsidRDefault="00426078" w:rsidP="00B2391C">
      <w:pPr>
        <w:spacing w:after="0" w:line="380" w:lineRule="exact"/>
        <w:jc w:val="both"/>
        <w:rPr>
          <w:rFonts w:ascii="Cambria" w:eastAsia="Times New Roman" w:hAnsi="Cambria" w:cs="Times New Roman"/>
          <w:color w:val="222222"/>
          <w:sz w:val="24"/>
          <w:szCs w:val="24"/>
          <w:lang w:eastAsia="fr-FR"/>
        </w:rPr>
      </w:pPr>
      <w:r w:rsidRPr="00572F0B">
        <w:rPr>
          <w:rFonts w:ascii="Cambria" w:eastAsia="Times New Roman" w:hAnsi="Cambria" w:cs="Times New Roman"/>
          <w:color w:val="222222"/>
          <w:sz w:val="24"/>
          <w:szCs w:val="24"/>
          <w:lang w:eastAsia="fr-FR"/>
        </w:rPr>
        <w:t xml:space="preserve">Aux prix courants, le PIB national a connu une </w:t>
      </w:r>
      <w:r w:rsidR="00BD4C95" w:rsidRPr="00572F0B">
        <w:rPr>
          <w:rFonts w:ascii="Cambria" w:eastAsia="Times New Roman" w:hAnsi="Cambria" w:cs="Times New Roman"/>
          <w:color w:val="222222"/>
          <w:sz w:val="24"/>
          <w:szCs w:val="24"/>
          <w:lang w:eastAsia="fr-FR"/>
        </w:rPr>
        <w:t>hausse de</w:t>
      </w:r>
      <w:r w:rsidRPr="00572F0B">
        <w:rPr>
          <w:rFonts w:ascii="Cambria" w:eastAsia="Times New Roman" w:hAnsi="Cambria" w:cs="Times New Roman"/>
          <w:color w:val="222222"/>
          <w:sz w:val="24"/>
          <w:szCs w:val="24"/>
          <w:lang w:eastAsia="fr-FR"/>
        </w:rPr>
        <w:t xml:space="preserve"> </w:t>
      </w:r>
      <w:r w:rsidR="00CE2FA4" w:rsidRPr="00572F0B">
        <w:rPr>
          <w:rFonts w:ascii="Cambria" w:eastAsia="Times New Roman" w:hAnsi="Cambria" w:cs="Times New Roman"/>
          <w:color w:val="222222"/>
          <w:sz w:val="24"/>
          <w:szCs w:val="24"/>
          <w:lang w:eastAsia="fr-FR"/>
        </w:rPr>
        <w:t>4</w:t>
      </w:r>
      <w:r w:rsidRPr="00572F0B">
        <w:rPr>
          <w:rFonts w:ascii="Cambria" w:eastAsia="Times New Roman" w:hAnsi="Cambria" w:cs="Times New Roman"/>
          <w:color w:val="222222"/>
          <w:sz w:val="24"/>
          <w:szCs w:val="24"/>
          <w:lang w:eastAsia="fr-FR"/>
        </w:rPr>
        <w:t>,</w:t>
      </w:r>
      <w:r w:rsidR="008E342E" w:rsidRPr="00572F0B">
        <w:rPr>
          <w:rFonts w:ascii="Cambria" w:eastAsia="Times New Roman" w:hAnsi="Cambria" w:cs="Times New Roman"/>
          <w:color w:val="222222"/>
          <w:sz w:val="24"/>
          <w:szCs w:val="24"/>
          <w:lang w:eastAsia="fr-FR"/>
        </w:rPr>
        <w:t>3</w:t>
      </w:r>
      <w:r w:rsidRPr="00572F0B">
        <w:rPr>
          <w:rFonts w:ascii="Cambria" w:eastAsia="Times New Roman" w:hAnsi="Cambria" w:cs="Times New Roman"/>
          <w:color w:val="222222"/>
          <w:sz w:val="24"/>
          <w:szCs w:val="24"/>
          <w:lang w:eastAsia="fr-FR"/>
        </w:rPr>
        <w:t>% en 202</w:t>
      </w:r>
      <w:r w:rsidR="00CE2FA4" w:rsidRPr="00572F0B">
        <w:rPr>
          <w:rFonts w:ascii="Cambria" w:eastAsia="Times New Roman" w:hAnsi="Cambria" w:cs="Times New Roman"/>
          <w:color w:val="222222"/>
          <w:sz w:val="24"/>
          <w:szCs w:val="24"/>
          <w:lang w:eastAsia="fr-FR"/>
        </w:rPr>
        <w:t>2</w:t>
      </w:r>
      <w:r w:rsidRPr="00572F0B">
        <w:rPr>
          <w:rFonts w:ascii="Cambria" w:eastAsia="Times New Roman" w:hAnsi="Cambria" w:cs="Times New Roman"/>
          <w:color w:val="222222"/>
          <w:sz w:val="24"/>
          <w:szCs w:val="24"/>
          <w:lang w:eastAsia="fr-FR"/>
        </w:rPr>
        <w:t xml:space="preserve"> dégageant </w:t>
      </w:r>
      <w:r w:rsidR="00CE2FA4" w:rsidRPr="00572F0B">
        <w:rPr>
          <w:rFonts w:ascii="Cambria" w:eastAsia="Times New Roman" w:hAnsi="Cambria" w:cs="Times New Roman"/>
          <w:color w:val="222222"/>
          <w:sz w:val="24"/>
          <w:szCs w:val="24"/>
          <w:lang w:eastAsia="fr-FR"/>
        </w:rPr>
        <w:t xml:space="preserve">une </w:t>
      </w:r>
      <w:r w:rsidR="00D73AFA" w:rsidRPr="00572F0B">
        <w:rPr>
          <w:rFonts w:ascii="Cambria" w:eastAsia="Times New Roman" w:hAnsi="Cambria" w:cs="Times New Roman"/>
          <w:color w:val="222222"/>
          <w:sz w:val="24"/>
          <w:szCs w:val="24"/>
          <w:lang w:eastAsia="fr-FR"/>
        </w:rPr>
        <w:t>hausse</w:t>
      </w:r>
      <w:r w:rsidRPr="00572F0B">
        <w:rPr>
          <w:rFonts w:ascii="Cambria" w:eastAsia="Times New Roman" w:hAnsi="Cambria" w:cs="Times New Roman"/>
          <w:color w:val="222222"/>
          <w:sz w:val="24"/>
          <w:szCs w:val="24"/>
          <w:lang w:eastAsia="fr-FR"/>
        </w:rPr>
        <w:t xml:space="preserve"> du niveau général des prix de </w:t>
      </w:r>
      <w:r w:rsidR="00B2391C" w:rsidRPr="00572F0B">
        <w:rPr>
          <w:rFonts w:ascii="Cambria" w:eastAsia="Times New Roman" w:hAnsi="Cambria" w:cs="Times New Roman"/>
          <w:color w:val="222222"/>
          <w:sz w:val="24"/>
          <w:szCs w:val="24"/>
          <w:lang w:eastAsia="fr-FR"/>
        </w:rPr>
        <w:t xml:space="preserve">3,1% au lieu </w:t>
      </w:r>
      <w:r w:rsidR="00CE2FA4" w:rsidRPr="00572F0B">
        <w:rPr>
          <w:rFonts w:ascii="Cambria" w:eastAsia="Times New Roman" w:hAnsi="Cambria" w:cs="Times New Roman"/>
          <w:color w:val="222222"/>
          <w:sz w:val="24"/>
          <w:szCs w:val="24"/>
          <w:lang w:eastAsia="fr-FR"/>
        </w:rPr>
        <w:t>2</w:t>
      </w:r>
      <w:r w:rsidRPr="00572F0B">
        <w:rPr>
          <w:rFonts w:ascii="Cambria" w:eastAsia="Times New Roman" w:hAnsi="Cambria" w:cs="Times New Roman"/>
          <w:color w:val="222222"/>
          <w:sz w:val="24"/>
          <w:szCs w:val="24"/>
          <w:lang w:eastAsia="fr-FR"/>
        </w:rPr>
        <w:t>,</w:t>
      </w:r>
      <w:r w:rsidR="00CE2FA4" w:rsidRPr="00572F0B">
        <w:rPr>
          <w:rFonts w:ascii="Cambria" w:eastAsia="Times New Roman" w:hAnsi="Cambria" w:cs="Times New Roman"/>
          <w:color w:val="222222"/>
          <w:sz w:val="24"/>
          <w:szCs w:val="24"/>
          <w:lang w:eastAsia="fr-FR"/>
        </w:rPr>
        <w:t>4</w:t>
      </w:r>
      <w:r w:rsidRPr="00572F0B">
        <w:rPr>
          <w:rFonts w:ascii="Cambria" w:eastAsia="Times New Roman" w:hAnsi="Cambria" w:cs="Times New Roman"/>
          <w:color w:val="222222"/>
          <w:sz w:val="24"/>
          <w:szCs w:val="24"/>
          <w:lang w:eastAsia="fr-FR"/>
        </w:rPr>
        <w:t>% en 20</w:t>
      </w:r>
      <w:r w:rsidR="00D73AFA" w:rsidRPr="00572F0B">
        <w:rPr>
          <w:rFonts w:ascii="Cambria" w:eastAsia="Times New Roman" w:hAnsi="Cambria" w:cs="Times New Roman"/>
          <w:color w:val="222222"/>
          <w:sz w:val="24"/>
          <w:szCs w:val="24"/>
          <w:lang w:eastAsia="fr-FR"/>
        </w:rPr>
        <w:t>2</w:t>
      </w:r>
      <w:r w:rsidR="00CE2FA4" w:rsidRPr="00572F0B">
        <w:rPr>
          <w:rFonts w:ascii="Cambria" w:eastAsia="Times New Roman" w:hAnsi="Cambria" w:cs="Times New Roman"/>
          <w:color w:val="222222"/>
          <w:sz w:val="24"/>
          <w:szCs w:val="24"/>
          <w:lang w:eastAsia="fr-FR"/>
        </w:rPr>
        <w:t>1</w:t>
      </w:r>
      <w:r w:rsidRPr="00572F0B">
        <w:rPr>
          <w:rFonts w:ascii="Cambria" w:eastAsia="Times New Roman" w:hAnsi="Cambria" w:cs="Times New Roman"/>
          <w:color w:val="222222"/>
          <w:sz w:val="24"/>
          <w:szCs w:val="24"/>
          <w:lang w:eastAsia="fr-FR"/>
        </w:rPr>
        <w:t>.</w:t>
      </w:r>
    </w:p>
    <w:p w:rsidR="00455BF7" w:rsidRPr="00572F0B" w:rsidRDefault="00635632" w:rsidP="00455BF7">
      <w:pPr>
        <w:spacing w:before="240" w:after="240" w:line="240" w:lineRule="auto"/>
        <w:ind w:right="-340"/>
        <w:outlineLvl w:val="2"/>
        <w:rPr>
          <w:rFonts w:ascii="Cambria" w:hAnsi="Cambria" w:cs="Calibri"/>
          <w:b/>
          <w:bCs/>
          <w:sz w:val="28"/>
          <w:szCs w:val="28"/>
        </w:rPr>
      </w:pPr>
      <w:r w:rsidRPr="00572F0B">
        <w:rPr>
          <w:rStyle w:val="lev"/>
          <w:rFonts w:ascii="Cambria" w:hAnsi="Cambria"/>
          <w:sz w:val="28"/>
          <w:szCs w:val="28"/>
        </w:rPr>
        <w:t>Repli</w:t>
      </w:r>
      <w:r w:rsidR="00B13DCC" w:rsidRPr="00572F0B">
        <w:rPr>
          <w:rFonts w:ascii="Cambria" w:hAnsi="Cambria" w:cs="Calibri"/>
          <w:b/>
          <w:bCs/>
          <w:sz w:val="28"/>
          <w:szCs w:val="28"/>
        </w:rPr>
        <w:t xml:space="preserve"> de</w:t>
      </w:r>
      <w:r w:rsidR="00455BF7" w:rsidRPr="00572F0B">
        <w:rPr>
          <w:rFonts w:ascii="Cambria" w:hAnsi="Cambria" w:cs="Calibri"/>
          <w:b/>
          <w:bCs/>
          <w:sz w:val="28"/>
          <w:szCs w:val="28"/>
        </w:rPr>
        <w:t xml:space="preserve"> la demande intérieure </w:t>
      </w:r>
    </w:p>
    <w:p w:rsidR="00614EB2" w:rsidRPr="00572F0B" w:rsidRDefault="00614EB2" w:rsidP="00952B3E">
      <w:pPr>
        <w:shd w:val="clear" w:color="auto" w:fill="FFFFFF"/>
        <w:ind w:right="213"/>
        <w:jc w:val="both"/>
        <w:rPr>
          <w:rFonts w:ascii="Cambria" w:hAnsi="Cambria" w:cs="Calibri"/>
          <w:sz w:val="24"/>
          <w:szCs w:val="24"/>
        </w:rPr>
      </w:pPr>
      <w:r w:rsidRPr="00572F0B">
        <w:rPr>
          <w:rFonts w:ascii="Cambria" w:hAnsi="Cambria" w:cs="Calibri"/>
          <w:sz w:val="24"/>
          <w:szCs w:val="24"/>
        </w:rPr>
        <w:t xml:space="preserve">La demande intérieure a </w:t>
      </w:r>
      <w:r w:rsidR="00D85422" w:rsidRPr="00572F0B">
        <w:rPr>
          <w:rFonts w:ascii="Cambria" w:hAnsi="Cambria" w:cs="Calibri"/>
          <w:sz w:val="24"/>
          <w:szCs w:val="24"/>
        </w:rPr>
        <w:t>baissé</w:t>
      </w:r>
      <w:r w:rsidRPr="00572F0B">
        <w:rPr>
          <w:rFonts w:ascii="Cambria" w:hAnsi="Cambria" w:cs="Calibri"/>
          <w:sz w:val="24"/>
          <w:szCs w:val="24"/>
        </w:rPr>
        <w:t xml:space="preserve"> de </w:t>
      </w:r>
      <w:r w:rsidR="00D85422" w:rsidRPr="00572F0B">
        <w:rPr>
          <w:rFonts w:ascii="Cambria" w:hAnsi="Cambria" w:cs="Calibri"/>
          <w:sz w:val="24"/>
          <w:szCs w:val="24"/>
        </w:rPr>
        <w:t>1</w:t>
      </w:r>
      <w:r w:rsidRPr="00572F0B">
        <w:rPr>
          <w:rFonts w:ascii="Cambria" w:hAnsi="Cambria" w:cs="Calibri"/>
          <w:sz w:val="24"/>
          <w:szCs w:val="24"/>
        </w:rPr>
        <w:t>,</w:t>
      </w:r>
      <w:r w:rsidR="00CE2FA4" w:rsidRPr="00572F0B">
        <w:rPr>
          <w:rFonts w:ascii="Cambria" w:hAnsi="Cambria" w:cs="Calibri"/>
          <w:sz w:val="24"/>
          <w:szCs w:val="24"/>
        </w:rPr>
        <w:t>5</w:t>
      </w:r>
      <w:r w:rsidRPr="00572F0B">
        <w:rPr>
          <w:rFonts w:ascii="Cambria" w:hAnsi="Cambria" w:cs="Calibri"/>
          <w:sz w:val="24"/>
          <w:szCs w:val="24"/>
        </w:rPr>
        <w:t xml:space="preserve">% au lieu d’une </w:t>
      </w:r>
      <w:r w:rsidR="00F925F8" w:rsidRPr="00572F0B">
        <w:rPr>
          <w:rFonts w:ascii="Cambria" w:hAnsi="Cambria" w:cs="Calibri"/>
          <w:sz w:val="24"/>
          <w:szCs w:val="24"/>
        </w:rPr>
        <w:t>hausse</w:t>
      </w:r>
      <w:r w:rsidRPr="00572F0B">
        <w:rPr>
          <w:rFonts w:ascii="Cambria" w:hAnsi="Cambria" w:cs="Calibri"/>
          <w:sz w:val="24"/>
          <w:szCs w:val="24"/>
        </w:rPr>
        <w:t xml:space="preserve"> de </w:t>
      </w:r>
      <w:r w:rsidR="00D85422" w:rsidRPr="00572F0B">
        <w:rPr>
          <w:rFonts w:ascii="Cambria" w:hAnsi="Cambria" w:cs="Calibri"/>
          <w:sz w:val="24"/>
          <w:szCs w:val="24"/>
        </w:rPr>
        <w:t>8</w:t>
      </w:r>
      <w:r w:rsidRPr="00572F0B">
        <w:rPr>
          <w:rFonts w:ascii="Cambria" w:hAnsi="Cambria" w:cs="Calibri"/>
          <w:sz w:val="24"/>
          <w:szCs w:val="24"/>
        </w:rPr>
        <w:t>,</w:t>
      </w:r>
      <w:r w:rsidR="00D85422" w:rsidRPr="00572F0B">
        <w:rPr>
          <w:rFonts w:ascii="Cambria" w:hAnsi="Cambria" w:cs="Calibri"/>
          <w:sz w:val="24"/>
          <w:szCs w:val="24"/>
        </w:rPr>
        <w:t>9</w:t>
      </w:r>
      <w:r w:rsidRPr="00572F0B">
        <w:rPr>
          <w:rFonts w:ascii="Cambria" w:hAnsi="Cambria" w:cs="Calibri"/>
          <w:sz w:val="24"/>
          <w:szCs w:val="24"/>
        </w:rPr>
        <w:t xml:space="preserve">% </w:t>
      </w:r>
      <w:r w:rsidR="00455BF7" w:rsidRPr="00572F0B">
        <w:rPr>
          <w:rFonts w:ascii="Cambria" w:hAnsi="Cambria" w:cs="Calibri"/>
          <w:sz w:val="24"/>
          <w:szCs w:val="24"/>
        </w:rPr>
        <w:t>en</w:t>
      </w:r>
      <w:r w:rsidRPr="00572F0B">
        <w:rPr>
          <w:rFonts w:ascii="Cambria" w:hAnsi="Cambria" w:cs="Calibri"/>
          <w:sz w:val="24"/>
          <w:szCs w:val="24"/>
        </w:rPr>
        <w:t xml:space="preserve"> 202</w:t>
      </w:r>
      <w:r w:rsidR="00F925F8" w:rsidRPr="00572F0B">
        <w:rPr>
          <w:rFonts w:ascii="Cambria" w:hAnsi="Cambria" w:cs="Calibri"/>
          <w:sz w:val="24"/>
          <w:szCs w:val="24"/>
        </w:rPr>
        <w:t>1</w:t>
      </w:r>
      <w:r w:rsidR="00952B3E" w:rsidRPr="00572F0B">
        <w:rPr>
          <w:rFonts w:ascii="Cambria" w:hAnsi="Cambria" w:cs="Calibri"/>
          <w:sz w:val="24"/>
          <w:szCs w:val="24"/>
        </w:rPr>
        <w:t xml:space="preserve"> </w:t>
      </w:r>
      <w:r w:rsidR="000F449B" w:rsidRPr="00572F0B">
        <w:rPr>
          <w:rFonts w:ascii="Cambria" w:hAnsi="Cambria" w:cs="Calibri"/>
          <w:sz w:val="24"/>
          <w:szCs w:val="24"/>
        </w:rPr>
        <w:t xml:space="preserve"> contribu</w:t>
      </w:r>
      <w:r w:rsidR="00952B3E" w:rsidRPr="00572F0B">
        <w:rPr>
          <w:rFonts w:ascii="Cambria" w:hAnsi="Cambria" w:cs="Calibri"/>
          <w:sz w:val="24"/>
          <w:szCs w:val="24"/>
        </w:rPr>
        <w:t xml:space="preserve">ant, ainsi, </w:t>
      </w:r>
      <w:r w:rsidR="000F449B" w:rsidRPr="00572F0B">
        <w:rPr>
          <w:rFonts w:ascii="Cambria" w:hAnsi="Cambria" w:cs="Calibri"/>
          <w:sz w:val="24"/>
          <w:szCs w:val="24"/>
        </w:rPr>
        <w:t>négative</w:t>
      </w:r>
      <w:r w:rsidR="00952B3E" w:rsidRPr="00572F0B">
        <w:rPr>
          <w:rFonts w:ascii="Cambria" w:hAnsi="Cambria" w:cs="Calibri"/>
          <w:sz w:val="24"/>
          <w:szCs w:val="24"/>
        </w:rPr>
        <w:t>ment</w:t>
      </w:r>
      <w:r w:rsidR="000F449B" w:rsidRPr="00572F0B">
        <w:rPr>
          <w:rFonts w:ascii="Cambria" w:hAnsi="Cambria" w:cs="Calibri"/>
          <w:sz w:val="24"/>
          <w:szCs w:val="24"/>
        </w:rPr>
        <w:t xml:space="preserve"> </w:t>
      </w:r>
      <w:r w:rsidR="00952B3E" w:rsidRPr="00572F0B">
        <w:rPr>
          <w:rFonts w:ascii="Cambria" w:hAnsi="Cambria" w:cs="Calibri"/>
          <w:sz w:val="24"/>
          <w:szCs w:val="24"/>
        </w:rPr>
        <w:t>à la croissance économique nationale de</w:t>
      </w:r>
      <w:r w:rsidR="000F449B" w:rsidRPr="00572F0B">
        <w:rPr>
          <w:rFonts w:ascii="Cambria" w:hAnsi="Cambria" w:cs="Calibri"/>
          <w:sz w:val="24"/>
          <w:szCs w:val="24"/>
        </w:rPr>
        <w:t xml:space="preserve"> </w:t>
      </w:r>
      <w:r w:rsidR="00183CC6" w:rsidRPr="00572F0B">
        <w:rPr>
          <w:rFonts w:ascii="Cambria" w:hAnsi="Cambria" w:cs="Calibri"/>
          <w:sz w:val="24"/>
          <w:szCs w:val="24"/>
        </w:rPr>
        <w:t>1,7</w:t>
      </w:r>
      <w:r w:rsidR="00183CC6" w:rsidRPr="00572F0B">
        <w:rPr>
          <w:rFonts w:ascii="Cambria" w:hAnsi="Cambria" w:cs="Calibri"/>
          <w:sz w:val="24"/>
          <w:szCs w:val="24"/>
          <w:rtl/>
        </w:rPr>
        <w:t xml:space="preserve"> </w:t>
      </w:r>
      <w:r w:rsidR="00635632" w:rsidRPr="00572F0B">
        <w:rPr>
          <w:rFonts w:ascii="Cambria" w:hAnsi="Cambria" w:cs="Calibri"/>
          <w:sz w:val="24"/>
          <w:szCs w:val="24"/>
        </w:rPr>
        <w:t>point</w:t>
      </w:r>
      <w:r w:rsidRPr="00572F0B">
        <w:rPr>
          <w:rFonts w:ascii="Cambria" w:hAnsi="Cambria" w:cs="Calibri"/>
          <w:sz w:val="24"/>
          <w:szCs w:val="24"/>
        </w:rPr>
        <w:t xml:space="preserve"> au lieu d’une contribution </w:t>
      </w:r>
      <w:r w:rsidR="00952B3E" w:rsidRPr="00572F0B">
        <w:rPr>
          <w:rFonts w:ascii="Cambria" w:hAnsi="Cambria" w:cs="Calibri"/>
          <w:sz w:val="24"/>
          <w:szCs w:val="24"/>
        </w:rPr>
        <w:t xml:space="preserve">positive de </w:t>
      </w:r>
      <w:r w:rsidR="00F925F8" w:rsidRPr="00572F0B">
        <w:rPr>
          <w:rFonts w:ascii="Cambria" w:hAnsi="Cambria" w:cs="Calibri"/>
          <w:sz w:val="24"/>
          <w:szCs w:val="24"/>
        </w:rPr>
        <w:t>9</w:t>
      </w:r>
      <w:r w:rsidR="00C80C5F" w:rsidRPr="00572F0B">
        <w:rPr>
          <w:rFonts w:ascii="Cambria" w:hAnsi="Cambria" w:cs="Calibri"/>
          <w:sz w:val="24"/>
          <w:szCs w:val="24"/>
        </w:rPr>
        <w:t>,</w:t>
      </w:r>
      <w:r w:rsidR="00F925F8" w:rsidRPr="00572F0B">
        <w:rPr>
          <w:rFonts w:ascii="Cambria" w:hAnsi="Cambria" w:cs="Calibri"/>
          <w:sz w:val="24"/>
          <w:szCs w:val="24"/>
        </w:rPr>
        <w:t>5</w:t>
      </w:r>
      <w:r w:rsidRPr="00572F0B">
        <w:rPr>
          <w:rFonts w:ascii="Cambria" w:hAnsi="Cambria" w:cs="Calibri"/>
          <w:sz w:val="24"/>
          <w:szCs w:val="24"/>
        </w:rPr>
        <w:t xml:space="preserve"> points</w:t>
      </w:r>
      <w:r w:rsidR="00952B3E" w:rsidRPr="00572F0B">
        <w:rPr>
          <w:rFonts w:ascii="Cambria" w:hAnsi="Cambria" w:cs="Calibri"/>
          <w:sz w:val="24"/>
          <w:szCs w:val="24"/>
        </w:rPr>
        <w:t xml:space="preserve"> une année auparavant</w:t>
      </w:r>
      <w:r w:rsidRPr="00572F0B">
        <w:rPr>
          <w:rFonts w:ascii="Cambria" w:hAnsi="Cambria" w:cs="Calibri"/>
          <w:sz w:val="24"/>
          <w:szCs w:val="24"/>
        </w:rPr>
        <w:t xml:space="preserve">. </w:t>
      </w:r>
    </w:p>
    <w:p w:rsidR="00614EB2" w:rsidRPr="00572F0B" w:rsidRDefault="00455BF7" w:rsidP="00CD11F8">
      <w:pPr>
        <w:shd w:val="clear" w:color="auto" w:fill="FFFFFF"/>
        <w:spacing w:before="160"/>
        <w:ind w:right="215"/>
        <w:jc w:val="both"/>
        <w:rPr>
          <w:rFonts w:ascii="Cambria" w:hAnsi="Cambria" w:cs="Calibri"/>
          <w:sz w:val="24"/>
          <w:szCs w:val="24"/>
        </w:rPr>
      </w:pPr>
      <w:r w:rsidRPr="00572F0B">
        <w:rPr>
          <w:rFonts w:ascii="Cambria" w:hAnsi="Cambria" w:cs="Calibri"/>
          <w:sz w:val="24"/>
          <w:szCs w:val="24"/>
        </w:rPr>
        <w:t xml:space="preserve">C’est ainsi que </w:t>
      </w:r>
      <w:r w:rsidR="00614EB2" w:rsidRPr="00572F0B">
        <w:rPr>
          <w:rFonts w:ascii="Cambria" w:hAnsi="Cambria" w:cs="Calibri"/>
          <w:sz w:val="24"/>
          <w:szCs w:val="24"/>
        </w:rPr>
        <w:t xml:space="preserve">les dépenses de consommation finale des ménages ont connu une </w:t>
      </w:r>
      <w:r w:rsidR="00D85422" w:rsidRPr="00572F0B">
        <w:rPr>
          <w:rFonts w:ascii="Cambria" w:hAnsi="Cambria" w:cs="Calibri"/>
          <w:sz w:val="24"/>
          <w:szCs w:val="24"/>
        </w:rPr>
        <w:t>baisse</w:t>
      </w:r>
      <w:r w:rsidR="00B30F55" w:rsidRPr="00572F0B">
        <w:rPr>
          <w:rFonts w:ascii="Cambria" w:hAnsi="Cambria" w:cs="Calibri"/>
          <w:sz w:val="24"/>
          <w:szCs w:val="24"/>
        </w:rPr>
        <w:t xml:space="preserve"> </w:t>
      </w:r>
      <w:r w:rsidR="00614EB2" w:rsidRPr="00572F0B">
        <w:rPr>
          <w:rFonts w:ascii="Cambria" w:hAnsi="Cambria" w:cs="Calibri"/>
          <w:sz w:val="24"/>
          <w:szCs w:val="24"/>
        </w:rPr>
        <w:t xml:space="preserve">de </w:t>
      </w:r>
      <w:r w:rsidR="00D85422" w:rsidRPr="00572F0B">
        <w:rPr>
          <w:rFonts w:ascii="Cambria" w:hAnsi="Cambria" w:cs="Calibri"/>
          <w:sz w:val="24"/>
          <w:szCs w:val="24"/>
        </w:rPr>
        <w:t>0</w:t>
      </w:r>
      <w:r w:rsidR="00614EB2" w:rsidRPr="00572F0B">
        <w:rPr>
          <w:rFonts w:ascii="Cambria" w:hAnsi="Cambria" w:cs="Calibri"/>
          <w:sz w:val="24"/>
          <w:szCs w:val="24"/>
        </w:rPr>
        <w:t>,</w:t>
      </w:r>
      <w:r w:rsidR="00D85422" w:rsidRPr="00572F0B">
        <w:rPr>
          <w:rFonts w:ascii="Cambria" w:hAnsi="Cambria" w:cs="Calibri"/>
          <w:sz w:val="24"/>
          <w:szCs w:val="24"/>
        </w:rPr>
        <w:t>7</w:t>
      </w:r>
      <w:r w:rsidR="00614EB2" w:rsidRPr="00572F0B">
        <w:rPr>
          <w:rFonts w:ascii="Cambria" w:hAnsi="Cambria" w:cs="Calibri"/>
          <w:sz w:val="24"/>
          <w:szCs w:val="24"/>
        </w:rPr>
        <w:t xml:space="preserve">% au lieu d’une </w:t>
      </w:r>
      <w:r w:rsidR="00F925F8" w:rsidRPr="00572F0B">
        <w:rPr>
          <w:rFonts w:ascii="Cambria" w:hAnsi="Cambria" w:cs="Calibri"/>
          <w:sz w:val="24"/>
          <w:szCs w:val="24"/>
        </w:rPr>
        <w:t>augmentation</w:t>
      </w:r>
      <w:r w:rsidR="00614EB2" w:rsidRPr="00572F0B">
        <w:rPr>
          <w:rFonts w:ascii="Cambria" w:hAnsi="Cambria" w:cs="Calibri"/>
          <w:sz w:val="24"/>
          <w:szCs w:val="24"/>
        </w:rPr>
        <w:t xml:space="preserve"> de </w:t>
      </w:r>
      <w:r w:rsidR="00D85422" w:rsidRPr="00572F0B">
        <w:rPr>
          <w:rFonts w:ascii="Cambria" w:hAnsi="Cambria" w:cs="Calibri"/>
          <w:sz w:val="24"/>
          <w:szCs w:val="24"/>
        </w:rPr>
        <w:t>6</w:t>
      </w:r>
      <w:r w:rsidR="00614EB2" w:rsidRPr="00572F0B">
        <w:rPr>
          <w:rFonts w:ascii="Cambria" w:hAnsi="Cambria" w:cs="Calibri"/>
          <w:sz w:val="24"/>
          <w:szCs w:val="24"/>
        </w:rPr>
        <w:t>,</w:t>
      </w:r>
      <w:r w:rsidR="00D85422" w:rsidRPr="00572F0B">
        <w:rPr>
          <w:rFonts w:ascii="Cambria" w:hAnsi="Cambria" w:cs="Calibri"/>
          <w:sz w:val="24"/>
          <w:szCs w:val="24"/>
        </w:rPr>
        <w:t>9</w:t>
      </w:r>
      <w:r w:rsidR="00614EB2" w:rsidRPr="00572F0B">
        <w:rPr>
          <w:rFonts w:ascii="Cambria" w:hAnsi="Cambria" w:cs="Calibri"/>
          <w:sz w:val="24"/>
          <w:szCs w:val="24"/>
        </w:rPr>
        <w:t xml:space="preserve">%, </w:t>
      </w:r>
      <w:r w:rsidR="00B30F55" w:rsidRPr="00572F0B">
        <w:rPr>
          <w:rFonts w:ascii="Cambria" w:hAnsi="Cambria" w:cs="Calibri"/>
          <w:sz w:val="24"/>
          <w:szCs w:val="24"/>
        </w:rPr>
        <w:t xml:space="preserve">avec une contribution </w:t>
      </w:r>
      <w:r w:rsidR="00F72B80" w:rsidRPr="00572F0B">
        <w:rPr>
          <w:rFonts w:ascii="Cambria" w:hAnsi="Cambria" w:cs="Calibri"/>
          <w:sz w:val="24"/>
          <w:szCs w:val="24"/>
        </w:rPr>
        <w:t xml:space="preserve">négative </w:t>
      </w:r>
      <w:r w:rsidR="00B30F55" w:rsidRPr="00572F0B">
        <w:rPr>
          <w:rFonts w:ascii="Cambria" w:hAnsi="Cambria" w:cs="Calibri"/>
          <w:sz w:val="24"/>
          <w:szCs w:val="24"/>
        </w:rPr>
        <w:t xml:space="preserve">à </w:t>
      </w:r>
      <w:r w:rsidR="00635632" w:rsidRPr="00572F0B">
        <w:rPr>
          <w:rFonts w:ascii="Cambria" w:hAnsi="Cambria" w:cs="Calibri"/>
          <w:sz w:val="24"/>
          <w:szCs w:val="24"/>
        </w:rPr>
        <w:t xml:space="preserve">la croissance </w:t>
      </w:r>
      <w:r w:rsidR="00B839D1" w:rsidRPr="00572F0B">
        <w:rPr>
          <w:rFonts w:ascii="Cambria" w:hAnsi="Cambria" w:cs="Calibri"/>
          <w:sz w:val="24"/>
          <w:szCs w:val="24"/>
        </w:rPr>
        <w:t xml:space="preserve">de 0,4 point </w:t>
      </w:r>
      <w:r w:rsidR="00614EB2" w:rsidRPr="00572F0B">
        <w:rPr>
          <w:rFonts w:ascii="Cambria" w:hAnsi="Cambria" w:cs="Calibri"/>
          <w:sz w:val="24"/>
          <w:szCs w:val="24"/>
        </w:rPr>
        <w:t xml:space="preserve">au lieu d’une contribution </w:t>
      </w:r>
      <w:r w:rsidR="00B839D1" w:rsidRPr="00572F0B">
        <w:rPr>
          <w:rFonts w:ascii="Cambria" w:hAnsi="Cambria" w:cs="Calibri"/>
          <w:sz w:val="24"/>
          <w:szCs w:val="24"/>
        </w:rPr>
        <w:t>positive de</w:t>
      </w:r>
      <w:r w:rsidR="00614EB2" w:rsidRPr="00572F0B">
        <w:rPr>
          <w:rFonts w:ascii="Cambria" w:hAnsi="Cambria" w:cs="Calibri"/>
          <w:sz w:val="24"/>
          <w:szCs w:val="24"/>
        </w:rPr>
        <w:t xml:space="preserve"> </w:t>
      </w:r>
      <w:r w:rsidR="00F925F8" w:rsidRPr="00572F0B">
        <w:rPr>
          <w:rFonts w:ascii="Cambria" w:hAnsi="Cambria" w:cs="Calibri"/>
          <w:sz w:val="24"/>
          <w:szCs w:val="24"/>
        </w:rPr>
        <w:t>4</w:t>
      </w:r>
      <w:r w:rsidR="00614EB2" w:rsidRPr="00572F0B">
        <w:rPr>
          <w:rFonts w:ascii="Cambria" w:hAnsi="Cambria" w:cs="Calibri"/>
          <w:sz w:val="24"/>
          <w:szCs w:val="24"/>
        </w:rPr>
        <w:t xml:space="preserve"> points. </w:t>
      </w:r>
    </w:p>
    <w:p w:rsidR="00455BF7" w:rsidRPr="00572F0B" w:rsidRDefault="00455BF7" w:rsidP="00F72B80">
      <w:pPr>
        <w:autoSpaceDE w:val="0"/>
        <w:autoSpaceDN w:val="0"/>
        <w:adjustRightInd w:val="0"/>
        <w:spacing w:after="240" w:line="380" w:lineRule="exact"/>
        <w:jc w:val="both"/>
        <w:rPr>
          <w:rFonts w:ascii="Cambria" w:hAnsi="Cambria" w:cs="Calibri"/>
          <w:sz w:val="24"/>
          <w:szCs w:val="24"/>
        </w:rPr>
      </w:pPr>
      <w:r w:rsidRPr="00572F0B">
        <w:rPr>
          <w:rFonts w:ascii="Cambria" w:hAnsi="Cambria" w:cs="Calibri"/>
          <w:sz w:val="24"/>
          <w:szCs w:val="24"/>
        </w:rPr>
        <w:t>De son côté, l’investissement brut (formation brute de capital fixe</w:t>
      </w:r>
      <w:r w:rsidR="00C80C5F" w:rsidRPr="00572F0B">
        <w:rPr>
          <w:rFonts w:ascii="Cambria" w:hAnsi="Cambria" w:cs="Calibri"/>
          <w:sz w:val="24"/>
          <w:szCs w:val="24"/>
        </w:rPr>
        <w:t xml:space="preserve"> ; </w:t>
      </w:r>
      <w:r w:rsidRPr="00572F0B">
        <w:rPr>
          <w:rFonts w:ascii="Cambria" w:hAnsi="Cambria" w:cs="Calibri"/>
          <w:sz w:val="24"/>
          <w:szCs w:val="24"/>
        </w:rPr>
        <w:t>variation des stocks</w:t>
      </w:r>
      <w:r w:rsidR="00C80C5F" w:rsidRPr="00572F0B">
        <w:rPr>
          <w:rFonts w:ascii="Cambria" w:hAnsi="Cambria" w:cs="Calibri"/>
          <w:sz w:val="24"/>
          <w:szCs w:val="24"/>
        </w:rPr>
        <w:t xml:space="preserve"> et</w:t>
      </w:r>
      <w:r w:rsidR="00F7701E" w:rsidRPr="00572F0B">
        <w:rPr>
          <w:rFonts w:ascii="Cambria" w:hAnsi="Cambria" w:cs="Calibri"/>
          <w:sz w:val="24"/>
          <w:szCs w:val="24"/>
        </w:rPr>
        <w:t xml:space="preserve"> </w:t>
      </w:r>
      <w:r w:rsidR="00BD7DCA" w:rsidRPr="00572F0B">
        <w:rPr>
          <w:rFonts w:ascii="Cambria" w:hAnsi="Cambria" w:cs="Calibri"/>
          <w:sz w:val="24"/>
          <w:szCs w:val="24"/>
        </w:rPr>
        <w:t>acquisition nette</w:t>
      </w:r>
      <w:r w:rsidR="00F7701E" w:rsidRPr="00572F0B">
        <w:rPr>
          <w:rFonts w:ascii="Cambria" w:hAnsi="Cambria" w:cs="Calibri"/>
          <w:sz w:val="24"/>
          <w:szCs w:val="24"/>
        </w:rPr>
        <w:t xml:space="preserve"> d’objets de </w:t>
      </w:r>
      <w:r w:rsidR="00DF6453" w:rsidRPr="00572F0B">
        <w:rPr>
          <w:rFonts w:ascii="Cambria" w:hAnsi="Cambria" w:cs="Calibri"/>
          <w:sz w:val="24"/>
          <w:szCs w:val="24"/>
        </w:rPr>
        <w:t>valeurs)</w:t>
      </w:r>
      <w:r w:rsidRPr="00572F0B">
        <w:rPr>
          <w:rFonts w:ascii="Cambria" w:hAnsi="Cambria" w:cs="Calibri"/>
          <w:sz w:val="24"/>
          <w:szCs w:val="24"/>
        </w:rPr>
        <w:t xml:space="preserve"> a </w:t>
      </w:r>
      <w:r w:rsidR="00BD7DCA" w:rsidRPr="00572F0B">
        <w:rPr>
          <w:rFonts w:ascii="Cambria" w:hAnsi="Cambria" w:cs="Calibri"/>
          <w:sz w:val="24"/>
          <w:szCs w:val="24"/>
        </w:rPr>
        <w:t>connu</w:t>
      </w:r>
      <w:r w:rsidRPr="00572F0B">
        <w:rPr>
          <w:rFonts w:ascii="Cambria" w:hAnsi="Cambria" w:cs="Calibri"/>
          <w:sz w:val="24"/>
          <w:szCs w:val="24"/>
        </w:rPr>
        <w:t xml:space="preserve"> </w:t>
      </w:r>
      <w:r w:rsidR="00B839D1" w:rsidRPr="00572F0B">
        <w:rPr>
          <w:rFonts w:ascii="Cambria" w:hAnsi="Cambria" w:cs="Calibri"/>
          <w:sz w:val="24"/>
          <w:szCs w:val="24"/>
        </w:rPr>
        <w:t>un recul</w:t>
      </w:r>
      <w:r w:rsidR="00D85422" w:rsidRPr="00572F0B">
        <w:rPr>
          <w:rFonts w:ascii="Cambria" w:hAnsi="Cambria" w:cs="Calibri"/>
          <w:sz w:val="24"/>
          <w:szCs w:val="24"/>
        </w:rPr>
        <w:t xml:space="preserve"> </w:t>
      </w:r>
      <w:r w:rsidRPr="00572F0B">
        <w:rPr>
          <w:rFonts w:ascii="Cambria" w:hAnsi="Cambria" w:cs="Calibri"/>
          <w:sz w:val="24"/>
          <w:szCs w:val="24"/>
        </w:rPr>
        <w:t xml:space="preserve">de son taux d’accroissement </w:t>
      </w:r>
      <w:r w:rsidR="00F72B80">
        <w:rPr>
          <w:rFonts w:ascii="Cambria" w:hAnsi="Cambria" w:cs="Calibri"/>
          <w:sz w:val="24"/>
          <w:szCs w:val="24"/>
        </w:rPr>
        <w:t xml:space="preserve">en enregistrant une baisse </w:t>
      </w:r>
      <w:r w:rsidR="006946DE" w:rsidRPr="00572F0B">
        <w:rPr>
          <w:rFonts w:ascii="Cambria" w:hAnsi="Cambria" w:cs="Calibri"/>
          <w:sz w:val="24"/>
          <w:szCs w:val="24"/>
        </w:rPr>
        <w:t>de 6,5% en 2022</w:t>
      </w:r>
      <w:r w:rsidRPr="00572F0B">
        <w:rPr>
          <w:rFonts w:ascii="Cambria" w:hAnsi="Cambria" w:cs="Calibri"/>
          <w:sz w:val="24"/>
          <w:szCs w:val="24"/>
        </w:rPr>
        <w:t xml:space="preserve"> </w:t>
      </w:r>
      <w:r w:rsidR="006946DE" w:rsidRPr="00572F0B">
        <w:rPr>
          <w:rFonts w:ascii="Cambria" w:hAnsi="Cambria" w:cs="Calibri"/>
          <w:sz w:val="24"/>
          <w:szCs w:val="24"/>
        </w:rPr>
        <w:t xml:space="preserve">contre une hausse </w:t>
      </w:r>
      <w:r w:rsidRPr="00572F0B">
        <w:rPr>
          <w:rFonts w:ascii="Cambria" w:hAnsi="Cambria" w:cs="Calibri"/>
          <w:sz w:val="24"/>
          <w:szCs w:val="24"/>
        </w:rPr>
        <w:t>de</w:t>
      </w:r>
      <w:r w:rsidR="00591C54" w:rsidRPr="00572F0B">
        <w:rPr>
          <w:rFonts w:ascii="Cambria" w:hAnsi="Cambria" w:cs="Calibri"/>
          <w:sz w:val="24"/>
          <w:szCs w:val="24"/>
        </w:rPr>
        <w:t xml:space="preserve"> 13,8</w:t>
      </w:r>
      <w:r w:rsidRPr="00572F0B">
        <w:rPr>
          <w:rFonts w:ascii="Cambria" w:hAnsi="Cambria" w:cs="Calibri"/>
          <w:sz w:val="24"/>
          <w:szCs w:val="24"/>
        </w:rPr>
        <w:t>% en 202</w:t>
      </w:r>
      <w:r w:rsidR="005E0EF6" w:rsidRPr="00572F0B">
        <w:rPr>
          <w:rFonts w:ascii="Cambria" w:hAnsi="Cambria" w:cs="Calibri"/>
          <w:sz w:val="24"/>
          <w:szCs w:val="24"/>
        </w:rPr>
        <w:t>1</w:t>
      </w:r>
      <w:r w:rsidRPr="00572F0B">
        <w:rPr>
          <w:rFonts w:ascii="Cambria" w:hAnsi="Cambria" w:cs="Calibri"/>
          <w:sz w:val="24"/>
          <w:szCs w:val="24"/>
        </w:rPr>
        <w:t xml:space="preserve">, avec une contribution </w:t>
      </w:r>
      <w:r w:rsidR="003D17FD" w:rsidRPr="00572F0B">
        <w:rPr>
          <w:rFonts w:ascii="Cambria" w:hAnsi="Cambria" w:cs="Calibri"/>
          <w:sz w:val="24"/>
          <w:szCs w:val="24"/>
        </w:rPr>
        <w:t xml:space="preserve">négative </w:t>
      </w:r>
      <w:r w:rsidRPr="00572F0B">
        <w:rPr>
          <w:rFonts w:ascii="Cambria" w:hAnsi="Cambria" w:cs="Calibri"/>
          <w:sz w:val="24"/>
          <w:szCs w:val="24"/>
        </w:rPr>
        <w:t xml:space="preserve">à la croissance de </w:t>
      </w:r>
      <w:r w:rsidR="00B30F55" w:rsidRPr="00572F0B">
        <w:rPr>
          <w:rFonts w:ascii="Cambria" w:hAnsi="Cambria" w:cs="Calibri"/>
          <w:sz w:val="24"/>
          <w:szCs w:val="24"/>
        </w:rPr>
        <w:t xml:space="preserve">2 </w:t>
      </w:r>
      <w:r w:rsidRPr="00572F0B">
        <w:rPr>
          <w:rFonts w:ascii="Cambria" w:hAnsi="Cambria" w:cs="Calibri"/>
          <w:sz w:val="24"/>
          <w:szCs w:val="24"/>
        </w:rPr>
        <w:t xml:space="preserve">points au lieu </w:t>
      </w:r>
      <w:r w:rsidR="00B839D1" w:rsidRPr="00572F0B">
        <w:rPr>
          <w:rFonts w:ascii="Cambria" w:hAnsi="Cambria" w:cs="Calibri"/>
          <w:sz w:val="24"/>
          <w:szCs w:val="24"/>
        </w:rPr>
        <w:t xml:space="preserve">d’une contribution positive </w:t>
      </w:r>
      <w:r w:rsidRPr="00572F0B">
        <w:rPr>
          <w:rFonts w:ascii="Cambria" w:hAnsi="Cambria" w:cs="Calibri"/>
          <w:sz w:val="24"/>
          <w:szCs w:val="24"/>
        </w:rPr>
        <w:t xml:space="preserve">de </w:t>
      </w:r>
      <w:r w:rsidR="005E0EF6" w:rsidRPr="00572F0B">
        <w:rPr>
          <w:rFonts w:ascii="Cambria" w:hAnsi="Cambria" w:cs="Calibri"/>
          <w:sz w:val="24"/>
          <w:szCs w:val="24"/>
        </w:rPr>
        <w:t>4</w:t>
      </w:r>
      <w:r w:rsidR="00B30F55" w:rsidRPr="00572F0B">
        <w:rPr>
          <w:rFonts w:ascii="Cambria" w:hAnsi="Cambria" w:cs="Calibri"/>
          <w:sz w:val="24"/>
          <w:szCs w:val="24"/>
        </w:rPr>
        <w:t xml:space="preserve"> </w:t>
      </w:r>
      <w:r w:rsidRPr="00572F0B">
        <w:rPr>
          <w:rFonts w:ascii="Cambria" w:hAnsi="Cambria" w:cs="Calibri"/>
          <w:sz w:val="24"/>
          <w:szCs w:val="24"/>
        </w:rPr>
        <w:t>point</w:t>
      </w:r>
      <w:r w:rsidR="00F7701E" w:rsidRPr="00572F0B">
        <w:rPr>
          <w:rFonts w:ascii="Cambria" w:hAnsi="Cambria" w:cs="Calibri"/>
          <w:sz w:val="24"/>
          <w:szCs w:val="24"/>
        </w:rPr>
        <w:t>s</w:t>
      </w:r>
      <w:r w:rsidR="00635632" w:rsidRPr="00572F0B">
        <w:rPr>
          <w:rFonts w:ascii="Cambria" w:hAnsi="Cambria" w:cs="Calibri"/>
          <w:sz w:val="24"/>
          <w:szCs w:val="24"/>
        </w:rPr>
        <w:t>.</w:t>
      </w:r>
    </w:p>
    <w:p w:rsidR="00635632" w:rsidRPr="00572F0B" w:rsidRDefault="00635632" w:rsidP="00635632">
      <w:pPr>
        <w:shd w:val="clear" w:color="auto" w:fill="FFFFFF"/>
        <w:spacing w:before="160"/>
        <w:ind w:right="215"/>
        <w:jc w:val="both"/>
        <w:rPr>
          <w:rFonts w:ascii="Cambria" w:hAnsi="Cambria" w:cs="Calibri"/>
          <w:sz w:val="24"/>
          <w:szCs w:val="24"/>
        </w:rPr>
      </w:pPr>
      <w:r w:rsidRPr="00572F0B">
        <w:rPr>
          <w:rFonts w:ascii="Cambria" w:hAnsi="Cambria" w:cs="Calibri"/>
          <w:sz w:val="24"/>
          <w:szCs w:val="24"/>
        </w:rPr>
        <w:t xml:space="preserve">La consommation finale des administrations publiques, en revanche, a affiché un ralentissement de son taux d’accroissement passant de 7,2% </w:t>
      </w:r>
      <w:r w:rsidR="009B4A79" w:rsidRPr="00572F0B">
        <w:rPr>
          <w:rFonts w:ascii="Cambria" w:hAnsi="Cambria" w:cs="Calibri"/>
          <w:sz w:val="24"/>
          <w:szCs w:val="24"/>
        </w:rPr>
        <w:t xml:space="preserve">l’année passée </w:t>
      </w:r>
      <w:r w:rsidRPr="00572F0B">
        <w:rPr>
          <w:rFonts w:ascii="Cambria" w:hAnsi="Cambria" w:cs="Calibri"/>
          <w:sz w:val="24"/>
          <w:szCs w:val="24"/>
        </w:rPr>
        <w:t xml:space="preserve">à 3,3% avec </w:t>
      </w:r>
      <w:r w:rsidRPr="00572F0B">
        <w:rPr>
          <w:rFonts w:ascii="Cambria" w:hAnsi="Cambria" w:cs="Calibri"/>
          <w:sz w:val="24"/>
          <w:szCs w:val="24"/>
        </w:rPr>
        <w:lastRenderedPageBreak/>
        <w:t xml:space="preserve">une contribution positive à la croissance de 0,6 point au lieu de 1,4 point l’année précédente. </w:t>
      </w:r>
    </w:p>
    <w:p w:rsidR="009A786B" w:rsidRPr="00572F0B" w:rsidRDefault="00473269" w:rsidP="00473269">
      <w:pPr>
        <w:tabs>
          <w:tab w:val="left" w:pos="284"/>
        </w:tabs>
        <w:spacing w:after="0" w:line="380" w:lineRule="exact"/>
        <w:ind w:right="641"/>
        <w:contextualSpacing/>
        <w:jc w:val="both"/>
        <w:rPr>
          <w:rFonts w:ascii="Cambria" w:hAnsi="Cambria" w:cs="Calibri"/>
          <w:b/>
          <w:bCs/>
          <w:sz w:val="28"/>
          <w:szCs w:val="28"/>
        </w:rPr>
      </w:pPr>
      <w:r w:rsidRPr="00572F0B">
        <w:rPr>
          <w:rFonts w:ascii="Cambria" w:hAnsi="Cambria" w:cs="Calibri"/>
          <w:b/>
          <w:bCs/>
          <w:sz w:val="28"/>
          <w:szCs w:val="28"/>
        </w:rPr>
        <w:t xml:space="preserve">Contribution positive </w:t>
      </w:r>
      <w:r w:rsidR="00DF6453" w:rsidRPr="00572F0B">
        <w:rPr>
          <w:rFonts w:ascii="Cambria" w:hAnsi="Cambria" w:cs="Calibri"/>
          <w:b/>
          <w:bCs/>
          <w:sz w:val="28"/>
          <w:szCs w:val="28"/>
        </w:rPr>
        <w:t>des échanges extérieurs</w:t>
      </w:r>
    </w:p>
    <w:p w:rsidR="00C54EA1" w:rsidRPr="00572F0B" w:rsidRDefault="009A786B" w:rsidP="00F72B80">
      <w:pPr>
        <w:pStyle w:val="Paragraphedeliste"/>
        <w:shd w:val="clear" w:color="auto" w:fill="FFFFFF"/>
        <w:spacing w:before="120" w:after="120" w:line="380" w:lineRule="exact"/>
        <w:ind w:left="0" w:right="74"/>
        <w:jc w:val="both"/>
        <w:rPr>
          <w:rFonts w:ascii="Cambria" w:hAnsi="Cambria" w:cs="Calibri"/>
          <w:sz w:val="24"/>
          <w:szCs w:val="24"/>
        </w:rPr>
      </w:pPr>
      <w:r w:rsidRPr="00572F0B">
        <w:rPr>
          <w:rFonts w:ascii="Cambria" w:hAnsi="Cambria" w:cs="Calibri"/>
          <w:sz w:val="24"/>
          <w:szCs w:val="24"/>
        </w:rPr>
        <w:t xml:space="preserve">Au niveau des échanges extérieurs de biens et services en volume, aussi bien les exportations que les importations ont enregistré des fortes </w:t>
      </w:r>
      <w:r w:rsidR="00DF6453" w:rsidRPr="00572F0B">
        <w:rPr>
          <w:rFonts w:ascii="Cambria" w:hAnsi="Cambria" w:cs="Calibri"/>
          <w:sz w:val="24"/>
          <w:szCs w:val="24"/>
        </w:rPr>
        <w:t>hausses durant l’année 202</w:t>
      </w:r>
      <w:r w:rsidR="00083166" w:rsidRPr="00572F0B">
        <w:rPr>
          <w:rFonts w:ascii="Cambria" w:hAnsi="Cambria" w:cs="Calibri"/>
          <w:sz w:val="24"/>
          <w:szCs w:val="24"/>
        </w:rPr>
        <w:t>2</w:t>
      </w:r>
      <w:r w:rsidRPr="00572F0B">
        <w:rPr>
          <w:rFonts w:ascii="Cambria" w:hAnsi="Cambria" w:cs="Calibri"/>
          <w:sz w:val="24"/>
          <w:szCs w:val="24"/>
        </w:rPr>
        <w:t xml:space="preserve">. </w:t>
      </w:r>
      <w:r w:rsidR="00A93F65" w:rsidRPr="00572F0B">
        <w:rPr>
          <w:rFonts w:ascii="Cambria" w:hAnsi="Cambria" w:cs="Calibri"/>
          <w:sz w:val="24"/>
          <w:szCs w:val="24"/>
        </w:rPr>
        <w:t>C’est ainsi que </w:t>
      </w:r>
      <w:r w:rsidR="00F72B80" w:rsidRPr="00572F0B">
        <w:rPr>
          <w:rFonts w:ascii="Cambria" w:hAnsi="Cambria" w:cs="Calibri"/>
          <w:sz w:val="24"/>
          <w:szCs w:val="24"/>
        </w:rPr>
        <w:t>les exportations de biens et services ont affiché une hausse de 20,4% au lieu de 7,9%, avec une contribution à la croissance de 6,8 points au lieu d’une contribution de 2,4 points une année passée.</w:t>
      </w:r>
      <w:r w:rsidR="00F72B80" w:rsidRPr="00F72B80">
        <w:rPr>
          <w:rFonts w:ascii="Cambria" w:hAnsi="Cambria" w:cs="Calibri"/>
          <w:sz w:val="24"/>
          <w:szCs w:val="24"/>
        </w:rPr>
        <w:t xml:space="preserve"> </w:t>
      </w:r>
      <w:r w:rsidR="00F72B80" w:rsidRPr="00572F0B">
        <w:rPr>
          <w:rFonts w:ascii="Cambria" w:hAnsi="Cambria" w:cs="Calibri"/>
          <w:sz w:val="24"/>
          <w:szCs w:val="24"/>
        </w:rPr>
        <w:t xml:space="preserve">De leur côté, </w:t>
      </w:r>
      <w:r w:rsidR="00F72B80">
        <w:rPr>
          <w:rFonts w:ascii="Cambria" w:hAnsi="Cambria" w:cs="Calibri"/>
          <w:sz w:val="24"/>
          <w:szCs w:val="24"/>
        </w:rPr>
        <w:t xml:space="preserve"> </w:t>
      </w:r>
      <w:r w:rsidR="00A553E5" w:rsidRPr="00572F0B">
        <w:rPr>
          <w:rFonts w:ascii="Cambria" w:hAnsi="Cambria" w:cs="Calibri"/>
          <w:sz w:val="24"/>
          <w:szCs w:val="24"/>
        </w:rPr>
        <w:t>l</w:t>
      </w:r>
      <w:r w:rsidR="00A93F65" w:rsidRPr="00572F0B">
        <w:rPr>
          <w:rFonts w:ascii="Cambria" w:hAnsi="Cambria" w:cs="Calibri"/>
          <w:sz w:val="24"/>
          <w:szCs w:val="24"/>
        </w:rPr>
        <w:t xml:space="preserve">es importations </w:t>
      </w:r>
      <w:r w:rsidR="00F72B80" w:rsidRPr="00572F0B">
        <w:rPr>
          <w:rFonts w:ascii="Cambria" w:hAnsi="Cambria" w:cs="Calibri"/>
          <w:sz w:val="24"/>
          <w:szCs w:val="24"/>
        </w:rPr>
        <w:t xml:space="preserve">ont augmenté </w:t>
      </w:r>
      <w:r w:rsidR="00A93F65" w:rsidRPr="00572F0B">
        <w:rPr>
          <w:rFonts w:ascii="Cambria" w:hAnsi="Cambria" w:cs="Calibri"/>
          <w:sz w:val="24"/>
          <w:szCs w:val="24"/>
        </w:rPr>
        <w:t xml:space="preserve">de 9% au lieu de </w:t>
      </w:r>
      <w:r w:rsidR="00083166" w:rsidRPr="00572F0B">
        <w:rPr>
          <w:rFonts w:ascii="Cambria" w:hAnsi="Cambria" w:cs="Calibri"/>
          <w:sz w:val="24"/>
          <w:szCs w:val="24"/>
        </w:rPr>
        <w:t>10</w:t>
      </w:r>
      <w:r w:rsidR="00A93F65" w:rsidRPr="00572F0B">
        <w:rPr>
          <w:rFonts w:ascii="Cambria" w:hAnsi="Cambria" w:cs="Calibri"/>
          <w:sz w:val="24"/>
          <w:szCs w:val="24"/>
        </w:rPr>
        <w:t>,</w:t>
      </w:r>
      <w:r w:rsidR="00083166" w:rsidRPr="00572F0B">
        <w:rPr>
          <w:rFonts w:ascii="Cambria" w:hAnsi="Cambria" w:cs="Calibri"/>
          <w:sz w:val="24"/>
          <w:szCs w:val="24"/>
        </w:rPr>
        <w:t>4</w:t>
      </w:r>
      <w:r w:rsidR="00A93F65" w:rsidRPr="00572F0B">
        <w:rPr>
          <w:rFonts w:ascii="Cambria" w:hAnsi="Cambria" w:cs="Calibri"/>
          <w:sz w:val="24"/>
          <w:szCs w:val="24"/>
        </w:rPr>
        <w:t xml:space="preserve">%, avec une contribution à la croissance de </w:t>
      </w:r>
      <w:r w:rsidR="000F449B" w:rsidRPr="00572F0B">
        <w:rPr>
          <w:rFonts w:ascii="Cambria" w:hAnsi="Cambria" w:cs="Calibri"/>
          <w:sz w:val="24"/>
          <w:szCs w:val="24"/>
        </w:rPr>
        <w:t xml:space="preserve">3,8 </w:t>
      </w:r>
      <w:r w:rsidR="00A93F65" w:rsidRPr="00572F0B">
        <w:rPr>
          <w:rFonts w:ascii="Cambria" w:hAnsi="Cambria" w:cs="Calibri"/>
          <w:sz w:val="24"/>
          <w:szCs w:val="24"/>
        </w:rPr>
        <w:t xml:space="preserve">points au lieu d’une contribution </w:t>
      </w:r>
      <w:r w:rsidR="00B30F55" w:rsidRPr="00572F0B">
        <w:rPr>
          <w:rFonts w:ascii="Cambria" w:hAnsi="Cambria" w:cs="Calibri"/>
          <w:sz w:val="24"/>
          <w:szCs w:val="24"/>
        </w:rPr>
        <w:t>4</w:t>
      </w:r>
      <w:r w:rsidR="00083166" w:rsidRPr="00572F0B">
        <w:rPr>
          <w:rFonts w:ascii="Cambria" w:hAnsi="Cambria" w:cs="Calibri"/>
          <w:sz w:val="24"/>
          <w:szCs w:val="24"/>
        </w:rPr>
        <w:t xml:space="preserve"> </w:t>
      </w:r>
      <w:r w:rsidR="00A93F65" w:rsidRPr="00572F0B">
        <w:rPr>
          <w:rFonts w:ascii="Cambria" w:hAnsi="Cambria" w:cs="Calibri"/>
          <w:sz w:val="24"/>
          <w:szCs w:val="24"/>
        </w:rPr>
        <w:t>points</w:t>
      </w:r>
      <w:r w:rsidR="00A553E5" w:rsidRPr="00572F0B">
        <w:rPr>
          <w:rFonts w:ascii="Cambria" w:hAnsi="Cambria" w:cs="Calibri"/>
          <w:sz w:val="24"/>
          <w:szCs w:val="24"/>
        </w:rPr>
        <w:t xml:space="preserve"> l’année dernière</w:t>
      </w:r>
      <w:r w:rsidR="00A93F65" w:rsidRPr="00572F0B">
        <w:rPr>
          <w:rFonts w:ascii="Cambria" w:hAnsi="Cambria" w:cs="Calibri"/>
          <w:sz w:val="24"/>
          <w:szCs w:val="24"/>
        </w:rPr>
        <w:t xml:space="preserve">. </w:t>
      </w:r>
    </w:p>
    <w:p w:rsidR="00DF6453" w:rsidRPr="00572F0B" w:rsidRDefault="00DF6453" w:rsidP="000F449B">
      <w:pPr>
        <w:pStyle w:val="Paragraphedeliste"/>
        <w:shd w:val="clear" w:color="auto" w:fill="FFFFFF"/>
        <w:spacing w:before="160" w:after="360"/>
        <w:ind w:left="0" w:right="74"/>
        <w:jc w:val="both"/>
        <w:rPr>
          <w:rFonts w:ascii="Cambria" w:hAnsi="Cambria" w:cs="Calibri"/>
          <w:sz w:val="24"/>
          <w:szCs w:val="24"/>
        </w:rPr>
      </w:pPr>
      <w:r w:rsidRPr="00572F0B">
        <w:rPr>
          <w:rFonts w:ascii="Cambria" w:hAnsi="Cambria" w:cs="Calibri"/>
          <w:sz w:val="24"/>
          <w:szCs w:val="24"/>
        </w:rPr>
        <w:t>Dans ce cadre, les échanges extérieurs de biens et services ont dégagé une contribution</w:t>
      </w:r>
      <w:r w:rsidR="001161D2" w:rsidRPr="00572F0B">
        <w:rPr>
          <w:rFonts w:ascii="Cambria" w:hAnsi="Cambria" w:cs="Calibri"/>
          <w:sz w:val="24"/>
          <w:szCs w:val="24"/>
        </w:rPr>
        <w:t xml:space="preserve"> positive </w:t>
      </w:r>
      <w:r w:rsidRPr="00572F0B">
        <w:rPr>
          <w:rFonts w:ascii="Cambria" w:hAnsi="Cambria" w:cs="Calibri"/>
          <w:sz w:val="24"/>
          <w:szCs w:val="24"/>
        </w:rPr>
        <w:t xml:space="preserve">à la croissance, se situant à </w:t>
      </w:r>
      <w:r w:rsidR="000F449B" w:rsidRPr="00572F0B">
        <w:rPr>
          <w:rFonts w:ascii="Cambria" w:hAnsi="Cambria" w:cs="Calibri"/>
          <w:sz w:val="24"/>
          <w:szCs w:val="24"/>
        </w:rPr>
        <w:t xml:space="preserve">2,9 </w:t>
      </w:r>
      <w:r w:rsidRPr="00572F0B">
        <w:rPr>
          <w:rFonts w:ascii="Cambria" w:hAnsi="Cambria" w:cs="Calibri"/>
          <w:sz w:val="24"/>
          <w:szCs w:val="24"/>
        </w:rPr>
        <w:t>point</w:t>
      </w:r>
      <w:r w:rsidR="00B30F55" w:rsidRPr="00572F0B">
        <w:rPr>
          <w:rFonts w:ascii="Cambria" w:hAnsi="Cambria" w:cs="Calibri"/>
          <w:sz w:val="24"/>
          <w:szCs w:val="24"/>
        </w:rPr>
        <w:t>s</w:t>
      </w:r>
      <w:r w:rsidRPr="00572F0B">
        <w:rPr>
          <w:rFonts w:ascii="Cambria" w:hAnsi="Cambria" w:cs="Calibri"/>
          <w:sz w:val="24"/>
          <w:szCs w:val="24"/>
        </w:rPr>
        <w:t xml:space="preserve"> au lieu d’une contribution </w:t>
      </w:r>
      <w:r w:rsidR="00083166" w:rsidRPr="00572F0B">
        <w:rPr>
          <w:rFonts w:ascii="Cambria" w:hAnsi="Cambria" w:cs="Calibri"/>
          <w:sz w:val="24"/>
          <w:szCs w:val="24"/>
        </w:rPr>
        <w:t xml:space="preserve">négative </w:t>
      </w:r>
      <w:r w:rsidRPr="00572F0B">
        <w:rPr>
          <w:rFonts w:ascii="Cambria" w:hAnsi="Cambria" w:cs="Calibri"/>
          <w:sz w:val="24"/>
          <w:szCs w:val="24"/>
        </w:rPr>
        <w:t xml:space="preserve">de </w:t>
      </w:r>
      <w:r w:rsidR="00083166" w:rsidRPr="00572F0B">
        <w:rPr>
          <w:rFonts w:ascii="Cambria" w:hAnsi="Cambria" w:cs="Calibri"/>
          <w:sz w:val="24"/>
          <w:szCs w:val="24"/>
        </w:rPr>
        <w:t>1</w:t>
      </w:r>
      <w:r w:rsidRPr="00572F0B">
        <w:rPr>
          <w:rFonts w:ascii="Cambria" w:hAnsi="Cambria" w:cs="Calibri"/>
          <w:sz w:val="24"/>
          <w:szCs w:val="24"/>
        </w:rPr>
        <w:t>,</w:t>
      </w:r>
      <w:r w:rsidR="00083166" w:rsidRPr="00572F0B">
        <w:rPr>
          <w:rFonts w:ascii="Cambria" w:hAnsi="Cambria" w:cs="Calibri"/>
          <w:sz w:val="24"/>
          <w:szCs w:val="24"/>
        </w:rPr>
        <w:t>5</w:t>
      </w:r>
      <w:r w:rsidRPr="00572F0B">
        <w:rPr>
          <w:rFonts w:ascii="Cambria" w:hAnsi="Cambria" w:cs="Calibri"/>
          <w:sz w:val="24"/>
          <w:szCs w:val="24"/>
        </w:rPr>
        <w:t xml:space="preserve"> point </w:t>
      </w:r>
      <w:r w:rsidR="00A93F65" w:rsidRPr="00572F0B">
        <w:rPr>
          <w:rFonts w:ascii="Cambria" w:hAnsi="Cambria" w:cs="Calibri"/>
          <w:sz w:val="24"/>
          <w:szCs w:val="24"/>
        </w:rPr>
        <w:t>en 202</w:t>
      </w:r>
      <w:r w:rsidR="00083166" w:rsidRPr="00572F0B">
        <w:rPr>
          <w:rFonts w:ascii="Cambria" w:hAnsi="Cambria" w:cs="Calibri"/>
          <w:sz w:val="24"/>
          <w:szCs w:val="24"/>
        </w:rPr>
        <w:t>1</w:t>
      </w:r>
      <w:r w:rsidR="00A93F65" w:rsidRPr="00572F0B">
        <w:rPr>
          <w:rFonts w:ascii="Cambria" w:hAnsi="Cambria" w:cs="Calibri"/>
          <w:sz w:val="24"/>
          <w:szCs w:val="24"/>
        </w:rPr>
        <w:t>.</w:t>
      </w:r>
    </w:p>
    <w:p w:rsidR="0032646B" w:rsidRPr="00572F0B" w:rsidRDefault="0032646B" w:rsidP="00452E4D">
      <w:pPr>
        <w:spacing w:before="240" w:after="240" w:line="380" w:lineRule="exact"/>
        <w:jc w:val="both"/>
        <w:rPr>
          <w:rFonts w:ascii="Cambria" w:hAnsi="Cambria" w:cs="Calibri"/>
          <w:b/>
          <w:bCs/>
          <w:sz w:val="28"/>
          <w:szCs w:val="28"/>
        </w:rPr>
      </w:pPr>
      <w:r w:rsidRPr="00572F0B">
        <w:rPr>
          <w:rFonts w:ascii="Cambria" w:hAnsi="Cambria" w:cs="Calibri"/>
          <w:b/>
          <w:bCs/>
          <w:sz w:val="28"/>
          <w:szCs w:val="28"/>
        </w:rPr>
        <w:t>A</w:t>
      </w:r>
      <w:r w:rsidR="00452E4D" w:rsidRPr="00572F0B">
        <w:rPr>
          <w:rFonts w:ascii="Cambria" w:hAnsi="Cambria" w:cs="Calibri"/>
          <w:b/>
          <w:bCs/>
          <w:sz w:val="28"/>
          <w:szCs w:val="28"/>
        </w:rPr>
        <w:t>ggravation</w:t>
      </w:r>
      <w:r w:rsidRPr="00572F0B">
        <w:rPr>
          <w:rFonts w:ascii="Cambria" w:hAnsi="Cambria" w:cs="Calibri"/>
          <w:b/>
          <w:bCs/>
          <w:sz w:val="28"/>
          <w:szCs w:val="28"/>
        </w:rPr>
        <w:t xml:space="preserve"> du besoin de financement</w:t>
      </w:r>
    </w:p>
    <w:p w:rsidR="00147BF5" w:rsidRPr="00572F0B" w:rsidRDefault="005938C5" w:rsidP="00D462F6">
      <w:pPr>
        <w:shd w:val="clear" w:color="auto" w:fill="FFFFFF"/>
        <w:spacing w:before="240" w:after="240" w:line="380" w:lineRule="exact"/>
        <w:ind w:right="215"/>
        <w:jc w:val="both"/>
        <w:rPr>
          <w:rFonts w:ascii="Cambria" w:hAnsi="Cambria" w:cs="Calibri"/>
          <w:sz w:val="24"/>
          <w:szCs w:val="24"/>
        </w:rPr>
      </w:pPr>
      <w:r w:rsidRPr="00572F0B">
        <w:rPr>
          <w:rFonts w:ascii="Cambria" w:hAnsi="Cambria" w:cs="Calibri"/>
          <w:sz w:val="24"/>
          <w:szCs w:val="24"/>
        </w:rPr>
        <w:t xml:space="preserve">Avec la </w:t>
      </w:r>
      <w:r w:rsidR="00740509" w:rsidRPr="00572F0B">
        <w:rPr>
          <w:rFonts w:ascii="Cambria" w:hAnsi="Cambria" w:cs="Calibri"/>
          <w:sz w:val="24"/>
          <w:szCs w:val="24"/>
        </w:rPr>
        <w:t>hausse</w:t>
      </w:r>
      <w:r w:rsidRPr="00572F0B">
        <w:rPr>
          <w:rFonts w:ascii="Cambria" w:hAnsi="Cambria" w:cs="Calibri"/>
          <w:sz w:val="24"/>
          <w:szCs w:val="24"/>
        </w:rPr>
        <w:t xml:space="preserve"> </w:t>
      </w:r>
      <w:r w:rsidR="008E732F" w:rsidRPr="00572F0B">
        <w:rPr>
          <w:rFonts w:ascii="Cambria" w:hAnsi="Cambria" w:cs="Calibri"/>
          <w:sz w:val="24"/>
          <w:szCs w:val="24"/>
        </w:rPr>
        <w:t xml:space="preserve">de 4,3% </w:t>
      </w:r>
      <w:r w:rsidRPr="00572F0B">
        <w:rPr>
          <w:rFonts w:ascii="Cambria" w:hAnsi="Cambria" w:cs="Calibri"/>
          <w:sz w:val="24"/>
          <w:szCs w:val="24"/>
        </w:rPr>
        <w:t>du PIB</w:t>
      </w:r>
      <w:r w:rsidR="00147BF5" w:rsidRPr="00572F0B">
        <w:rPr>
          <w:rFonts w:ascii="Cambria" w:hAnsi="Cambria" w:cs="Calibri"/>
          <w:sz w:val="24"/>
          <w:szCs w:val="24"/>
        </w:rPr>
        <w:t xml:space="preserve"> </w:t>
      </w:r>
      <w:r w:rsidR="005343A3" w:rsidRPr="00572F0B">
        <w:rPr>
          <w:rFonts w:ascii="Cambria" w:hAnsi="Cambria" w:cs="Calibri"/>
          <w:sz w:val="24"/>
          <w:szCs w:val="24"/>
        </w:rPr>
        <w:t xml:space="preserve">aux prix </w:t>
      </w:r>
      <w:r w:rsidRPr="00572F0B">
        <w:rPr>
          <w:rFonts w:ascii="Cambria" w:hAnsi="Cambria" w:cs="Calibri"/>
          <w:sz w:val="24"/>
          <w:szCs w:val="24"/>
        </w:rPr>
        <w:t>courants au lieu de</w:t>
      </w:r>
      <w:r w:rsidR="00F77A54" w:rsidRPr="00572F0B">
        <w:rPr>
          <w:rFonts w:ascii="Cambria" w:hAnsi="Cambria" w:cs="Calibri"/>
          <w:sz w:val="24"/>
          <w:szCs w:val="24"/>
        </w:rPr>
        <w:t xml:space="preserve"> </w:t>
      </w:r>
      <w:r w:rsidR="005E0EF6" w:rsidRPr="00572F0B">
        <w:rPr>
          <w:rFonts w:ascii="Cambria" w:hAnsi="Cambria" w:cs="Calibri"/>
          <w:sz w:val="24"/>
          <w:szCs w:val="24"/>
        </w:rPr>
        <w:t>10</w:t>
      </w:r>
      <w:r w:rsidR="00740509" w:rsidRPr="00572F0B">
        <w:rPr>
          <w:rFonts w:ascii="Cambria" w:hAnsi="Cambria" w:cs="Calibri"/>
          <w:sz w:val="24"/>
          <w:szCs w:val="24"/>
        </w:rPr>
        <w:t>,</w:t>
      </w:r>
      <w:r w:rsidR="005E0EF6" w:rsidRPr="00572F0B">
        <w:rPr>
          <w:rFonts w:ascii="Cambria" w:hAnsi="Cambria" w:cs="Calibri"/>
          <w:sz w:val="24"/>
          <w:szCs w:val="24"/>
        </w:rPr>
        <w:t>6</w:t>
      </w:r>
      <w:r w:rsidR="00147BF5" w:rsidRPr="00572F0B">
        <w:rPr>
          <w:rFonts w:ascii="Cambria" w:hAnsi="Cambria" w:cs="Calibri"/>
          <w:sz w:val="24"/>
          <w:szCs w:val="24"/>
        </w:rPr>
        <w:t xml:space="preserve">% </w:t>
      </w:r>
      <w:r w:rsidR="003E10A2" w:rsidRPr="00572F0B">
        <w:rPr>
          <w:rFonts w:ascii="Cambria" w:hAnsi="Cambria" w:cs="Calibri"/>
          <w:sz w:val="24"/>
          <w:szCs w:val="24"/>
        </w:rPr>
        <w:t xml:space="preserve">l’année passée </w:t>
      </w:r>
      <w:r w:rsidR="00147BF5" w:rsidRPr="00572F0B">
        <w:rPr>
          <w:rFonts w:ascii="Cambria" w:hAnsi="Cambria" w:cs="Calibri"/>
          <w:sz w:val="24"/>
          <w:szCs w:val="24"/>
        </w:rPr>
        <w:t xml:space="preserve">et </w:t>
      </w:r>
      <w:r w:rsidR="006A03DF" w:rsidRPr="00572F0B">
        <w:rPr>
          <w:rFonts w:ascii="Cambria" w:hAnsi="Cambria" w:cs="Calibri"/>
          <w:sz w:val="24"/>
          <w:szCs w:val="24"/>
        </w:rPr>
        <w:t>la</w:t>
      </w:r>
      <w:r w:rsidR="00046D96" w:rsidRPr="00572F0B">
        <w:rPr>
          <w:rFonts w:ascii="Cambria" w:hAnsi="Cambria" w:cs="Calibri"/>
          <w:sz w:val="24"/>
          <w:szCs w:val="24"/>
        </w:rPr>
        <w:t xml:space="preserve"> </w:t>
      </w:r>
      <w:r w:rsidR="0073112F" w:rsidRPr="00572F0B">
        <w:rPr>
          <w:rFonts w:ascii="Cambria" w:hAnsi="Cambria" w:cs="Calibri"/>
          <w:sz w:val="24"/>
          <w:szCs w:val="24"/>
        </w:rPr>
        <w:t xml:space="preserve">hausse </w:t>
      </w:r>
      <w:r w:rsidR="008E732F" w:rsidRPr="00572F0B">
        <w:rPr>
          <w:rFonts w:ascii="Cambria" w:hAnsi="Cambria" w:cs="Calibri"/>
          <w:sz w:val="24"/>
          <w:szCs w:val="24"/>
        </w:rPr>
        <w:t xml:space="preserve">de </w:t>
      </w:r>
      <w:r w:rsidR="009777A0" w:rsidRPr="00572F0B">
        <w:rPr>
          <w:rFonts w:ascii="Cambria" w:hAnsi="Cambria" w:cs="Calibri"/>
          <w:sz w:val="24"/>
          <w:szCs w:val="24"/>
        </w:rPr>
        <w:t>7</w:t>
      </w:r>
      <w:r w:rsidR="00843B10" w:rsidRPr="00572F0B">
        <w:rPr>
          <w:rFonts w:ascii="Cambria" w:hAnsi="Cambria" w:cs="Calibri"/>
          <w:sz w:val="24"/>
          <w:szCs w:val="24"/>
        </w:rPr>
        <w:t>,</w:t>
      </w:r>
      <w:r w:rsidR="009777A0" w:rsidRPr="00572F0B">
        <w:rPr>
          <w:rFonts w:ascii="Cambria" w:hAnsi="Cambria" w:cs="Tahoma"/>
          <w:sz w:val="24"/>
          <w:szCs w:val="24"/>
        </w:rPr>
        <w:t>5</w:t>
      </w:r>
      <w:r w:rsidR="008A3101" w:rsidRPr="00572F0B">
        <w:rPr>
          <w:rFonts w:ascii="Cambria" w:hAnsi="Cambria" w:cs="Calibri"/>
          <w:sz w:val="24"/>
          <w:szCs w:val="24"/>
        </w:rPr>
        <w:t>%</w:t>
      </w:r>
      <w:r w:rsidR="006A03DF" w:rsidRPr="00572F0B">
        <w:rPr>
          <w:rFonts w:ascii="Cambria" w:hAnsi="Cambria" w:cs="Calibri"/>
          <w:sz w:val="24"/>
          <w:szCs w:val="24"/>
        </w:rPr>
        <w:t xml:space="preserve"> </w:t>
      </w:r>
      <w:r w:rsidR="00AD1079" w:rsidRPr="00572F0B">
        <w:rPr>
          <w:rFonts w:ascii="Cambria" w:hAnsi="Cambria" w:cs="Calibri"/>
          <w:sz w:val="24"/>
          <w:szCs w:val="24"/>
        </w:rPr>
        <w:t xml:space="preserve">des revenus </w:t>
      </w:r>
      <w:r w:rsidR="00147BF5" w:rsidRPr="00572F0B">
        <w:rPr>
          <w:rFonts w:ascii="Cambria" w:hAnsi="Cambria" w:cs="Calibri"/>
          <w:sz w:val="24"/>
          <w:szCs w:val="24"/>
        </w:rPr>
        <w:t>nets reçus du reste</w:t>
      </w:r>
      <w:r w:rsidR="002E718D" w:rsidRPr="00572F0B">
        <w:rPr>
          <w:rFonts w:ascii="Cambria" w:hAnsi="Cambria" w:cs="Calibri"/>
          <w:sz w:val="24"/>
          <w:szCs w:val="24"/>
        </w:rPr>
        <w:t xml:space="preserve"> du monde</w:t>
      </w:r>
      <w:r w:rsidR="009777A0" w:rsidRPr="00572F0B">
        <w:rPr>
          <w:rFonts w:ascii="Cambria" w:hAnsi="Cambria" w:cs="Calibri"/>
          <w:sz w:val="24"/>
          <w:szCs w:val="24"/>
        </w:rPr>
        <w:t xml:space="preserve"> au lieu de 59,8%</w:t>
      </w:r>
      <w:r w:rsidR="002D2966" w:rsidRPr="00572F0B">
        <w:rPr>
          <w:rFonts w:ascii="Cambria" w:hAnsi="Cambria" w:cs="Calibri"/>
          <w:sz w:val="24"/>
          <w:szCs w:val="24"/>
        </w:rPr>
        <w:t>,</w:t>
      </w:r>
      <w:r w:rsidR="00D462F6">
        <w:rPr>
          <w:rFonts w:ascii="Cambria" w:hAnsi="Cambria" w:cs="Calibri"/>
          <w:sz w:val="24"/>
          <w:szCs w:val="24"/>
        </w:rPr>
        <w:t xml:space="preserve"> le </w:t>
      </w:r>
      <w:r w:rsidR="002272E4" w:rsidRPr="00572F0B">
        <w:rPr>
          <w:rFonts w:ascii="Cambria" w:hAnsi="Cambria" w:cs="Calibri"/>
          <w:sz w:val="24"/>
          <w:szCs w:val="24"/>
        </w:rPr>
        <w:t xml:space="preserve">revenu national brut disponible a connu </w:t>
      </w:r>
      <w:r w:rsidR="00473269" w:rsidRPr="00572F0B">
        <w:rPr>
          <w:rFonts w:ascii="Cambria" w:hAnsi="Cambria" w:cs="Calibri"/>
          <w:sz w:val="24"/>
          <w:szCs w:val="24"/>
        </w:rPr>
        <w:t>un</w:t>
      </w:r>
      <w:r w:rsidR="00D462F6">
        <w:rPr>
          <w:rFonts w:ascii="Cambria" w:hAnsi="Cambria" w:cs="Calibri"/>
          <w:sz w:val="24"/>
          <w:szCs w:val="24"/>
        </w:rPr>
        <w:t>e croissance en</w:t>
      </w:r>
      <w:r w:rsidR="00473269" w:rsidRPr="00572F0B">
        <w:rPr>
          <w:rFonts w:ascii="Cambria" w:hAnsi="Cambria" w:cs="Calibri"/>
          <w:sz w:val="24"/>
          <w:szCs w:val="24"/>
        </w:rPr>
        <w:t xml:space="preserve"> net ralentissement </w:t>
      </w:r>
      <w:r w:rsidR="002272E4" w:rsidRPr="00572F0B">
        <w:rPr>
          <w:rFonts w:ascii="Cambria" w:hAnsi="Cambria" w:cs="Calibri"/>
          <w:sz w:val="24"/>
          <w:szCs w:val="24"/>
        </w:rPr>
        <w:t xml:space="preserve">passant de </w:t>
      </w:r>
      <w:r w:rsidR="0015153B" w:rsidRPr="00572F0B">
        <w:rPr>
          <w:rFonts w:ascii="Cambria" w:hAnsi="Cambria" w:cs="Calibri"/>
          <w:sz w:val="24"/>
          <w:szCs w:val="24"/>
        </w:rPr>
        <w:t xml:space="preserve">11,5% en 2021 à </w:t>
      </w:r>
      <w:r w:rsidR="000E1FD0" w:rsidRPr="00572F0B">
        <w:rPr>
          <w:rFonts w:ascii="Cambria" w:hAnsi="Cambria" w:cs="Calibri"/>
          <w:sz w:val="24"/>
          <w:szCs w:val="24"/>
        </w:rPr>
        <w:t>5</w:t>
      </w:r>
      <w:r w:rsidR="0073112F" w:rsidRPr="00572F0B">
        <w:rPr>
          <w:rFonts w:ascii="Cambria" w:hAnsi="Cambria" w:cs="Calibri"/>
          <w:sz w:val="24"/>
          <w:szCs w:val="24"/>
        </w:rPr>
        <w:t>,</w:t>
      </w:r>
      <w:r w:rsidR="000E1FD0" w:rsidRPr="00572F0B">
        <w:rPr>
          <w:rFonts w:ascii="Cambria" w:hAnsi="Cambria" w:cs="Calibri"/>
          <w:sz w:val="24"/>
          <w:szCs w:val="24"/>
        </w:rPr>
        <w:t>4</w:t>
      </w:r>
      <w:r w:rsidR="00147BF5" w:rsidRPr="00572F0B">
        <w:rPr>
          <w:rFonts w:ascii="Cambria" w:hAnsi="Cambria" w:cs="Calibri"/>
          <w:sz w:val="24"/>
          <w:szCs w:val="24"/>
        </w:rPr>
        <w:t xml:space="preserve">% </w:t>
      </w:r>
      <w:r w:rsidR="001C29F0" w:rsidRPr="00572F0B">
        <w:rPr>
          <w:rFonts w:ascii="Cambria" w:hAnsi="Cambria" w:cs="Calibri"/>
          <w:sz w:val="24"/>
          <w:szCs w:val="24"/>
        </w:rPr>
        <w:t>en 202</w:t>
      </w:r>
      <w:r w:rsidR="005E0EF6" w:rsidRPr="00572F0B">
        <w:rPr>
          <w:rFonts w:ascii="Cambria" w:hAnsi="Cambria" w:cs="Calibri"/>
          <w:sz w:val="24"/>
          <w:szCs w:val="24"/>
        </w:rPr>
        <w:t>2</w:t>
      </w:r>
      <w:r w:rsidR="0073112F" w:rsidRPr="00572F0B">
        <w:rPr>
          <w:rFonts w:ascii="Cambria" w:hAnsi="Cambria" w:cs="Calibri"/>
          <w:sz w:val="24"/>
          <w:szCs w:val="24"/>
        </w:rPr>
        <w:t xml:space="preserve"> </w:t>
      </w:r>
      <w:r w:rsidR="001C29F0" w:rsidRPr="00572F0B">
        <w:rPr>
          <w:rFonts w:ascii="Cambria" w:hAnsi="Cambria" w:cs="Calibri"/>
          <w:sz w:val="24"/>
          <w:szCs w:val="24"/>
        </w:rPr>
        <w:t xml:space="preserve">pour se situer à </w:t>
      </w:r>
      <w:r w:rsidR="000E1FD0" w:rsidRPr="00572F0B">
        <w:rPr>
          <w:rFonts w:ascii="Cambria" w:hAnsi="Cambria" w:cs="Calibri"/>
          <w:sz w:val="24"/>
          <w:szCs w:val="24"/>
        </w:rPr>
        <w:t>1436</w:t>
      </w:r>
      <w:r w:rsidR="002272E4" w:rsidRPr="00572F0B">
        <w:rPr>
          <w:rFonts w:ascii="Cambria" w:hAnsi="Cambria" w:cs="Calibri"/>
          <w:sz w:val="24"/>
          <w:szCs w:val="24"/>
        </w:rPr>
        <w:t xml:space="preserve"> milliards </w:t>
      </w:r>
      <w:r w:rsidR="00147BF5" w:rsidRPr="00572F0B">
        <w:rPr>
          <w:rFonts w:ascii="Cambria" w:hAnsi="Cambria" w:cs="Calibri"/>
          <w:sz w:val="24"/>
          <w:szCs w:val="24"/>
        </w:rPr>
        <w:t>de DH.</w:t>
      </w:r>
    </w:p>
    <w:p w:rsidR="001053C5" w:rsidRPr="00572F0B" w:rsidRDefault="005958AC" w:rsidP="000E1FD0">
      <w:pPr>
        <w:shd w:val="clear" w:color="auto" w:fill="FFFFFF"/>
        <w:spacing w:before="120" w:after="120" w:line="360" w:lineRule="auto"/>
        <w:ind w:right="215"/>
        <w:jc w:val="both"/>
        <w:rPr>
          <w:rFonts w:ascii="Cambria" w:hAnsi="Cambria" w:cs="Calibri"/>
          <w:color w:val="000000"/>
          <w:sz w:val="24"/>
          <w:szCs w:val="24"/>
        </w:rPr>
      </w:pPr>
      <w:r w:rsidRPr="00572F0B">
        <w:rPr>
          <w:rFonts w:ascii="Cambria" w:eastAsia="Times New Roman" w:hAnsi="Cambria" w:cs="Times New Roman"/>
          <w:sz w:val="24"/>
          <w:szCs w:val="24"/>
          <w:lang w:eastAsia="fr-FR"/>
        </w:rPr>
        <w:t>Compte tenu</w:t>
      </w:r>
      <w:r w:rsidR="002D2966" w:rsidRPr="00572F0B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de</w:t>
      </w:r>
      <w:r w:rsidRPr="00572F0B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la </w:t>
      </w:r>
      <w:r w:rsidR="001053C5" w:rsidRPr="00572F0B">
        <w:rPr>
          <w:rFonts w:ascii="Cambria" w:eastAsia="Times New Roman" w:hAnsi="Cambria" w:cs="Times New Roman"/>
          <w:sz w:val="24"/>
          <w:szCs w:val="24"/>
          <w:lang w:eastAsia="fr-FR"/>
        </w:rPr>
        <w:t>hausse</w:t>
      </w:r>
      <w:r w:rsidRPr="00572F0B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de </w:t>
      </w:r>
      <w:r w:rsidR="00083166" w:rsidRPr="00572F0B">
        <w:rPr>
          <w:rFonts w:ascii="Cambria" w:eastAsia="Times New Roman" w:hAnsi="Cambria" w:cs="Times New Roman"/>
          <w:sz w:val="24"/>
          <w:szCs w:val="24"/>
          <w:lang w:eastAsia="fr-FR"/>
        </w:rPr>
        <w:t>7</w:t>
      </w:r>
      <w:r w:rsidRPr="00572F0B">
        <w:rPr>
          <w:rFonts w:ascii="Cambria" w:eastAsia="Times New Roman" w:hAnsi="Cambria" w:cs="Times New Roman"/>
          <w:sz w:val="24"/>
          <w:szCs w:val="24"/>
          <w:lang w:eastAsia="fr-FR"/>
        </w:rPr>
        <w:t>,</w:t>
      </w:r>
      <w:r w:rsidR="00083166" w:rsidRPr="00572F0B">
        <w:rPr>
          <w:rFonts w:ascii="Cambria" w:eastAsia="Times New Roman" w:hAnsi="Cambria" w:cs="Times New Roman"/>
          <w:sz w:val="24"/>
          <w:szCs w:val="24"/>
          <w:lang w:eastAsia="fr-FR"/>
        </w:rPr>
        <w:t>6</w:t>
      </w:r>
      <w:r w:rsidRPr="00572F0B">
        <w:rPr>
          <w:rFonts w:ascii="Cambria" w:eastAsia="Times New Roman" w:hAnsi="Cambria" w:cs="Times New Roman"/>
          <w:sz w:val="24"/>
          <w:szCs w:val="24"/>
          <w:lang w:eastAsia="fr-FR"/>
        </w:rPr>
        <w:t>%</w:t>
      </w:r>
      <w:r w:rsidR="00501CB5" w:rsidRPr="00572F0B">
        <w:rPr>
          <w:rFonts w:ascii="Cambria" w:eastAsia="Times New Roman" w:hAnsi="Cambria" w:cs="Times New Roman"/>
          <w:sz w:val="24"/>
          <w:szCs w:val="24"/>
          <w:lang w:eastAsia="fr-FR"/>
        </w:rPr>
        <w:t xml:space="preserve"> </w:t>
      </w:r>
      <w:r w:rsidRPr="00572F0B">
        <w:rPr>
          <w:rFonts w:ascii="Cambria" w:eastAsia="Times New Roman" w:hAnsi="Cambria" w:cs="Times New Roman"/>
          <w:sz w:val="24"/>
          <w:szCs w:val="24"/>
          <w:lang w:eastAsia="fr-FR"/>
        </w:rPr>
        <w:t xml:space="preserve">de la consommation finale nationale en valeur au lieu de </w:t>
      </w:r>
      <w:r w:rsidR="00083166" w:rsidRPr="00572F0B">
        <w:rPr>
          <w:rFonts w:ascii="Cambria" w:eastAsia="Times New Roman" w:hAnsi="Cambria" w:cs="Times New Roman"/>
          <w:sz w:val="24"/>
          <w:szCs w:val="24"/>
          <w:lang w:eastAsia="fr-FR"/>
        </w:rPr>
        <w:t>11</w:t>
      </w:r>
      <w:r w:rsidRPr="00572F0B">
        <w:rPr>
          <w:rFonts w:ascii="Cambria" w:eastAsia="Times New Roman" w:hAnsi="Cambria" w:cs="Times New Roman"/>
          <w:sz w:val="24"/>
          <w:szCs w:val="24"/>
          <w:lang w:eastAsia="fr-FR"/>
        </w:rPr>
        <w:t xml:space="preserve">% enregistrée une année auparavant, </w:t>
      </w:r>
      <w:r w:rsidR="00501CB5" w:rsidRPr="00572F0B">
        <w:rPr>
          <w:rFonts w:ascii="Cambria" w:eastAsia="Times New Roman" w:hAnsi="Cambria" w:cs="Times New Roman"/>
          <w:sz w:val="24"/>
          <w:szCs w:val="24"/>
          <w:lang w:eastAsia="fr-FR"/>
        </w:rPr>
        <w:t xml:space="preserve">l’épargne nationale </w:t>
      </w:r>
      <w:r w:rsidR="001053C5" w:rsidRPr="00572F0B">
        <w:rPr>
          <w:rFonts w:ascii="Cambria" w:eastAsia="Times New Roman" w:hAnsi="Cambria" w:cs="Times New Roman"/>
          <w:sz w:val="24"/>
          <w:szCs w:val="24"/>
          <w:lang w:eastAsia="fr-FR"/>
        </w:rPr>
        <w:t xml:space="preserve">s’est située à </w:t>
      </w:r>
      <w:r w:rsidR="000E1FD0" w:rsidRPr="00572F0B">
        <w:rPr>
          <w:rFonts w:ascii="Cambria" w:eastAsia="Times New Roman" w:hAnsi="Cambria" w:cs="Times New Roman"/>
          <w:sz w:val="24"/>
          <w:szCs w:val="24"/>
          <w:lang w:eastAsia="fr-FR"/>
        </w:rPr>
        <w:t>26</w:t>
      </w:r>
      <w:r w:rsidR="001053C5" w:rsidRPr="00572F0B">
        <w:rPr>
          <w:rFonts w:ascii="Cambria" w:eastAsia="Times New Roman" w:hAnsi="Cambria" w:cs="Times New Roman"/>
          <w:sz w:val="24"/>
          <w:szCs w:val="24"/>
          <w:lang w:eastAsia="fr-FR"/>
        </w:rPr>
        <w:t>,</w:t>
      </w:r>
      <w:r w:rsidR="000E1FD0" w:rsidRPr="00572F0B">
        <w:rPr>
          <w:rFonts w:ascii="Cambria" w:eastAsia="Times New Roman" w:hAnsi="Cambria" w:cs="Times New Roman"/>
          <w:sz w:val="24"/>
          <w:szCs w:val="24"/>
          <w:lang w:eastAsia="fr-FR"/>
        </w:rPr>
        <w:t>8</w:t>
      </w:r>
      <w:r w:rsidR="001053C5" w:rsidRPr="00572F0B">
        <w:rPr>
          <w:rFonts w:ascii="Cambria" w:eastAsia="Times New Roman" w:hAnsi="Cambria" w:cs="Times New Roman"/>
          <w:sz w:val="24"/>
          <w:szCs w:val="24"/>
          <w:lang w:eastAsia="fr-FR"/>
        </w:rPr>
        <w:t>% du PIB au lieu de 2</w:t>
      </w:r>
      <w:r w:rsidR="00083166" w:rsidRPr="00572F0B">
        <w:rPr>
          <w:rFonts w:ascii="Cambria" w:eastAsia="Times New Roman" w:hAnsi="Cambria" w:cs="Times New Roman"/>
          <w:sz w:val="24"/>
          <w:szCs w:val="24"/>
          <w:lang w:eastAsia="fr-FR"/>
        </w:rPr>
        <w:t>8</w:t>
      </w:r>
      <w:r w:rsidR="001053C5" w:rsidRPr="00572F0B">
        <w:rPr>
          <w:rFonts w:ascii="Cambria" w:eastAsia="Times New Roman" w:hAnsi="Cambria" w:cs="Times New Roman"/>
          <w:sz w:val="24"/>
          <w:szCs w:val="24"/>
          <w:lang w:eastAsia="fr-FR"/>
        </w:rPr>
        <w:t>,</w:t>
      </w:r>
      <w:r w:rsidR="00083166" w:rsidRPr="00572F0B">
        <w:rPr>
          <w:rFonts w:ascii="Cambria" w:eastAsia="Times New Roman" w:hAnsi="Cambria" w:cs="Times New Roman"/>
          <w:sz w:val="24"/>
          <w:szCs w:val="24"/>
          <w:lang w:eastAsia="fr-FR"/>
        </w:rPr>
        <w:t>2</w:t>
      </w:r>
      <w:r w:rsidR="001053C5" w:rsidRPr="00572F0B">
        <w:rPr>
          <w:rFonts w:ascii="Cambria" w:eastAsia="Times New Roman" w:hAnsi="Cambria" w:cs="Times New Roman"/>
          <w:sz w:val="24"/>
          <w:szCs w:val="24"/>
          <w:lang w:eastAsia="fr-FR"/>
        </w:rPr>
        <w:t>%.</w:t>
      </w:r>
    </w:p>
    <w:p w:rsidR="006C5C87" w:rsidRPr="00572F0B" w:rsidRDefault="0015153B" w:rsidP="002272E4">
      <w:pPr>
        <w:shd w:val="clear" w:color="auto" w:fill="FFFFFF"/>
        <w:spacing w:before="120" w:after="120" w:line="380" w:lineRule="exact"/>
        <w:ind w:right="215"/>
        <w:jc w:val="both"/>
        <w:rPr>
          <w:rFonts w:ascii="Cambria" w:hAnsi="Cambria" w:cs="Calibri"/>
          <w:color w:val="000000"/>
          <w:sz w:val="24"/>
          <w:szCs w:val="24"/>
        </w:rPr>
      </w:pPr>
      <w:r w:rsidRPr="00572F0B">
        <w:rPr>
          <w:rFonts w:ascii="Cambria" w:hAnsi="Cambria" w:cs="Calibri"/>
          <w:color w:val="000000"/>
          <w:sz w:val="24"/>
          <w:szCs w:val="24"/>
        </w:rPr>
        <w:t>Avec</w:t>
      </w:r>
      <w:r w:rsidR="006C5C87" w:rsidRPr="00572F0B">
        <w:rPr>
          <w:rFonts w:ascii="Cambria" w:hAnsi="Cambria" w:cs="Calibri"/>
          <w:color w:val="000000"/>
          <w:sz w:val="24"/>
          <w:szCs w:val="24"/>
        </w:rPr>
        <w:t xml:space="preserve"> un niveau d’investissement brut </w:t>
      </w:r>
      <w:r w:rsidRPr="00572F0B">
        <w:rPr>
          <w:rFonts w:ascii="Cambria" w:hAnsi="Cambria" w:cs="Calibri"/>
          <w:color w:val="000000"/>
          <w:sz w:val="24"/>
          <w:szCs w:val="24"/>
        </w:rPr>
        <w:t>représentant 30,3% du PIB</w:t>
      </w:r>
      <w:r w:rsidR="006C5C87" w:rsidRPr="00572F0B">
        <w:rPr>
          <w:rFonts w:ascii="Cambria" w:hAnsi="Cambria" w:cs="Calibri"/>
          <w:color w:val="000000"/>
          <w:sz w:val="24"/>
          <w:szCs w:val="24"/>
        </w:rPr>
        <w:t xml:space="preserve">, le besoin de financement de l’économie nationale s’est ainsi </w:t>
      </w:r>
      <w:r w:rsidR="00D870BB" w:rsidRPr="00572F0B">
        <w:rPr>
          <w:rFonts w:ascii="Cambria" w:hAnsi="Cambria" w:cs="Calibri"/>
          <w:color w:val="000000"/>
          <w:sz w:val="24"/>
          <w:szCs w:val="24"/>
        </w:rPr>
        <w:t>aggravé</w:t>
      </w:r>
      <w:r w:rsidR="006C5C87" w:rsidRPr="00572F0B">
        <w:rPr>
          <w:rFonts w:ascii="Cambria" w:hAnsi="Cambria" w:cs="Calibri"/>
          <w:color w:val="000000"/>
          <w:sz w:val="24"/>
          <w:szCs w:val="24"/>
        </w:rPr>
        <w:t xml:space="preserve"> passant de </w:t>
      </w:r>
      <w:r w:rsidR="00083166" w:rsidRPr="00572F0B">
        <w:rPr>
          <w:rFonts w:ascii="Cambria" w:hAnsi="Cambria" w:cs="Calibri"/>
          <w:color w:val="000000"/>
          <w:sz w:val="24"/>
          <w:szCs w:val="24"/>
        </w:rPr>
        <w:t>2</w:t>
      </w:r>
      <w:r w:rsidR="006C5C87" w:rsidRPr="00572F0B">
        <w:rPr>
          <w:rFonts w:ascii="Cambria" w:hAnsi="Cambria" w:cs="Calibri"/>
          <w:color w:val="000000"/>
          <w:sz w:val="24"/>
          <w:szCs w:val="24"/>
        </w:rPr>
        <w:t>,</w:t>
      </w:r>
      <w:r w:rsidR="00083166" w:rsidRPr="00572F0B">
        <w:rPr>
          <w:rFonts w:ascii="Cambria" w:hAnsi="Cambria" w:cs="Calibri"/>
          <w:color w:val="000000"/>
          <w:sz w:val="24"/>
          <w:szCs w:val="24"/>
        </w:rPr>
        <w:t>3</w:t>
      </w:r>
      <w:r w:rsidR="006C5C87" w:rsidRPr="00572F0B">
        <w:rPr>
          <w:rFonts w:ascii="Cambria" w:hAnsi="Cambria" w:cs="Calibri"/>
          <w:color w:val="000000"/>
          <w:sz w:val="24"/>
          <w:szCs w:val="24"/>
        </w:rPr>
        <w:t>% du PIB en 20</w:t>
      </w:r>
      <w:r w:rsidR="00EF54A5" w:rsidRPr="00572F0B">
        <w:rPr>
          <w:rFonts w:ascii="Cambria" w:hAnsi="Cambria" w:cs="Calibri"/>
          <w:color w:val="000000"/>
          <w:sz w:val="24"/>
          <w:szCs w:val="24"/>
        </w:rPr>
        <w:t>2</w:t>
      </w:r>
      <w:r w:rsidR="00083166" w:rsidRPr="00572F0B">
        <w:rPr>
          <w:rFonts w:ascii="Cambria" w:hAnsi="Cambria" w:cs="Calibri"/>
          <w:color w:val="000000"/>
          <w:sz w:val="24"/>
          <w:szCs w:val="24"/>
        </w:rPr>
        <w:t>1</w:t>
      </w:r>
      <w:r w:rsidR="005371A2" w:rsidRPr="00572F0B">
        <w:rPr>
          <w:rFonts w:ascii="Cambria" w:hAnsi="Cambria" w:cs="Calibri"/>
          <w:color w:val="000000"/>
          <w:sz w:val="24"/>
          <w:szCs w:val="24"/>
        </w:rPr>
        <w:t xml:space="preserve"> à </w:t>
      </w:r>
      <w:r w:rsidR="006C5C87" w:rsidRPr="00572F0B">
        <w:rPr>
          <w:rFonts w:ascii="Cambria" w:hAnsi="Cambria" w:cs="Calibri"/>
          <w:color w:val="000000"/>
          <w:sz w:val="24"/>
          <w:szCs w:val="24"/>
        </w:rPr>
        <w:t xml:space="preserve"> </w:t>
      </w:r>
      <w:r w:rsidR="003D17FD" w:rsidRPr="00572F0B">
        <w:rPr>
          <w:rFonts w:ascii="Cambria" w:hAnsi="Cambria" w:cs="Calibri"/>
          <w:color w:val="000000"/>
          <w:sz w:val="24"/>
          <w:szCs w:val="24"/>
        </w:rPr>
        <w:t>3</w:t>
      </w:r>
      <w:r w:rsidR="00EF54A5" w:rsidRPr="00572F0B">
        <w:rPr>
          <w:rFonts w:ascii="Cambria" w:hAnsi="Cambria" w:cs="Calibri"/>
          <w:color w:val="000000"/>
          <w:sz w:val="24"/>
          <w:szCs w:val="24"/>
        </w:rPr>
        <w:t>,</w:t>
      </w:r>
      <w:r w:rsidR="003D17FD" w:rsidRPr="00572F0B">
        <w:rPr>
          <w:rFonts w:ascii="Cambria" w:hAnsi="Cambria" w:cs="Calibri"/>
          <w:color w:val="000000"/>
          <w:sz w:val="24"/>
          <w:szCs w:val="24"/>
        </w:rPr>
        <w:t>5</w:t>
      </w:r>
      <w:r w:rsidR="00EF54A5" w:rsidRPr="00572F0B">
        <w:rPr>
          <w:rFonts w:ascii="Cambria" w:hAnsi="Cambria" w:cs="Calibri"/>
          <w:color w:val="000000"/>
          <w:sz w:val="24"/>
          <w:szCs w:val="24"/>
        </w:rPr>
        <w:t>% en 202</w:t>
      </w:r>
      <w:r w:rsidR="00083166" w:rsidRPr="00572F0B">
        <w:rPr>
          <w:rFonts w:ascii="Cambria" w:hAnsi="Cambria" w:cs="Calibri"/>
          <w:color w:val="000000"/>
          <w:sz w:val="24"/>
          <w:szCs w:val="24"/>
        </w:rPr>
        <w:t>2</w:t>
      </w:r>
      <w:r w:rsidR="006C5C87" w:rsidRPr="00572F0B">
        <w:rPr>
          <w:rFonts w:ascii="Cambria" w:hAnsi="Cambria" w:cs="Calibri"/>
          <w:color w:val="000000"/>
          <w:sz w:val="24"/>
          <w:szCs w:val="24"/>
        </w:rPr>
        <w:t>.</w:t>
      </w:r>
    </w:p>
    <w:p w:rsidR="0086132C" w:rsidRDefault="0086132C" w:rsidP="0086132C">
      <w:pPr>
        <w:spacing w:before="60"/>
        <w:ind w:hanging="426"/>
        <w:rPr>
          <w:b/>
          <w:bCs/>
          <w:i/>
          <w:iCs/>
          <w:sz w:val="16"/>
          <w:szCs w:val="16"/>
        </w:rPr>
      </w:pPr>
    </w:p>
    <w:p w:rsidR="00BD7DCA" w:rsidRDefault="00BD7DCA" w:rsidP="0086132C">
      <w:pPr>
        <w:spacing w:before="60"/>
        <w:ind w:hanging="426"/>
        <w:rPr>
          <w:b/>
          <w:bCs/>
          <w:i/>
          <w:iCs/>
          <w:sz w:val="16"/>
          <w:szCs w:val="16"/>
        </w:rPr>
      </w:pPr>
    </w:p>
    <w:p w:rsidR="00BD7DCA" w:rsidRDefault="00BD7DCA" w:rsidP="0086132C">
      <w:pPr>
        <w:spacing w:before="60"/>
        <w:ind w:hanging="426"/>
        <w:rPr>
          <w:b/>
          <w:bCs/>
          <w:i/>
          <w:iCs/>
          <w:sz w:val="16"/>
          <w:szCs w:val="16"/>
        </w:rPr>
      </w:pPr>
    </w:p>
    <w:p w:rsidR="00BD7DCA" w:rsidRDefault="00BD7DCA" w:rsidP="0086132C">
      <w:pPr>
        <w:spacing w:before="60"/>
        <w:ind w:hanging="426"/>
        <w:rPr>
          <w:b/>
          <w:bCs/>
          <w:i/>
          <w:iCs/>
          <w:sz w:val="16"/>
          <w:szCs w:val="16"/>
        </w:rPr>
      </w:pPr>
    </w:p>
    <w:p w:rsidR="0086132C" w:rsidRDefault="0086132C" w:rsidP="0086132C">
      <w:pPr>
        <w:spacing w:before="60"/>
        <w:ind w:hanging="426"/>
        <w:rPr>
          <w:b/>
          <w:bCs/>
          <w:i/>
          <w:iCs/>
          <w:sz w:val="16"/>
          <w:szCs w:val="16"/>
        </w:rPr>
      </w:pPr>
    </w:p>
    <w:p w:rsidR="002272E4" w:rsidRDefault="0086132C" w:rsidP="009777A0">
      <w:pPr>
        <w:spacing w:before="60"/>
        <w:ind w:hanging="426"/>
        <w:rPr>
          <w:b/>
          <w:i/>
          <w:iCs/>
          <w:color w:val="000000"/>
          <w:sz w:val="28"/>
          <w:szCs w:val="28"/>
        </w:rPr>
      </w:pPr>
      <w:r w:rsidRPr="0086132C">
        <w:rPr>
          <w:b/>
          <w:bCs/>
          <w:i/>
          <w:iCs/>
          <w:sz w:val="16"/>
          <w:szCs w:val="16"/>
        </w:rPr>
        <w:t>En annexe les tableaux présentant les rés</w:t>
      </w:r>
      <w:r w:rsidR="00120F75">
        <w:rPr>
          <w:b/>
          <w:bCs/>
          <w:i/>
          <w:iCs/>
          <w:sz w:val="16"/>
          <w:szCs w:val="16"/>
        </w:rPr>
        <w:t xml:space="preserve">ultats des comptes nationaux de l’année </w:t>
      </w:r>
      <w:r w:rsidRPr="0086132C">
        <w:rPr>
          <w:b/>
          <w:bCs/>
          <w:i/>
          <w:iCs/>
          <w:sz w:val="16"/>
          <w:szCs w:val="16"/>
        </w:rPr>
        <w:t>20</w:t>
      </w:r>
      <w:r w:rsidRPr="0086132C">
        <w:rPr>
          <w:rFonts w:hint="cs"/>
          <w:b/>
          <w:bCs/>
          <w:i/>
          <w:iCs/>
          <w:sz w:val="16"/>
          <w:szCs w:val="16"/>
          <w:rtl/>
        </w:rPr>
        <w:t>2</w:t>
      </w:r>
      <w:proofErr w:type="spellStart"/>
      <w:r w:rsidR="00685D35">
        <w:rPr>
          <w:b/>
          <w:bCs/>
          <w:i/>
          <w:iCs/>
          <w:sz w:val="16"/>
          <w:szCs w:val="16"/>
        </w:rPr>
        <w:t>2</w:t>
      </w:r>
      <w:proofErr w:type="spellEnd"/>
      <w:r w:rsidR="00B720B9" w:rsidRPr="0086132C">
        <w:rPr>
          <w:b/>
          <w:i/>
          <w:iCs/>
          <w:color w:val="000000"/>
          <w:sz w:val="28"/>
          <w:szCs w:val="28"/>
        </w:rPr>
        <w:br w:type="page"/>
      </w:r>
    </w:p>
    <w:p w:rsidR="00685D35" w:rsidRPr="00685D35" w:rsidRDefault="00B720B9" w:rsidP="00685D35">
      <w:pPr>
        <w:spacing w:before="60"/>
        <w:ind w:hanging="426"/>
        <w:jc w:val="center"/>
        <w:rPr>
          <w:b/>
          <w:color w:val="632423" w:themeColor="accent2" w:themeShade="80"/>
          <w:sz w:val="28"/>
          <w:szCs w:val="28"/>
        </w:rPr>
      </w:pPr>
      <w:r w:rsidRPr="00685D35">
        <w:rPr>
          <w:b/>
          <w:color w:val="632423" w:themeColor="accent2" w:themeShade="80"/>
          <w:sz w:val="28"/>
          <w:szCs w:val="28"/>
        </w:rPr>
        <w:lastRenderedPageBreak/>
        <w:t>Valeurs ajoutées en vol</w:t>
      </w:r>
      <w:r w:rsidR="00864762" w:rsidRPr="00685D35">
        <w:rPr>
          <w:b/>
          <w:color w:val="632423" w:themeColor="accent2" w:themeShade="80"/>
          <w:sz w:val="28"/>
          <w:szCs w:val="28"/>
        </w:rPr>
        <w:t>u</w:t>
      </w:r>
      <w:r w:rsidRPr="00685D35">
        <w:rPr>
          <w:b/>
          <w:color w:val="632423" w:themeColor="accent2" w:themeShade="80"/>
          <w:sz w:val="28"/>
          <w:szCs w:val="28"/>
        </w:rPr>
        <w:t>me</w:t>
      </w:r>
      <w:r w:rsidR="00FF6863" w:rsidRPr="00685D35">
        <w:rPr>
          <w:b/>
          <w:color w:val="632423" w:themeColor="accent2" w:themeShade="80"/>
          <w:sz w:val="28"/>
          <w:szCs w:val="28"/>
        </w:rPr>
        <w:t xml:space="preserve"> par secteurs d’activité</w:t>
      </w:r>
    </w:p>
    <w:p w:rsidR="00B720B9" w:rsidRPr="00685D35" w:rsidRDefault="00B720B9" w:rsidP="00685D35">
      <w:pPr>
        <w:spacing w:before="60"/>
        <w:ind w:hanging="426"/>
        <w:jc w:val="center"/>
        <w:rPr>
          <w:b/>
          <w:color w:val="632423" w:themeColor="accent2" w:themeShade="80"/>
          <w:sz w:val="28"/>
          <w:szCs w:val="28"/>
        </w:rPr>
      </w:pPr>
      <w:r w:rsidRPr="00685D35">
        <w:rPr>
          <w:b/>
          <w:color w:val="632423" w:themeColor="accent2" w:themeShade="80"/>
          <w:sz w:val="28"/>
          <w:szCs w:val="28"/>
        </w:rPr>
        <w:t>(</w:t>
      </w:r>
      <w:proofErr w:type="gramStart"/>
      <w:r w:rsidRPr="00685D35">
        <w:rPr>
          <w:b/>
          <w:color w:val="632423" w:themeColor="accent2" w:themeShade="80"/>
          <w:sz w:val="28"/>
          <w:szCs w:val="28"/>
        </w:rPr>
        <w:t>prix</w:t>
      </w:r>
      <w:proofErr w:type="gramEnd"/>
      <w:r w:rsidRPr="00685D35">
        <w:rPr>
          <w:b/>
          <w:color w:val="632423" w:themeColor="accent2" w:themeShade="80"/>
          <w:sz w:val="28"/>
          <w:szCs w:val="28"/>
        </w:rPr>
        <w:t xml:space="preserve"> de l’année précédente)</w:t>
      </w:r>
    </w:p>
    <w:p w:rsidR="00B720B9" w:rsidRDefault="00B720B9" w:rsidP="00B720B9">
      <w:pPr>
        <w:jc w:val="center"/>
        <w:rPr>
          <w:i/>
          <w:iCs/>
          <w:color w:val="800080"/>
        </w:rPr>
      </w:pPr>
      <w:r w:rsidRPr="00311474">
        <w:rPr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</w:t>
      </w:r>
      <w:r>
        <w:rPr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</w:t>
      </w:r>
      <w:r w:rsidRPr="00311474">
        <w:rPr>
          <w:b/>
          <w:bCs/>
          <w:i/>
          <w:snapToGrid w:val="0"/>
          <w:color w:val="993366"/>
          <w:sz w:val="18"/>
          <w:szCs w:val="18"/>
        </w:rPr>
        <w:t xml:space="preserve">           </w:t>
      </w:r>
      <w:r w:rsidRPr="00311474">
        <w:rPr>
          <w:i/>
          <w:iCs/>
          <w:color w:val="800080"/>
        </w:rPr>
        <w:t>Evolution annuelle en %</w:t>
      </w:r>
    </w:p>
    <w:tbl>
      <w:tblPr>
        <w:tblW w:w="9769" w:type="dxa"/>
        <w:jc w:val="center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09"/>
        <w:gridCol w:w="6120"/>
        <w:gridCol w:w="170"/>
        <w:gridCol w:w="810"/>
        <w:gridCol w:w="170"/>
        <w:gridCol w:w="810"/>
        <w:gridCol w:w="170"/>
        <w:gridCol w:w="810"/>
      </w:tblGrid>
      <w:tr w:rsidR="00864762" w:rsidRPr="00F4649F" w:rsidTr="00685D35">
        <w:trPr>
          <w:trHeight w:hRule="exact" w:val="397"/>
          <w:jc w:val="center"/>
        </w:trPr>
        <w:tc>
          <w:tcPr>
            <w:tcW w:w="709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685D35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685D35">
              <w:rPr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612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685D35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685D35">
              <w:rPr>
                <w:b/>
                <w:bCs/>
                <w:color w:val="800080"/>
                <w:sz w:val="20"/>
                <w:szCs w:val="20"/>
              </w:rPr>
              <w:t>Secteur d’activité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685D35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685D35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685D35">
              <w:rPr>
                <w:b/>
                <w:bCs/>
                <w:color w:val="800080"/>
                <w:sz w:val="20"/>
                <w:szCs w:val="20"/>
              </w:rPr>
              <w:t>2020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685D35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685D35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685D35">
              <w:rPr>
                <w:b/>
                <w:bCs/>
                <w:color w:val="800080"/>
                <w:sz w:val="20"/>
                <w:szCs w:val="20"/>
              </w:rPr>
              <w:t>2021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685D35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685D35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685D35">
              <w:rPr>
                <w:b/>
                <w:bCs/>
                <w:color w:val="800080"/>
                <w:sz w:val="20"/>
                <w:szCs w:val="20"/>
              </w:rPr>
              <w:t>2022</w:t>
            </w:r>
          </w:p>
        </w:tc>
      </w:tr>
      <w:tr w:rsidR="00864762" w:rsidRPr="001A51CF" w:rsidTr="00685D35">
        <w:trPr>
          <w:trHeight w:val="340"/>
          <w:jc w:val="center"/>
        </w:trPr>
        <w:tc>
          <w:tcPr>
            <w:tcW w:w="709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F07F3B" w:rsidRDefault="00864762" w:rsidP="00685D35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A00</w:t>
            </w:r>
          </w:p>
        </w:tc>
        <w:tc>
          <w:tcPr>
            <w:tcW w:w="6120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 xml:space="preserve">Agriculture et sylviculture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706EFD" w:rsidRDefault="00864762" w:rsidP="002D5C4B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-8,1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19,5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-12,9</w:t>
            </w:r>
          </w:p>
        </w:tc>
      </w:tr>
      <w:tr w:rsidR="00864762" w:rsidRPr="001A51CF" w:rsidTr="00685D35">
        <w:trPr>
          <w:trHeight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F07F3B" w:rsidRDefault="00864762" w:rsidP="00685D35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A05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Pêche et aquaculture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706EFD" w:rsidRDefault="00864762" w:rsidP="002D5C4B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12,2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9,9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-9,7</w:t>
            </w:r>
          </w:p>
        </w:tc>
      </w:tr>
      <w:tr w:rsidR="00864762" w:rsidRPr="001A51CF" w:rsidTr="00685D35">
        <w:trPr>
          <w:trHeight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F07F3B" w:rsidRDefault="00864762" w:rsidP="00685D35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B00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Extraction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706EFD" w:rsidRDefault="00864762" w:rsidP="002D5C4B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2,6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7,3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-9,4</w:t>
            </w:r>
          </w:p>
        </w:tc>
      </w:tr>
      <w:tr w:rsidR="00864762" w:rsidRPr="005334C5" w:rsidTr="00685D35">
        <w:trPr>
          <w:trHeight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F07F3B" w:rsidRDefault="00864762" w:rsidP="00685D35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C00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rPr>
                <w:b/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Industries manufacturières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1A51CF" w:rsidRDefault="00864762" w:rsidP="002D5C4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-7,4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7,8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0,3</w:t>
            </w:r>
          </w:p>
        </w:tc>
      </w:tr>
      <w:tr w:rsidR="00864762" w:rsidRPr="001A51CF" w:rsidTr="00685D35">
        <w:trPr>
          <w:trHeight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F07F3B" w:rsidRDefault="00864762" w:rsidP="00685D35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DE0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5D35" w:rsidRPr="00685D35" w:rsidRDefault="00864762" w:rsidP="002D5C4B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 xml:space="preserve">Distribution d’électricité et de gaz- Distribution d’eau, réseau d’assainissement, </w:t>
            </w:r>
          </w:p>
          <w:p w:rsidR="00864762" w:rsidRPr="00685D35" w:rsidRDefault="00864762" w:rsidP="002D5C4B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 xml:space="preserve">traitement des déchets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706EFD" w:rsidRDefault="00864762" w:rsidP="002D5C4B">
            <w:pPr>
              <w:spacing w:line="220" w:lineRule="exact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-1,3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7,5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-3,2</w:t>
            </w:r>
          </w:p>
        </w:tc>
      </w:tr>
      <w:tr w:rsidR="00864762" w:rsidRPr="001A51CF" w:rsidTr="00685D35">
        <w:trPr>
          <w:trHeight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F07F3B" w:rsidRDefault="00864762" w:rsidP="00685D35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F00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Construction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706EFD" w:rsidRDefault="00864762" w:rsidP="002D5C4B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-4,1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4,7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-3,6</w:t>
            </w:r>
          </w:p>
        </w:tc>
      </w:tr>
      <w:tr w:rsidR="00864762" w:rsidRPr="001A51CF" w:rsidTr="00685D35">
        <w:trPr>
          <w:trHeight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F07F3B" w:rsidRDefault="00864762" w:rsidP="00685D35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G00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Commerce de gros et de détail; réparation de véhicules automobiles et de motocycles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706EFD" w:rsidRDefault="00864762" w:rsidP="002D5C4B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-6,6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8,2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0,4</w:t>
            </w:r>
          </w:p>
        </w:tc>
      </w:tr>
      <w:tr w:rsidR="00864762" w:rsidRPr="001A51CF" w:rsidTr="00685D35">
        <w:trPr>
          <w:trHeight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F07F3B" w:rsidRDefault="00864762" w:rsidP="00685D35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H00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Transports et entreposage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706EFD" w:rsidRDefault="00864762" w:rsidP="002D5C4B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-28,5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10,5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3,8</w:t>
            </w:r>
          </w:p>
        </w:tc>
      </w:tr>
      <w:tr w:rsidR="00864762" w:rsidRPr="001A51CF" w:rsidTr="00685D35">
        <w:trPr>
          <w:trHeight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F07F3B" w:rsidRDefault="00864762" w:rsidP="00685D35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I00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Activités d’hébergement et de restauration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706EFD" w:rsidRDefault="00864762" w:rsidP="002D5C4B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-54,6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15,4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53,7</w:t>
            </w:r>
          </w:p>
        </w:tc>
      </w:tr>
      <w:tr w:rsidR="00864762" w:rsidRPr="001A51CF" w:rsidTr="00685D35">
        <w:trPr>
          <w:trHeight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F07F3B" w:rsidRDefault="00864762" w:rsidP="00685D35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J00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Information et communication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706EFD" w:rsidRDefault="00864762" w:rsidP="002D5C4B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5,1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-1,5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2,6</w:t>
            </w:r>
          </w:p>
        </w:tc>
      </w:tr>
      <w:tr w:rsidR="00864762" w:rsidRPr="001A51CF" w:rsidTr="00685D35">
        <w:trPr>
          <w:trHeight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F07F3B" w:rsidRDefault="00864762" w:rsidP="00685D35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K00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Activités financières et d'assurance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706EFD" w:rsidRDefault="00864762" w:rsidP="002D5C4B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0,6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4,8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7,0</w:t>
            </w:r>
          </w:p>
        </w:tc>
      </w:tr>
      <w:tr w:rsidR="00864762" w:rsidRPr="001A51CF" w:rsidTr="00685D35">
        <w:trPr>
          <w:trHeight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F07F3B" w:rsidRDefault="00864762" w:rsidP="00685D35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L68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Activités immobilières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706EFD" w:rsidRDefault="00864762" w:rsidP="002D5C4B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-0,8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2,9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1,4</w:t>
            </w:r>
          </w:p>
        </w:tc>
      </w:tr>
      <w:tr w:rsidR="00864762" w:rsidRPr="001A51CF" w:rsidTr="00685D35">
        <w:trPr>
          <w:trHeight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F07F3B" w:rsidRDefault="00864762" w:rsidP="00685D35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MN0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Recherches et développement et services rendus aux entreprises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706EFD" w:rsidRDefault="00864762" w:rsidP="002D5C4B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-13,4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9,6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5,4</w:t>
            </w:r>
          </w:p>
        </w:tc>
      </w:tr>
      <w:tr w:rsidR="00864762" w:rsidRPr="001A51CF" w:rsidTr="00685D35">
        <w:trPr>
          <w:trHeight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F07F3B" w:rsidRDefault="00864762" w:rsidP="00685D35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O84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Administration publique; sécurité sociale obligatoire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706EFD" w:rsidRDefault="00864762" w:rsidP="002D5C4B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5,3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5,1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4,2</w:t>
            </w:r>
          </w:p>
        </w:tc>
      </w:tr>
      <w:tr w:rsidR="00864762" w:rsidRPr="001A51CF" w:rsidTr="00685D35">
        <w:trPr>
          <w:trHeight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F07F3B" w:rsidRDefault="00864762" w:rsidP="00685D35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PQ8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Education, santé humaine et activités d’action sociale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706EFD" w:rsidRDefault="00864762" w:rsidP="002D5C4B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0,8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3,6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5,5</w:t>
            </w:r>
          </w:p>
        </w:tc>
      </w:tr>
      <w:tr w:rsidR="00864762" w:rsidRPr="001A51CF" w:rsidTr="00685D35">
        <w:trPr>
          <w:trHeight w:val="340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F07F3B" w:rsidRDefault="00864762" w:rsidP="00685D35">
            <w:pPr>
              <w:jc w:val="center"/>
              <w:rPr>
                <w:b/>
                <w:color w:val="800080"/>
                <w:sz w:val="18"/>
                <w:szCs w:val="18"/>
              </w:rPr>
            </w:pPr>
            <w:r w:rsidRPr="00F07F3B">
              <w:rPr>
                <w:b/>
                <w:color w:val="800080"/>
                <w:sz w:val="18"/>
                <w:szCs w:val="18"/>
              </w:rPr>
              <w:t>RS0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rPr>
                <w:sz w:val="18"/>
                <w:szCs w:val="18"/>
              </w:rPr>
            </w:pPr>
            <w:r w:rsidRPr="00685D35">
              <w:rPr>
                <w:sz w:val="18"/>
                <w:szCs w:val="18"/>
              </w:rPr>
              <w:t>Autres services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706EFD" w:rsidRDefault="00864762" w:rsidP="002D5C4B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-23,2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5,0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2D5C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685D35" w:rsidRDefault="00864762">
            <w:pPr>
              <w:jc w:val="right"/>
              <w:rPr>
                <w:sz w:val="20"/>
                <w:szCs w:val="20"/>
              </w:rPr>
            </w:pPr>
            <w:r w:rsidRPr="00685D35">
              <w:rPr>
                <w:sz w:val="20"/>
                <w:szCs w:val="20"/>
              </w:rPr>
              <w:t>2,7</w:t>
            </w:r>
          </w:p>
        </w:tc>
      </w:tr>
      <w:tr w:rsidR="00864762" w:rsidRPr="00864762" w:rsidTr="00685D35">
        <w:trPr>
          <w:trHeight w:val="280"/>
          <w:jc w:val="center"/>
        </w:trPr>
        <w:tc>
          <w:tcPr>
            <w:tcW w:w="709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CB3EB5" w:rsidRDefault="00864762" w:rsidP="002D5C4B">
            <w:pPr>
              <w:rPr>
                <w:color w:val="800080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CB3EB5" w:rsidRDefault="00864762" w:rsidP="00685D35">
            <w:pPr>
              <w:jc w:val="center"/>
              <w:rPr>
                <w:sz w:val="20"/>
                <w:szCs w:val="20"/>
              </w:rPr>
            </w:pPr>
            <w:r w:rsidRPr="00CB3EB5">
              <w:rPr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CB3EB5" w:rsidRDefault="00864762" w:rsidP="00685D35">
            <w:pPr>
              <w:jc w:val="right"/>
              <w:rPr>
                <w:rFonts w:ascii="Arial" w:hAnsi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685D35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  <w:r w:rsidRPr="00685D35">
              <w:rPr>
                <w:b/>
                <w:bCs/>
                <w:color w:val="800080"/>
                <w:sz w:val="20"/>
                <w:szCs w:val="20"/>
              </w:rPr>
              <w:t>-7.0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685D3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685D35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  <w:r w:rsidRPr="00685D35">
              <w:rPr>
                <w:b/>
                <w:bCs/>
                <w:color w:val="800080"/>
                <w:sz w:val="20"/>
                <w:szCs w:val="20"/>
              </w:rPr>
              <w:t>7,8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685D35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4762" w:rsidRPr="00685D35" w:rsidRDefault="00864762" w:rsidP="00685D35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  <w:r w:rsidRPr="00685D35">
              <w:rPr>
                <w:b/>
                <w:bCs/>
                <w:color w:val="800080"/>
                <w:sz w:val="20"/>
                <w:szCs w:val="20"/>
              </w:rPr>
              <w:t>1,0</w:t>
            </w:r>
          </w:p>
        </w:tc>
      </w:tr>
    </w:tbl>
    <w:p w:rsidR="0042615C" w:rsidRPr="00685D35" w:rsidRDefault="00C50808" w:rsidP="00685D35">
      <w:pPr>
        <w:spacing w:before="60"/>
        <w:ind w:hanging="426"/>
        <w:jc w:val="center"/>
        <w:rPr>
          <w:b/>
          <w:color w:val="632423" w:themeColor="accent2" w:themeShade="80"/>
          <w:sz w:val="28"/>
          <w:szCs w:val="28"/>
        </w:rPr>
      </w:pPr>
      <w:r>
        <w:rPr>
          <w:b/>
          <w:color w:val="002060"/>
          <w:sz w:val="28"/>
          <w:szCs w:val="28"/>
        </w:rPr>
        <w:br w:type="page"/>
      </w:r>
      <w:r w:rsidR="008B1247" w:rsidRPr="00685D35">
        <w:rPr>
          <w:b/>
          <w:color w:val="632423" w:themeColor="accent2" w:themeShade="80"/>
          <w:sz w:val="28"/>
          <w:szCs w:val="28"/>
        </w:rPr>
        <w:lastRenderedPageBreak/>
        <w:t>Evolution des principaux agrégats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982"/>
        <w:gridCol w:w="223"/>
        <w:gridCol w:w="907"/>
        <w:gridCol w:w="340"/>
        <w:gridCol w:w="940"/>
        <w:gridCol w:w="307"/>
        <w:gridCol w:w="938"/>
      </w:tblGrid>
      <w:tr w:rsidR="0042615C" w:rsidRPr="00311474" w:rsidTr="00D9768E">
        <w:trPr>
          <w:trHeight w:hRule="exact" w:val="454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615C" w:rsidRPr="00311474" w:rsidRDefault="00864762" w:rsidP="00864762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>
              <w:rPr>
                <w:b/>
                <w:bCs/>
                <w:color w:val="800080"/>
                <w:sz w:val="20"/>
                <w:szCs w:val="20"/>
              </w:rPr>
              <w:t>2020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615C" w:rsidRPr="00311474" w:rsidRDefault="00864762" w:rsidP="00D9768E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>
              <w:rPr>
                <w:b/>
                <w:bCs/>
                <w:color w:val="800080"/>
                <w:sz w:val="20"/>
                <w:szCs w:val="20"/>
              </w:rPr>
              <w:t>2021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615C" w:rsidRPr="00311474" w:rsidRDefault="00864762" w:rsidP="00D9768E">
            <w:pPr>
              <w:jc w:val="center"/>
              <w:rPr>
                <w:b/>
                <w:bCs/>
                <w:color w:val="800080"/>
                <w:sz w:val="20"/>
                <w:szCs w:val="20"/>
              </w:rPr>
            </w:pPr>
            <w:r>
              <w:rPr>
                <w:b/>
                <w:bCs/>
                <w:color w:val="800080"/>
                <w:sz w:val="18"/>
                <w:szCs w:val="18"/>
              </w:rPr>
              <w:t>2022</w:t>
            </w:r>
          </w:p>
        </w:tc>
      </w:tr>
      <w:tr w:rsidR="0042615C" w:rsidRPr="00311474" w:rsidTr="00D9768E">
        <w:trPr>
          <w:trHeight w:hRule="exact" w:val="680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spacing w:line="240" w:lineRule="exact"/>
              <w:rPr>
                <w:b/>
                <w:color w:val="993300"/>
                <w:sz w:val="20"/>
                <w:szCs w:val="20"/>
              </w:rPr>
            </w:pPr>
            <w:r w:rsidRPr="00311474">
              <w:rPr>
                <w:b/>
                <w:color w:val="993300"/>
                <w:sz w:val="20"/>
                <w:szCs w:val="20"/>
              </w:rPr>
              <w:t>Décomposition du PIB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spacing w:line="240" w:lineRule="exact"/>
              <w:jc w:val="center"/>
              <w:rPr>
                <w:b/>
                <w:color w:val="993300"/>
                <w:sz w:val="20"/>
                <w:szCs w:val="20"/>
              </w:rPr>
            </w:pPr>
            <w:r w:rsidRPr="00311474">
              <w:rPr>
                <w:b/>
                <w:color w:val="993300"/>
                <w:sz w:val="20"/>
                <w:szCs w:val="20"/>
              </w:rPr>
              <w:t>Croissance annuelle en % (aux prix de l’année précédente)</w:t>
            </w:r>
          </w:p>
          <w:p w:rsidR="0042615C" w:rsidRPr="00311474" w:rsidRDefault="0042615C" w:rsidP="00D9768E">
            <w:pPr>
              <w:spacing w:line="240" w:lineRule="exact"/>
              <w:jc w:val="center"/>
              <w:rPr>
                <w:b/>
                <w:color w:val="993300"/>
                <w:sz w:val="20"/>
                <w:szCs w:val="20"/>
              </w:rPr>
            </w:pPr>
          </w:p>
          <w:p w:rsidR="0042615C" w:rsidRPr="00311474" w:rsidRDefault="0042615C" w:rsidP="00D9768E">
            <w:pPr>
              <w:spacing w:line="240" w:lineRule="exact"/>
              <w:jc w:val="center"/>
              <w:rPr>
                <w:b/>
                <w:color w:val="993300"/>
                <w:sz w:val="20"/>
                <w:szCs w:val="20"/>
              </w:rPr>
            </w:pPr>
          </w:p>
          <w:p w:rsidR="0042615C" w:rsidRPr="00311474" w:rsidRDefault="0042615C" w:rsidP="00D976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43753F" w:rsidRPr="00311474" w:rsidTr="0043753F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color w:val="800080"/>
                <w:sz w:val="20"/>
                <w:szCs w:val="20"/>
              </w:rPr>
              <w:t xml:space="preserve">       </w:t>
            </w:r>
            <w:r w:rsidRPr="00311474">
              <w:rPr>
                <w:b/>
                <w:bCs/>
                <w:color w:val="800080"/>
                <w:sz w:val="20"/>
                <w:szCs w:val="20"/>
              </w:rPr>
              <w:t>Produit intérieur brut (PIB)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3753F" w:rsidRDefault="004375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3753F" w:rsidRDefault="004375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3753F" w:rsidRDefault="004375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</w:t>
            </w:r>
          </w:p>
        </w:tc>
      </w:tr>
      <w:tr w:rsidR="0043753F" w:rsidRPr="00311474" w:rsidTr="0043753F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Valeur ajoutée totale aux prix de base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43753F" w:rsidRPr="00311474" w:rsidTr="0043753F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        Agriculture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-12,9</w:t>
            </w:r>
          </w:p>
        </w:tc>
      </w:tr>
      <w:tr w:rsidR="0043753F" w:rsidRPr="00311474" w:rsidTr="0043753F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        Hors agriculture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43753F" w:rsidRPr="00311474" w:rsidTr="0043753F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 Impôts sur les produits nets des subventions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</w:tr>
      <w:tr w:rsidR="0043753F" w:rsidRPr="00311474" w:rsidTr="0043753F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color w:val="800080"/>
                <w:sz w:val="20"/>
                <w:szCs w:val="20"/>
              </w:rPr>
              <w:t xml:space="preserve">       </w:t>
            </w:r>
            <w:r w:rsidRPr="00311474">
              <w:rPr>
                <w:b/>
                <w:bCs/>
                <w:color w:val="800080"/>
                <w:sz w:val="20"/>
                <w:szCs w:val="20"/>
              </w:rPr>
              <w:t>Produit intérieur brut non agricole (*)</w:t>
            </w:r>
            <w:r w:rsidRPr="00311474">
              <w:rPr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3753F" w:rsidRDefault="004375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3753F" w:rsidRDefault="004375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3753F" w:rsidRDefault="004375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3,1</w:t>
            </w:r>
          </w:p>
        </w:tc>
      </w:tr>
      <w:tr w:rsidR="0042615C" w:rsidRPr="00311474" w:rsidTr="00E02275">
        <w:trPr>
          <w:trHeight w:hRule="exact" w:val="398"/>
          <w:jc w:val="center"/>
        </w:trPr>
        <w:tc>
          <w:tcPr>
            <w:tcW w:w="598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rPr>
                <w:color w:val="800080"/>
                <w:sz w:val="20"/>
                <w:szCs w:val="20"/>
              </w:rPr>
            </w:pPr>
            <w:r w:rsidRPr="00311474">
              <w:rPr>
                <w:b/>
                <w:color w:val="993300"/>
                <w:sz w:val="20"/>
                <w:szCs w:val="20"/>
              </w:rPr>
              <w:t>Demande</w:t>
            </w:r>
            <w:r w:rsidRPr="00311474">
              <w:rPr>
                <w:color w:val="800080"/>
                <w:sz w:val="20"/>
                <w:szCs w:val="20"/>
              </w:rPr>
              <w:t> 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E02275" w:rsidRPr="00311474" w:rsidTr="00D9768E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Dépenses de consommation finale des ménages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Pr="00311474" w:rsidRDefault="00E02275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Pr="00311474" w:rsidRDefault="00E02275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-0,7</w:t>
            </w:r>
          </w:p>
        </w:tc>
      </w:tr>
      <w:tr w:rsidR="00E02275" w:rsidRPr="00311474" w:rsidTr="00D9768E">
        <w:trPr>
          <w:trHeight w:hRule="exact" w:val="278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spacing w:line="200" w:lineRule="exact"/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Dépenses de consommation finale des Administrations publiques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Pr="00311474" w:rsidRDefault="00E02275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Pr="00311474" w:rsidRDefault="00E02275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E02275" w:rsidRPr="00311474" w:rsidTr="00D9768E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Dépenses de consommation finale des ISBL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Pr="00311474" w:rsidRDefault="00E02275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Pr="00311474" w:rsidRDefault="00E02275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E02275" w:rsidRPr="00311474" w:rsidTr="00D9768E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Formation brute de capital fixe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Pr="00311474" w:rsidRDefault="00E02275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Pr="00311474" w:rsidRDefault="00E02275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-2,2</w:t>
            </w:r>
          </w:p>
        </w:tc>
      </w:tr>
      <w:tr w:rsidR="00E02275" w:rsidRPr="00311474" w:rsidTr="00D9768E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Importations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E02275" w:rsidRPr="00311474" w:rsidTr="00D9768E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Exportations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</w:tr>
      <w:tr w:rsidR="0042615C" w:rsidRPr="00311474" w:rsidTr="00685D35">
        <w:trPr>
          <w:trHeight w:hRule="exact" w:val="627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spacing w:line="240" w:lineRule="exact"/>
              <w:rPr>
                <w:b/>
                <w:color w:val="993300"/>
                <w:sz w:val="20"/>
                <w:szCs w:val="20"/>
              </w:rPr>
            </w:pPr>
            <w:r w:rsidRPr="00311474">
              <w:rPr>
                <w:b/>
                <w:color w:val="993300"/>
                <w:sz w:val="20"/>
                <w:szCs w:val="20"/>
              </w:rPr>
              <w:t>Décomposition du PIB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685D35">
            <w:pPr>
              <w:spacing w:line="260" w:lineRule="exact"/>
              <w:jc w:val="center"/>
              <w:rPr>
                <w:b/>
                <w:color w:val="993300"/>
                <w:sz w:val="20"/>
                <w:szCs w:val="20"/>
              </w:rPr>
            </w:pPr>
            <w:r w:rsidRPr="00311474">
              <w:rPr>
                <w:b/>
                <w:color w:val="993300"/>
                <w:sz w:val="20"/>
                <w:szCs w:val="20"/>
              </w:rPr>
              <w:t>Aux prix courants(en millions de DH)</w:t>
            </w:r>
          </w:p>
          <w:p w:rsidR="0042615C" w:rsidRPr="00311474" w:rsidRDefault="0042615C" w:rsidP="00D9768E">
            <w:pPr>
              <w:spacing w:line="260" w:lineRule="exact"/>
              <w:jc w:val="center"/>
              <w:rPr>
                <w:b/>
                <w:color w:val="993300"/>
                <w:sz w:val="20"/>
                <w:szCs w:val="20"/>
              </w:rPr>
            </w:pPr>
          </w:p>
          <w:p w:rsidR="0042615C" w:rsidRPr="00311474" w:rsidRDefault="0042615C" w:rsidP="00D9768E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864762" w:rsidRPr="00311474" w:rsidTr="0015153B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311474" w:rsidRDefault="00864762" w:rsidP="00D9768E">
            <w:pPr>
              <w:rPr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color w:val="800080"/>
                <w:sz w:val="20"/>
                <w:szCs w:val="20"/>
              </w:rPr>
              <w:t xml:space="preserve">       </w:t>
            </w:r>
            <w:r w:rsidRPr="00311474">
              <w:rPr>
                <w:b/>
                <w:bCs/>
                <w:color w:val="800080"/>
                <w:sz w:val="20"/>
                <w:szCs w:val="20"/>
              </w:rPr>
              <w:t>Produit intérieur brut</w:t>
            </w:r>
            <w:r w:rsidRPr="00311474">
              <w:rPr>
                <w:i/>
                <w:iCs/>
                <w:color w:val="660066"/>
                <w:sz w:val="20"/>
                <w:szCs w:val="20"/>
              </w:rPr>
              <w:t xml:space="preserve">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311474" w:rsidRDefault="00864762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864762" w:rsidRDefault="00864762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  <w:r>
              <w:rPr>
                <w:b/>
                <w:bCs/>
                <w:color w:val="800080"/>
                <w:sz w:val="20"/>
                <w:szCs w:val="20"/>
              </w:rPr>
              <w:t>1 152 477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864762" w:rsidRPr="00311474" w:rsidRDefault="00864762" w:rsidP="00D9768E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864762" w:rsidRDefault="00864762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  <w:r>
              <w:rPr>
                <w:b/>
                <w:bCs/>
                <w:color w:val="800080"/>
                <w:sz w:val="20"/>
                <w:szCs w:val="20"/>
              </w:rPr>
              <w:t>1 274 727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864762" w:rsidRPr="00311474" w:rsidRDefault="00864762" w:rsidP="00D9768E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864762" w:rsidRDefault="00864762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  <w:r>
              <w:rPr>
                <w:b/>
                <w:bCs/>
                <w:color w:val="800080"/>
                <w:sz w:val="20"/>
                <w:szCs w:val="20"/>
              </w:rPr>
              <w:t>1 330 158</w:t>
            </w:r>
          </w:p>
        </w:tc>
      </w:tr>
      <w:tr w:rsidR="00864762" w:rsidRPr="00311474" w:rsidTr="0015153B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311474" w:rsidRDefault="00864762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Valeur ajoutée totale aux prix de base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311474" w:rsidRDefault="00864762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864762" w:rsidRDefault="008647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1 036 049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864762" w:rsidRPr="00311474" w:rsidRDefault="00864762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864762" w:rsidRDefault="008647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1 143 497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864762" w:rsidRPr="00311474" w:rsidRDefault="00864762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864762" w:rsidRDefault="008647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1 200 946</w:t>
            </w:r>
          </w:p>
        </w:tc>
      </w:tr>
      <w:tr w:rsidR="00864762" w:rsidRPr="00311474" w:rsidTr="0015153B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311474" w:rsidRDefault="00864762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        Agriculture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311474" w:rsidRDefault="00864762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864762" w:rsidRDefault="008647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117 094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864762" w:rsidRPr="00311474" w:rsidRDefault="00864762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864762" w:rsidRDefault="008647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143 963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864762" w:rsidRPr="00311474" w:rsidRDefault="00864762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864762" w:rsidRDefault="008647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130 299</w:t>
            </w:r>
          </w:p>
        </w:tc>
      </w:tr>
      <w:tr w:rsidR="00864762" w:rsidRPr="00311474" w:rsidTr="0015153B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311474" w:rsidRDefault="00864762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        Hors agriculture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311474" w:rsidRDefault="00864762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864762" w:rsidRDefault="008647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918 955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864762" w:rsidRPr="00311474" w:rsidRDefault="00864762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864762" w:rsidRDefault="008647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999 534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864762" w:rsidRPr="00311474" w:rsidRDefault="00864762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864762" w:rsidRDefault="008647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1 070 647</w:t>
            </w:r>
          </w:p>
        </w:tc>
      </w:tr>
      <w:tr w:rsidR="00864762" w:rsidRPr="00311474" w:rsidTr="0015153B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311474" w:rsidRDefault="00864762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 Impôts sur les produits nets des subventions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311474" w:rsidRDefault="00864762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864762" w:rsidRDefault="008647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116 428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864762" w:rsidRPr="00311474" w:rsidRDefault="00864762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864762" w:rsidRDefault="008647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131 230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864762" w:rsidRPr="00311474" w:rsidRDefault="00864762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864762" w:rsidRDefault="008647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129 212</w:t>
            </w:r>
          </w:p>
        </w:tc>
      </w:tr>
      <w:tr w:rsidR="00864762" w:rsidRPr="00311474" w:rsidTr="00E0227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4762" w:rsidRPr="00311474" w:rsidRDefault="00864762" w:rsidP="00D9768E">
            <w:pPr>
              <w:rPr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color w:val="800080"/>
                <w:sz w:val="20"/>
                <w:szCs w:val="20"/>
              </w:rPr>
              <w:t xml:space="preserve">       </w:t>
            </w:r>
            <w:r w:rsidRPr="00311474">
              <w:rPr>
                <w:b/>
                <w:bCs/>
                <w:color w:val="800080"/>
                <w:sz w:val="20"/>
                <w:szCs w:val="20"/>
              </w:rPr>
              <w:t>Produit intérieur brut non agricole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4762" w:rsidRPr="00311474" w:rsidRDefault="00864762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864762" w:rsidRDefault="00864762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  <w:r>
              <w:rPr>
                <w:b/>
                <w:bCs/>
                <w:color w:val="800080"/>
                <w:sz w:val="20"/>
                <w:szCs w:val="20"/>
              </w:rPr>
              <w:t>1 035 383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864762" w:rsidRPr="00311474" w:rsidRDefault="00864762" w:rsidP="00D9768E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864762" w:rsidRDefault="00864762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  <w:r>
              <w:rPr>
                <w:b/>
                <w:bCs/>
                <w:color w:val="800080"/>
                <w:sz w:val="20"/>
                <w:szCs w:val="20"/>
              </w:rPr>
              <w:t>1 130 764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864762" w:rsidRPr="00311474" w:rsidRDefault="00864762" w:rsidP="00D9768E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864762" w:rsidRDefault="00864762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  <w:r>
              <w:rPr>
                <w:b/>
                <w:bCs/>
                <w:color w:val="800080"/>
                <w:sz w:val="20"/>
                <w:szCs w:val="20"/>
              </w:rPr>
              <w:t>1 199 859</w:t>
            </w:r>
          </w:p>
        </w:tc>
      </w:tr>
      <w:tr w:rsidR="0042615C" w:rsidRPr="00311474" w:rsidTr="0043753F">
        <w:trPr>
          <w:trHeight w:hRule="exact" w:val="417"/>
          <w:jc w:val="center"/>
        </w:trPr>
        <w:tc>
          <w:tcPr>
            <w:tcW w:w="598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rPr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color w:val="800080"/>
                <w:sz w:val="20"/>
                <w:szCs w:val="20"/>
              </w:rPr>
              <w:t xml:space="preserve">  </w:t>
            </w:r>
            <w:r w:rsidRPr="00311474">
              <w:rPr>
                <w:b/>
                <w:color w:val="993300"/>
                <w:sz w:val="20"/>
                <w:szCs w:val="20"/>
              </w:rPr>
              <w:t>Demande 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rPr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43753F" w:rsidRPr="00311474" w:rsidTr="0043753F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Dépenses de consommation finale des ménages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672 606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751 470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813 450</w:t>
            </w:r>
          </w:p>
        </w:tc>
      </w:tr>
      <w:tr w:rsidR="0043753F" w:rsidRPr="00311474" w:rsidTr="00D9768E">
        <w:trPr>
          <w:trHeight w:hRule="exact" w:val="244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spacing w:line="200" w:lineRule="exact"/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Dépenses de consommation finale des Administrations publiques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223 638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242 213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255 627</w:t>
            </w:r>
          </w:p>
        </w:tc>
      </w:tr>
      <w:tr w:rsidR="0043753F" w:rsidRPr="00311474" w:rsidTr="00D9768E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Dépenses de consommation finale des ISBL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8 204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9 949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10 912</w:t>
            </w:r>
          </w:p>
        </w:tc>
      </w:tr>
      <w:tr w:rsidR="0043753F" w:rsidRPr="00311474" w:rsidTr="00D9768E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Formation brute de capital fixe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302 245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335 620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360 825</w:t>
            </w:r>
          </w:p>
        </w:tc>
      </w:tr>
      <w:tr w:rsidR="0043753F" w:rsidRPr="00311474" w:rsidTr="00D9768E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Importations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438 514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541 101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748 962</w:t>
            </w:r>
          </w:p>
        </w:tc>
      </w:tr>
      <w:tr w:rsidR="0043753F" w:rsidRPr="00311474" w:rsidTr="00D9768E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Exportations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354 895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423 003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3753F" w:rsidRDefault="0043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596 039</w:t>
            </w:r>
          </w:p>
        </w:tc>
      </w:tr>
      <w:tr w:rsidR="0043753F" w:rsidRPr="00311474" w:rsidTr="0043753F">
        <w:trPr>
          <w:trHeight w:hRule="exact" w:val="266"/>
          <w:jc w:val="center"/>
        </w:trPr>
        <w:tc>
          <w:tcPr>
            <w:tcW w:w="598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b/>
                <w:bCs/>
                <w:color w:val="800080"/>
                <w:sz w:val="20"/>
                <w:szCs w:val="20"/>
              </w:rPr>
              <w:t xml:space="preserve">       Revenu national brut disponible (RNBD)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3753F" w:rsidRDefault="0043753F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  <w:r>
              <w:rPr>
                <w:b/>
                <w:bCs/>
                <w:color w:val="800080"/>
                <w:sz w:val="20"/>
                <w:szCs w:val="20"/>
              </w:rPr>
              <w:t>1 222 659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3753F" w:rsidRDefault="0043753F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3753F" w:rsidRDefault="0043753F" w:rsidP="0043753F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  <w:r>
              <w:rPr>
                <w:b/>
                <w:bCs/>
                <w:color w:val="800080"/>
                <w:sz w:val="20"/>
                <w:szCs w:val="20"/>
              </w:rPr>
              <w:t>1 362 897</w:t>
            </w:r>
          </w:p>
          <w:p w:rsidR="0043753F" w:rsidRDefault="0043753F" w:rsidP="00D9768E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3753F" w:rsidRDefault="0043753F" w:rsidP="0043753F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  <w:r>
              <w:rPr>
                <w:b/>
                <w:bCs/>
                <w:color w:val="800080"/>
                <w:sz w:val="20"/>
                <w:szCs w:val="20"/>
              </w:rPr>
              <w:t>1 436 118</w:t>
            </w:r>
          </w:p>
          <w:p w:rsidR="0043753F" w:rsidRDefault="0043753F" w:rsidP="00D9768E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</w:tr>
      <w:tr w:rsidR="0042615C" w:rsidRPr="00311474" w:rsidTr="0043753F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rPr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b/>
                <w:bCs/>
                <w:color w:val="800080"/>
                <w:sz w:val="20"/>
                <w:szCs w:val="20"/>
              </w:rPr>
              <w:t xml:space="preserve">       Epargne nationale brute (ENB)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3753F" w:rsidRDefault="0043753F" w:rsidP="0043753F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  <w:r>
              <w:rPr>
                <w:b/>
                <w:bCs/>
                <w:color w:val="800080"/>
                <w:sz w:val="20"/>
                <w:szCs w:val="20"/>
              </w:rPr>
              <w:t>318 211</w:t>
            </w:r>
          </w:p>
          <w:p w:rsidR="0042615C" w:rsidRDefault="0042615C" w:rsidP="00D9768E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3753F" w:rsidRDefault="0043753F" w:rsidP="0043753F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  <w:r>
              <w:rPr>
                <w:b/>
                <w:bCs/>
                <w:color w:val="800080"/>
                <w:sz w:val="20"/>
                <w:szCs w:val="20"/>
              </w:rPr>
              <w:t>359 265</w:t>
            </w:r>
          </w:p>
          <w:p w:rsidR="0042615C" w:rsidRDefault="0042615C" w:rsidP="00D9768E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43753F" w:rsidRDefault="0043753F" w:rsidP="0043753F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  <w:r>
              <w:rPr>
                <w:b/>
                <w:bCs/>
                <w:color w:val="800080"/>
                <w:sz w:val="20"/>
                <w:szCs w:val="20"/>
              </w:rPr>
              <w:t>356 129</w:t>
            </w:r>
          </w:p>
          <w:p w:rsidR="0042615C" w:rsidRDefault="0042615C" w:rsidP="00D9768E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</w:tr>
      <w:tr w:rsidR="0043753F" w:rsidRPr="00311474" w:rsidTr="0043753F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b/>
                <w:bCs/>
                <w:color w:val="800080"/>
                <w:sz w:val="20"/>
                <w:szCs w:val="20"/>
              </w:rPr>
              <w:t xml:space="preserve">       Besoin de financement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43753F" w:rsidRPr="00685D35" w:rsidRDefault="0043753F" w:rsidP="0043753F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  <w:r w:rsidRPr="00685D35">
              <w:rPr>
                <w:b/>
                <w:bCs/>
                <w:color w:val="800080"/>
                <w:sz w:val="20"/>
                <w:szCs w:val="20"/>
              </w:rPr>
              <w:t>13 434</w:t>
            </w:r>
          </w:p>
          <w:p w:rsidR="0043753F" w:rsidRDefault="0043753F" w:rsidP="00D9768E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43753F" w:rsidRPr="00685D35" w:rsidRDefault="0043753F" w:rsidP="0043753F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  <w:r w:rsidRPr="00685D35">
              <w:rPr>
                <w:b/>
                <w:bCs/>
                <w:color w:val="800080"/>
                <w:sz w:val="20"/>
                <w:szCs w:val="20"/>
              </w:rPr>
              <w:t>29 928</w:t>
            </w:r>
          </w:p>
          <w:p w:rsidR="0043753F" w:rsidRDefault="0043753F" w:rsidP="00D9768E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3753F" w:rsidRPr="00311474" w:rsidRDefault="0043753F" w:rsidP="00D9768E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3753F" w:rsidRPr="00685D35" w:rsidRDefault="0043753F">
            <w:pPr>
              <w:jc w:val="right"/>
              <w:rPr>
                <w:b/>
                <w:bCs/>
                <w:color w:val="800080"/>
                <w:sz w:val="20"/>
                <w:szCs w:val="20"/>
              </w:rPr>
            </w:pPr>
            <w:r w:rsidRPr="00685D35">
              <w:rPr>
                <w:b/>
                <w:bCs/>
                <w:color w:val="800080"/>
                <w:sz w:val="20"/>
                <w:szCs w:val="20"/>
              </w:rPr>
              <w:t>46 963</w:t>
            </w:r>
          </w:p>
        </w:tc>
      </w:tr>
      <w:tr w:rsidR="0042615C" w:rsidRPr="00311474" w:rsidTr="00D9768E">
        <w:trPr>
          <w:trHeight w:hRule="exact" w:val="490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rPr>
                <w:b/>
                <w:color w:val="993300"/>
                <w:sz w:val="20"/>
                <w:szCs w:val="20"/>
              </w:rPr>
            </w:pPr>
            <w:r w:rsidRPr="00311474">
              <w:rPr>
                <w:b/>
                <w:color w:val="993300"/>
                <w:sz w:val="20"/>
                <w:szCs w:val="20"/>
              </w:rPr>
              <w:t xml:space="preserve">Quelques ratios économiques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rPr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615C" w:rsidRPr="00311474" w:rsidRDefault="0042615C" w:rsidP="00D9768E">
            <w:pPr>
              <w:jc w:val="center"/>
              <w:rPr>
                <w:b/>
                <w:color w:val="993300"/>
                <w:sz w:val="20"/>
                <w:szCs w:val="20"/>
              </w:rPr>
            </w:pPr>
          </w:p>
        </w:tc>
      </w:tr>
      <w:tr w:rsidR="00E02275" w:rsidRPr="00311474" w:rsidTr="0015153B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PIB par habitant (en dirham)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DD3B97" w:rsidRDefault="00E02275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35 104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36 274</w:t>
            </w:r>
          </w:p>
        </w:tc>
      </w:tr>
      <w:tr w:rsidR="00E02275" w:rsidRPr="00311474" w:rsidTr="0015153B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RNBD par habitant (en dirham)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DD3B97" w:rsidRDefault="00E02275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37 532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39 163</w:t>
            </w:r>
          </w:p>
        </w:tc>
      </w:tr>
      <w:tr w:rsidR="00E02275" w:rsidRPr="00311474" w:rsidTr="0015153B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Dépenses de consommation finale des ménages/PIB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DD3B97" w:rsidRDefault="00E02275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</w:tr>
      <w:tr w:rsidR="00E02275" w:rsidRPr="00311474" w:rsidTr="00E0227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Dépenses de consommation finale des APU/PIB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DD3B97" w:rsidRDefault="00E02275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</w:tr>
      <w:tr w:rsidR="00E02275" w:rsidRPr="00311474" w:rsidTr="0015153B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Dépenses de consommation finale des ISBL/PIB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DD3B97" w:rsidRDefault="00E02275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E02275" w:rsidRPr="00311474" w:rsidTr="0015153B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Exportations de biens et services/PIB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Pr="00E02275" w:rsidRDefault="00E02275">
            <w:pPr>
              <w:jc w:val="right"/>
              <w:rPr>
                <w:sz w:val="20"/>
                <w:szCs w:val="20"/>
              </w:rPr>
            </w:pPr>
            <w:r w:rsidRPr="00E02275">
              <w:rPr>
                <w:sz w:val="20"/>
                <w:szCs w:val="20"/>
              </w:rPr>
              <w:t>30,8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E02275" w:rsidRDefault="00E02275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E02275" w:rsidRPr="00E02275" w:rsidRDefault="00E02275">
            <w:pPr>
              <w:jc w:val="right"/>
              <w:rPr>
                <w:sz w:val="20"/>
                <w:szCs w:val="20"/>
              </w:rPr>
            </w:pPr>
            <w:r w:rsidRPr="00E02275">
              <w:rPr>
                <w:sz w:val="20"/>
                <w:szCs w:val="20"/>
              </w:rPr>
              <w:t>33,2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E02275" w:rsidRDefault="00E02275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E02275" w:rsidRPr="00E02275" w:rsidRDefault="00E02275">
            <w:pPr>
              <w:jc w:val="right"/>
              <w:rPr>
                <w:sz w:val="20"/>
                <w:szCs w:val="20"/>
              </w:rPr>
            </w:pPr>
            <w:r w:rsidRPr="00E02275">
              <w:rPr>
                <w:sz w:val="20"/>
                <w:szCs w:val="20"/>
              </w:rPr>
              <w:t>44,8</w:t>
            </w:r>
          </w:p>
        </w:tc>
      </w:tr>
      <w:tr w:rsidR="00E02275" w:rsidRPr="00311474" w:rsidTr="0015153B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Importations de biens et services/PIB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Pr="00E02275" w:rsidRDefault="00E02275">
            <w:pPr>
              <w:jc w:val="right"/>
              <w:rPr>
                <w:sz w:val="20"/>
                <w:szCs w:val="20"/>
              </w:rPr>
            </w:pPr>
            <w:r w:rsidRPr="00E02275">
              <w:rPr>
                <w:sz w:val="20"/>
                <w:szCs w:val="20"/>
              </w:rPr>
              <w:t>38,0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E02275" w:rsidRDefault="00E02275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E02275" w:rsidRPr="00E02275" w:rsidRDefault="00E02275">
            <w:pPr>
              <w:jc w:val="right"/>
              <w:rPr>
                <w:sz w:val="20"/>
                <w:szCs w:val="20"/>
              </w:rPr>
            </w:pPr>
            <w:r w:rsidRPr="00E02275">
              <w:rPr>
                <w:sz w:val="20"/>
                <w:szCs w:val="20"/>
              </w:rPr>
              <w:t>42,4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E02275" w:rsidRDefault="00E02275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E02275" w:rsidRPr="00E02275" w:rsidRDefault="00E02275">
            <w:pPr>
              <w:jc w:val="right"/>
              <w:rPr>
                <w:sz w:val="20"/>
                <w:szCs w:val="20"/>
              </w:rPr>
            </w:pPr>
            <w:r w:rsidRPr="00E02275">
              <w:rPr>
                <w:sz w:val="20"/>
                <w:szCs w:val="20"/>
              </w:rPr>
              <w:t>56,3</w:t>
            </w:r>
          </w:p>
        </w:tc>
      </w:tr>
      <w:tr w:rsidR="00E02275" w:rsidRPr="00311474" w:rsidTr="0015153B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Taux d'investissement (FBC/PIB)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Default="00E02275" w:rsidP="00FE6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E675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FE675A">
              <w:rPr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DD3B97" w:rsidRDefault="00E02275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E02275" w:rsidRDefault="00FE675A" w:rsidP="00FE6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022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E02275" w:rsidRDefault="00FE675A" w:rsidP="00FE67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0227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E02275" w:rsidRPr="00311474" w:rsidTr="0015153B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Taux d'épargne nationale (ENB/PIB)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DD3B97" w:rsidRDefault="00E02275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</w:tr>
      <w:tr w:rsidR="00E02275" w:rsidRPr="00311474" w:rsidTr="0015153B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color w:val="000000"/>
                <w:sz w:val="20"/>
                <w:szCs w:val="20"/>
              </w:rPr>
            </w:pPr>
            <w:r w:rsidRPr="00311474">
              <w:rPr>
                <w:color w:val="000000"/>
                <w:sz w:val="20"/>
                <w:szCs w:val="20"/>
              </w:rPr>
              <w:t xml:space="preserve">       Besoin de financement/PIB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rPr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</w:pPr>
            <w:r>
              <w:t>-1,2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</w:pPr>
            <w:r>
              <w:t>-2,3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02275" w:rsidRPr="00311474" w:rsidRDefault="00E02275" w:rsidP="00D976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E02275" w:rsidRDefault="00E02275">
            <w:pPr>
              <w:jc w:val="right"/>
            </w:pPr>
            <w:r>
              <w:t>-3,5</w:t>
            </w:r>
          </w:p>
        </w:tc>
      </w:tr>
    </w:tbl>
    <w:p w:rsidR="006874ED" w:rsidRPr="00E17B11" w:rsidRDefault="00685D35" w:rsidP="00685D35">
      <w:pPr>
        <w:spacing w:before="60"/>
        <w:rPr>
          <w:rFonts w:ascii="Book Antiqua" w:eastAsia="Times New Roman" w:hAnsi="Book Antiqua" w:cs="Times New Roman"/>
          <w:b/>
          <w:sz w:val="28"/>
          <w:szCs w:val="28"/>
          <w:lang w:eastAsia="fr-FR"/>
        </w:rPr>
      </w:pPr>
      <w:r w:rsidRPr="00685D35">
        <w:rPr>
          <w:rFonts w:asciiTheme="minorHAnsi" w:hAnsiTheme="minorHAnsi"/>
          <w:color w:val="000000"/>
          <w:sz w:val="18"/>
          <w:szCs w:val="18"/>
        </w:rPr>
        <w:t>(*) Valeur ajoutée hors agriculture augmentée des impôts sur les produits nets des subventions</w:t>
      </w:r>
    </w:p>
    <w:sectPr w:rsidR="006874ED" w:rsidRPr="00E17B11" w:rsidSect="00516B12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119"/>
    <w:multiLevelType w:val="hybridMultilevel"/>
    <w:tmpl w:val="909C220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3D3AE9"/>
    <w:multiLevelType w:val="hybridMultilevel"/>
    <w:tmpl w:val="90EE646A"/>
    <w:lvl w:ilvl="0" w:tplc="7194CFB2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B5BBB"/>
    <w:multiLevelType w:val="hybridMultilevel"/>
    <w:tmpl w:val="AA3E7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6554E"/>
    <w:multiLevelType w:val="hybridMultilevel"/>
    <w:tmpl w:val="47669018"/>
    <w:lvl w:ilvl="0" w:tplc="10E6B124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9545C"/>
    <w:multiLevelType w:val="hybridMultilevel"/>
    <w:tmpl w:val="27D0AD7A"/>
    <w:lvl w:ilvl="0" w:tplc="A988777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FFC000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46A74816"/>
    <w:multiLevelType w:val="hybridMultilevel"/>
    <w:tmpl w:val="94BC662C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50C73268"/>
    <w:multiLevelType w:val="hybridMultilevel"/>
    <w:tmpl w:val="0E0425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454E6"/>
    <w:multiLevelType w:val="hybridMultilevel"/>
    <w:tmpl w:val="5606847E"/>
    <w:lvl w:ilvl="0" w:tplc="F678E6F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66337FE2"/>
    <w:multiLevelType w:val="hybridMultilevel"/>
    <w:tmpl w:val="BD285ACC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D8D76AD"/>
    <w:multiLevelType w:val="hybridMultilevel"/>
    <w:tmpl w:val="5E8CA9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B4BDF"/>
    <w:rsid w:val="00000FE4"/>
    <w:rsid w:val="00003245"/>
    <w:rsid w:val="00003381"/>
    <w:rsid w:val="00006ECA"/>
    <w:rsid w:val="00006ED1"/>
    <w:rsid w:val="00007B9A"/>
    <w:rsid w:val="00007D44"/>
    <w:rsid w:val="0001007A"/>
    <w:rsid w:val="00013D16"/>
    <w:rsid w:val="00014F3A"/>
    <w:rsid w:val="000156D0"/>
    <w:rsid w:val="0001602E"/>
    <w:rsid w:val="00016208"/>
    <w:rsid w:val="00020784"/>
    <w:rsid w:val="000210AF"/>
    <w:rsid w:val="0002681C"/>
    <w:rsid w:val="000300A1"/>
    <w:rsid w:val="000328B3"/>
    <w:rsid w:val="000412AC"/>
    <w:rsid w:val="000426BB"/>
    <w:rsid w:val="0004359B"/>
    <w:rsid w:val="00044FD7"/>
    <w:rsid w:val="00045888"/>
    <w:rsid w:val="00046D96"/>
    <w:rsid w:val="000521F5"/>
    <w:rsid w:val="000562D2"/>
    <w:rsid w:val="00056332"/>
    <w:rsid w:val="00056C78"/>
    <w:rsid w:val="00066885"/>
    <w:rsid w:val="000715B3"/>
    <w:rsid w:val="00071D45"/>
    <w:rsid w:val="00072022"/>
    <w:rsid w:val="000720A3"/>
    <w:rsid w:val="00072FAE"/>
    <w:rsid w:val="000756E7"/>
    <w:rsid w:val="00080039"/>
    <w:rsid w:val="00081245"/>
    <w:rsid w:val="00083166"/>
    <w:rsid w:val="00083662"/>
    <w:rsid w:val="00083BA3"/>
    <w:rsid w:val="00086172"/>
    <w:rsid w:val="0009217D"/>
    <w:rsid w:val="0009278D"/>
    <w:rsid w:val="00092C80"/>
    <w:rsid w:val="0009564F"/>
    <w:rsid w:val="000A1308"/>
    <w:rsid w:val="000A4696"/>
    <w:rsid w:val="000A5540"/>
    <w:rsid w:val="000A5CB4"/>
    <w:rsid w:val="000A6A7F"/>
    <w:rsid w:val="000A7ACA"/>
    <w:rsid w:val="000B0650"/>
    <w:rsid w:val="000B21E2"/>
    <w:rsid w:val="000B2341"/>
    <w:rsid w:val="000B2E7D"/>
    <w:rsid w:val="000B5CCD"/>
    <w:rsid w:val="000B75CA"/>
    <w:rsid w:val="000C0412"/>
    <w:rsid w:val="000C12D8"/>
    <w:rsid w:val="000C2236"/>
    <w:rsid w:val="000C3896"/>
    <w:rsid w:val="000C3CC8"/>
    <w:rsid w:val="000C3E67"/>
    <w:rsid w:val="000C40D2"/>
    <w:rsid w:val="000C5CB3"/>
    <w:rsid w:val="000C5DDE"/>
    <w:rsid w:val="000D2C55"/>
    <w:rsid w:val="000D4269"/>
    <w:rsid w:val="000D48B1"/>
    <w:rsid w:val="000D4B17"/>
    <w:rsid w:val="000D4E1E"/>
    <w:rsid w:val="000D6751"/>
    <w:rsid w:val="000D77B9"/>
    <w:rsid w:val="000E0FDD"/>
    <w:rsid w:val="000E1FD0"/>
    <w:rsid w:val="000E2C4A"/>
    <w:rsid w:val="000E2DF1"/>
    <w:rsid w:val="000E3BCD"/>
    <w:rsid w:val="000E78AD"/>
    <w:rsid w:val="000F3764"/>
    <w:rsid w:val="000F449B"/>
    <w:rsid w:val="000F5F31"/>
    <w:rsid w:val="001020CF"/>
    <w:rsid w:val="001053C5"/>
    <w:rsid w:val="00105ACC"/>
    <w:rsid w:val="00105DED"/>
    <w:rsid w:val="00112A59"/>
    <w:rsid w:val="00112F2D"/>
    <w:rsid w:val="0011562F"/>
    <w:rsid w:val="001161D2"/>
    <w:rsid w:val="00116359"/>
    <w:rsid w:val="0011686D"/>
    <w:rsid w:val="00120826"/>
    <w:rsid w:val="00120F75"/>
    <w:rsid w:val="00121025"/>
    <w:rsid w:val="00123E8A"/>
    <w:rsid w:val="00127C41"/>
    <w:rsid w:val="00131926"/>
    <w:rsid w:val="00132FD0"/>
    <w:rsid w:val="00133029"/>
    <w:rsid w:val="00134B65"/>
    <w:rsid w:val="00135562"/>
    <w:rsid w:val="00135E07"/>
    <w:rsid w:val="00136DA2"/>
    <w:rsid w:val="00136DAC"/>
    <w:rsid w:val="0014039B"/>
    <w:rsid w:val="0014300D"/>
    <w:rsid w:val="00145D6E"/>
    <w:rsid w:val="00146EE9"/>
    <w:rsid w:val="00147BF5"/>
    <w:rsid w:val="0015153B"/>
    <w:rsid w:val="001535E3"/>
    <w:rsid w:val="00153808"/>
    <w:rsid w:val="0015444A"/>
    <w:rsid w:val="00155AB4"/>
    <w:rsid w:val="00157026"/>
    <w:rsid w:val="0015780B"/>
    <w:rsid w:val="0016288D"/>
    <w:rsid w:val="001633D6"/>
    <w:rsid w:val="00165099"/>
    <w:rsid w:val="00170A89"/>
    <w:rsid w:val="0017354F"/>
    <w:rsid w:val="00173A45"/>
    <w:rsid w:val="00174245"/>
    <w:rsid w:val="001747BF"/>
    <w:rsid w:val="00174954"/>
    <w:rsid w:val="00175F8C"/>
    <w:rsid w:val="00181576"/>
    <w:rsid w:val="00183BD0"/>
    <w:rsid w:val="00183CC6"/>
    <w:rsid w:val="00183D87"/>
    <w:rsid w:val="00193043"/>
    <w:rsid w:val="00195C9D"/>
    <w:rsid w:val="00196DD3"/>
    <w:rsid w:val="00197FFA"/>
    <w:rsid w:val="001A4D53"/>
    <w:rsid w:val="001A7951"/>
    <w:rsid w:val="001A7E45"/>
    <w:rsid w:val="001B171C"/>
    <w:rsid w:val="001B39E7"/>
    <w:rsid w:val="001B4BEC"/>
    <w:rsid w:val="001B5FB9"/>
    <w:rsid w:val="001C112F"/>
    <w:rsid w:val="001C29F0"/>
    <w:rsid w:val="001C4A56"/>
    <w:rsid w:val="001C588F"/>
    <w:rsid w:val="001C743F"/>
    <w:rsid w:val="001C75E8"/>
    <w:rsid w:val="001C7608"/>
    <w:rsid w:val="001D1158"/>
    <w:rsid w:val="001D2496"/>
    <w:rsid w:val="001D2B16"/>
    <w:rsid w:val="001D7B24"/>
    <w:rsid w:val="001E035F"/>
    <w:rsid w:val="001E4B42"/>
    <w:rsid w:val="001F2338"/>
    <w:rsid w:val="001F4B82"/>
    <w:rsid w:val="001F51A6"/>
    <w:rsid w:val="001F5C1E"/>
    <w:rsid w:val="001F5CED"/>
    <w:rsid w:val="001F6DC2"/>
    <w:rsid w:val="001F73CE"/>
    <w:rsid w:val="00201934"/>
    <w:rsid w:val="00201EEC"/>
    <w:rsid w:val="002023D3"/>
    <w:rsid w:val="00204623"/>
    <w:rsid w:val="00204D7C"/>
    <w:rsid w:val="00207B4F"/>
    <w:rsid w:val="002112A0"/>
    <w:rsid w:val="002138A3"/>
    <w:rsid w:val="00217238"/>
    <w:rsid w:val="002179E3"/>
    <w:rsid w:val="002216F2"/>
    <w:rsid w:val="00221C96"/>
    <w:rsid w:val="00222AE6"/>
    <w:rsid w:val="00223CEA"/>
    <w:rsid w:val="00227176"/>
    <w:rsid w:val="002272E4"/>
    <w:rsid w:val="0023056E"/>
    <w:rsid w:val="002329A4"/>
    <w:rsid w:val="00234FF0"/>
    <w:rsid w:val="00235069"/>
    <w:rsid w:val="002363D5"/>
    <w:rsid w:val="00236B2D"/>
    <w:rsid w:val="00237901"/>
    <w:rsid w:val="00243076"/>
    <w:rsid w:val="00244C85"/>
    <w:rsid w:val="002450D5"/>
    <w:rsid w:val="0024515C"/>
    <w:rsid w:val="00246125"/>
    <w:rsid w:val="00246572"/>
    <w:rsid w:val="00246AF1"/>
    <w:rsid w:val="00247F7D"/>
    <w:rsid w:val="002527D2"/>
    <w:rsid w:val="00253734"/>
    <w:rsid w:val="00256332"/>
    <w:rsid w:val="002630F0"/>
    <w:rsid w:val="00266C01"/>
    <w:rsid w:val="00267519"/>
    <w:rsid w:val="00271088"/>
    <w:rsid w:val="002714D1"/>
    <w:rsid w:val="00271A3C"/>
    <w:rsid w:val="00273362"/>
    <w:rsid w:val="002735B1"/>
    <w:rsid w:val="00274C8C"/>
    <w:rsid w:val="00275B1E"/>
    <w:rsid w:val="00276A6F"/>
    <w:rsid w:val="00283753"/>
    <w:rsid w:val="002857DC"/>
    <w:rsid w:val="00285AD6"/>
    <w:rsid w:val="002862AF"/>
    <w:rsid w:val="00290048"/>
    <w:rsid w:val="002907AB"/>
    <w:rsid w:val="00290B05"/>
    <w:rsid w:val="00291D17"/>
    <w:rsid w:val="00293CCF"/>
    <w:rsid w:val="00293DA9"/>
    <w:rsid w:val="0029588F"/>
    <w:rsid w:val="00295A7C"/>
    <w:rsid w:val="002B0CE7"/>
    <w:rsid w:val="002B1182"/>
    <w:rsid w:val="002B3AB3"/>
    <w:rsid w:val="002B4770"/>
    <w:rsid w:val="002B5EEE"/>
    <w:rsid w:val="002B6617"/>
    <w:rsid w:val="002B6732"/>
    <w:rsid w:val="002B71CB"/>
    <w:rsid w:val="002B7C67"/>
    <w:rsid w:val="002C147B"/>
    <w:rsid w:val="002C1541"/>
    <w:rsid w:val="002C2E42"/>
    <w:rsid w:val="002C53CB"/>
    <w:rsid w:val="002C663B"/>
    <w:rsid w:val="002D2966"/>
    <w:rsid w:val="002D5C4B"/>
    <w:rsid w:val="002D765F"/>
    <w:rsid w:val="002E042B"/>
    <w:rsid w:val="002E2A14"/>
    <w:rsid w:val="002E34A7"/>
    <w:rsid w:val="002E6AF1"/>
    <w:rsid w:val="002E7090"/>
    <w:rsid w:val="002E718D"/>
    <w:rsid w:val="002F030E"/>
    <w:rsid w:val="002F1F87"/>
    <w:rsid w:val="002F327A"/>
    <w:rsid w:val="002F377B"/>
    <w:rsid w:val="002F57FC"/>
    <w:rsid w:val="002F72BF"/>
    <w:rsid w:val="00314B1A"/>
    <w:rsid w:val="00314FD1"/>
    <w:rsid w:val="00315753"/>
    <w:rsid w:val="00317AFD"/>
    <w:rsid w:val="00317CC1"/>
    <w:rsid w:val="00317FB5"/>
    <w:rsid w:val="00320988"/>
    <w:rsid w:val="00320F97"/>
    <w:rsid w:val="00321EA3"/>
    <w:rsid w:val="003257F1"/>
    <w:rsid w:val="00325834"/>
    <w:rsid w:val="0032646B"/>
    <w:rsid w:val="00326956"/>
    <w:rsid w:val="00327E5C"/>
    <w:rsid w:val="00327EAA"/>
    <w:rsid w:val="00331E32"/>
    <w:rsid w:val="00333868"/>
    <w:rsid w:val="00333BD7"/>
    <w:rsid w:val="00336F63"/>
    <w:rsid w:val="00337002"/>
    <w:rsid w:val="0034119E"/>
    <w:rsid w:val="00341941"/>
    <w:rsid w:val="0034298A"/>
    <w:rsid w:val="00342C1A"/>
    <w:rsid w:val="00342F82"/>
    <w:rsid w:val="003441E8"/>
    <w:rsid w:val="003503A5"/>
    <w:rsid w:val="003504A0"/>
    <w:rsid w:val="00350C69"/>
    <w:rsid w:val="003533B9"/>
    <w:rsid w:val="00353664"/>
    <w:rsid w:val="00354185"/>
    <w:rsid w:val="003546A0"/>
    <w:rsid w:val="00355D49"/>
    <w:rsid w:val="00356674"/>
    <w:rsid w:val="00357322"/>
    <w:rsid w:val="00361A30"/>
    <w:rsid w:val="0036541F"/>
    <w:rsid w:val="003706FB"/>
    <w:rsid w:val="00374DCE"/>
    <w:rsid w:val="00374FF4"/>
    <w:rsid w:val="003770AC"/>
    <w:rsid w:val="00380134"/>
    <w:rsid w:val="00382CDA"/>
    <w:rsid w:val="0038380A"/>
    <w:rsid w:val="00385FB2"/>
    <w:rsid w:val="0038677F"/>
    <w:rsid w:val="00386AAA"/>
    <w:rsid w:val="0038790A"/>
    <w:rsid w:val="00390E22"/>
    <w:rsid w:val="00390FE0"/>
    <w:rsid w:val="0039175E"/>
    <w:rsid w:val="00392DD3"/>
    <w:rsid w:val="003937FD"/>
    <w:rsid w:val="00393E1C"/>
    <w:rsid w:val="00396539"/>
    <w:rsid w:val="003965E3"/>
    <w:rsid w:val="003A1AAA"/>
    <w:rsid w:val="003A1AF0"/>
    <w:rsid w:val="003A1D84"/>
    <w:rsid w:val="003A2348"/>
    <w:rsid w:val="003A295D"/>
    <w:rsid w:val="003A3A23"/>
    <w:rsid w:val="003A4223"/>
    <w:rsid w:val="003A55BD"/>
    <w:rsid w:val="003A5C4F"/>
    <w:rsid w:val="003A5E96"/>
    <w:rsid w:val="003A74C7"/>
    <w:rsid w:val="003B372D"/>
    <w:rsid w:val="003B5074"/>
    <w:rsid w:val="003B5B64"/>
    <w:rsid w:val="003B5E87"/>
    <w:rsid w:val="003B6A48"/>
    <w:rsid w:val="003C0135"/>
    <w:rsid w:val="003C32C8"/>
    <w:rsid w:val="003C3626"/>
    <w:rsid w:val="003C43D7"/>
    <w:rsid w:val="003C539A"/>
    <w:rsid w:val="003C546B"/>
    <w:rsid w:val="003C5B41"/>
    <w:rsid w:val="003C5DB5"/>
    <w:rsid w:val="003D0067"/>
    <w:rsid w:val="003D17D7"/>
    <w:rsid w:val="003D17FD"/>
    <w:rsid w:val="003D2183"/>
    <w:rsid w:val="003D5383"/>
    <w:rsid w:val="003D5F38"/>
    <w:rsid w:val="003D65DC"/>
    <w:rsid w:val="003D72BC"/>
    <w:rsid w:val="003E10A2"/>
    <w:rsid w:val="003E1688"/>
    <w:rsid w:val="003E1706"/>
    <w:rsid w:val="003E3766"/>
    <w:rsid w:val="003E39F2"/>
    <w:rsid w:val="003E3E6A"/>
    <w:rsid w:val="003E5756"/>
    <w:rsid w:val="003E6943"/>
    <w:rsid w:val="003E7366"/>
    <w:rsid w:val="003F0796"/>
    <w:rsid w:val="003F1E8E"/>
    <w:rsid w:val="003F35D9"/>
    <w:rsid w:val="003F3AEC"/>
    <w:rsid w:val="003F57C7"/>
    <w:rsid w:val="003F7984"/>
    <w:rsid w:val="003F7FFA"/>
    <w:rsid w:val="004011A7"/>
    <w:rsid w:val="0040531B"/>
    <w:rsid w:val="004055C5"/>
    <w:rsid w:val="00406304"/>
    <w:rsid w:val="00406513"/>
    <w:rsid w:val="00410A5A"/>
    <w:rsid w:val="00411F2E"/>
    <w:rsid w:val="00411FC3"/>
    <w:rsid w:val="0041329B"/>
    <w:rsid w:val="004143BB"/>
    <w:rsid w:val="004148AD"/>
    <w:rsid w:val="00416199"/>
    <w:rsid w:val="00423563"/>
    <w:rsid w:val="00424A41"/>
    <w:rsid w:val="00424F24"/>
    <w:rsid w:val="00426078"/>
    <w:rsid w:val="0042615C"/>
    <w:rsid w:val="00426B10"/>
    <w:rsid w:val="00427961"/>
    <w:rsid w:val="0043116E"/>
    <w:rsid w:val="00431500"/>
    <w:rsid w:val="004321C6"/>
    <w:rsid w:val="00432DBC"/>
    <w:rsid w:val="00433E0C"/>
    <w:rsid w:val="00434513"/>
    <w:rsid w:val="00436955"/>
    <w:rsid w:val="0043753F"/>
    <w:rsid w:val="00444CB3"/>
    <w:rsid w:val="004475BF"/>
    <w:rsid w:val="00450C70"/>
    <w:rsid w:val="004514FB"/>
    <w:rsid w:val="00451770"/>
    <w:rsid w:val="00451DBD"/>
    <w:rsid w:val="00452774"/>
    <w:rsid w:val="00452E4D"/>
    <w:rsid w:val="0045348D"/>
    <w:rsid w:val="0045360F"/>
    <w:rsid w:val="0045446D"/>
    <w:rsid w:val="00454FEB"/>
    <w:rsid w:val="00455BF7"/>
    <w:rsid w:val="00457C95"/>
    <w:rsid w:val="00463D09"/>
    <w:rsid w:val="00465CB3"/>
    <w:rsid w:val="00465DDC"/>
    <w:rsid w:val="00465E4F"/>
    <w:rsid w:val="00471DFC"/>
    <w:rsid w:val="00472107"/>
    <w:rsid w:val="00473269"/>
    <w:rsid w:val="0047598F"/>
    <w:rsid w:val="00476694"/>
    <w:rsid w:val="004769EE"/>
    <w:rsid w:val="0047726C"/>
    <w:rsid w:val="0048296E"/>
    <w:rsid w:val="00482F02"/>
    <w:rsid w:val="00483791"/>
    <w:rsid w:val="00485B2B"/>
    <w:rsid w:val="00486AFD"/>
    <w:rsid w:val="00487E6E"/>
    <w:rsid w:val="00487FCA"/>
    <w:rsid w:val="004951FA"/>
    <w:rsid w:val="004973DC"/>
    <w:rsid w:val="00497F5A"/>
    <w:rsid w:val="004A1731"/>
    <w:rsid w:val="004A2294"/>
    <w:rsid w:val="004A3051"/>
    <w:rsid w:val="004A30EF"/>
    <w:rsid w:val="004A3426"/>
    <w:rsid w:val="004A7092"/>
    <w:rsid w:val="004A7B48"/>
    <w:rsid w:val="004B0762"/>
    <w:rsid w:val="004B2645"/>
    <w:rsid w:val="004B5AEF"/>
    <w:rsid w:val="004C30F9"/>
    <w:rsid w:val="004C443A"/>
    <w:rsid w:val="004C5CE4"/>
    <w:rsid w:val="004D02FB"/>
    <w:rsid w:val="004D145D"/>
    <w:rsid w:val="004D2375"/>
    <w:rsid w:val="004D3164"/>
    <w:rsid w:val="004D3726"/>
    <w:rsid w:val="004D53E4"/>
    <w:rsid w:val="004D5778"/>
    <w:rsid w:val="004E3B33"/>
    <w:rsid w:val="004E3E91"/>
    <w:rsid w:val="004E4ED2"/>
    <w:rsid w:val="004E5167"/>
    <w:rsid w:val="004E61E8"/>
    <w:rsid w:val="004F1388"/>
    <w:rsid w:val="004F2242"/>
    <w:rsid w:val="004F4C3B"/>
    <w:rsid w:val="004F7216"/>
    <w:rsid w:val="004F7B80"/>
    <w:rsid w:val="004F7BC7"/>
    <w:rsid w:val="00501CB5"/>
    <w:rsid w:val="00502958"/>
    <w:rsid w:val="0050364C"/>
    <w:rsid w:val="00503BCB"/>
    <w:rsid w:val="00504182"/>
    <w:rsid w:val="0050636C"/>
    <w:rsid w:val="00506552"/>
    <w:rsid w:val="005169D5"/>
    <w:rsid w:val="00516B12"/>
    <w:rsid w:val="005174E0"/>
    <w:rsid w:val="00521995"/>
    <w:rsid w:val="005219BA"/>
    <w:rsid w:val="005229F1"/>
    <w:rsid w:val="00525FFF"/>
    <w:rsid w:val="00526526"/>
    <w:rsid w:val="00530730"/>
    <w:rsid w:val="00530CBC"/>
    <w:rsid w:val="0053243A"/>
    <w:rsid w:val="00534193"/>
    <w:rsid w:val="005343A3"/>
    <w:rsid w:val="005371A2"/>
    <w:rsid w:val="005371D4"/>
    <w:rsid w:val="00537EE6"/>
    <w:rsid w:val="0054111F"/>
    <w:rsid w:val="00541D1E"/>
    <w:rsid w:val="005434A0"/>
    <w:rsid w:val="00543E3F"/>
    <w:rsid w:val="00545A4D"/>
    <w:rsid w:val="00545BD7"/>
    <w:rsid w:val="005464EF"/>
    <w:rsid w:val="00546B52"/>
    <w:rsid w:val="005471BB"/>
    <w:rsid w:val="005527B3"/>
    <w:rsid w:val="00553A36"/>
    <w:rsid w:val="005600C5"/>
    <w:rsid w:val="00560FE0"/>
    <w:rsid w:val="00561AE0"/>
    <w:rsid w:val="00567DC7"/>
    <w:rsid w:val="00572F0B"/>
    <w:rsid w:val="00573C89"/>
    <w:rsid w:val="0057612E"/>
    <w:rsid w:val="00581B20"/>
    <w:rsid w:val="005841D2"/>
    <w:rsid w:val="00585606"/>
    <w:rsid w:val="00590326"/>
    <w:rsid w:val="00590B5C"/>
    <w:rsid w:val="00591AAE"/>
    <w:rsid w:val="00591C54"/>
    <w:rsid w:val="005938C5"/>
    <w:rsid w:val="005958AC"/>
    <w:rsid w:val="00597AD0"/>
    <w:rsid w:val="00597DFF"/>
    <w:rsid w:val="005A0BD9"/>
    <w:rsid w:val="005A1E14"/>
    <w:rsid w:val="005A2AEF"/>
    <w:rsid w:val="005A2D1F"/>
    <w:rsid w:val="005A3CF3"/>
    <w:rsid w:val="005A3F6A"/>
    <w:rsid w:val="005A524F"/>
    <w:rsid w:val="005B3AD6"/>
    <w:rsid w:val="005B5152"/>
    <w:rsid w:val="005B7670"/>
    <w:rsid w:val="005B7691"/>
    <w:rsid w:val="005C01C9"/>
    <w:rsid w:val="005C024E"/>
    <w:rsid w:val="005C1EF3"/>
    <w:rsid w:val="005C29EC"/>
    <w:rsid w:val="005D3CFE"/>
    <w:rsid w:val="005D540C"/>
    <w:rsid w:val="005D5FB9"/>
    <w:rsid w:val="005D7582"/>
    <w:rsid w:val="005E0EF6"/>
    <w:rsid w:val="005E19AA"/>
    <w:rsid w:val="005E452F"/>
    <w:rsid w:val="005E4F96"/>
    <w:rsid w:val="005F0A76"/>
    <w:rsid w:val="005F3EA9"/>
    <w:rsid w:val="005F638F"/>
    <w:rsid w:val="005F6EBB"/>
    <w:rsid w:val="005F7081"/>
    <w:rsid w:val="005F7AEF"/>
    <w:rsid w:val="00603668"/>
    <w:rsid w:val="006057ED"/>
    <w:rsid w:val="00606B55"/>
    <w:rsid w:val="00611D67"/>
    <w:rsid w:val="0061353D"/>
    <w:rsid w:val="00614ABB"/>
    <w:rsid w:val="00614EB2"/>
    <w:rsid w:val="00615870"/>
    <w:rsid w:val="00620682"/>
    <w:rsid w:val="0062236F"/>
    <w:rsid w:val="00622E45"/>
    <w:rsid w:val="006240B5"/>
    <w:rsid w:val="00625415"/>
    <w:rsid w:val="00625D65"/>
    <w:rsid w:val="00630177"/>
    <w:rsid w:val="0063038D"/>
    <w:rsid w:val="006324B3"/>
    <w:rsid w:val="00633067"/>
    <w:rsid w:val="00635632"/>
    <w:rsid w:val="0063608E"/>
    <w:rsid w:val="00636C2F"/>
    <w:rsid w:val="00640690"/>
    <w:rsid w:val="0064187C"/>
    <w:rsid w:val="0064202B"/>
    <w:rsid w:val="00644BEA"/>
    <w:rsid w:val="00646A9E"/>
    <w:rsid w:val="00646B9B"/>
    <w:rsid w:val="0065209D"/>
    <w:rsid w:val="00654E12"/>
    <w:rsid w:val="00654F51"/>
    <w:rsid w:val="00655443"/>
    <w:rsid w:val="00655B3D"/>
    <w:rsid w:val="00656D98"/>
    <w:rsid w:val="006576E0"/>
    <w:rsid w:val="00663C1F"/>
    <w:rsid w:val="006645D0"/>
    <w:rsid w:val="00664D29"/>
    <w:rsid w:val="00665DEF"/>
    <w:rsid w:val="00666A68"/>
    <w:rsid w:val="00667438"/>
    <w:rsid w:val="00667D03"/>
    <w:rsid w:val="006713F0"/>
    <w:rsid w:val="00674D0D"/>
    <w:rsid w:val="00675C60"/>
    <w:rsid w:val="00675CE4"/>
    <w:rsid w:val="00676DD9"/>
    <w:rsid w:val="0068019B"/>
    <w:rsid w:val="00681DD8"/>
    <w:rsid w:val="00683D0C"/>
    <w:rsid w:val="00685D35"/>
    <w:rsid w:val="00686FFD"/>
    <w:rsid w:val="006874ED"/>
    <w:rsid w:val="00687BBB"/>
    <w:rsid w:val="00687C36"/>
    <w:rsid w:val="00692B41"/>
    <w:rsid w:val="00692BE9"/>
    <w:rsid w:val="006946DE"/>
    <w:rsid w:val="00695E68"/>
    <w:rsid w:val="0069623F"/>
    <w:rsid w:val="00696D8D"/>
    <w:rsid w:val="00697022"/>
    <w:rsid w:val="006A03DF"/>
    <w:rsid w:val="006A2C84"/>
    <w:rsid w:val="006A2D9B"/>
    <w:rsid w:val="006A2E2A"/>
    <w:rsid w:val="006B0081"/>
    <w:rsid w:val="006B2123"/>
    <w:rsid w:val="006B2D74"/>
    <w:rsid w:val="006B4E3E"/>
    <w:rsid w:val="006B4FCF"/>
    <w:rsid w:val="006B6CB7"/>
    <w:rsid w:val="006B6F1D"/>
    <w:rsid w:val="006B7150"/>
    <w:rsid w:val="006B799F"/>
    <w:rsid w:val="006C17FC"/>
    <w:rsid w:val="006C21A0"/>
    <w:rsid w:val="006C286A"/>
    <w:rsid w:val="006C4354"/>
    <w:rsid w:val="006C5C87"/>
    <w:rsid w:val="006C6866"/>
    <w:rsid w:val="006C7DFC"/>
    <w:rsid w:val="006D0203"/>
    <w:rsid w:val="006D174D"/>
    <w:rsid w:val="006D5927"/>
    <w:rsid w:val="006E014E"/>
    <w:rsid w:val="006E03D3"/>
    <w:rsid w:val="006E2994"/>
    <w:rsid w:val="006E4115"/>
    <w:rsid w:val="006F0F12"/>
    <w:rsid w:val="006F14C1"/>
    <w:rsid w:val="006F15EB"/>
    <w:rsid w:val="006F26FE"/>
    <w:rsid w:val="006F4897"/>
    <w:rsid w:val="00704171"/>
    <w:rsid w:val="00706C5A"/>
    <w:rsid w:val="00707B54"/>
    <w:rsid w:val="00710DC2"/>
    <w:rsid w:val="00711360"/>
    <w:rsid w:val="007133DA"/>
    <w:rsid w:val="007142E8"/>
    <w:rsid w:val="007162F3"/>
    <w:rsid w:val="00720B07"/>
    <w:rsid w:val="00721063"/>
    <w:rsid w:val="00721455"/>
    <w:rsid w:val="00722123"/>
    <w:rsid w:val="0072361F"/>
    <w:rsid w:val="00724B6F"/>
    <w:rsid w:val="007274FE"/>
    <w:rsid w:val="0073112F"/>
    <w:rsid w:val="00732C6E"/>
    <w:rsid w:val="00732D4C"/>
    <w:rsid w:val="00737EFF"/>
    <w:rsid w:val="00740509"/>
    <w:rsid w:val="0074109A"/>
    <w:rsid w:val="007416A3"/>
    <w:rsid w:val="00741D3C"/>
    <w:rsid w:val="00743DC1"/>
    <w:rsid w:val="007466E0"/>
    <w:rsid w:val="00746EA9"/>
    <w:rsid w:val="007479D2"/>
    <w:rsid w:val="007505A5"/>
    <w:rsid w:val="00750BBF"/>
    <w:rsid w:val="00752DD0"/>
    <w:rsid w:val="00753A5B"/>
    <w:rsid w:val="007543E8"/>
    <w:rsid w:val="00755999"/>
    <w:rsid w:val="00755B11"/>
    <w:rsid w:val="00756AB8"/>
    <w:rsid w:val="00757590"/>
    <w:rsid w:val="00760F56"/>
    <w:rsid w:val="007616CB"/>
    <w:rsid w:val="0076435E"/>
    <w:rsid w:val="00765C30"/>
    <w:rsid w:val="00766F6F"/>
    <w:rsid w:val="00767607"/>
    <w:rsid w:val="00770C1C"/>
    <w:rsid w:val="0077316E"/>
    <w:rsid w:val="00773B0F"/>
    <w:rsid w:val="00776A00"/>
    <w:rsid w:val="0079113E"/>
    <w:rsid w:val="0079154D"/>
    <w:rsid w:val="007921F7"/>
    <w:rsid w:val="007936D1"/>
    <w:rsid w:val="0079390C"/>
    <w:rsid w:val="007973D5"/>
    <w:rsid w:val="007A20F0"/>
    <w:rsid w:val="007A22A8"/>
    <w:rsid w:val="007A2667"/>
    <w:rsid w:val="007A3BF5"/>
    <w:rsid w:val="007B1DC8"/>
    <w:rsid w:val="007B275D"/>
    <w:rsid w:val="007B3424"/>
    <w:rsid w:val="007B3A68"/>
    <w:rsid w:val="007C08BD"/>
    <w:rsid w:val="007C0F9F"/>
    <w:rsid w:val="007C5D1B"/>
    <w:rsid w:val="007C6337"/>
    <w:rsid w:val="007C6E3F"/>
    <w:rsid w:val="007D0966"/>
    <w:rsid w:val="007D0C38"/>
    <w:rsid w:val="007D541F"/>
    <w:rsid w:val="007D5609"/>
    <w:rsid w:val="007D5FAC"/>
    <w:rsid w:val="007E08E0"/>
    <w:rsid w:val="007E0D3A"/>
    <w:rsid w:val="007E2BAE"/>
    <w:rsid w:val="007E4947"/>
    <w:rsid w:val="007F3339"/>
    <w:rsid w:val="007F4397"/>
    <w:rsid w:val="007F65E3"/>
    <w:rsid w:val="007F79E2"/>
    <w:rsid w:val="008006F8"/>
    <w:rsid w:val="00802013"/>
    <w:rsid w:val="00802E83"/>
    <w:rsid w:val="00804C64"/>
    <w:rsid w:val="008052A6"/>
    <w:rsid w:val="00807D89"/>
    <w:rsid w:val="00810D6F"/>
    <w:rsid w:val="00811F92"/>
    <w:rsid w:val="0081210A"/>
    <w:rsid w:val="00815939"/>
    <w:rsid w:val="00816177"/>
    <w:rsid w:val="008166E0"/>
    <w:rsid w:val="00816F7A"/>
    <w:rsid w:val="00817972"/>
    <w:rsid w:val="00820444"/>
    <w:rsid w:val="0082205F"/>
    <w:rsid w:val="00822C45"/>
    <w:rsid w:val="00823E57"/>
    <w:rsid w:val="00831061"/>
    <w:rsid w:val="00833AF6"/>
    <w:rsid w:val="00835AA5"/>
    <w:rsid w:val="0083614B"/>
    <w:rsid w:val="00837AD3"/>
    <w:rsid w:val="00840264"/>
    <w:rsid w:val="008408A1"/>
    <w:rsid w:val="0084171E"/>
    <w:rsid w:val="00841C0F"/>
    <w:rsid w:val="00843B10"/>
    <w:rsid w:val="00847D53"/>
    <w:rsid w:val="00851C28"/>
    <w:rsid w:val="00853B25"/>
    <w:rsid w:val="00854741"/>
    <w:rsid w:val="00856C4A"/>
    <w:rsid w:val="0086132C"/>
    <w:rsid w:val="00861634"/>
    <w:rsid w:val="00862523"/>
    <w:rsid w:val="00862703"/>
    <w:rsid w:val="008634CF"/>
    <w:rsid w:val="00864762"/>
    <w:rsid w:val="00865C76"/>
    <w:rsid w:val="008725D5"/>
    <w:rsid w:val="008725F6"/>
    <w:rsid w:val="0087290E"/>
    <w:rsid w:val="00875D5D"/>
    <w:rsid w:val="00876200"/>
    <w:rsid w:val="00876433"/>
    <w:rsid w:val="00880DAB"/>
    <w:rsid w:val="00881C19"/>
    <w:rsid w:val="00882F7E"/>
    <w:rsid w:val="0089154E"/>
    <w:rsid w:val="00892AE3"/>
    <w:rsid w:val="008935B9"/>
    <w:rsid w:val="00893B0B"/>
    <w:rsid w:val="008957DC"/>
    <w:rsid w:val="008957F3"/>
    <w:rsid w:val="00896E1D"/>
    <w:rsid w:val="008972BE"/>
    <w:rsid w:val="0089734D"/>
    <w:rsid w:val="008A3101"/>
    <w:rsid w:val="008A3E81"/>
    <w:rsid w:val="008A6B08"/>
    <w:rsid w:val="008A6F94"/>
    <w:rsid w:val="008B1247"/>
    <w:rsid w:val="008B3A02"/>
    <w:rsid w:val="008B44BF"/>
    <w:rsid w:val="008B5EBC"/>
    <w:rsid w:val="008C013A"/>
    <w:rsid w:val="008C28CF"/>
    <w:rsid w:val="008C5052"/>
    <w:rsid w:val="008D45DA"/>
    <w:rsid w:val="008D6B6D"/>
    <w:rsid w:val="008E12C7"/>
    <w:rsid w:val="008E23EF"/>
    <w:rsid w:val="008E26E5"/>
    <w:rsid w:val="008E3063"/>
    <w:rsid w:val="008E342E"/>
    <w:rsid w:val="008E3A9A"/>
    <w:rsid w:val="008E483B"/>
    <w:rsid w:val="008E48E6"/>
    <w:rsid w:val="008E4913"/>
    <w:rsid w:val="008E4BC5"/>
    <w:rsid w:val="008E57D2"/>
    <w:rsid w:val="008E6683"/>
    <w:rsid w:val="008E732F"/>
    <w:rsid w:val="008E7941"/>
    <w:rsid w:val="008F3827"/>
    <w:rsid w:val="008F458C"/>
    <w:rsid w:val="008F47BA"/>
    <w:rsid w:val="008F712A"/>
    <w:rsid w:val="008F7444"/>
    <w:rsid w:val="008F7CC1"/>
    <w:rsid w:val="0090118B"/>
    <w:rsid w:val="009012D4"/>
    <w:rsid w:val="00901BE1"/>
    <w:rsid w:val="00902F79"/>
    <w:rsid w:val="00906011"/>
    <w:rsid w:val="00915A0E"/>
    <w:rsid w:val="00917C47"/>
    <w:rsid w:val="0092153F"/>
    <w:rsid w:val="0092159A"/>
    <w:rsid w:val="00922AB6"/>
    <w:rsid w:val="00922DB8"/>
    <w:rsid w:val="009242E6"/>
    <w:rsid w:val="00924854"/>
    <w:rsid w:val="00924B89"/>
    <w:rsid w:val="00931995"/>
    <w:rsid w:val="009338B2"/>
    <w:rsid w:val="009344E5"/>
    <w:rsid w:val="00935F92"/>
    <w:rsid w:val="009362D5"/>
    <w:rsid w:val="0093735E"/>
    <w:rsid w:val="00940861"/>
    <w:rsid w:val="0094129C"/>
    <w:rsid w:val="00944A3E"/>
    <w:rsid w:val="009453B1"/>
    <w:rsid w:val="00952221"/>
    <w:rsid w:val="00952B3E"/>
    <w:rsid w:val="00953E52"/>
    <w:rsid w:val="00954B41"/>
    <w:rsid w:val="00960459"/>
    <w:rsid w:val="00961B09"/>
    <w:rsid w:val="00964C6B"/>
    <w:rsid w:val="0096534D"/>
    <w:rsid w:val="00965530"/>
    <w:rsid w:val="00966391"/>
    <w:rsid w:val="00970B7A"/>
    <w:rsid w:val="00971C7C"/>
    <w:rsid w:val="00972161"/>
    <w:rsid w:val="00974D27"/>
    <w:rsid w:val="00976114"/>
    <w:rsid w:val="009777A0"/>
    <w:rsid w:val="009824C8"/>
    <w:rsid w:val="00982833"/>
    <w:rsid w:val="00983226"/>
    <w:rsid w:val="00983E31"/>
    <w:rsid w:val="00985267"/>
    <w:rsid w:val="00987647"/>
    <w:rsid w:val="00987F2E"/>
    <w:rsid w:val="0099111C"/>
    <w:rsid w:val="009913D7"/>
    <w:rsid w:val="0099387D"/>
    <w:rsid w:val="009A3720"/>
    <w:rsid w:val="009A40DB"/>
    <w:rsid w:val="009A4940"/>
    <w:rsid w:val="009A5757"/>
    <w:rsid w:val="009A7213"/>
    <w:rsid w:val="009A786B"/>
    <w:rsid w:val="009A7AB1"/>
    <w:rsid w:val="009A7DC2"/>
    <w:rsid w:val="009B0996"/>
    <w:rsid w:val="009B0F99"/>
    <w:rsid w:val="009B1F11"/>
    <w:rsid w:val="009B26E3"/>
    <w:rsid w:val="009B2A2D"/>
    <w:rsid w:val="009B2D96"/>
    <w:rsid w:val="009B3976"/>
    <w:rsid w:val="009B3B79"/>
    <w:rsid w:val="009B4A79"/>
    <w:rsid w:val="009B4BDF"/>
    <w:rsid w:val="009B6756"/>
    <w:rsid w:val="009C1620"/>
    <w:rsid w:val="009C1660"/>
    <w:rsid w:val="009C1863"/>
    <w:rsid w:val="009C1871"/>
    <w:rsid w:val="009C22DC"/>
    <w:rsid w:val="009C5025"/>
    <w:rsid w:val="009C6BCE"/>
    <w:rsid w:val="009C6C69"/>
    <w:rsid w:val="009C7D4D"/>
    <w:rsid w:val="009D02A3"/>
    <w:rsid w:val="009D55B7"/>
    <w:rsid w:val="009D7FEE"/>
    <w:rsid w:val="009E1582"/>
    <w:rsid w:val="009E404D"/>
    <w:rsid w:val="009E46BC"/>
    <w:rsid w:val="009E4B2B"/>
    <w:rsid w:val="009E5036"/>
    <w:rsid w:val="009F03D7"/>
    <w:rsid w:val="009F109B"/>
    <w:rsid w:val="009F25D5"/>
    <w:rsid w:val="009F2F77"/>
    <w:rsid w:val="009F45B9"/>
    <w:rsid w:val="009F499D"/>
    <w:rsid w:val="00A00863"/>
    <w:rsid w:val="00A00ED1"/>
    <w:rsid w:val="00A016B1"/>
    <w:rsid w:val="00A028AE"/>
    <w:rsid w:val="00A0401F"/>
    <w:rsid w:val="00A042B5"/>
    <w:rsid w:val="00A07249"/>
    <w:rsid w:val="00A07DB2"/>
    <w:rsid w:val="00A110F6"/>
    <w:rsid w:val="00A11276"/>
    <w:rsid w:val="00A11577"/>
    <w:rsid w:val="00A1388D"/>
    <w:rsid w:val="00A1396A"/>
    <w:rsid w:val="00A1429D"/>
    <w:rsid w:val="00A17210"/>
    <w:rsid w:val="00A21BF7"/>
    <w:rsid w:val="00A21C2F"/>
    <w:rsid w:val="00A22A52"/>
    <w:rsid w:val="00A24437"/>
    <w:rsid w:val="00A2553B"/>
    <w:rsid w:val="00A2639C"/>
    <w:rsid w:val="00A265C9"/>
    <w:rsid w:val="00A270CD"/>
    <w:rsid w:val="00A312BD"/>
    <w:rsid w:val="00A32B53"/>
    <w:rsid w:val="00A33FAF"/>
    <w:rsid w:val="00A36F31"/>
    <w:rsid w:val="00A371C2"/>
    <w:rsid w:val="00A3757B"/>
    <w:rsid w:val="00A40C43"/>
    <w:rsid w:val="00A41EC5"/>
    <w:rsid w:val="00A509DB"/>
    <w:rsid w:val="00A52E1B"/>
    <w:rsid w:val="00A54457"/>
    <w:rsid w:val="00A54905"/>
    <w:rsid w:val="00A553E5"/>
    <w:rsid w:val="00A56BD5"/>
    <w:rsid w:val="00A61437"/>
    <w:rsid w:val="00A63355"/>
    <w:rsid w:val="00A64186"/>
    <w:rsid w:val="00A64AC8"/>
    <w:rsid w:val="00A71666"/>
    <w:rsid w:val="00A725FF"/>
    <w:rsid w:val="00A7367F"/>
    <w:rsid w:val="00A74EFF"/>
    <w:rsid w:val="00A7637D"/>
    <w:rsid w:val="00A8374B"/>
    <w:rsid w:val="00A85679"/>
    <w:rsid w:val="00A85895"/>
    <w:rsid w:val="00A87930"/>
    <w:rsid w:val="00A90EE9"/>
    <w:rsid w:val="00A90F92"/>
    <w:rsid w:val="00A93600"/>
    <w:rsid w:val="00A93F65"/>
    <w:rsid w:val="00A9548C"/>
    <w:rsid w:val="00A954CE"/>
    <w:rsid w:val="00A96215"/>
    <w:rsid w:val="00A96A4C"/>
    <w:rsid w:val="00AA104C"/>
    <w:rsid w:val="00AA1247"/>
    <w:rsid w:val="00AA196E"/>
    <w:rsid w:val="00AA1EE4"/>
    <w:rsid w:val="00AA399A"/>
    <w:rsid w:val="00AA449E"/>
    <w:rsid w:val="00AB7930"/>
    <w:rsid w:val="00AB7A95"/>
    <w:rsid w:val="00AC106C"/>
    <w:rsid w:val="00AC1463"/>
    <w:rsid w:val="00AC1F79"/>
    <w:rsid w:val="00AC43D6"/>
    <w:rsid w:val="00AC5294"/>
    <w:rsid w:val="00AC62D4"/>
    <w:rsid w:val="00AD03D3"/>
    <w:rsid w:val="00AD1079"/>
    <w:rsid w:val="00AD1DC1"/>
    <w:rsid w:val="00AD2199"/>
    <w:rsid w:val="00AD21A8"/>
    <w:rsid w:val="00AD2F54"/>
    <w:rsid w:val="00AD46FD"/>
    <w:rsid w:val="00AD5517"/>
    <w:rsid w:val="00AD6643"/>
    <w:rsid w:val="00AD6A6D"/>
    <w:rsid w:val="00AD6AF2"/>
    <w:rsid w:val="00AD789E"/>
    <w:rsid w:val="00AE0F46"/>
    <w:rsid w:val="00AE0F92"/>
    <w:rsid w:val="00AE235A"/>
    <w:rsid w:val="00AE416D"/>
    <w:rsid w:val="00AF0106"/>
    <w:rsid w:val="00AF01BC"/>
    <w:rsid w:val="00AF28EA"/>
    <w:rsid w:val="00AF4FC2"/>
    <w:rsid w:val="00B01046"/>
    <w:rsid w:val="00B010BE"/>
    <w:rsid w:val="00B02339"/>
    <w:rsid w:val="00B02624"/>
    <w:rsid w:val="00B026D1"/>
    <w:rsid w:val="00B02A6D"/>
    <w:rsid w:val="00B03074"/>
    <w:rsid w:val="00B0573A"/>
    <w:rsid w:val="00B05AFA"/>
    <w:rsid w:val="00B07924"/>
    <w:rsid w:val="00B1004D"/>
    <w:rsid w:val="00B114B4"/>
    <w:rsid w:val="00B129B6"/>
    <w:rsid w:val="00B12AF8"/>
    <w:rsid w:val="00B12D5F"/>
    <w:rsid w:val="00B13DCC"/>
    <w:rsid w:val="00B14342"/>
    <w:rsid w:val="00B20E16"/>
    <w:rsid w:val="00B22997"/>
    <w:rsid w:val="00B2391C"/>
    <w:rsid w:val="00B23A53"/>
    <w:rsid w:val="00B23F1D"/>
    <w:rsid w:val="00B2596F"/>
    <w:rsid w:val="00B274F2"/>
    <w:rsid w:val="00B30F55"/>
    <w:rsid w:val="00B3234F"/>
    <w:rsid w:val="00B32F5E"/>
    <w:rsid w:val="00B356CC"/>
    <w:rsid w:val="00B3579C"/>
    <w:rsid w:val="00B4373E"/>
    <w:rsid w:val="00B44A67"/>
    <w:rsid w:val="00B462EE"/>
    <w:rsid w:val="00B50820"/>
    <w:rsid w:val="00B52446"/>
    <w:rsid w:val="00B546B4"/>
    <w:rsid w:val="00B54E44"/>
    <w:rsid w:val="00B608C0"/>
    <w:rsid w:val="00B61D21"/>
    <w:rsid w:val="00B705EC"/>
    <w:rsid w:val="00B70CF8"/>
    <w:rsid w:val="00B714C3"/>
    <w:rsid w:val="00B720B9"/>
    <w:rsid w:val="00B73CEB"/>
    <w:rsid w:val="00B73DFA"/>
    <w:rsid w:val="00B763A7"/>
    <w:rsid w:val="00B765E4"/>
    <w:rsid w:val="00B835A8"/>
    <w:rsid w:val="00B839D1"/>
    <w:rsid w:val="00B83FD8"/>
    <w:rsid w:val="00B84849"/>
    <w:rsid w:val="00B851F4"/>
    <w:rsid w:val="00B8654F"/>
    <w:rsid w:val="00B86DE8"/>
    <w:rsid w:val="00BA0D86"/>
    <w:rsid w:val="00BA68FD"/>
    <w:rsid w:val="00BA70C9"/>
    <w:rsid w:val="00BA7470"/>
    <w:rsid w:val="00BB1039"/>
    <w:rsid w:val="00BB2304"/>
    <w:rsid w:val="00BB2DFA"/>
    <w:rsid w:val="00BB3421"/>
    <w:rsid w:val="00BB64E6"/>
    <w:rsid w:val="00BC1C31"/>
    <w:rsid w:val="00BC29EF"/>
    <w:rsid w:val="00BC5768"/>
    <w:rsid w:val="00BC6620"/>
    <w:rsid w:val="00BC6B2D"/>
    <w:rsid w:val="00BD268C"/>
    <w:rsid w:val="00BD2BB9"/>
    <w:rsid w:val="00BD4C95"/>
    <w:rsid w:val="00BD5BCE"/>
    <w:rsid w:val="00BD7DCA"/>
    <w:rsid w:val="00BE2713"/>
    <w:rsid w:val="00BE4679"/>
    <w:rsid w:val="00BE4F03"/>
    <w:rsid w:val="00BE56C5"/>
    <w:rsid w:val="00BE5F29"/>
    <w:rsid w:val="00BE7542"/>
    <w:rsid w:val="00BF36F4"/>
    <w:rsid w:val="00BF4B6F"/>
    <w:rsid w:val="00BF7529"/>
    <w:rsid w:val="00C01F04"/>
    <w:rsid w:val="00C0232A"/>
    <w:rsid w:val="00C025D1"/>
    <w:rsid w:val="00C03FC0"/>
    <w:rsid w:val="00C04A1B"/>
    <w:rsid w:val="00C1211F"/>
    <w:rsid w:val="00C12235"/>
    <w:rsid w:val="00C1265B"/>
    <w:rsid w:val="00C14FF0"/>
    <w:rsid w:val="00C163C4"/>
    <w:rsid w:val="00C17FAC"/>
    <w:rsid w:val="00C21AEB"/>
    <w:rsid w:val="00C23184"/>
    <w:rsid w:val="00C25204"/>
    <w:rsid w:val="00C256D0"/>
    <w:rsid w:val="00C25A80"/>
    <w:rsid w:val="00C25CFB"/>
    <w:rsid w:val="00C25ED6"/>
    <w:rsid w:val="00C26A62"/>
    <w:rsid w:val="00C30600"/>
    <w:rsid w:val="00C30879"/>
    <w:rsid w:val="00C33194"/>
    <w:rsid w:val="00C353F8"/>
    <w:rsid w:val="00C35EAA"/>
    <w:rsid w:val="00C40484"/>
    <w:rsid w:val="00C4158F"/>
    <w:rsid w:val="00C41C8E"/>
    <w:rsid w:val="00C438EA"/>
    <w:rsid w:val="00C44A09"/>
    <w:rsid w:val="00C4516E"/>
    <w:rsid w:val="00C45252"/>
    <w:rsid w:val="00C46EDD"/>
    <w:rsid w:val="00C503E3"/>
    <w:rsid w:val="00C50808"/>
    <w:rsid w:val="00C5083A"/>
    <w:rsid w:val="00C50F66"/>
    <w:rsid w:val="00C52923"/>
    <w:rsid w:val="00C53ADC"/>
    <w:rsid w:val="00C54EA1"/>
    <w:rsid w:val="00C5565B"/>
    <w:rsid w:val="00C56039"/>
    <w:rsid w:val="00C56075"/>
    <w:rsid w:val="00C60146"/>
    <w:rsid w:val="00C61BE1"/>
    <w:rsid w:val="00C61E10"/>
    <w:rsid w:val="00C62389"/>
    <w:rsid w:val="00C638C0"/>
    <w:rsid w:val="00C643D5"/>
    <w:rsid w:val="00C65656"/>
    <w:rsid w:val="00C66129"/>
    <w:rsid w:val="00C6782D"/>
    <w:rsid w:val="00C67851"/>
    <w:rsid w:val="00C67DF0"/>
    <w:rsid w:val="00C70C06"/>
    <w:rsid w:val="00C70C0E"/>
    <w:rsid w:val="00C80C5F"/>
    <w:rsid w:val="00C8277D"/>
    <w:rsid w:val="00C82E66"/>
    <w:rsid w:val="00C84023"/>
    <w:rsid w:val="00C85221"/>
    <w:rsid w:val="00C861AB"/>
    <w:rsid w:val="00C865CA"/>
    <w:rsid w:val="00C86D07"/>
    <w:rsid w:val="00C8729D"/>
    <w:rsid w:val="00C87497"/>
    <w:rsid w:val="00C90D87"/>
    <w:rsid w:val="00C91327"/>
    <w:rsid w:val="00C92B40"/>
    <w:rsid w:val="00C94112"/>
    <w:rsid w:val="00C953C6"/>
    <w:rsid w:val="00C95E12"/>
    <w:rsid w:val="00CA1CEE"/>
    <w:rsid w:val="00CA3FE3"/>
    <w:rsid w:val="00CA4171"/>
    <w:rsid w:val="00CB0EE7"/>
    <w:rsid w:val="00CB450D"/>
    <w:rsid w:val="00CC1496"/>
    <w:rsid w:val="00CC22B1"/>
    <w:rsid w:val="00CC3974"/>
    <w:rsid w:val="00CC605D"/>
    <w:rsid w:val="00CD081F"/>
    <w:rsid w:val="00CD0C72"/>
    <w:rsid w:val="00CD11F8"/>
    <w:rsid w:val="00CD2189"/>
    <w:rsid w:val="00CD70E4"/>
    <w:rsid w:val="00CD7720"/>
    <w:rsid w:val="00CE2FA4"/>
    <w:rsid w:val="00CE46BE"/>
    <w:rsid w:val="00CE5173"/>
    <w:rsid w:val="00CE54D8"/>
    <w:rsid w:val="00CF12AF"/>
    <w:rsid w:val="00CF311C"/>
    <w:rsid w:val="00CF4EAD"/>
    <w:rsid w:val="00CF6018"/>
    <w:rsid w:val="00CF7FBA"/>
    <w:rsid w:val="00D00849"/>
    <w:rsid w:val="00D0121A"/>
    <w:rsid w:val="00D01A8C"/>
    <w:rsid w:val="00D04935"/>
    <w:rsid w:val="00D04E6F"/>
    <w:rsid w:val="00D0571B"/>
    <w:rsid w:val="00D05793"/>
    <w:rsid w:val="00D10063"/>
    <w:rsid w:val="00D10E69"/>
    <w:rsid w:val="00D11A76"/>
    <w:rsid w:val="00D12479"/>
    <w:rsid w:val="00D1531F"/>
    <w:rsid w:val="00D16E74"/>
    <w:rsid w:val="00D20FBB"/>
    <w:rsid w:val="00D23232"/>
    <w:rsid w:val="00D309C6"/>
    <w:rsid w:val="00D31529"/>
    <w:rsid w:val="00D32561"/>
    <w:rsid w:val="00D339B6"/>
    <w:rsid w:val="00D341DD"/>
    <w:rsid w:val="00D348F4"/>
    <w:rsid w:val="00D352F7"/>
    <w:rsid w:val="00D35D0D"/>
    <w:rsid w:val="00D366A7"/>
    <w:rsid w:val="00D3747F"/>
    <w:rsid w:val="00D37BC7"/>
    <w:rsid w:val="00D4223B"/>
    <w:rsid w:val="00D42E7E"/>
    <w:rsid w:val="00D4350E"/>
    <w:rsid w:val="00D44F33"/>
    <w:rsid w:val="00D45C0C"/>
    <w:rsid w:val="00D462F6"/>
    <w:rsid w:val="00D52B13"/>
    <w:rsid w:val="00D54E54"/>
    <w:rsid w:val="00D55034"/>
    <w:rsid w:val="00D55969"/>
    <w:rsid w:val="00D56CB5"/>
    <w:rsid w:val="00D5700D"/>
    <w:rsid w:val="00D57926"/>
    <w:rsid w:val="00D617E9"/>
    <w:rsid w:val="00D633C3"/>
    <w:rsid w:val="00D64003"/>
    <w:rsid w:val="00D714F2"/>
    <w:rsid w:val="00D73AFA"/>
    <w:rsid w:val="00D74124"/>
    <w:rsid w:val="00D80A6E"/>
    <w:rsid w:val="00D81EC3"/>
    <w:rsid w:val="00D82F2F"/>
    <w:rsid w:val="00D85422"/>
    <w:rsid w:val="00D857A8"/>
    <w:rsid w:val="00D85BFE"/>
    <w:rsid w:val="00D86338"/>
    <w:rsid w:val="00D86C61"/>
    <w:rsid w:val="00D870BB"/>
    <w:rsid w:val="00D87562"/>
    <w:rsid w:val="00D87A97"/>
    <w:rsid w:val="00D90194"/>
    <w:rsid w:val="00D91F0F"/>
    <w:rsid w:val="00D9311A"/>
    <w:rsid w:val="00D94BF3"/>
    <w:rsid w:val="00D95118"/>
    <w:rsid w:val="00D9746D"/>
    <w:rsid w:val="00D9768E"/>
    <w:rsid w:val="00D97D1F"/>
    <w:rsid w:val="00DA03FD"/>
    <w:rsid w:val="00DA14F8"/>
    <w:rsid w:val="00DA499E"/>
    <w:rsid w:val="00DA5575"/>
    <w:rsid w:val="00DB1629"/>
    <w:rsid w:val="00DB17B3"/>
    <w:rsid w:val="00DB2A43"/>
    <w:rsid w:val="00DB3C7E"/>
    <w:rsid w:val="00DB42EA"/>
    <w:rsid w:val="00DB550A"/>
    <w:rsid w:val="00DB6B17"/>
    <w:rsid w:val="00DB6F8C"/>
    <w:rsid w:val="00DB72DA"/>
    <w:rsid w:val="00DB7EE6"/>
    <w:rsid w:val="00DB7F7A"/>
    <w:rsid w:val="00DC2C53"/>
    <w:rsid w:val="00DC3391"/>
    <w:rsid w:val="00DC51F2"/>
    <w:rsid w:val="00DC63DD"/>
    <w:rsid w:val="00DC662F"/>
    <w:rsid w:val="00DC6983"/>
    <w:rsid w:val="00DC6ECA"/>
    <w:rsid w:val="00DC7EC8"/>
    <w:rsid w:val="00DD001E"/>
    <w:rsid w:val="00DD0F46"/>
    <w:rsid w:val="00DD2744"/>
    <w:rsid w:val="00DD3819"/>
    <w:rsid w:val="00DD4FBC"/>
    <w:rsid w:val="00DD7201"/>
    <w:rsid w:val="00DD730D"/>
    <w:rsid w:val="00DE08DF"/>
    <w:rsid w:val="00DE4BC2"/>
    <w:rsid w:val="00DE56D9"/>
    <w:rsid w:val="00DF08DA"/>
    <w:rsid w:val="00DF1CE0"/>
    <w:rsid w:val="00DF2732"/>
    <w:rsid w:val="00DF2B4E"/>
    <w:rsid w:val="00DF6013"/>
    <w:rsid w:val="00DF6453"/>
    <w:rsid w:val="00E00B74"/>
    <w:rsid w:val="00E02275"/>
    <w:rsid w:val="00E0285F"/>
    <w:rsid w:val="00E03677"/>
    <w:rsid w:val="00E03EFE"/>
    <w:rsid w:val="00E0482E"/>
    <w:rsid w:val="00E064A9"/>
    <w:rsid w:val="00E12F1E"/>
    <w:rsid w:val="00E1362A"/>
    <w:rsid w:val="00E154D8"/>
    <w:rsid w:val="00E15910"/>
    <w:rsid w:val="00E15AEB"/>
    <w:rsid w:val="00E17B11"/>
    <w:rsid w:val="00E20C2F"/>
    <w:rsid w:val="00E2243B"/>
    <w:rsid w:val="00E2714A"/>
    <w:rsid w:val="00E27C74"/>
    <w:rsid w:val="00E27D40"/>
    <w:rsid w:val="00E3107E"/>
    <w:rsid w:val="00E31349"/>
    <w:rsid w:val="00E3449D"/>
    <w:rsid w:val="00E358AD"/>
    <w:rsid w:val="00E35972"/>
    <w:rsid w:val="00E35AA8"/>
    <w:rsid w:val="00E43F72"/>
    <w:rsid w:val="00E45807"/>
    <w:rsid w:val="00E467DB"/>
    <w:rsid w:val="00E50199"/>
    <w:rsid w:val="00E5312F"/>
    <w:rsid w:val="00E549E2"/>
    <w:rsid w:val="00E55E41"/>
    <w:rsid w:val="00E64E19"/>
    <w:rsid w:val="00E70941"/>
    <w:rsid w:val="00E72CD6"/>
    <w:rsid w:val="00E73032"/>
    <w:rsid w:val="00E7412C"/>
    <w:rsid w:val="00E74F98"/>
    <w:rsid w:val="00E75050"/>
    <w:rsid w:val="00E75955"/>
    <w:rsid w:val="00E75A93"/>
    <w:rsid w:val="00E768CB"/>
    <w:rsid w:val="00E77926"/>
    <w:rsid w:val="00E8265E"/>
    <w:rsid w:val="00E837B1"/>
    <w:rsid w:val="00E83DA7"/>
    <w:rsid w:val="00E83FB6"/>
    <w:rsid w:val="00E84B28"/>
    <w:rsid w:val="00E87911"/>
    <w:rsid w:val="00E90078"/>
    <w:rsid w:val="00E91702"/>
    <w:rsid w:val="00E91CCD"/>
    <w:rsid w:val="00E93466"/>
    <w:rsid w:val="00E93638"/>
    <w:rsid w:val="00E939CA"/>
    <w:rsid w:val="00E95308"/>
    <w:rsid w:val="00E96A25"/>
    <w:rsid w:val="00EA11E1"/>
    <w:rsid w:val="00EA1F26"/>
    <w:rsid w:val="00EA5756"/>
    <w:rsid w:val="00EA6C38"/>
    <w:rsid w:val="00EA70E4"/>
    <w:rsid w:val="00EA7C6F"/>
    <w:rsid w:val="00EB0634"/>
    <w:rsid w:val="00EB1EA6"/>
    <w:rsid w:val="00EB2842"/>
    <w:rsid w:val="00EB2F9D"/>
    <w:rsid w:val="00EB53F6"/>
    <w:rsid w:val="00EB63E8"/>
    <w:rsid w:val="00EB772D"/>
    <w:rsid w:val="00EC0774"/>
    <w:rsid w:val="00EC1433"/>
    <w:rsid w:val="00EC16AF"/>
    <w:rsid w:val="00EC69F5"/>
    <w:rsid w:val="00EC6C0A"/>
    <w:rsid w:val="00EC6C19"/>
    <w:rsid w:val="00ED0D74"/>
    <w:rsid w:val="00ED117F"/>
    <w:rsid w:val="00ED15B7"/>
    <w:rsid w:val="00ED164D"/>
    <w:rsid w:val="00ED7C05"/>
    <w:rsid w:val="00EE2F98"/>
    <w:rsid w:val="00EE4B65"/>
    <w:rsid w:val="00EE4E7A"/>
    <w:rsid w:val="00EF0334"/>
    <w:rsid w:val="00EF13A2"/>
    <w:rsid w:val="00EF1C23"/>
    <w:rsid w:val="00EF263E"/>
    <w:rsid w:val="00EF54A5"/>
    <w:rsid w:val="00EF6BD8"/>
    <w:rsid w:val="00EF7924"/>
    <w:rsid w:val="00F02D6C"/>
    <w:rsid w:val="00F07A4C"/>
    <w:rsid w:val="00F10396"/>
    <w:rsid w:val="00F10A8F"/>
    <w:rsid w:val="00F120C4"/>
    <w:rsid w:val="00F136B4"/>
    <w:rsid w:val="00F13D96"/>
    <w:rsid w:val="00F15674"/>
    <w:rsid w:val="00F15ADC"/>
    <w:rsid w:val="00F16524"/>
    <w:rsid w:val="00F206F8"/>
    <w:rsid w:val="00F2403B"/>
    <w:rsid w:val="00F258E3"/>
    <w:rsid w:val="00F25F96"/>
    <w:rsid w:val="00F27067"/>
    <w:rsid w:val="00F27103"/>
    <w:rsid w:val="00F3283A"/>
    <w:rsid w:val="00F32B18"/>
    <w:rsid w:val="00F34EAE"/>
    <w:rsid w:val="00F35D83"/>
    <w:rsid w:val="00F43FB2"/>
    <w:rsid w:val="00F47E28"/>
    <w:rsid w:val="00F51E1C"/>
    <w:rsid w:val="00F53E9D"/>
    <w:rsid w:val="00F54248"/>
    <w:rsid w:val="00F55FF3"/>
    <w:rsid w:val="00F62283"/>
    <w:rsid w:val="00F63C88"/>
    <w:rsid w:val="00F63ED2"/>
    <w:rsid w:val="00F6675F"/>
    <w:rsid w:val="00F66872"/>
    <w:rsid w:val="00F66D4E"/>
    <w:rsid w:val="00F721E7"/>
    <w:rsid w:val="00F72B80"/>
    <w:rsid w:val="00F7648D"/>
    <w:rsid w:val="00F76E4E"/>
    <w:rsid w:val="00F7701E"/>
    <w:rsid w:val="00F77A54"/>
    <w:rsid w:val="00F77AFF"/>
    <w:rsid w:val="00F77F18"/>
    <w:rsid w:val="00F82B5A"/>
    <w:rsid w:val="00F84D2F"/>
    <w:rsid w:val="00F872E8"/>
    <w:rsid w:val="00F90ED0"/>
    <w:rsid w:val="00F916C5"/>
    <w:rsid w:val="00F921F1"/>
    <w:rsid w:val="00F925F8"/>
    <w:rsid w:val="00F9321A"/>
    <w:rsid w:val="00F93246"/>
    <w:rsid w:val="00F940DE"/>
    <w:rsid w:val="00F94608"/>
    <w:rsid w:val="00F96635"/>
    <w:rsid w:val="00F9766C"/>
    <w:rsid w:val="00FA0C9E"/>
    <w:rsid w:val="00FA120E"/>
    <w:rsid w:val="00FA1C17"/>
    <w:rsid w:val="00FA42CF"/>
    <w:rsid w:val="00FB187C"/>
    <w:rsid w:val="00FB1D06"/>
    <w:rsid w:val="00FB321F"/>
    <w:rsid w:val="00FB3524"/>
    <w:rsid w:val="00FB5C58"/>
    <w:rsid w:val="00FB77FE"/>
    <w:rsid w:val="00FC3537"/>
    <w:rsid w:val="00FC3768"/>
    <w:rsid w:val="00FC4408"/>
    <w:rsid w:val="00FC4FAA"/>
    <w:rsid w:val="00FC754F"/>
    <w:rsid w:val="00FC780B"/>
    <w:rsid w:val="00FD1359"/>
    <w:rsid w:val="00FD223D"/>
    <w:rsid w:val="00FD3F84"/>
    <w:rsid w:val="00FD6984"/>
    <w:rsid w:val="00FD717A"/>
    <w:rsid w:val="00FD7ABE"/>
    <w:rsid w:val="00FE0F77"/>
    <w:rsid w:val="00FE15E8"/>
    <w:rsid w:val="00FE26FC"/>
    <w:rsid w:val="00FE650A"/>
    <w:rsid w:val="00FE675A"/>
    <w:rsid w:val="00FE6A93"/>
    <w:rsid w:val="00FF0135"/>
    <w:rsid w:val="00FF05C2"/>
    <w:rsid w:val="00FF0C63"/>
    <w:rsid w:val="00FF37B6"/>
    <w:rsid w:val="00FF5D63"/>
    <w:rsid w:val="00FF6863"/>
    <w:rsid w:val="00F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D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39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EA5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4BDF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491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E4913"/>
    <w:rPr>
      <w:rFonts w:ascii="Tahoma" w:eastAsia="Calibri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D9311A"/>
    <w:pPr>
      <w:spacing w:after="120" w:line="480" w:lineRule="auto"/>
    </w:pPr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character" w:customStyle="1" w:styleId="Corpsdetexte2Car">
    <w:name w:val="Corps de texte 2 Car"/>
    <w:link w:val="Corpsdetexte2"/>
    <w:rsid w:val="00D9311A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D9311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Titre3Car">
    <w:name w:val="Titre 3 Car"/>
    <w:link w:val="Titre3"/>
    <w:uiPriority w:val="9"/>
    <w:rsid w:val="00EA575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uiPriority w:val="22"/>
    <w:qFormat/>
    <w:rsid w:val="007C0F9F"/>
    <w:rPr>
      <w:b/>
      <w:bCs/>
    </w:rPr>
  </w:style>
  <w:style w:type="paragraph" w:styleId="Titre">
    <w:name w:val="Title"/>
    <w:basedOn w:val="Normal"/>
    <w:link w:val="TitreCar"/>
    <w:uiPriority w:val="99"/>
    <w:qFormat/>
    <w:rsid w:val="00EA11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TitreCar">
    <w:name w:val="Titre Car"/>
    <w:link w:val="Titre"/>
    <w:uiPriority w:val="99"/>
    <w:rsid w:val="00EA11E1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NormalWeb">
    <w:name w:val="Normal (Web)"/>
    <w:basedOn w:val="Normal"/>
    <w:uiPriority w:val="99"/>
    <w:semiHidden/>
    <w:unhideWhenUsed/>
    <w:rsid w:val="00197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3E39F2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Lienhypertexte">
    <w:name w:val="Hyperlink"/>
    <w:uiPriority w:val="99"/>
    <w:semiHidden/>
    <w:unhideWhenUsed/>
    <w:rsid w:val="00A61437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F13D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CEA9-B039-4D25-9F62-BF08D447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1511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2023-06-02T13:15:00Z</cp:lastPrinted>
  <dcterms:created xsi:type="dcterms:W3CDTF">2023-06-08T20:54:00Z</dcterms:created>
  <dcterms:modified xsi:type="dcterms:W3CDTF">2023-06-08T20:54:00Z</dcterms:modified>
</cp:coreProperties>
</file>