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33" w:rsidRDefault="00803633" w:rsidP="00803633">
      <w:pPr>
        <w:jc w:val="center"/>
        <w:rPr>
          <w:rtl/>
          <w:lang w:bidi="ar-MA"/>
        </w:rPr>
      </w:pPr>
    </w:p>
    <w:p w:rsidR="00803633" w:rsidRDefault="00803633" w:rsidP="00803633">
      <w:pPr>
        <w:jc w:val="center"/>
        <w:rPr>
          <w:rtl/>
          <w:lang w:bidi="tzm-Arab-MA"/>
        </w:rPr>
      </w:pPr>
    </w:p>
    <w:p w:rsidR="00F619F8" w:rsidRDefault="00F619F8" w:rsidP="00803633">
      <w:pPr>
        <w:jc w:val="center"/>
        <w:rPr>
          <w:rtl/>
          <w:lang w:bidi="tzm-Arab-MA"/>
        </w:rPr>
      </w:pPr>
    </w:p>
    <w:p w:rsidR="00803633" w:rsidRPr="00803633" w:rsidRDefault="00803633" w:rsidP="00803633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</w:pP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  <w:t xml:space="preserve">مذكرة إخبارية </w:t>
      </w: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  <w:lang w:bidi="tzm-Arab-MA"/>
        </w:rPr>
        <w:t>لل</w:t>
      </w: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  <w:t>مندوبية السامية للتخطيط حول</w:t>
      </w:r>
    </w:p>
    <w:p w:rsidR="00803633" w:rsidRDefault="00803633" w:rsidP="0080363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  <w:lang w:bidi="tzm-Arab-MA"/>
        </w:rPr>
      </w:pP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  <w:t>وضعية سوق الشغل خلال</w:t>
      </w: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 xml:space="preserve"> </w:t>
      </w: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  <w:t xml:space="preserve">الفصل </w:t>
      </w:r>
      <w:r w:rsidRPr="00803633">
        <w:rPr>
          <w:rFonts w:asciiTheme="majorBidi" w:hAnsiTheme="majorBidi" w:cstheme="majorBidi" w:hint="cs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الثاني </w:t>
      </w: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  <w:t>من</w:t>
      </w: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 xml:space="preserve"> </w:t>
      </w: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  <w:t xml:space="preserve">سنة </w:t>
      </w:r>
      <w:r w:rsidR="006C2E5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  <w:t>2023</w:t>
      </w:r>
    </w:p>
    <w:p w:rsidR="00043286" w:rsidRDefault="00043286" w:rsidP="0004328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  <w:lang w:bidi="tzm-Arab-MA"/>
        </w:rPr>
      </w:pPr>
    </w:p>
    <w:p w:rsidR="00803633" w:rsidRDefault="00803633" w:rsidP="0080363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</w:pPr>
    </w:p>
    <w:p w:rsidR="003D5618" w:rsidRDefault="00F76FB6" w:rsidP="00126F1D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</w:pPr>
      <w:r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فقد</w:t>
      </w:r>
      <w:r w:rsidR="00A80667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الاقتصاد الوطني</w:t>
      </w:r>
      <w:r w:rsidR="00A80667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ar-MA"/>
        </w:rPr>
        <w:t>،</w:t>
      </w:r>
      <w:r w:rsidR="00A80667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3D5618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ما بين الفصل ال</w:t>
      </w:r>
      <w:r w:rsidR="003D5618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ثاني</w:t>
      </w:r>
      <w:r w:rsidR="003D5618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 سنة </w:t>
      </w:r>
      <w:r w:rsidR="006C2E53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2022</w:t>
      </w:r>
      <w:r w:rsidR="003D5618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ونفس الفصل من سنة </w:t>
      </w:r>
      <w:r w:rsidR="006C2E53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2023</w:t>
      </w:r>
      <w:r w:rsidR="003D5618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، </w:t>
      </w:r>
      <w:r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86</w:t>
      </w:r>
      <w:r w:rsidR="003D5618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.000</w:t>
      </w:r>
      <w:r w:rsidR="00043286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منصب شغل،</w:t>
      </w:r>
      <w:r w:rsidR="003D5618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043286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وذلك </w:t>
      </w:r>
      <w:r w:rsidR="00043286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نتيجة</w:t>
      </w:r>
      <w:r w:rsidR="00043286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6E19D7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ar-MA"/>
        </w:rPr>
        <w:t>فقدان</w:t>
      </w:r>
      <w:r w:rsidR="006E19D7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198.000 </w:t>
      </w:r>
      <w:r w:rsidR="006E19D7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6E19D7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منصب شغل غير </w:t>
      </w:r>
      <w:r w:rsidR="006E19D7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ال</w:t>
      </w:r>
      <w:r w:rsidR="006E19D7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مؤدى عنه</w:t>
      </w:r>
      <w:r w:rsidR="006E19D7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و</w:t>
      </w:r>
      <w:r w:rsidR="006E19D7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إحداث</w:t>
      </w:r>
      <w:r w:rsidR="006E19D7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112.000 </w:t>
      </w:r>
      <w:r w:rsidR="006E19D7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منصب شغل مؤدى عنه</w:t>
      </w:r>
      <w:r w:rsidR="006E19D7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. ويعزى هذا التراجع إلى </w:t>
      </w:r>
      <w:r w:rsidR="006E19D7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فقدان</w:t>
      </w:r>
      <w:r w:rsidR="006E19D7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206.000 </w:t>
      </w:r>
      <w:r w:rsidR="006E19D7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6E19D7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منصب شغل بالوسط القروي</w:t>
      </w:r>
      <w:r w:rsidR="006E19D7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وإحداث</w:t>
      </w:r>
      <w:r w:rsidR="006E19D7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6E19D7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121.000 </w:t>
      </w:r>
      <w:r w:rsidR="006E19D7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6E19D7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منصب شغل بالوسط الحضري</w:t>
      </w:r>
      <w:r w:rsidR="006E19D7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</w:t>
      </w:r>
      <w:r w:rsidR="003D5618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مقابل إحداث </w:t>
      </w:r>
      <w:r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133</w:t>
      </w:r>
      <w:r w:rsidR="003D5618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.000</w:t>
      </w:r>
      <w:r w:rsidR="003D5618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DD3F05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منصب </w:t>
      </w:r>
      <w:r w:rsidR="00043286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خلال</w:t>
      </w:r>
      <w:r w:rsidR="003D5618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الفصل الثاني من </w:t>
      </w:r>
      <w:r w:rsidR="006C2E53" w:rsidRPr="0040790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202</w:t>
      </w:r>
      <w:r w:rsidR="00126F1D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2</w:t>
      </w:r>
      <w:r w:rsidR="003D5618" w:rsidRPr="0040790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.</w:t>
      </w:r>
    </w:p>
    <w:p w:rsidR="00FC31AF" w:rsidRDefault="00043286" w:rsidP="00FC6770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  <w:lang w:bidi="ar-MA"/>
        </w:rPr>
      </w:pPr>
      <w:r w:rsidRPr="004D1A1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أحدث قطاع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"الخدمات"</w:t>
      </w:r>
      <w:r w:rsidR="003D5618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103</w:t>
      </w:r>
      <w:r w:rsidR="003D5618" w:rsidRPr="003D5618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.000</w:t>
      </w:r>
      <w:r w:rsidR="00EC383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منصب شغل</w:t>
      </w:r>
      <w:r w:rsidR="003D561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وقطاع "</w:t>
      </w:r>
      <w:r w:rsidR="00961AE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الصناعة بما فيها الصناعة التقليدية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" 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4</w:t>
      </w:r>
      <w:r w:rsidR="003D5618" w:rsidRPr="003D5618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6.000 </w:t>
      </w:r>
      <w:r w:rsidR="00FC6770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منصب</w:t>
      </w:r>
      <w:r w:rsidR="00534928" w:rsidRPr="007B423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، </w:t>
      </w:r>
      <w:r w:rsidR="003D5618" w:rsidRPr="007B423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وقطاع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"البناء والأشغال العمومية" </w:t>
      </w:r>
      <w:r w:rsidR="003D5618" w:rsidRPr="003D5618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30.000 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منصب، في حين عرف قطاع "الفلاحة والغابة والصيد</w:t>
      </w:r>
      <w:r w:rsidR="00DD3F05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"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فقدان </w:t>
      </w:r>
      <w:r w:rsidR="003D5618" w:rsidRPr="003D5618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2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66</w:t>
      </w:r>
      <w:r w:rsidR="003D5618" w:rsidRPr="003D5618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.000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 منصب.</w:t>
      </w:r>
    </w:p>
    <w:p w:rsidR="00FC31AF" w:rsidRDefault="00800CFB" w:rsidP="00F76FB6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  <w:lang w:bidi="tzm-Arab-MA"/>
        </w:rPr>
      </w:pP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A80667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ولقد عرف</w:t>
      </w:r>
      <w:r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043286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حجم البطالة</w:t>
      </w:r>
      <w:r w:rsidR="00043286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</w:t>
      </w:r>
      <w:r w:rsidR="00A80667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ا</w:t>
      </w:r>
      <w:r w:rsidR="00F76FB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رتفاعا</w:t>
      </w:r>
      <w:r w:rsidR="00A80667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</w:t>
      </w:r>
      <w:r w:rsidR="00A61E8A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بـ</w:t>
      </w:r>
      <w:r w:rsidR="00A61E8A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156</w:t>
      </w:r>
      <w:r w:rsidR="00FC31AF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.000 </w:t>
      </w:r>
      <w:r w:rsidR="00FC31A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شخص</w:t>
      </w:r>
      <w:r w:rsidR="00FC31AF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</w:t>
      </w:r>
      <w:r w:rsidR="00EC383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FC31AF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نتيجة </w:t>
      </w:r>
      <w:r w:rsidR="00F76FB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ارتفاع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قدره 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9</w:t>
      </w:r>
      <w:r w:rsidR="00FC31AF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2.000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عاطل </w:t>
      </w:r>
      <w:r w:rsidR="00FC31A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بالوسط الحضري و</w:t>
      </w:r>
      <w:r w:rsidR="00FC31AF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6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4</w:t>
      </w:r>
      <w:r w:rsidR="00FC31AF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.000</w:t>
      </w:r>
      <w:r w:rsidR="00FC31AF"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FC31AF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بالوسط القروي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، 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لي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بلغ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عدد العاطلين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1.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543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.000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شخص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على المستوى الوطني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.</w:t>
      </w:r>
    </w:p>
    <w:p w:rsidR="003D5618" w:rsidRPr="006C2E53" w:rsidRDefault="00800CFB" w:rsidP="00DD3F05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</w:pP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وهكذا، انتقل معدل البطالة من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2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2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4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على المستوى الوطني، من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5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5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 %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6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3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بالوسط الحضري ومن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4,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2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 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5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7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بالوسط القروي. و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يبقى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معدل البطالة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م</w:t>
      </w:r>
      <w:r w:rsidR="00043286" w:rsidRPr="004D1A1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رتفعا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بين الشباب </w:t>
      </w:r>
      <w:r w:rsidR="00DD3F05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البالغين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مابين 15 و24 سنة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(3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3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6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%)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و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حاملي الشهادات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(</w:t>
      </w:r>
      <w:r w:rsidR="00F76FB6" w:rsidRPr="006C2E53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19,2%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)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والنساء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(1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7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%)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.</w:t>
      </w:r>
    </w:p>
    <w:p w:rsidR="00803633" w:rsidRPr="00983B3A" w:rsidRDefault="00DD3F05" w:rsidP="00DD3F05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</w:pP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وارتفع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عدد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النشيطين المشتغلين في حالة الشغل الناقص</w:t>
      </w:r>
      <w:r w:rsidR="00EC383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 خلال</w:t>
      </w:r>
      <w:r w:rsidR="00A8066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نفس</w:t>
      </w:r>
      <w:r w:rsidR="00EC383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الفترة،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من</w:t>
      </w:r>
      <w:r w:rsidR="00F76FB6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939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.000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 </w:t>
      </w:r>
      <w:r w:rsidR="00043286" w:rsidRPr="00983B3A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إلى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 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983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.000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شخص على المستوى الوطني، ومن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5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00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.000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5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49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.000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بالمدن ومن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4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39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.000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إلى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43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4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.000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بالقرى. وهكذا، انتقل معدل الشغل الناقص من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8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5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%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</w:t>
      </w:r>
      <w:r w:rsidR="00CF32D3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F76FB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9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%</w:t>
      </w:r>
      <w:r w:rsidR="00E4538E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على المستوى الوطني، ومن</w:t>
      </w:r>
      <w:r w:rsidR="008D2301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7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</w:t>
      </w:r>
      <w:r w:rsidR="008D2301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7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%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</w:t>
      </w:r>
      <w:r w:rsidR="008D2301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8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,</w:t>
      </w:r>
      <w:r w:rsidR="008D2301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4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% </w:t>
      </w:r>
      <w:r w:rsidR="00E4538E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بالوسط الحضري ومن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9,</w:t>
      </w:r>
      <w:r w:rsidR="008D2301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6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%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9,</w:t>
      </w:r>
      <w:r w:rsidR="008D2301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9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%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803633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بالوسط </w:t>
      </w:r>
      <w:r w:rsidR="00E4538E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A61E8A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القروي</w:t>
      </w:r>
      <w:r w:rsidR="00803633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.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</w:p>
    <w:p w:rsidR="00983B3A" w:rsidRDefault="00983B3A" w:rsidP="00803633">
      <w:pPr>
        <w:tabs>
          <w:tab w:val="num" w:pos="720"/>
        </w:tabs>
        <w:bidi/>
        <w:spacing w:before="240"/>
        <w:rPr>
          <w:rFonts w:asciiTheme="majorBidi" w:eastAsia="Book Antiqua" w:hAnsiTheme="majorBidi" w:cstheme="majorBidi"/>
          <w:b/>
          <w:bCs/>
          <w:color w:val="365F91" w:themeColor="accent1" w:themeShade="BF"/>
          <w:sz w:val="32"/>
          <w:szCs w:val="32"/>
        </w:rPr>
      </w:pPr>
    </w:p>
    <w:p w:rsidR="00983B3A" w:rsidRDefault="00983B3A" w:rsidP="00983B3A">
      <w:pPr>
        <w:tabs>
          <w:tab w:val="num" w:pos="720"/>
        </w:tabs>
        <w:bidi/>
        <w:spacing w:before="240"/>
        <w:rPr>
          <w:rFonts w:asciiTheme="majorBidi" w:eastAsia="Book Antiqua" w:hAnsiTheme="majorBidi" w:cstheme="majorBidi"/>
          <w:b/>
          <w:bCs/>
          <w:color w:val="365F91" w:themeColor="accent1" w:themeShade="BF"/>
          <w:sz w:val="32"/>
          <w:szCs w:val="32"/>
        </w:rPr>
      </w:pPr>
    </w:p>
    <w:p w:rsidR="00983B3A" w:rsidRDefault="00983B3A" w:rsidP="00983B3A">
      <w:pPr>
        <w:tabs>
          <w:tab w:val="num" w:pos="720"/>
        </w:tabs>
        <w:bidi/>
        <w:spacing w:before="240"/>
        <w:rPr>
          <w:rFonts w:asciiTheme="majorBidi" w:eastAsia="Book Antiqua" w:hAnsiTheme="majorBidi" w:cstheme="majorBidi"/>
          <w:b/>
          <w:bCs/>
          <w:color w:val="365F91" w:themeColor="accent1" w:themeShade="BF"/>
          <w:sz w:val="32"/>
          <w:szCs w:val="32"/>
          <w:lang w:bidi="tzm-Arab-MA"/>
        </w:rPr>
      </w:pPr>
    </w:p>
    <w:p w:rsidR="00FC6770" w:rsidRDefault="00FC6770" w:rsidP="00FC6770">
      <w:pPr>
        <w:tabs>
          <w:tab w:val="num" w:pos="720"/>
        </w:tabs>
        <w:bidi/>
        <w:spacing w:before="240"/>
        <w:rPr>
          <w:rFonts w:asciiTheme="majorBidi" w:eastAsia="Book Antiqua" w:hAnsiTheme="majorBidi" w:cstheme="majorBidi"/>
          <w:b/>
          <w:bCs/>
          <w:color w:val="365F91" w:themeColor="accent1" w:themeShade="BF"/>
          <w:sz w:val="32"/>
          <w:szCs w:val="32"/>
          <w:rtl/>
          <w:lang w:bidi="tzm-Arab-MA"/>
        </w:rPr>
      </w:pPr>
    </w:p>
    <w:p w:rsidR="00983B3A" w:rsidRPr="001C6903" w:rsidRDefault="00983B3A" w:rsidP="006C2E53">
      <w:pPr>
        <w:pStyle w:val="Paragraphedeliste"/>
        <w:numPr>
          <w:ilvl w:val="0"/>
          <w:numId w:val="1"/>
        </w:numPr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1C6903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lastRenderedPageBreak/>
        <w:t>النشاط والشغل</w:t>
      </w:r>
    </w:p>
    <w:p w:rsidR="00983B3A" w:rsidRPr="00C40DF5" w:rsidRDefault="00043286" w:rsidP="00983B3A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tzm-Arab-MA"/>
        </w:rPr>
        <w:t xml:space="preserve">   </w:t>
      </w:r>
      <w:r w:rsidR="00983B3A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>انخفاض</w:t>
      </w:r>
      <w:r w:rsidR="00983B3A"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 النشاط </w:t>
      </w:r>
    </w:p>
    <w:p w:rsidR="00983B3A" w:rsidRPr="007D3E4E" w:rsidRDefault="00983B3A" w:rsidP="00DD3F05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انخفض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معدل النشاط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6C2E5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A61E8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مقارنة مع نفس الفترة من سنة </w:t>
      </w:r>
      <w:r w:rsidR="006C2E53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2022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ليبلغ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 </w:t>
      </w:r>
      <w:r w:rsidR="00043286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.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6C2E5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C2E5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و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يعزى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هذا 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الانخفاض الى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زيادة السكان في سن النشاط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(15 سنة فأكثر)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بمعدل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1,4%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وعدد السكان النشيطين بـ</w:t>
      </w:r>
      <w:r w:rsidR="00B85D7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1%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.</w:t>
      </w:r>
    </w:p>
    <w:p w:rsidR="007D3E4E" w:rsidRPr="007D3E4E" w:rsidRDefault="00983B3A" w:rsidP="00126F1D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عرف</w:t>
      </w:r>
      <w:r w:rsidR="00A61E8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معدل النشاط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="00043286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نخفاض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مهما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بالوسط ا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لقروي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(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-</w:t>
      </w:r>
      <w:r w:rsidR="006C2E53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6C2E53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نقطة)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حيث 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انتقل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5</w:t>
      </w:r>
      <w:r w:rsidR="006C2E53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0</w:t>
      </w:r>
      <w:r w:rsidR="00141458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6C2E53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8</w:t>
      </w:r>
      <w:r w:rsidR="00141458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إلى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6C2E53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49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6C2E53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مقارنة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بارتفاع</w:t>
      </w:r>
      <w:r w:rsidR="00126F1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ه</w:t>
      </w:r>
      <w:r w:rsidR="00024EB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24EB9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024EB9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3 </w:t>
      </w:r>
      <w:r w:rsidR="00126F1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نقطة ب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الوسط الحضري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42,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%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إلى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42,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% 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.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85D74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كما 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هم هذا الانخفاض 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النساء</w:t>
      </w:r>
      <w:r w:rsidR="00126F1D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(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-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0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8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نقطة)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 منتقلا من 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إلى</w:t>
      </w:r>
      <w:r w:rsidR="00B85D74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0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5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مقابل شبه أستقرار لدى</w:t>
      </w:r>
      <w:r w:rsidR="00B85D74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رجال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61E8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(</w:t>
      </w:r>
      <w:r w:rsidR="00A61E8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-0,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61E8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نقطة)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من 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69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9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إلى</w:t>
      </w:r>
      <w:r w:rsidR="007D3E4E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69,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8</w:t>
      </w:r>
      <w:r w:rsidR="007D3E4E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%  </w:t>
      </w:r>
      <w:r w:rsidR="007D3E4E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</w:p>
    <w:p w:rsidR="00983B3A" w:rsidRPr="00CA2562" w:rsidRDefault="00983B3A" w:rsidP="000D049A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D7CD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مبيان 1</w:t>
      </w:r>
      <w:r w:rsidR="000D049A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tzm-Arab-MA"/>
        </w:rPr>
        <w:t>.</w:t>
      </w:r>
      <w:r w:rsidRPr="00CD7CD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تطور معدل النشاط </w:t>
      </w:r>
      <w:r w:rsidRPr="00CD7CD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خلال الفصل الثاني</w:t>
      </w:r>
      <w:r w:rsidRPr="00CD7CD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منذ سنة 2017</w:t>
      </w:r>
      <w:r w:rsidR="00B85D74" w:rsidRPr="00CD7CD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D7CDC">
        <w:rPr>
          <w:rFonts w:asciiTheme="majorBidi" w:hAnsiTheme="majorBidi" w:cstheme="majorBidi"/>
          <w:b/>
          <w:bCs/>
          <w:sz w:val="24"/>
          <w:szCs w:val="24"/>
          <w:rtl/>
        </w:rPr>
        <w:t>(ب %)</w:t>
      </w:r>
    </w:p>
    <w:p w:rsidR="00983B3A" w:rsidRPr="001C6903" w:rsidRDefault="00CD7CDC" w:rsidP="00983B3A">
      <w:pPr>
        <w:autoSpaceDE w:val="0"/>
        <w:autoSpaceDN w:val="0"/>
        <w:bidi/>
        <w:adjustRightInd w:val="0"/>
        <w:spacing w:line="360" w:lineRule="auto"/>
        <w:jc w:val="right"/>
        <w:rPr>
          <w:rFonts w:asciiTheme="majorBidi" w:hAnsiTheme="majorBidi" w:cstheme="majorBidi"/>
          <w:b/>
          <w:bCs/>
          <w:color w:val="548DD4"/>
          <w:sz w:val="32"/>
          <w:szCs w:val="32"/>
          <w:rtl/>
        </w:rPr>
      </w:pPr>
      <w:r w:rsidRPr="00CD7CDC">
        <w:rPr>
          <w:rFonts w:asciiTheme="majorBidi" w:hAnsiTheme="majorBidi" w:cs="Times New Roman"/>
          <w:b/>
          <w:bCs/>
          <w:noProof/>
          <w:color w:val="548DD4"/>
          <w:sz w:val="24"/>
          <w:szCs w:val="24"/>
          <w:rtl/>
          <w:lang w:eastAsia="fr-FR"/>
        </w:rPr>
        <w:drawing>
          <wp:inline distT="0" distB="0" distL="0" distR="0">
            <wp:extent cx="5760720" cy="2177266"/>
            <wp:effectExtent l="0" t="0" r="0" b="0"/>
            <wp:docPr id="1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3B3A" w:rsidRPr="00AC2CA0" w:rsidRDefault="00B85D74" w:rsidP="00365133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ولقد </w:t>
      </w:r>
      <w:r w:rsidR="00024EB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عرف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معدل الشغل</w:t>
      </w:r>
      <w:r w:rsidR="00024EB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بدوره </w:t>
      </w:r>
      <w:r w:rsid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انخفاضا </w:t>
      </w:r>
      <w:r w:rsidR="00024EB9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024EB9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024EB9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9 </w:t>
      </w:r>
      <w:r w:rsidR="00126F1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نقطة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على المستوى الوطني</w:t>
      </w:r>
      <w:r w:rsidR="00024EB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 منتقلا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24EB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من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40,2% </w:t>
      </w:r>
      <w:r w:rsidR="00CE38A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إلى </w:t>
      </w:r>
      <w:r w:rsidR="00CE38A8" w:rsidRPr="00CE38A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39,3%</w:t>
      </w:r>
      <w:r w:rsidR="0036513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="00365133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كما ا</w:t>
      </w:r>
      <w:r w:rsidR="00CE38A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ستقر 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هذا المعدل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في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E38A8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35,7%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بالوسط الحضري</w:t>
      </w:r>
      <w:r w:rsidR="00126F1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في حين، 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انخفض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بـ </w:t>
      </w:r>
      <w:r w:rsidR="00CE38A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CE38A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نقطة بـالوسط القروي (من</w:t>
      </w:r>
      <w:r w:rsidR="001207E7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E38A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48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CE38A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7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إلى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</w:t>
      </w:r>
      <w:r w:rsidR="00CE38A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6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,</w:t>
      </w:r>
      <w:r w:rsidR="00CE38A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%</w:t>
      </w:r>
      <w:r w:rsidR="00CE38A8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). </w:t>
      </w:r>
      <w:r w:rsidR="00126F1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كما </w:t>
      </w:r>
      <w:r w:rsidR="00CE38A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تراجع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هذا المعدل</w:t>
      </w:r>
      <w:r w:rsidR="00CE38A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CE38A8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CE38A8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</w:t>
      </w:r>
      <w:r w:rsidR="00CE38A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7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="00126F1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نقطة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في صفوف الرجال</w:t>
      </w:r>
      <w:r w:rsidR="00CE38A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CE38A8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CE38A8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3651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1,1</w:t>
      </w:r>
      <w:r w:rsidR="00CE38A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365133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نقطة</w:t>
      </w:r>
      <w:r w:rsidR="003651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في صفوف النساء</w:t>
      </w:r>
      <w:r w:rsid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.</w:t>
      </w:r>
    </w:p>
    <w:p w:rsidR="00983B3A" w:rsidRPr="001C6903" w:rsidRDefault="00983B3A" w:rsidP="00983B3A">
      <w:pPr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C6903">
        <w:rPr>
          <w:rFonts w:asciiTheme="majorBidi" w:hAnsiTheme="majorBidi" w:cstheme="majorBidi"/>
          <w:b/>
          <w:bCs/>
          <w:color w:val="000000" w:themeColor="text1"/>
          <w:rtl/>
        </w:rPr>
        <w:br w:type="page"/>
      </w:r>
    </w:p>
    <w:p w:rsidR="00983B3A" w:rsidRPr="001207E7" w:rsidRDefault="00983B3A" w:rsidP="00033F7A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CD7CDC">
        <w:rPr>
          <w:rFonts w:asciiTheme="majorBidi" w:hAnsiTheme="majorBidi" w:cstheme="majorBidi"/>
          <w:b/>
          <w:bCs/>
          <w:color w:val="000000" w:themeColor="text1"/>
          <w:rtl/>
        </w:rPr>
        <w:lastRenderedPageBreak/>
        <w:t>مبيان 2</w:t>
      </w:r>
      <w:r w:rsidR="00033F7A">
        <w:rPr>
          <w:rFonts w:asciiTheme="majorBidi" w:hAnsiTheme="majorBidi" w:cstheme="majorBidi" w:hint="cs"/>
          <w:b/>
          <w:bCs/>
          <w:color w:val="000000" w:themeColor="text1"/>
          <w:rtl/>
          <w:lang w:bidi="tzm-Arab-MA"/>
        </w:rPr>
        <w:t>.</w:t>
      </w:r>
      <w:r w:rsidRPr="00CD7CDC">
        <w:rPr>
          <w:rFonts w:asciiTheme="majorBidi" w:hAnsiTheme="majorBidi" w:cstheme="majorBidi"/>
          <w:b/>
          <w:bCs/>
          <w:color w:val="000000" w:themeColor="text1"/>
          <w:rtl/>
        </w:rPr>
        <w:t xml:space="preserve"> تطور معدل الشغل</w:t>
      </w:r>
      <w:r w:rsidRPr="00CD7CDC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CD7CDC">
        <w:rPr>
          <w:rFonts w:asciiTheme="majorBidi" w:hAnsiTheme="majorBidi" w:cstheme="majorBidi" w:hint="cs"/>
          <w:b/>
          <w:bCs/>
          <w:color w:val="000000" w:themeColor="text1"/>
          <w:rtl/>
        </w:rPr>
        <w:t>خلال الفصل الثاني</w:t>
      </w:r>
      <w:r w:rsidRPr="00CD7CDC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CD7CDC">
        <w:rPr>
          <w:rFonts w:asciiTheme="majorBidi" w:hAnsiTheme="majorBidi" w:cstheme="majorBidi"/>
          <w:b/>
          <w:bCs/>
          <w:color w:val="000000" w:themeColor="text1"/>
          <w:rtl/>
        </w:rPr>
        <w:t xml:space="preserve">منذ سنة 2017 </w:t>
      </w:r>
      <w:r w:rsidRPr="00CD7CDC">
        <w:rPr>
          <w:rFonts w:asciiTheme="majorBidi" w:hAnsiTheme="majorBidi" w:cstheme="majorBidi"/>
          <w:b/>
          <w:bCs/>
          <w:rtl/>
        </w:rPr>
        <w:t>(ب %)</w:t>
      </w:r>
    </w:p>
    <w:p w:rsidR="00983B3A" w:rsidRPr="001C6903" w:rsidRDefault="00CD7CDC" w:rsidP="00983B3A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CD7CDC">
        <w:rPr>
          <w:rFonts w:asciiTheme="majorBidi" w:eastAsia="Times New Roman" w:hAnsiTheme="majorBidi" w:cs="Times New Roman"/>
          <w:noProof/>
          <w:sz w:val="28"/>
          <w:szCs w:val="28"/>
          <w:rtl/>
          <w:lang w:eastAsia="fr-FR"/>
        </w:rPr>
        <w:drawing>
          <wp:inline distT="0" distB="0" distL="0" distR="0">
            <wp:extent cx="5759355" cy="2347415"/>
            <wp:effectExtent l="0" t="0" r="0" b="0"/>
            <wp:docPr id="2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3B3A" w:rsidRPr="00C40DF5" w:rsidRDefault="00CE38A8" w:rsidP="001207E7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>فقدان</w:t>
      </w:r>
      <w:r w:rsidR="001207E7"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 xml:space="preserve"> </w:t>
      </w:r>
      <w:r w:rsidR="00983B3A"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مناصب الشغل</w:t>
      </w:r>
      <w:r w:rsidR="001207E7"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،</w:t>
      </w:r>
      <w:r w:rsidR="00983B3A"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 xml:space="preserve"> </w:t>
      </w:r>
      <w:r w:rsidR="001207E7"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حصريا</w:t>
      </w:r>
      <w:r w:rsidR="00983B3A"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 xml:space="preserve"> غير </w:t>
      </w:r>
      <w:r w:rsidR="00983B3A"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مِؤدى</w:t>
      </w:r>
      <w:r w:rsidR="00F619F8"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tzm-Arab-MA"/>
        </w:rPr>
        <w:t xml:space="preserve"> </w:t>
      </w:r>
      <w:r w:rsidR="00983B3A"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عنها</w:t>
      </w:r>
    </w:p>
    <w:p w:rsidR="00983B3A" w:rsidRPr="00AC2CA0" w:rsidRDefault="00CE38A8" w:rsidP="00B43E8F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فقد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الاقتصاد الوطني</w:t>
      </w:r>
      <w:r w:rsidR="000D6FD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86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</w:t>
      </w:r>
      <w:r w:rsidR="001207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شغل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خلال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الفصل الثاني من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سنة </w:t>
      </w:r>
      <w:r w:rsidR="006C2E5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2023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وهو ما يمثل </w:t>
      </w:r>
      <w:r w:rsidR="00B43E8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تراجعا</w:t>
      </w:r>
      <w:r w:rsid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بنسبة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1%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14145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نتيجة </w:t>
      </w:r>
      <w:r w:rsidR="00DD3F05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</w:t>
      </w:r>
      <w:r w:rsid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ان</w:t>
      </w:r>
      <w:r w:rsidR="00DD3F05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DD3F0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206</w:t>
      </w:r>
      <w:r w:rsidR="00DD3F05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DD3F05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 </w:t>
      </w:r>
      <w:r w:rsidR="00DD3F05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</w:t>
      </w:r>
      <w:r w:rsidR="00DD3F05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DD3F05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="00DD3F05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و</w:t>
      </w:r>
      <w:r w:rsidR="00EC383C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</w:t>
      </w:r>
      <w:r w:rsidR="0014145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حداث </w:t>
      </w:r>
      <w:r w:rsidR="000D6FD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121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 بالوسط الحضري (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(+</w:t>
      </w:r>
      <w:r w:rsidR="000D6FD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983B3A" w:rsidRPr="00983B3A" w:rsidRDefault="001207E7" w:rsidP="000D6FD8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حسب نوع الشغل، تم إحداث</w:t>
      </w:r>
      <w:r w:rsidR="000D6FD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112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 مؤدى عنه، 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نتيجة إحداث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0D6FD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126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بالوسط الحضري 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وفقدان </w:t>
      </w:r>
      <w:r w:rsidR="000D6FD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14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في حين، </w:t>
      </w:r>
      <w:r w:rsidR="000D6FD8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</w:t>
      </w:r>
      <w:r w:rsidR="000D6FD8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فقدان</w:t>
      </w:r>
      <w:r w:rsidR="00033F7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0D6FD8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0D6FD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93</w:t>
      </w:r>
      <w:r w:rsidR="000D6FD8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0D6FD8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 شغل بالوسط القروي</w:t>
      </w:r>
      <w:r w:rsidR="000D6FD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و</w:t>
      </w:r>
      <w:r w:rsidR="000D6FD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0D6FD8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0D6FD8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</w:t>
      </w:r>
      <w:r w:rsidR="000D6FD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0D6FD8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انخفض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الشغل غير </w:t>
      </w:r>
      <w:r w:rsidR="0014145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مؤدى عنه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0D6FD8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98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0D6FD8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D6FD8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983B3A" w:rsidRPr="001207E7" w:rsidRDefault="00983B3A" w:rsidP="00033F7A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B40036">
        <w:rPr>
          <w:rFonts w:asciiTheme="majorBidi" w:hAnsiTheme="majorBidi" w:cstheme="majorBidi"/>
          <w:b/>
          <w:bCs/>
          <w:color w:val="000000" w:themeColor="text1"/>
          <w:rtl/>
        </w:rPr>
        <w:t xml:space="preserve">مبيان </w:t>
      </w:r>
      <w:r w:rsidRPr="00B40036">
        <w:rPr>
          <w:rFonts w:asciiTheme="majorBidi" w:hAnsiTheme="majorBidi" w:cstheme="majorBidi"/>
          <w:b/>
          <w:bCs/>
          <w:color w:val="000000" w:themeColor="text1"/>
        </w:rPr>
        <w:t>3</w:t>
      </w:r>
      <w:r w:rsidR="00033F7A">
        <w:rPr>
          <w:rFonts w:asciiTheme="majorBidi" w:hAnsiTheme="majorBidi" w:cstheme="majorBidi" w:hint="cs"/>
          <w:b/>
          <w:bCs/>
          <w:color w:val="000000" w:themeColor="text1"/>
          <w:rtl/>
          <w:lang w:bidi="tzm-Arab-MA"/>
        </w:rPr>
        <w:t>.</w:t>
      </w:r>
      <w:r w:rsidRPr="00B40036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r w:rsidR="001207E7" w:rsidRPr="00B40036">
        <w:rPr>
          <w:rFonts w:asciiTheme="majorBidi" w:hAnsiTheme="majorBidi" w:cstheme="majorBidi"/>
          <w:b/>
          <w:bCs/>
          <w:color w:val="000000" w:themeColor="text1"/>
          <w:rtl/>
        </w:rPr>
        <w:t xml:space="preserve">التغير الصافي لمناصب الشغل </w:t>
      </w:r>
      <w:r w:rsidRPr="00B40036">
        <w:rPr>
          <w:rFonts w:asciiTheme="majorBidi" w:hAnsiTheme="majorBidi" w:cstheme="majorBidi" w:hint="cs"/>
          <w:b/>
          <w:bCs/>
          <w:color w:val="000000" w:themeColor="text1"/>
          <w:rtl/>
        </w:rPr>
        <w:t>خلال الفصل الثاني</w:t>
      </w:r>
      <w:r w:rsidRPr="00B40036">
        <w:rPr>
          <w:rFonts w:asciiTheme="majorBidi" w:hAnsiTheme="majorBidi" w:cstheme="majorBidi"/>
          <w:b/>
          <w:bCs/>
          <w:color w:val="000000" w:themeColor="text1"/>
          <w:rtl/>
        </w:rPr>
        <w:t xml:space="preserve"> بين سنتي 2</w:t>
      </w:r>
      <w:r w:rsidR="00B40036" w:rsidRPr="00B40036">
        <w:rPr>
          <w:rFonts w:asciiTheme="majorBidi" w:hAnsiTheme="majorBidi" w:cstheme="majorBidi" w:hint="cs"/>
          <w:b/>
          <w:bCs/>
          <w:color w:val="000000" w:themeColor="text1"/>
          <w:rtl/>
        </w:rPr>
        <w:t>2</w:t>
      </w:r>
      <w:r w:rsidRPr="00B40036">
        <w:rPr>
          <w:rFonts w:asciiTheme="majorBidi" w:hAnsiTheme="majorBidi" w:cstheme="majorBidi"/>
          <w:b/>
          <w:bCs/>
          <w:color w:val="000000" w:themeColor="text1"/>
        </w:rPr>
        <w:t>20</w:t>
      </w:r>
      <w:r w:rsidRPr="00B40036">
        <w:rPr>
          <w:rFonts w:asciiTheme="majorBidi" w:hAnsiTheme="majorBidi" w:cstheme="majorBidi"/>
          <w:b/>
          <w:bCs/>
          <w:color w:val="000000" w:themeColor="text1"/>
          <w:rtl/>
        </w:rPr>
        <w:t xml:space="preserve"> و</w:t>
      </w:r>
      <w:r w:rsidR="006C2E53" w:rsidRPr="00B40036">
        <w:rPr>
          <w:rFonts w:asciiTheme="majorBidi" w:hAnsiTheme="majorBidi" w:cstheme="majorBidi"/>
          <w:b/>
          <w:bCs/>
          <w:color w:val="000000" w:themeColor="text1"/>
          <w:rtl/>
        </w:rPr>
        <w:t>2023</w:t>
      </w:r>
      <w:r w:rsidRPr="00B40036">
        <w:rPr>
          <w:rFonts w:asciiTheme="majorBidi" w:hAnsiTheme="majorBidi" w:cstheme="majorBidi"/>
          <w:b/>
          <w:bCs/>
          <w:color w:val="000000" w:themeColor="text1"/>
          <w:rtl/>
        </w:rPr>
        <w:t xml:space="preserve"> حسب نوع الشغل </w:t>
      </w:r>
      <w:r w:rsidR="00141458" w:rsidRPr="00B40036">
        <w:rPr>
          <w:rFonts w:asciiTheme="majorBidi" w:hAnsiTheme="majorBidi" w:cstheme="majorBidi" w:hint="cs"/>
          <w:b/>
          <w:bCs/>
          <w:color w:val="000000" w:themeColor="text1"/>
          <w:rtl/>
        </w:rPr>
        <w:t>و</w:t>
      </w:r>
      <w:r w:rsidRPr="00B40036">
        <w:rPr>
          <w:rFonts w:asciiTheme="majorBidi" w:hAnsiTheme="majorBidi" w:cstheme="majorBidi"/>
          <w:b/>
          <w:bCs/>
          <w:color w:val="000000" w:themeColor="text1"/>
          <w:rtl/>
        </w:rPr>
        <w:t>وسط الإقامة</w:t>
      </w:r>
      <w:r w:rsidR="00141458" w:rsidRPr="00B40036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="00DC44AD" w:rsidRPr="00B40036">
        <w:rPr>
          <w:rFonts w:asciiTheme="majorBidi" w:hAnsiTheme="majorBidi" w:cstheme="majorBidi" w:hint="cs"/>
          <w:b/>
          <w:bCs/>
          <w:color w:val="000000" w:themeColor="text1"/>
          <w:rtl/>
        </w:rPr>
        <w:t>(بالآلاف)</w:t>
      </w:r>
      <w:r w:rsidR="001207E7" w:rsidRPr="00B40036">
        <w:rPr>
          <w:rFonts w:asciiTheme="majorBidi" w:hAnsiTheme="majorBidi" w:cstheme="majorBidi" w:hint="cs"/>
          <w:b/>
          <w:bCs/>
          <w:color w:val="000000" w:themeColor="text1"/>
          <w:rtl/>
        </w:rPr>
        <w:t>.</w:t>
      </w:r>
    </w:p>
    <w:p w:rsidR="005639C8" w:rsidRPr="00CA2562" w:rsidRDefault="00B40036" w:rsidP="005639C8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tzm-Arab-MA"/>
        </w:rPr>
      </w:pPr>
      <w:r w:rsidRPr="00B40036">
        <w:rPr>
          <w:rFonts w:asciiTheme="majorBidi" w:eastAsia="Times New Roman" w:hAnsiTheme="majorBidi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5759355" cy="2504364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7CDC" w:rsidRDefault="00CD7CDC" w:rsidP="00B40036">
      <w:pPr>
        <w:pStyle w:val="PrformatHTML"/>
        <w:shd w:val="clear" w:color="auto" w:fill="FFFFFF"/>
        <w:bidi/>
        <w:spacing w:before="240" w:after="240" w:line="312" w:lineRule="auto"/>
        <w:jc w:val="both"/>
        <w:rPr>
          <w:rFonts w:asciiTheme="majorBidi" w:eastAsiaTheme="minorHAnsi" w:hAnsiTheme="majorBidi" w:cstheme="majorBidi"/>
          <w:b/>
          <w:bCs/>
          <w:color w:val="95B3D7" w:themeColor="accent1" w:themeTint="99"/>
          <w:sz w:val="28"/>
          <w:szCs w:val="28"/>
          <w:rtl/>
          <w:lang w:eastAsia="en-US"/>
        </w:rPr>
      </w:pPr>
    </w:p>
    <w:p w:rsidR="00DC44AD" w:rsidRPr="00033F7A" w:rsidRDefault="00141458" w:rsidP="00CD7CDC">
      <w:pPr>
        <w:pStyle w:val="PrformatHTML"/>
        <w:shd w:val="clear" w:color="auto" w:fill="FFFFFF"/>
        <w:bidi/>
        <w:spacing w:before="240" w:after="240" w:line="312" w:lineRule="auto"/>
        <w:jc w:val="both"/>
        <w:rPr>
          <w:rFonts w:asciiTheme="majorBidi" w:eastAsiaTheme="minorHAnsi" w:hAnsiTheme="majorBidi" w:cstheme="majorBidi"/>
          <w:b/>
          <w:bCs/>
          <w:color w:val="548DD4"/>
          <w:sz w:val="28"/>
          <w:szCs w:val="28"/>
          <w:lang w:eastAsia="en-US" w:bidi="ar-MA"/>
        </w:rPr>
      </w:pPr>
      <w:r w:rsidRPr="00033F7A">
        <w:rPr>
          <w:rFonts w:asciiTheme="majorBidi" w:eastAsiaTheme="minorHAnsi" w:hAnsiTheme="majorBidi" w:cstheme="majorBidi" w:hint="cs"/>
          <w:b/>
          <w:bCs/>
          <w:color w:val="548DD4"/>
          <w:sz w:val="28"/>
          <w:szCs w:val="28"/>
          <w:rtl/>
          <w:lang w:eastAsia="en-US" w:bidi="ar-MA"/>
        </w:rPr>
        <w:lastRenderedPageBreak/>
        <w:t xml:space="preserve">قطاعي </w:t>
      </w:r>
      <w:r w:rsidRPr="00033F7A">
        <w:rPr>
          <w:rFonts w:asciiTheme="majorBidi" w:eastAsiaTheme="minorHAnsi" w:hAnsiTheme="majorBidi" w:cstheme="majorBidi"/>
          <w:b/>
          <w:bCs/>
          <w:color w:val="548DD4"/>
          <w:sz w:val="28"/>
          <w:szCs w:val="28"/>
          <w:rtl/>
          <w:lang w:eastAsia="en-US" w:bidi="ar-MA"/>
        </w:rPr>
        <w:t>"</w:t>
      </w:r>
      <w:r w:rsidRPr="00033F7A">
        <w:rPr>
          <w:rFonts w:asciiTheme="majorBidi" w:eastAsiaTheme="minorHAnsi" w:hAnsiTheme="majorBidi" w:cstheme="majorBidi" w:hint="cs"/>
          <w:b/>
          <w:bCs/>
          <w:color w:val="548DD4"/>
          <w:sz w:val="28"/>
          <w:szCs w:val="28"/>
          <w:rtl/>
          <w:lang w:eastAsia="en-US" w:bidi="ar-MA"/>
        </w:rPr>
        <w:t>الخدمات</w:t>
      </w:r>
      <w:r w:rsidRPr="00033F7A">
        <w:rPr>
          <w:rFonts w:asciiTheme="majorBidi" w:eastAsiaTheme="minorHAnsi" w:hAnsiTheme="majorBidi" w:cstheme="majorBidi"/>
          <w:b/>
          <w:bCs/>
          <w:color w:val="548DD4"/>
          <w:sz w:val="28"/>
          <w:szCs w:val="28"/>
          <w:rtl/>
          <w:lang w:eastAsia="en-US" w:bidi="ar-MA"/>
        </w:rPr>
        <w:t>"</w:t>
      </w:r>
      <w:r w:rsidRPr="00033F7A">
        <w:rPr>
          <w:rFonts w:asciiTheme="majorBidi" w:eastAsiaTheme="minorHAnsi" w:hAnsiTheme="majorBidi" w:cstheme="majorBidi" w:hint="cs"/>
          <w:b/>
          <w:bCs/>
          <w:color w:val="548DD4"/>
          <w:sz w:val="28"/>
          <w:szCs w:val="28"/>
          <w:rtl/>
          <w:lang w:eastAsia="en-US" w:bidi="ar-MA"/>
        </w:rPr>
        <w:t xml:space="preserve"> و</w:t>
      </w:r>
      <w:r w:rsidRPr="00033F7A">
        <w:rPr>
          <w:rFonts w:asciiTheme="majorBidi" w:eastAsiaTheme="minorHAnsi" w:hAnsiTheme="majorBidi" w:cstheme="majorBidi"/>
          <w:b/>
          <w:bCs/>
          <w:color w:val="548DD4"/>
          <w:sz w:val="28"/>
          <w:szCs w:val="28"/>
          <w:rtl/>
          <w:lang w:eastAsia="en-US" w:bidi="ar-MA"/>
        </w:rPr>
        <w:t>"الفلاحة والغاب</w:t>
      </w:r>
      <w:r w:rsidR="00B40036" w:rsidRPr="00033F7A">
        <w:rPr>
          <w:rFonts w:asciiTheme="majorBidi" w:eastAsiaTheme="minorHAnsi" w:hAnsiTheme="majorBidi" w:cstheme="majorBidi" w:hint="cs"/>
          <w:b/>
          <w:bCs/>
          <w:color w:val="548DD4"/>
          <w:sz w:val="28"/>
          <w:szCs w:val="28"/>
          <w:rtl/>
          <w:lang w:eastAsia="en-US" w:bidi="ar-MA"/>
        </w:rPr>
        <w:t>ة</w:t>
      </w:r>
      <w:r w:rsidRPr="00033F7A">
        <w:rPr>
          <w:rFonts w:asciiTheme="majorBidi" w:eastAsiaTheme="minorHAnsi" w:hAnsiTheme="majorBidi" w:cstheme="majorBidi"/>
          <w:b/>
          <w:bCs/>
          <w:color w:val="548DD4"/>
          <w:sz w:val="28"/>
          <w:szCs w:val="28"/>
          <w:rtl/>
          <w:lang w:eastAsia="en-US" w:bidi="ar-MA"/>
        </w:rPr>
        <w:t xml:space="preserve"> والصيد"</w:t>
      </w:r>
      <w:r w:rsidRPr="00033F7A">
        <w:rPr>
          <w:rFonts w:asciiTheme="majorBidi" w:eastAsiaTheme="minorHAnsi" w:hAnsiTheme="majorBidi" w:cstheme="majorBidi" w:hint="cs"/>
          <w:b/>
          <w:bCs/>
          <w:color w:val="548DD4"/>
          <w:sz w:val="28"/>
          <w:szCs w:val="28"/>
          <w:rtl/>
          <w:lang w:eastAsia="en-US" w:bidi="ar-MA"/>
        </w:rPr>
        <w:t xml:space="preserve"> في مقدمة القطاعات المساهمة في توفير مناصب الشغل</w:t>
      </w:r>
    </w:p>
    <w:p w:rsidR="00141458" w:rsidRPr="004B2DF7" w:rsidRDefault="00141458" w:rsidP="00033F7A">
      <w:pPr>
        <w:pStyle w:val="PrformatHTML"/>
        <w:shd w:val="clear" w:color="auto" w:fill="FFFFFF"/>
        <w:bidi/>
        <w:spacing w:after="24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B2DF7">
        <w:rPr>
          <w:rFonts w:asciiTheme="majorBidi" w:hAnsiTheme="majorBidi" w:cstheme="majorBidi" w:hint="cs"/>
          <w:sz w:val="28"/>
          <w:szCs w:val="28"/>
          <w:rtl/>
        </w:rPr>
        <w:t xml:space="preserve">من بين </w:t>
      </w:r>
      <w:r w:rsidR="00DC44AD">
        <w:rPr>
          <w:rFonts w:asciiTheme="majorBidi" w:hAnsiTheme="majorBidi" w:cstheme="majorBidi"/>
          <w:sz w:val="28"/>
          <w:szCs w:val="28"/>
        </w:rPr>
        <w:t>1</w:t>
      </w:r>
      <w:r w:rsidR="000D6FD8">
        <w:rPr>
          <w:rFonts w:asciiTheme="majorBidi" w:hAnsiTheme="majorBidi" w:cstheme="majorBidi"/>
          <w:sz w:val="28"/>
          <w:szCs w:val="28"/>
        </w:rPr>
        <w:t>0</w:t>
      </w:r>
      <w:r w:rsidRPr="004B2DF7">
        <w:rPr>
          <w:rFonts w:asciiTheme="majorBidi" w:hAnsiTheme="majorBidi" w:cstheme="majorBidi"/>
          <w:sz w:val="28"/>
          <w:szCs w:val="28"/>
        </w:rPr>
        <w:t>.</w:t>
      </w:r>
      <w:r w:rsidR="000D6FD8">
        <w:rPr>
          <w:rFonts w:asciiTheme="majorBidi" w:hAnsiTheme="majorBidi" w:cstheme="majorBidi"/>
          <w:sz w:val="28"/>
          <w:szCs w:val="28"/>
        </w:rPr>
        <w:t>939</w:t>
      </w:r>
      <w:r w:rsidRPr="004B2DF7">
        <w:rPr>
          <w:rFonts w:asciiTheme="majorBidi" w:hAnsiTheme="majorBidi" w:cstheme="majorBidi"/>
          <w:sz w:val="28"/>
          <w:szCs w:val="28"/>
        </w:rPr>
        <w:t>.000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 xml:space="preserve"> نشيط مشتغل خلال الفصل الثاني من سنة </w:t>
      </w:r>
      <w:r w:rsidR="006C2E53">
        <w:rPr>
          <w:rFonts w:asciiTheme="majorBidi" w:hAnsiTheme="majorBidi" w:cstheme="majorBidi"/>
          <w:sz w:val="28"/>
          <w:szCs w:val="28"/>
          <w:rtl/>
        </w:rPr>
        <w:t>2023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4B2DF7">
        <w:rPr>
          <w:rFonts w:asciiTheme="majorBidi" w:hAnsiTheme="majorBidi" w:cstheme="majorBidi"/>
          <w:sz w:val="28"/>
          <w:szCs w:val="28"/>
          <w:rtl/>
        </w:rPr>
        <w:t>يشغل</w:t>
      </w:r>
      <w:r w:rsidR="00DC44AD">
        <w:rPr>
          <w:rFonts w:asciiTheme="majorBidi" w:hAnsiTheme="majorBidi" w:cstheme="majorBidi"/>
          <w:sz w:val="28"/>
          <w:szCs w:val="28"/>
        </w:rPr>
        <w:t xml:space="preserve"> </w:t>
      </w:r>
      <w:r w:rsidRPr="004B2DF7">
        <w:rPr>
          <w:rFonts w:asciiTheme="majorBidi" w:hAnsiTheme="majorBidi" w:cstheme="majorBidi"/>
          <w:sz w:val="28"/>
          <w:szCs w:val="28"/>
          <w:rtl/>
        </w:rPr>
        <w:t>قطاع الخدمات</w:t>
      </w:r>
      <w:r w:rsidR="00F619F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4B2DF7">
        <w:rPr>
          <w:rFonts w:asciiTheme="majorBidi" w:hAnsiTheme="majorBidi" w:cstheme="majorBidi"/>
          <w:sz w:val="28"/>
          <w:szCs w:val="28"/>
        </w:rPr>
        <w:t>4</w:t>
      </w:r>
      <w:r w:rsidR="000D6FD8">
        <w:rPr>
          <w:rFonts w:asciiTheme="majorBidi" w:hAnsiTheme="majorBidi" w:cstheme="majorBidi"/>
          <w:sz w:val="28"/>
          <w:szCs w:val="28"/>
        </w:rPr>
        <w:t>8</w:t>
      </w:r>
      <w:r w:rsidRPr="004B2DF7">
        <w:rPr>
          <w:rFonts w:asciiTheme="majorBidi" w:hAnsiTheme="majorBidi" w:cstheme="majorBidi"/>
          <w:sz w:val="28"/>
          <w:szCs w:val="28"/>
        </w:rPr>
        <w:t>,</w:t>
      </w:r>
      <w:r w:rsidR="000D6FD8">
        <w:rPr>
          <w:rFonts w:asciiTheme="majorBidi" w:hAnsiTheme="majorBidi" w:cstheme="majorBidi"/>
          <w:sz w:val="28"/>
          <w:szCs w:val="28"/>
        </w:rPr>
        <w:t>1</w:t>
      </w:r>
      <w:r w:rsidRPr="004B2DF7">
        <w:rPr>
          <w:rFonts w:asciiTheme="majorBidi" w:hAnsiTheme="majorBidi" w:cstheme="majorBidi"/>
          <w:sz w:val="28"/>
          <w:szCs w:val="28"/>
        </w:rPr>
        <w:t>%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>،</w:t>
      </w:r>
      <w:r w:rsidR="00DC44AD">
        <w:rPr>
          <w:rFonts w:asciiTheme="majorBidi" w:hAnsiTheme="majorBidi" w:cstheme="majorBidi"/>
          <w:sz w:val="28"/>
          <w:szCs w:val="28"/>
        </w:rPr>
        <w:t xml:space="preserve"> 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>متبوعا</w:t>
      </w:r>
      <w:r w:rsidR="00DC44AD">
        <w:rPr>
          <w:rFonts w:asciiTheme="majorBidi" w:hAnsiTheme="majorBidi" w:cstheme="majorBidi"/>
          <w:sz w:val="28"/>
          <w:szCs w:val="28"/>
        </w:rPr>
        <w:t xml:space="preserve"> 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4B2DF7">
        <w:rPr>
          <w:rFonts w:asciiTheme="majorBidi" w:hAnsiTheme="majorBidi" w:cstheme="majorBidi"/>
          <w:sz w:val="28"/>
          <w:szCs w:val="28"/>
          <w:rtl/>
        </w:rPr>
        <w:t>قطاع "الفلاحة و</w:t>
      </w:r>
      <w:r w:rsidR="00126F1D">
        <w:rPr>
          <w:rFonts w:asciiTheme="majorBidi" w:hAnsiTheme="majorBidi" w:cstheme="majorBidi"/>
          <w:sz w:val="28"/>
          <w:szCs w:val="28"/>
          <w:rtl/>
        </w:rPr>
        <w:t>الغابة</w:t>
      </w:r>
      <w:r w:rsidRPr="004B2DF7">
        <w:rPr>
          <w:rFonts w:asciiTheme="majorBidi" w:hAnsiTheme="majorBidi" w:cstheme="majorBidi"/>
          <w:sz w:val="28"/>
          <w:szCs w:val="28"/>
          <w:rtl/>
        </w:rPr>
        <w:t xml:space="preserve"> والصيد" بنسبة </w:t>
      </w:r>
      <w:r w:rsidR="000D6FD8">
        <w:rPr>
          <w:rFonts w:asciiTheme="majorBidi" w:hAnsiTheme="majorBidi" w:cstheme="majorBidi"/>
          <w:sz w:val="28"/>
          <w:szCs w:val="28"/>
        </w:rPr>
        <w:t>28</w:t>
      </w:r>
      <w:r w:rsidRPr="004B2DF7">
        <w:rPr>
          <w:rFonts w:asciiTheme="majorBidi" w:hAnsiTheme="majorBidi" w:cstheme="majorBidi"/>
          <w:sz w:val="28"/>
          <w:szCs w:val="28"/>
        </w:rPr>
        <w:t>,</w:t>
      </w:r>
      <w:r w:rsidR="000D6FD8">
        <w:rPr>
          <w:rFonts w:asciiTheme="majorBidi" w:hAnsiTheme="majorBidi" w:cstheme="majorBidi"/>
          <w:sz w:val="28"/>
          <w:szCs w:val="28"/>
        </w:rPr>
        <w:t>6</w:t>
      </w:r>
      <w:r w:rsidRPr="004B2DF7">
        <w:rPr>
          <w:rFonts w:asciiTheme="majorBidi" w:hAnsiTheme="majorBidi" w:cstheme="majorBidi"/>
          <w:sz w:val="28"/>
          <w:szCs w:val="28"/>
        </w:rPr>
        <w:t>%</w:t>
      </w:r>
      <w:r w:rsidRPr="004B2DF7">
        <w:rPr>
          <w:rFonts w:asciiTheme="majorBidi" w:hAnsiTheme="majorBidi" w:cstheme="majorBidi"/>
          <w:sz w:val="28"/>
          <w:szCs w:val="28"/>
          <w:rtl/>
        </w:rPr>
        <w:t xml:space="preserve"> وقطاع "</w:t>
      </w:r>
      <w:r w:rsidR="00961AEC">
        <w:rPr>
          <w:rFonts w:asciiTheme="majorBidi" w:hAnsiTheme="majorBidi" w:cstheme="majorBidi" w:hint="cs"/>
          <w:sz w:val="28"/>
          <w:szCs w:val="28"/>
          <w:rtl/>
        </w:rPr>
        <w:t>الصناعة بما فيها الصناعة التقليدية</w:t>
      </w:r>
      <w:r w:rsidRPr="004B2DF7">
        <w:rPr>
          <w:rFonts w:asciiTheme="majorBidi" w:hAnsiTheme="majorBidi" w:cstheme="majorBidi"/>
          <w:sz w:val="28"/>
          <w:szCs w:val="28"/>
          <w:rtl/>
        </w:rPr>
        <w:t>" بنسبة</w:t>
      </w:r>
      <w:r w:rsidRPr="004B2DF7">
        <w:rPr>
          <w:rFonts w:asciiTheme="majorBidi" w:hAnsiTheme="majorBidi" w:cstheme="majorBidi"/>
          <w:sz w:val="28"/>
          <w:szCs w:val="28"/>
        </w:rPr>
        <w:t>1</w:t>
      </w:r>
      <w:r w:rsidR="000D6FD8">
        <w:rPr>
          <w:rFonts w:asciiTheme="majorBidi" w:hAnsiTheme="majorBidi" w:cstheme="majorBidi"/>
          <w:sz w:val="28"/>
          <w:szCs w:val="28"/>
        </w:rPr>
        <w:t>2</w:t>
      </w:r>
      <w:r w:rsidRPr="004B2DF7">
        <w:rPr>
          <w:rFonts w:asciiTheme="majorBidi" w:hAnsiTheme="majorBidi" w:cstheme="majorBidi"/>
          <w:sz w:val="28"/>
          <w:szCs w:val="28"/>
        </w:rPr>
        <w:t>,</w:t>
      </w:r>
      <w:r w:rsidR="000D6FD8">
        <w:rPr>
          <w:rFonts w:asciiTheme="majorBidi" w:hAnsiTheme="majorBidi" w:cstheme="majorBidi"/>
          <w:sz w:val="28"/>
          <w:szCs w:val="28"/>
        </w:rPr>
        <w:t>2</w:t>
      </w:r>
      <w:r w:rsidRPr="004B2DF7">
        <w:rPr>
          <w:rFonts w:asciiTheme="majorBidi" w:hAnsiTheme="majorBidi" w:cstheme="majorBidi"/>
          <w:sz w:val="28"/>
          <w:szCs w:val="28"/>
        </w:rPr>
        <w:t xml:space="preserve">% 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DF7">
        <w:rPr>
          <w:rFonts w:asciiTheme="majorBidi" w:hAnsiTheme="majorBidi" w:cstheme="majorBidi"/>
          <w:sz w:val="28"/>
          <w:szCs w:val="28"/>
          <w:rtl/>
        </w:rPr>
        <w:t xml:space="preserve">وقطاع "البناء والأشغال العمومية" بنسبة </w:t>
      </w:r>
      <w:r w:rsidRPr="004B2DF7">
        <w:rPr>
          <w:rFonts w:asciiTheme="majorBidi" w:hAnsiTheme="majorBidi" w:cstheme="majorBidi"/>
          <w:sz w:val="28"/>
          <w:szCs w:val="28"/>
        </w:rPr>
        <w:t>1</w:t>
      </w:r>
      <w:r w:rsidR="000D6FD8">
        <w:rPr>
          <w:rFonts w:asciiTheme="majorBidi" w:hAnsiTheme="majorBidi" w:cstheme="majorBidi"/>
          <w:sz w:val="28"/>
          <w:szCs w:val="28"/>
        </w:rPr>
        <w:t>1</w:t>
      </w:r>
      <w:r w:rsidRPr="004B2DF7">
        <w:rPr>
          <w:rFonts w:asciiTheme="majorBidi" w:hAnsiTheme="majorBidi" w:cstheme="majorBidi"/>
          <w:sz w:val="28"/>
          <w:szCs w:val="28"/>
        </w:rPr>
        <w:t>%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141458" w:rsidRPr="00DD3F05" w:rsidRDefault="00141458" w:rsidP="00126F1D">
      <w:pPr>
        <w:bidi/>
        <w:spacing w:after="24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و</w:t>
      </w:r>
      <w:r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يشتغل</w:t>
      </w:r>
      <w:r w:rsidR="00DC44AD" w:rsidRPr="00DD3F0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ما يق</w:t>
      </w:r>
      <w:r w:rsidRP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</w:t>
      </w:r>
      <w:r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رب </w:t>
      </w:r>
      <w:r w:rsidR="000D6FD8" w:rsidRP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ثلثي</w:t>
      </w:r>
      <w:r w:rsidRP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="000D6FD8" w:rsidRP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</w:t>
      </w:r>
      <w:r w:rsidRP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نشيطين </w:t>
      </w:r>
      <w:r w:rsidR="000D6FD8" w:rsidRP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</w:t>
      </w:r>
      <w:r w:rsidRP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مشتغلين ب</w:t>
      </w:r>
      <w:r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الوسط القروي </w:t>
      </w:r>
      <w:r w:rsidR="00DC44AD" w:rsidRPr="00DD3F05">
        <w:rPr>
          <w:rFonts w:asciiTheme="majorBidi" w:eastAsia="Times New Roman" w:hAnsiTheme="majorBidi" w:cstheme="majorBidi"/>
          <w:sz w:val="28"/>
          <w:szCs w:val="28"/>
          <w:lang w:eastAsia="fr-FR"/>
        </w:rPr>
        <w:t>6</w:t>
      </w:r>
      <w:r w:rsidR="000D6FD8" w:rsidRPr="00DD3F05">
        <w:rPr>
          <w:rFonts w:asciiTheme="majorBidi" w:eastAsia="Times New Roman" w:hAnsiTheme="majorBidi" w:cstheme="majorBidi"/>
          <w:sz w:val="28"/>
          <w:szCs w:val="28"/>
          <w:lang w:eastAsia="fr-FR"/>
        </w:rPr>
        <w:t>5</w:t>
      </w:r>
      <w:r w:rsidR="00DC44AD" w:rsidRPr="00DD3F05">
        <w:rPr>
          <w:rFonts w:asciiTheme="majorBidi" w:eastAsia="Times New Roman" w:hAnsiTheme="majorBidi" w:cstheme="majorBidi"/>
          <w:sz w:val="28"/>
          <w:szCs w:val="28"/>
          <w:lang w:eastAsia="fr-FR"/>
        </w:rPr>
        <w:t>,1</w:t>
      </w:r>
      <w:r w:rsidRPr="00DD3F05">
        <w:rPr>
          <w:rFonts w:asciiTheme="majorBidi" w:eastAsia="Times New Roman" w:hAnsiTheme="majorBidi" w:cstheme="majorBidi"/>
          <w:sz w:val="28"/>
          <w:szCs w:val="28"/>
          <w:lang w:eastAsia="fr-FR"/>
        </w:rPr>
        <w:t>%)</w:t>
      </w:r>
      <w:r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) </w:t>
      </w:r>
      <w:r w:rsidRP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ب</w:t>
      </w:r>
      <w:r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قطاع </w:t>
      </w:r>
      <w:r w:rsidR="00D13C87"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"</w:t>
      </w:r>
      <w:r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الفلاحة والغاب</w:t>
      </w:r>
      <w:r w:rsidRP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ة</w:t>
      </w:r>
      <w:r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والصيد</w:t>
      </w:r>
      <w:r w:rsidR="00D13C87"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"</w:t>
      </w:r>
      <w:r w:rsidR="000D6FD8" w:rsidRP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.</w:t>
      </w:r>
      <w:r w:rsidRP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="00126F1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في حين،</w:t>
      </w:r>
      <w:r w:rsidR="000D6FD8" w:rsidRP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يشتغل </w:t>
      </w:r>
      <w:r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قرابة ثلثي</w:t>
      </w:r>
      <w:r w:rsidR="00DC44AD" w:rsidRPr="00DD3F0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النشيطين المشتغلين بالوسط الحضري (</w:t>
      </w:r>
      <w:r w:rsidRPr="00DD3F05">
        <w:rPr>
          <w:rFonts w:asciiTheme="majorBidi" w:eastAsia="Times New Roman" w:hAnsiTheme="majorBidi" w:cstheme="majorBidi"/>
          <w:sz w:val="28"/>
          <w:szCs w:val="28"/>
          <w:lang w:eastAsia="fr-FR"/>
        </w:rPr>
        <w:t>66,</w:t>
      </w:r>
      <w:r w:rsidR="00DC44AD" w:rsidRPr="00DD3F05">
        <w:rPr>
          <w:rFonts w:asciiTheme="majorBidi" w:eastAsia="Times New Roman" w:hAnsiTheme="majorBidi" w:cstheme="majorBidi"/>
          <w:sz w:val="28"/>
          <w:szCs w:val="28"/>
          <w:lang w:eastAsia="fr-FR"/>
        </w:rPr>
        <w:t>5</w:t>
      </w:r>
      <w:r w:rsidRPr="00DD3F05">
        <w:rPr>
          <w:rFonts w:asciiTheme="majorBidi" w:eastAsia="Times New Roman" w:hAnsiTheme="majorBidi" w:cstheme="majorBidi"/>
          <w:sz w:val="28"/>
          <w:szCs w:val="28"/>
          <w:lang w:eastAsia="fr-FR"/>
        </w:rPr>
        <w:t>%</w:t>
      </w:r>
      <w:r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)</w:t>
      </w:r>
      <w:r w:rsidRP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ب</w:t>
      </w:r>
      <w:r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قطاع </w:t>
      </w:r>
      <w:r w:rsidR="00D13C87"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"</w:t>
      </w:r>
      <w:r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الخدمات</w:t>
      </w:r>
      <w:r w:rsidR="00D13C87" w:rsidRPr="00DD3F0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"</w:t>
      </w:r>
      <w:r w:rsidRP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.</w:t>
      </w:r>
    </w:p>
    <w:p w:rsidR="00983B3A" w:rsidRPr="00C40DF5" w:rsidRDefault="00983B3A" w:rsidP="00B40036">
      <w:pPr>
        <w:bidi/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</w:pPr>
      <w:r w:rsidRPr="00DC44AD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 xml:space="preserve">باستثناء </w:t>
      </w:r>
      <w:r w:rsidRPr="00DC44AD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>"</w:t>
      </w: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>الفلاحة والغاب</w:t>
      </w:r>
      <w:r w:rsidR="00B40036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>ة</w:t>
      </w: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 والصيد"</w:t>
      </w: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>، ساهمت</w:t>
      </w:r>
      <w:r>
        <w:rPr>
          <w:rFonts w:asciiTheme="majorBidi" w:hAnsiTheme="majorBidi" w:cstheme="majorBidi"/>
          <w:b/>
          <w:bCs/>
          <w:color w:val="548DD4"/>
          <w:sz w:val="28"/>
          <w:szCs w:val="28"/>
          <w:lang w:bidi="ar-MA"/>
        </w:rPr>
        <w:t xml:space="preserve"> </w:t>
      </w: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 xml:space="preserve">جميع القطاعات </w:t>
      </w: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في </w:t>
      </w:r>
      <w:r w:rsidR="00DC44AD" w:rsidRPr="00DC44AD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>إحداث</w:t>
      </w:r>
      <w:r w:rsidR="00DC44AD" w:rsidRPr="00C40DF5">
        <w:rPr>
          <w:rFonts w:asciiTheme="majorBidi" w:hAnsiTheme="majorBidi" w:cstheme="majorBidi" w:hint="eastAsia"/>
          <w:b/>
          <w:bCs/>
          <w:color w:val="548DD4"/>
          <w:sz w:val="28"/>
          <w:szCs w:val="28"/>
          <w:rtl/>
          <w:lang w:bidi="ar-MA"/>
        </w:rPr>
        <w:t xml:space="preserve"> </w:t>
      </w:r>
      <w:r w:rsidR="00DC44AD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tzm-Arab-MA"/>
        </w:rPr>
        <w:t>مناصب</w:t>
      </w: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 الشغل</w:t>
      </w:r>
    </w:p>
    <w:p w:rsidR="00983B3A" w:rsidRPr="00AC2CA0" w:rsidRDefault="00983B3A" w:rsidP="008B3393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قطاع "الفلاحة والغابة والصيد"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8B339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66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نصب شغل على المستوى الوطني (فقد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ان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8B339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70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بالوسط القروي وإحدا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ث</w:t>
      </w:r>
      <w:r w:rsidR="008B339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4.000 </w:t>
      </w:r>
      <w:r w:rsidR="008B339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الوسط الحضري)، 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وهو مايمثل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انخفاض</w:t>
      </w:r>
      <w:r w:rsidR="00B43E8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بـ </w:t>
      </w:r>
      <w:r w:rsidR="008B339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من إجمالي الشغل بهذا القطاع.</w:t>
      </w:r>
    </w:p>
    <w:p w:rsidR="00983B3A" w:rsidRPr="00AC2CA0" w:rsidRDefault="008B3393" w:rsidP="00534928">
      <w:pPr>
        <w:autoSpaceDE w:val="0"/>
        <w:autoSpaceDN w:val="0"/>
        <w:bidi/>
        <w:adjustRightInd w:val="0"/>
        <w:spacing w:before="120" w:after="120" w:line="36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في حين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 w:rsidR="00DC44AD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"الخدمات"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103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 على الصعيد الوطني (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77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و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26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القروي)، مسجلاً ارتفاعا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بنسبة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في حجم</w:t>
      </w:r>
      <w:r w:rsid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الشغل بهذا القطاع.</w:t>
      </w:r>
    </w:p>
    <w:p w:rsidR="00983B3A" w:rsidRPr="00AC2CA0" w:rsidRDefault="00983B3A" w:rsidP="00FC6770">
      <w:pPr>
        <w:autoSpaceDE w:val="0"/>
        <w:autoSpaceDN w:val="0"/>
        <w:bidi/>
        <w:adjustRightInd w:val="0"/>
        <w:spacing w:before="120" w:after="120" w:line="36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DC44AD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</w:t>
      </w:r>
      <w:r w:rsidR="00961AE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الصناعة بما فيها الصناعة التقليدية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" </w:t>
      </w:r>
      <w:r w:rsidR="008B339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6.000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</w:t>
      </w:r>
      <w:r w:rsidR="003651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(+4%) </w:t>
      </w:r>
      <w:r w:rsidR="00534928" w:rsidRPr="007B423B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53492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8B339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34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.000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و</w:t>
      </w:r>
      <w:r w:rsidR="008B339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</w:t>
      </w:r>
    </w:p>
    <w:p w:rsidR="005639C8" w:rsidRDefault="00983B3A" w:rsidP="00534928">
      <w:pPr>
        <w:autoSpaceDE w:val="0"/>
        <w:autoSpaceDN w:val="0"/>
        <w:bidi/>
        <w:adjustRightInd w:val="0"/>
        <w:spacing w:before="120" w:after="120" w:line="36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8B339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كما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قطاع "البناء والأشغال العمومية"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30.000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</w:t>
      </w:r>
      <w:r w:rsidR="003651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(+3%)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8B339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6.000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بالوسط </w:t>
      </w:r>
      <w:r w:rsidR="00B43E8F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القروي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</w:t>
      </w:r>
      <w:r w:rsidR="00D722A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في بالوسط</w:t>
      </w:r>
      <w:r w:rsidR="00B43E8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B43E8F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الحضري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. </w:t>
      </w:r>
    </w:p>
    <w:p w:rsidR="008657D0" w:rsidRDefault="005639C8" w:rsidP="00534928">
      <w:pPr>
        <w:autoSpaceDE w:val="0"/>
        <w:autoSpaceDN w:val="0"/>
        <w:bidi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  <w:lang w:eastAsia="fr-FR" w:bidi="tzm-Arab-MA"/>
        </w:rPr>
      </w:pPr>
      <w:r w:rsidRPr="00CF32D3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مبيان </w:t>
      </w:r>
      <w:r w:rsidRPr="00CF32D3">
        <w:rPr>
          <w:rFonts w:asciiTheme="majorBidi" w:eastAsia="Times New Roman" w:hAnsiTheme="majorBidi" w:cstheme="majorBidi"/>
          <w:b/>
          <w:bCs/>
          <w:lang w:eastAsia="fr-FR"/>
        </w:rPr>
        <w:t>4</w:t>
      </w:r>
      <w:r w:rsidR="000D049A">
        <w:rPr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>.</w:t>
      </w:r>
      <w:r w:rsidRPr="00CF32D3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 صافي التغير في الشغل</w:t>
      </w:r>
      <w:r w:rsidRPr="00CF32D3">
        <w:rPr>
          <w:rFonts w:asciiTheme="majorBidi" w:eastAsia="Times New Roman" w:hAnsiTheme="majorBidi" w:cstheme="majorBidi" w:hint="cs"/>
          <w:b/>
          <w:bCs/>
          <w:rtl/>
          <w:lang w:eastAsia="fr-FR"/>
        </w:rPr>
        <w:t xml:space="preserve"> خلال الفصل الثاني</w:t>
      </w:r>
      <w:r w:rsidRPr="00CF32D3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 بين سنتي </w:t>
      </w:r>
      <w:r w:rsidR="006C2E53" w:rsidRPr="00CF32D3">
        <w:rPr>
          <w:rFonts w:asciiTheme="majorBidi" w:eastAsia="Times New Roman" w:hAnsiTheme="majorBidi" w:cstheme="majorBidi"/>
          <w:b/>
          <w:bCs/>
          <w:rtl/>
          <w:lang w:eastAsia="fr-FR"/>
        </w:rPr>
        <w:t>2022</w:t>
      </w:r>
      <w:r w:rsidRPr="00CF32D3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 و</w:t>
      </w:r>
      <w:r w:rsidR="006C2E53" w:rsidRPr="00CF32D3">
        <w:rPr>
          <w:rFonts w:asciiTheme="majorBidi" w:eastAsia="Times New Roman" w:hAnsiTheme="majorBidi" w:cstheme="majorBidi"/>
          <w:b/>
          <w:bCs/>
          <w:rtl/>
          <w:lang w:eastAsia="fr-FR"/>
        </w:rPr>
        <w:t>2023</w:t>
      </w:r>
      <w:r w:rsidRPr="00CF32D3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 حسب قطاعات النشاط الاقتصادي ووسط الإقامة</w:t>
      </w:r>
      <w:r w:rsidRPr="00CF32D3">
        <w:rPr>
          <w:rStyle w:val="Appelnotedebasdep"/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 xml:space="preserve"> </w:t>
      </w:r>
      <w:r w:rsidRPr="00CF32D3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eastAsia="fr-FR"/>
        </w:rPr>
        <w:t>(بالآلاف</w:t>
      </w:r>
      <w:r w:rsidRPr="00CF32D3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eastAsia="fr-FR" w:bidi="tzm-Arab-MA"/>
        </w:rPr>
        <w:t>)</w:t>
      </w:r>
      <w:r w:rsidR="00274980">
        <w:rPr>
          <w:rStyle w:val="Appelnotedebasdep"/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  <w:lang w:eastAsia="fr-FR" w:bidi="tzm-Arab-MA"/>
        </w:rPr>
        <w:footnoteReference w:id="1"/>
      </w:r>
      <w:r w:rsidR="00DD3F05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eastAsia="fr-FR" w:bidi="tzm-Arab-MA"/>
        </w:rPr>
        <w:t xml:space="preserve"> </w:t>
      </w:r>
    </w:p>
    <w:p w:rsidR="00534928" w:rsidRDefault="00534928" w:rsidP="00534928">
      <w:pPr>
        <w:autoSpaceDE w:val="0"/>
        <w:autoSpaceDN w:val="0"/>
        <w:bidi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 w:bidi="tzm-Arab-MA"/>
        </w:rPr>
      </w:pPr>
      <w:r w:rsidRPr="00534928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rtl/>
          <w:lang w:eastAsia="fr-FR"/>
        </w:rPr>
        <w:drawing>
          <wp:inline distT="0" distB="0" distL="0" distR="0">
            <wp:extent cx="5759355" cy="1746914"/>
            <wp:effectExtent l="0" t="0" r="0" b="0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3633" w:rsidRPr="00971740" w:rsidRDefault="00803633" w:rsidP="00B40036">
      <w:pPr>
        <w:pStyle w:val="Paragraphedeliste"/>
        <w:numPr>
          <w:ilvl w:val="0"/>
          <w:numId w:val="1"/>
        </w:numPr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</w:pPr>
      <w:r w:rsidRPr="00971740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lastRenderedPageBreak/>
        <w:t>البطالة والشغل الناقص</w:t>
      </w:r>
    </w:p>
    <w:p w:rsidR="00803633" w:rsidRPr="00F619F8" w:rsidRDefault="006B2C71" w:rsidP="006B2C71">
      <w:pPr>
        <w:bidi/>
        <w:jc w:val="both"/>
        <w:rPr>
          <w:rFonts w:asciiTheme="majorBidi" w:eastAsia="Book Antiqua" w:hAnsiTheme="majorBidi" w:cstheme="majorBidi"/>
          <w:b/>
          <w:bCs/>
          <w:color w:val="0070C0"/>
          <w:sz w:val="28"/>
          <w:szCs w:val="28"/>
          <w:rtl/>
        </w:rPr>
      </w:pPr>
      <w:r w:rsidRPr="006B2C71">
        <w:rPr>
          <w:rFonts w:asciiTheme="majorBidi" w:eastAsia="Book Antiqua" w:hAnsiTheme="majorBidi" w:cstheme="majorBidi" w:hint="cs"/>
          <w:b/>
          <w:bCs/>
          <w:color w:val="0070C0"/>
          <w:sz w:val="28"/>
          <w:szCs w:val="28"/>
          <w:rtl/>
        </w:rPr>
        <w:t>ارتفاع</w:t>
      </w:r>
      <w:r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803633" w:rsidRPr="00971740">
        <w:rPr>
          <w:rFonts w:asciiTheme="majorBidi" w:eastAsia="Book Antiqua" w:hAnsiTheme="majorBidi" w:cstheme="majorBidi"/>
          <w:b/>
          <w:bCs/>
          <w:color w:val="0070C0"/>
          <w:sz w:val="28"/>
          <w:szCs w:val="28"/>
          <w:rtl/>
        </w:rPr>
        <w:t>البطالة</w:t>
      </w:r>
    </w:p>
    <w:p w:rsidR="00803633" w:rsidRPr="00D76D5D" w:rsidRDefault="007B40B0" w:rsidP="00365133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ارتفع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حجم العاطلين </w:t>
      </w:r>
      <w:r w:rsidR="00D13C87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156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شخص</w:t>
      </w:r>
      <w:r w:rsidR="00D13C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مابين الفصل الثاني من سنة </w:t>
      </w:r>
      <w:r w:rsidR="006C2E5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2022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ونفس الفصل من سنة </w:t>
      </w:r>
      <w:r w:rsidR="006C2E5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2023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منتقلا بذلك من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1.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387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1.543.000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عاطل وهو ما يمثل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ارتفاعا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D13C87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D13C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وذلك نتيجة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ارتفاع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عدد العاطلين </w:t>
      </w:r>
      <w:r w:rsidR="00D13C87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2.000 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بالوسط الحضري و </w:t>
      </w:r>
      <w:r w:rsidR="00D13C87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64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803633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803633" w:rsidRDefault="00803633" w:rsidP="00365133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انتقل معدل البطالة</w:t>
      </w:r>
      <w:r w:rsidR="00D13C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3651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خلال نفس الفترة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من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D13C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EC383C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</w:t>
      </w:r>
      <w:r w:rsidR="00EC38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EC383C"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EC383C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وقد انتقل هذا المعدل من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D13C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+0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 بالوسط الحضري و من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4,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+1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 بالوسط القروي. </w:t>
      </w:r>
    </w:p>
    <w:p w:rsidR="005639C8" w:rsidRPr="00D76D5D" w:rsidRDefault="005639C8" w:rsidP="00F619F8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</w:pPr>
      <w:r w:rsidRPr="00632A3E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>مبيان5. تطور معدل البط</w:t>
      </w:r>
      <w:r w:rsidR="00F619F8" w:rsidRPr="00632A3E">
        <w:rPr>
          <w:rFonts w:asciiTheme="majorBidi" w:hAnsiTheme="majorBidi" w:cstheme="majorBidi" w:hint="cs"/>
          <w:b/>
          <w:bCs/>
          <w:color w:val="000000" w:themeColor="text1"/>
          <w:rtl/>
          <w:lang w:bidi="tzm-Arab-MA"/>
        </w:rPr>
        <w:t>ا</w:t>
      </w:r>
      <w:r w:rsidRPr="00632A3E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>لة خلال الفصل الثاني</w:t>
      </w:r>
      <w:r w:rsidR="00365133">
        <w:rPr>
          <w:rFonts w:asciiTheme="majorBidi" w:hAnsiTheme="majorBidi" w:cstheme="majorBidi" w:hint="cs"/>
          <w:b/>
          <w:bCs/>
          <w:color w:val="000000" w:themeColor="text1"/>
          <w:rtl/>
          <w:lang w:bidi="tzm-Arab-MA"/>
        </w:rPr>
        <w:t xml:space="preserve"> منذ سنة 2017</w:t>
      </w:r>
      <w:r w:rsidRPr="00632A3E">
        <w:rPr>
          <w:rFonts w:asciiTheme="majorBidi" w:hAnsiTheme="majorBidi" w:cstheme="majorBidi"/>
          <w:b/>
          <w:bCs/>
          <w:color w:val="000000" w:themeColor="text1"/>
          <w:lang w:bidi="ar-MA"/>
        </w:rPr>
        <w:t xml:space="preserve"> </w:t>
      </w:r>
      <w:r w:rsidRPr="00632A3E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>حسب وسط الإقامة (ب %)</w:t>
      </w:r>
    </w:p>
    <w:p w:rsidR="005639C8" w:rsidRPr="00983B3A" w:rsidRDefault="00632A3E" w:rsidP="005639C8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632A3E">
        <w:rPr>
          <w:rFonts w:asciiTheme="majorBidi" w:eastAsia="Times New Roman" w:hAnsiTheme="majorBidi" w:cs="Times New Roman"/>
          <w:noProof/>
          <w:sz w:val="28"/>
          <w:szCs w:val="28"/>
          <w:rtl/>
          <w:lang w:eastAsia="fr-FR"/>
        </w:rPr>
        <w:drawing>
          <wp:inline distT="0" distB="0" distL="0" distR="0">
            <wp:extent cx="5760720" cy="2297919"/>
            <wp:effectExtent l="0" t="0" r="0" b="0"/>
            <wp:docPr id="2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3633" w:rsidRPr="00971740" w:rsidRDefault="004B14D4" w:rsidP="00033F7A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="00D13C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لقد </w:t>
      </w:r>
      <w:r w:rsidR="007B40B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هم </w:t>
      </w:r>
      <w:r w:rsidR="006B2C7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ارتفاع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معدل البطالة جميع فئات السكان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حيث </w:t>
      </w:r>
      <w:r w:rsidR="007B40B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ارتفع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7B40B0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7B40B0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3651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نقطة </w:t>
      </w:r>
      <w:r w:rsidR="007B40B0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في صفوف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7B40B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لرجال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منتقلا من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,9% 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 </w:t>
      </w:r>
      <w:r w:rsidR="00D13C87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في صفوف النساء، منتقلا من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15,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7B40B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D13C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وسجل ه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ذ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 المعدل </w:t>
      </w:r>
      <w:r w:rsidR="00D13C87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كذلك </w:t>
      </w:r>
      <w:r w:rsidR="006B2C7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ارتفاعا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D13C87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لدى حاملي الشهادات منتقلا من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18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9,2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 </w:t>
      </w:r>
      <w:r w:rsidR="00D13C87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033F7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بالنسبة 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للأشخاص بدون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شهاد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ة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منتقلا من 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3,6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803633" w:rsidRPr="00971740" w:rsidRDefault="00CC0834" w:rsidP="006B2C71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كما 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هم </w:t>
      </w:r>
      <w:r w:rsidR="006B2C7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ارتفاع</w:t>
      </w:r>
      <w:r w:rsidR="006B2C71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معدل البطالة جميع الفئات العمرية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حيث</w:t>
      </w:r>
      <w:r w:rsidR="00FF420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سجل أ</w:t>
      </w:r>
      <w:r w:rsidR="00C22724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على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6B2C7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ارتفاع</w:t>
      </w:r>
      <w:r w:rsidR="006B2C71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D13C87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في صفوف</w:t>
      </w:r>
      <w:r w:rsidR="006B2C71" w:rsidRPr="006B2C71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6B2C7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الشباب</w:t>
      </w:r>
      <w:r w:rsidR="006B2C7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الذين تتراوح أعمارهم بين 15 و24 سنة</w:t>
      </w:r>
      <w:r w:rsidR="006B2C7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(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+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3,4</w:t>
      </w:r>
      <w:r w:rsidR="006B2C7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</w:t>
      </w:r>
      <w:r w:rsidR="006B2C7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 w:rsidR="006B2C7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6B2C7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منتقلا من </w:t>
      </w:r>
      <w:r w:rsidR="006B2C71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30,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6B2C71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6B2C7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6B2C71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6B2C71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="006B2C71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6B2C7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 وفي صفوف 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الأشخاص الذين تتراوح أعمارهم بين 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25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34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سنة</w:t>
      </w:r>
      <w:r w:rsidR="00FF420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(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+1</w:t>
      </w:r>
      <w:r w:rsidR="00FF4201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FF420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</w:t>
      </w:r>
      <w:r w:rsidR="00FF420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 w:rsidR="00FF420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منتقلا من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18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244DCD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6B2C71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6B2C7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</w:p>
    <w:p w:rsidR="00C22724" w:rsidRDefault="00C22724" w:rsidP="00971740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</w:pPr>
    </w:p>
    <w:p w:rsidR="00C22724" w:rsidRDefault="00C22724" w:rsidP="00C22724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</w:pPr>
    </w:p>
    <w:p w:rsidR="00C22724" w:rsidRDefault="00C22724" w:rsidP="00C22724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</w:pPr>
    </w:p>
    <w:p w:rsidR="00803633" w:rsidRPr="00D76D5D" w:rsidRDefault="00803633" w:rsidP="000D049A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MA"/>
        </w:rPr>
      </w:pPr>
      <w:r w:rsidRPr="006F005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lastRenderedPageBreak/>
        <w:t xml:space="preserve">مبيان6. تطور معدل البطالة ما بين الفصل الثاني لسنة </w:t>
      </w:r>
      <w:r w:rsidR="006C2E53" w:rsidRPr="006F005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>2022</w:t>
      </w:r>
      <w:r w:rsidRPr="006F005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 xml:space="preserve"> ونفس </w:t>
      </w:r>
      <w:r w:rsidR="000D049A">
        <w:rPr>
          <w:rFonts w:asciiTheme="majorBidi" w:hAnsiTheme="majorBidi" w:cstheme="majorBidi" w:hint="cs"/>
          <w:b/>
          <w:bCs/>
          <w:color w:val="000000" w:themeColor="text1"/>
          <w:rtl/>
          <w:lang w:bidi="tzm-Arab-MA"/>
        </w:rPr>
        <w:t>الفصل</w:t>
      </w:r>
      <w:r w:rsidR="00971740" w:rsidRPr="006F0058">
        <w:rPr>
          <w:rFonts w:asciiTheme="majorBidi" w:hAnsiTheme="majorBidi" w:cstheme="majorBidi"/>
          <w:b/>
          <w:bCs/>
          <w:color w:val="000000" w:themeColor="text1"/>
          <w:lang w:bidi="ar-MA"/>
        </w:rPr>
        <w:t xml:space="preserve"> </w:t>
      </w:r>
      <w:r w:rsidRPr="006F005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 xml:space="preserve">من سنة </w:t>
      </w:r>
      <w:r w:rsidR="006C2E53" w:rsidRPr="006F005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>2023</w:t>
      </w:r>
      <w:r w:rsidRPr="006F005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 xml:space="preserve"> لدى بعض فئات الساكنة  (ب %)</w:t>
      </w:r>
    </w:p>
    <w:p w:rsidR="00F619F8" w:rsidRPr="00D76D5D" w:rsidRDefault="00B40036" w:rsidP="00803633">
      <w:pPr>
        <w:jc w:val="center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bidi="tzm-Arab-MA"/>
        </w:rPr>
      </w:pPr>
      <w:r w:rsidRPr="00B40036">
        <w:rPr>
          <w:rFonts w:asciiTheme="majorBidi" w:hAnsiTheme="majorBidi" w:cstheme="majorBidi"/>
          <w:b/>
          <w:bCs/>
          <w:noProof/>
          <w:color w:val="548DD4" w:themeColor="text2" w:themeTint="99"/>
          <w:sz w:val="24"/>
          <w:szCs w:val="24"/>
          <w:lang w:eastAsia="fr-FR"/>
        </w:rPr>
        <w:drawing>
          <wp:inline distT="0" distB="0" distL="0" distR="0">
            <wp:extent cx="5760720" cy="1994142"/>
            <wp:effectExtent l="0" t="0" r="0" b="0"/>
            <wp:docPr id="12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03633" w:rsidRPr="006B2C71" w:rsidRDefault="006B2C71" w:rsidP="00803633">
      <w:pPr>
        <w:bidi/>
        <w:spacing w:after="0" w:line="240" w:lineRule="auto"/>
        <w:jc w:val="both"/>
        <w:rPr>
          <w:rFonts w:asciiTheme="majorBidi" w:eastAsia="Book Antiqua" w:hAnsiTheme="majorBidi" w:cstheme="majorBidi"/>
          <w:b/>
          <w:bCs/>
          <w:color w:val="0070C0"/>
          <w:sz w:val="28"/>
          <w:szCs w:val="28"/>
        </w:rPr>
      </w:pPr>
      <w:r w:rsidRPr="006B2C71">
        <w:rPr>
          <w:rFonts w:asciiTheme="majorBidi" w:eastAsia="Book Antiqua" w:hAnsiTheme="majorBidi" w:cstheme="majorBidi" w:hint="cs"/>
          <w:b/>
          <w:bCs/>
          <w:color w:val="0070C0"/>
          <w:sz w:val="28"/>
          <w:szCs w:val="28"/>
          <w:rtl/>
        </w:rPr>
        <w:t>ارتفاع</w:t>
      </w:r>
      <w:r w:rsidRPr="006B2C71">
        <w:rPr>
          <w:rFonts w:asciiTheme="majorBidi" w:eastAsia="Book Antiqua" w:hAnsiTheme="majorBidi" w:cstheme="majorBidi"/>
          <w:b/>
          <w:bCs/>
          <w:color w:val="0070C0"/>
          <w:sz w:val="28"/>
          <w:szCs w:val="28"/>
        </w:rPr>
        <w:t xml:space="preserve"> </w:t>
      </w:r>
      <w:r w:rsidR="00803633" w:rsidRPr="006B2C71">
        <w:rPr>
          <w:rFonts w:asciiTheme="majorBidi" w:eastAsia="Book Antiqua" w:hAnsiTheme="majorBidi" w:cstheme="majorBidi"/>
          <w:b/>
          <w:bCs/>
          <w:color w:val="0070C0"/>
          <w:sz w:val="28"/>
          <w:szCs w:val="28"/>
          <w:rtl/>
        </w:rPr>
        <w:t>الشغل الناقص</w:t>
      </w:r>
    </w:p>
    <w:p w:rsidR="00803633" w:rsidRPr="00D76D5D" w:rsidRDefault="00803633" w:rsidP="00803633">
      <w:pPr>
        <w:bidi/>
        <w:spacing w:after="0" w:line="240" w:lineRule="auto"/>
        <w:jc w:val="both"/>
        <w:rPr>
          <w:rFonts w:asciiTheme="majorBidi" w:eastAsia="Book Antiqua" w:hAnsiTheme="majorBidi" w:cstheme="majorBidi"/>
          <w:b/>
          <w:bCs/>
          <w:color w:val="0070C0"/>
          <w:sz w:val="24"/>
          <w:szCs w:val="24"/>
        </w:rPr>
      </w:pPr>
    </w:p>
    <w:p w:rsidR="00803633" w:rsidRPr="00D76D5D" w:rsidRDefault="00C53AA3" w:rsidP="006E1C3E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ارتفع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حجم النشيطين المشتغلين في حالة الشغل الناقص على الصعيد الوطني، 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خلال</w:t>
      </w:r>
      <w:r w:rsidR="00FF420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نفس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الفترة</w:t>
      </w:r>
      <w:r w:rsidR="00FF420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9.000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83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شخص، من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00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49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بالمدن ومن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39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43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.000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بالقرى. وهكذا، انتقل معدل الشغل الناقص من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 المستوى الوطني، ومن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 ومن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</w:t>
      </w:r>
      <w:r w:rsidR="00803633" w:rsidRPr="00D76D5D">
        <w:rPr>
          <w:rFonts w:asciiTheme="majorBidi" w:hAnsiTheme="majorBidi" w:cstheme="majorBidi"/>
          <w:sz w:val="24"/>
          <w:szCs w:val="24"/>
          <w:rtl/>
          <w:lang w:bidi="ar-MA"/>
        </w:rPr>
        <w:t xml:space="preserve">. </w:t>
      </w:r>
    </w:p>
    <w:p w:rsidR="00803633" w:rsidRDefault="00803633" w:rsidP="00033F7A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tzm-Arab-MA"/>
        </w:rPr>
      </w:pPr>
      <w:r w:rsidRPr="006F005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>مبيان7</w:t>
      </w:r>
      <w:r w:rsidR="00033F7A">
        <w:rPr>
          <w:rFonts w:asciiTheme="majorBidi" w:hAnsiTheme="majorBidi" w:cstheme="majorBidi"/>
          <w:b/>
          <w:bCs/>
          <w:color w:val="000000" w:themeColor="text1"/>
          <w:lang w:bidi="ar-MA"/>
        </w:rPr>
        <w:t>.</w:t>
      </w:r>
      <w:r w:rsidR="00F619F8" w:rsidRPr="006F0058">
        <w:rPr>
          <w:rFonts w:asciiTheme="majorBidi" w:hAnsiTheme="majorBidi" w:cstheme="majorBidi" w:hint="cs"/>
          <w:b/>
          <w:bCs/>
          <w:color w:val="000000" w:themeColor="text1"/>
          <w:rtl/>
          <w:lang w:bidi="tzm-Arab-MA"/>
        </w:rPr>
        <w:t xml:space="preserve"> </w:t>
      </w:r>
      <w:r w:rsidRPr="006F005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 xml:space="preserve">تطور معدل الشغل الناقص ما بين الفصل الثاني لسنة </w:t>
      </w:r>
      <w:r w:rsidR="006C2E53" w:rsidRPr="006F005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>2022</w:t>
      </w:r>
      <w:r w:rsidRPr="006F005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 xml:space="preserve"> ونفس الفترة من سنة </w:t>
      </w:r>
      <w:r w:rsidR="006C2E53" w:rsidRPr="006F005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>2023</w:t>
      </w:r>
      <w:r w:rsidRPr="006F005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 xml:space="preserve"> حسب وسط الإقامة (ب %)</w:t>
      </w:r>
    </w:p>
    <w:p w:rsidR="00F619F8" w:rsidRPr="00D76D5D" w:rsidRDefault="006F0058" w:rsidP="00F619F8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tzm-Arab-MA"/>
        </w:rPr>
      </w:pPr>
      <w:r w:rsidRPr="006F0058">
        <w:rPr>
          <w:rFonts w:asciiTheme="majorBidi" w:hAnsiTheme="majorBidi" w:cs="Times New Roman"/>
          <w:b/>
          <w:bCs/>
          <w:noProof/>
          <w:color w:val="000000" w:themeColor="text1"/>
          <w:rtl/>
          <w:lang w:eastAsia="fr-FR"/>
        </w:rPr>
        <w:drawing>
          <wp:inline distT="0" distB="0" distL="0" distR="0">
            <wp:extent cx="4694830" cy="2449774"/>
            <wp:effectExtent l="0" t="0" r="0" b="0"/>
            <wp:docPr id="13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619F8" w:rsidRDefault="00CC0834" w:rsidP="00365133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يمثل معدل الشغل الناقص لدى الرجال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</w:t>
      </w:r>
      <w:r w:rsidR="00C53AA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10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C53AA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365133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ضعف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معدل الشغل الناقص لدى النساء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</w:t>
      </w:r>
      <w:r w:rsidR="00C53AA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="00C53AA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و</w:t>
      </w:r>
      <w:r w:rsidR="00C53AA3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يبلغ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هذا المعدل</w:t>
      </w:r>
      <w:r w:rsidR="00C53AA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C53AA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لدى الرجال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 مقابل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7,</w:t>
      </w:r>
      <w:r w:rsidR="00C53AA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لدى النساء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بينما بالوسط القروي، </w:t>
      </w:r>
      <w:r w:rsidR="00365133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يقارب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المعدل المسجل لدى الرجال (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12,3%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</w:t>
      </w:r>
      <w:r w:rsid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6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مرات نظيره المسجل لدى النساء (</w:t>
      </w:r>
      <w:r w:rsidR="00C53AA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C53AA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</w:t>
      </w:r>
    </w:p>
    <w:p w:rsidR="00C22724" w:rsidRDefault="00C22724" w:rsidP="00C22724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</w:p>
    <w:p w:rsidR="006F0058" w:rsidRDefault="006F0058" w:rsidP="006F0058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</w:p>
    <w:p w:rsidR="00803633" w:rsidRPr="00803633" w:rsidRDefault="00803633" w:rsidP="00365133">
      <w:pPr>
        <w:pStyle w:val="Paragraphedeliste"/>
        <w:numPr>
          <w:ilvl w:val="0"/>
          <w:numId w:val="1"/>
        </w:numPr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803633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lastRenderedPageBreak/>
        <w:t xml:space="preserve">وضعية سوق الشغل على المستوى الجهوي </w:t>
      </w:r>
    </w:p>
    <w:p w:rsidR="00803633" w:rsidRPr="00803633" w:rsidRDefault="00803633" w:rsidP="001E4B86">
      <w:pPr>
        <w:autoSpaceDE w:val="0"/>
        <w:autoSpaceDN w:val="0"/>
        <w:bidi/>
        <w:adjustRightInd w:val="0"/>
        <w:spacing w:after="16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تضم خمس جهات </w:t>
      </w:r>
      <w:r w:rsidRPr="00803633">
        <w:rPr>
          <w:rFonts w:ascii="Book Antiqua" w:hAnsi="Book Antiqua" w:cs="Times New Roman"/>
          <w:sz w:val="24"/>
          <w:szCs w:val="24"/>
        </w:rPr>
        <w:t>7</w:t>
      </w:r>
      <w:r w:rsidR="001E4B86">
        <w:rPr>
          <w:rFonts w:ascii="Book Antiqua" w:hAnsi="Book Antiqua" w:cs="Times New Roman"/>
          <w:sz w:val="24"/>
          <w:szCs w:val="24"/>
        </w:rPr>
        <w:t>2</w:t>
      </w:r>
      <w:r w:rsidRPr="00803633">
        <w:rPr>
          <w:rFonts w:ascii="Book Antiqua" w:hAnsi="Book Antiqua" w:cs="Times New Roman"/>
          <w:sz w:val="24"/>
          <w:szCs w:val="24"/>
        </w:rPr>
        <w:t>,</w:t>
      </w:r>
      <w:r w:rsidR="001E4B86">
        <w:rPr>
          <w:rFonts w:ascii="Book Antiqua" w:hAnsi="Book Antiqua" w:cs="Times New Roman"/>
          <w:sz w:val="24"/>
          <w:szCs w:val="24"/>
        </w:rPr>
        <w:t>3</w:t>
      </w:r>
      <w:r w:rsidRPr="00803633">
        <w:rPr>
          <w:rFonts w:ascii="Book Antiqua" w:hAnsi="Book Antiqua" w:cs="Times New Roman"/>
          <w:sz w:val="24"/>
          <w:szCs w:val="24"/>
        </w:rPr>
        <w:t>%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مجموع السكان النشيطين البالغين من العمر 15 سنة فما فوق. تأتي جهة الدارالبيضاء-سطات في المرتبة الأولى بنسبة 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22,2</w:t>
      </w:r>
      <w:r w:rsidR="00244D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من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مجموع النشيطين، تليها الرباط-سلا-القنيطرة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13,</w:t>
      </w:r>
      <w:r w:rsidR="001E4B8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مراكش-آسفي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1E4B8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1E4B8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</w:t>
      </w:r>
      <w:r w:rsidR="00244D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طنجة-تطوان-الحسيمة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1E4B8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1,9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244D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وفاس-مكناس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11,</w:t>
      </w:r>
      <w:r w:rsidR="001E4B8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</w:t>
      </w:r>
    </w:p>
    <w:p w:rsidR="00803633" w:rsidRPr="00803633" w:rsidRDefault="00803633" w:rsidP="00365133">
      <w:pPr>
        <w:autoSpaceDE w:val="0"/>
        <w:autoSpaceDN w:val="0"/>
        <w:bidi/>
        <w:adjustRightInd w:val="0"/>
        <w:spacing w:after="16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سجلت </w:t>
      </w:r>
      <w:r w:rsidR="00DD3F05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خمس</w:t>
      </w:r>
      <w:r w:rsidR="00244DCD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جهات معدلات نشاط أعلى من المتوسط ​​الوطني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1E4B8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1E4B8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وهي طنجة-تطوان-الحسيمة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1E4B86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,2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الدار البيضاء-سطات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47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1E4B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1E4B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درعة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-</w:t>
      </w:r>
      <w:r w:rsidR="00D302A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تافيلالت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46,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D302A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1E4B86" w:rsidRPr="001E4B86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1E4B86"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الجهات الجنوبية</w:t>
      </w:r>
      <w:r w:rsidR="001E4B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="Book Antiqua" w:hAnsi="Book Antiqua" w:cs="Times New Roman"/>
          <w:sz w:val="24"/>
          <w:szCs w:val="24"/>
        </w:rPr>
        <w:t>(45,</w:t>
      </w:r>
      <w:r w:rsidR="001E4B86">
        <w:rPr>
          <w:rFonts w:ascii="Book Antiqua" w:hAnsi="Book Antiqua" w:cs="Times New Roman"/>
          <w:sz w:val="24"/>
          <w:szCs w:val="24"/>
        </w:rPr>
        <w:t>6</w:t>
      </w:r>
      <w:r w:rsidRPr="00803633">
        <w:rPr>
          <w:rFonts w:ascii="Book Antiqua" w:hAnsi="Book Antiqua" w:cs="Times New Roman"/>
          <w:sz w:val="24"/>
          <w:szCs w:val="24"/>
        </w:rPr>
        <w:t>%)</w:t>
      </w:r>
      <w:r w:rsidR="00B84E4B">
        <w:rPr>
          <w:rFonts w:ascii="Book Antiqua" w:hAnsi="Book Antiqua" w:cs="Times New Roman"/>
          <w:sz w:val="24"/>
          <w:szCs w:val="24"/>
        </w:rPr>
        <w:t xml:space="preserve"> </w:t>
      </w:r>
      <w:r w:rsidR="00D302AC">
        <w:rPr>
          <w:rFonts w:ascii="Book Antiqua" w:hAnsi="Book Antiqua" w:cs="Times New Roman" w:hint="cs"/>
          <w:sz w:val="24"/>
          <w:szCs w:val="24"/>
          <w:rtl/>
        </w:rPr>
        <w:t xml:space="preserve"> و</w:t>
      </w:r>
      <w:r w:rsidR="00D302AC" w:rsidRPr="00D302A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D302AC"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الرباط-سلا-القنيطرة</w:t>
      </w:r>
      <w:r w:rsidR="00D302AC">
        <w:rPr>
          <w:rFonts w:ascii="Book Antiqua" w:hAnsi="Book Antiqua" w:cs="Times New Roman" w:hint="cs"/>
          <w:sz w:val="24"/>
          <w:szCs w:val="24"/>
          <w:rtl/>
        </w:rPr>
        <w:t xml:space="preserve"> </w:t>
      </w:r>
      <w:r w:rsidR="00D302AC"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(%</w:t>
      </w:r>
      <w:r w:rsidR="00D302AC"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D302AC"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="00D302AC"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. بالمقابل سجلت أدنى المعدلات في جهات </w:t>
      </w:r>
      <w:r w:rsidRPr="008036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بني</w:t>
      </w:r>
      <w:r w:rsidRPr="008036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-</w:t>
      </w:r>
      <w:r w:rsidRPr="008036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ملال</w:t>
      </w:r>
      <w:r w:rsidRPr="008036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-</w:t>
      </w:r>
      <w:r w:rsidRPr="008036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خنيفرة</w:t>
      </w:r>
      <w:r w:rsidR="00D302AC"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(%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40</w:t>
      </w:r>
      <w:r w:rsidR="00D302AC"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D302AC"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D302A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C2272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DD3F05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سوس-ماسة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1,2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D302A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</w:t>
      </w:r>
      <w:r w:rsidR="00D302AC"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الجهة الشرقية </w:t>
      </w:r>
      <w:r w:rsidR="00D302AC"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1,2</w:t>
      </w:r>
      <w:r w:rsidR="00D302AC"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%)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.</w:t>
      </w:r>
    </w:p>
    <w:p w:rsidR="00803633" w:rsidRPr="00803633" w:rsidRDefault="00803633" w:rsidP="000D049A">
      <w:pPr>
        <w:bidi/>
        <w:spacing w:after="160" w:line="259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F005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مبيان</w:t>
      </w:r>
      <w:r w:rsidRPr="006F0058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8</w:t>
      </w:r>
      <w:r w:rsidR="000D049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tzm-Arab-MA"/>
        </w:rPr>
        <w:t>.</w:t>
      </w:r>
      <w:r w:rsidRPr="006F005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معدل النشاط حسب الجهة ووسط الإقامة في </w:t>
      </w:r>
      <w:r w:rsidRPr="006F0058">
        <w:rPr>
          <w:rFonts w:asciiTheme="majorBidi" w:eastAsia="Times New Roman" w:hAnsiTheme="majorBidi" w:cs="Times New Roman" w:hint="cs"/>
          <w:b/>
          <w:bCs/>
          <w:sz w:val="24"/>
          <w:szCs w:val="24"/>
          <w:rtl/>
        </w:rPr>
        <w:t>الفصل</w:t>
      </w:r>
      <w:r w:rsidR="00971740" w:rsidRPr="006F0058">
        <w:rPr>
          <w:rFonts w:asciiTheme="majorBidi" w:eastAsia="Times New Roman" w:hAnsiTheme="majorBidi" w:cs="Times New Roman"/>
          <w:b/>
          <w:bCs/>
          <w:sz w:val="24"/>
          <w:szCs w:val="24"/>
        </w:rPr>
        <w:t xml:space="preserve"> </w:t>
      </w:r>
      <w:r w:rsidRPr="006F0058">
        <w:rPr>
          <w:rFonts w:asciiTheme="majorBidi" w:eastAsia="Times New Roman" w:hAnsiTheme="majorBidi" w:cs="Times New Roman" w:hint="cs"/>
          <w:b/>
          <w:bCs/>
          <w:sz w:val="24"/>
          <w:szCs w:val="24"/>
          <w:rtl/>
        </w:rPr>
        <w:t>الثاني</w:t>
      </w:r>
      <w:r w:rsidR="00971740" w:rsidRPr="006F0058">
        <w:rPr>
          <w:rFonts w:asciiTheme="majorBidi" w:eastAsia="Times New Roman" w:hAnsiTheme="majorBidi" w:cs="Times New Roman"/>
          <w:b/>
          <w:bCs/>
          <w:sz w:val="24"/>
          <w:szCs w:val="24"/>
        </w:rPr>
        <w:t xml:space="preserve"> </w:t>
      </w:r>
      <w:r w:rsidRPr="006F0058">
        <w:rPr>
          <w:rFonts w:asciiTheme="majorBidi" w:eastAsia="Times New Roman" w:hAnsiTheme="majorBidi" w:cs="Times New Roman" w:hint="cs"/>
          <w:b/>
          <w:bCs/>
          <w:sz w:val="24"/>
          <w:szCs w:val="24"/>
          <w:rtl/>
        </w:rPr>
        <w:t>لسنة</w:t>
      </w:r>
      <w:r w:rsidRPr="006F0058">
        <w:rPr>
          <w:rFonts w:asciiTheme="majorBidi" w:eastAsia="Times New Roman" w:hAnsiTheme="majorBidi" w:cs="Times New Roman"/>
          <w:b/>
          <w:bCs/>
          <w:sz w:val="24"/>
          <w:szCs w:val="24"/>
        </w:rPr>
        <w:t xml:space="preserve"> (%) </w:t>
      </w:r>
      <w:r w:rsidR="006C2E53" w:rsidRPr="006F0058">
        <w:rPr>
          <w:rFonts w:asciiTheme="majorBidi" w:eastAsia="Times New Roman" w:hAnsiTheme="majorBidi" w:cs="Times New Roman"/>
          <w:b/>
          <w:bCs/>
          <w:sz w:val="24"/>
          <w:szCs w:val="24"/>
        </w:rPr>
        <w:t>2023</w:t>
      </w:r>
      <w:r w:rsidRPr="00803633">
        <w:rPr>
          <w:rFonts w:asciiTheme="majorBidi" w:eastAsia="Times New Roman" w:hAnsiTheme="majorBidi" w:cs="Times New Roman"/>
          <w:b/>
          <w:bCs/>
          <w:sz w:val="24"/>
          <w:szCs w:val="24"/>
        </w:rPr>
        <w:t xml:space="preserve"> </w:t>
      </w:r>
    </w:p>
    <w:p w:rsidR="00803633" w:rsidRPr="00803633" w:rsidRDefault="006F0058" w:rsidP="00803633">
      <w:pPr>
        <w:bidi/>
        <w:spacing w:after="160" w:line="259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F0058">
        <w:rPr>
          <w:rFonts w:asciiTheme="majorBidi" w:eastAsia="Times New Roman" w:hAnsiTheme="majorBidi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5181600" cy="2743200"/>
            <wp:effectExtent l="0" t="0" r="0" b="0"/>
            <wp:docPr id="15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3633" w:rsidRPr="00803633" w:rsidRDefault="00803633" w:rsidP="00D302AC">
      <w:pPr>
        <w:autoSpaceDE w:val="0"/>
        <w:autoSpaceDN w:val="0"/>
        <w:bidi/>
        <w:adjustRightInd w:val="0"/>
        <w:spacing w:after="16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 جهة أخرى، تضم خمس جهات</w:t>
      </w:r>
      <w:r w:rsid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قرابة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سبعة عاطلين من بين عشرة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(%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69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="00244DCD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على المستوى الوطني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؛ تأتي جهة الدار البيضاء-سطات في المرتبة الأولى بنسبة 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25,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تليها الرباط-سلا-القنيطرة بنسبة 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12,8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وفاس-مكناس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بنسبة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12,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% </w:t>
      </w:r>
      <w:r w:rsidR="00C2272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والجهة الشرقية بنسبة 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10,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ثم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طنجة-تطوان-الحسيمة بنسبة %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803633" w:rsidRDefault="00803633" w:rsidP="00180D82">
      <w:pPr>
        <w:autoSpaceDE w:val="0"/>
        <w:autoSpaceDN w:val="0"/>
        <w:bidi/>
        <w:adjustRightInd w:val="0"/>
        <w:spacing w:after="16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وسجلت أعلى معدلات البطالة </w:t>
      </w:r>
      <w:r w:rsidR="00D302A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الجهات الجنوبية</w:t>
      </w:r>
      <w:r w:rsidR="00244D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والجهة الشرقية (%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D302A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وبحدة أقل، تتجاوز جهت</w:t>
      </w:r>
      <w:r w:rsidR="00244D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</w:t>
      </w:r>
      <w:r w:rsidR="00244D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المعدل الوطني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475FF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475FF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يتعلق الأمربجهة الدار البيضاء-سطات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475FF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475FF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وفاس- مكناس</w:t>
      </w:r>
      <w:r w:rsidR="00244D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475FF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475FF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 بالمقابل، سجلت جهات مراكش-آسفي وطنجة-تطوان-الحسيمة</w:t>
      </w:r>
      <w:r w:rsidR="00475FFC" w:rsidRPr="00475FF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180D8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475FF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درعة</w:t>
      </w:r>
      <w:r w:rsidR="00475FFC"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-</w:t>
      </w:r>
      <w:r w:rsidR="00475FF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تافيلالت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أدنى المعدلات بنسب 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6,</w:t>
      </w:r>
      <w:r w:rsidR="00180D8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 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8,</w:t>
      </w:r>
      <w:r w:rsidR="00180D8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و%</w:t>
      </w:r>
      <w:r w:rsidR="00180D8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10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180D82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 التوالي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</w:p>
    <w:p w:rsidR="00C22724" w:rsidRDefault="00C22724" w:rsidP="00CC0834">
      <w:pPr>
        <w:bidi/>
        <w:spacing w:after="160" w:line="259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bidi="tzm-Arab-MA"/>
        </w:rPr>
      </w:pPr>
    </w:p>
    <w:p w:rsidR="00803633" w:rsidRPr="00803633" w:rsidRDefault="00803633" w:rsidP="000D049A">
      <w:pPr>
        <w:bidi/>
        <w:spacing w:after="160" w:line="259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F005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lastRenderedPageBreak/>
        <w:t>مبيان</w:t>
      </w:r>
      <w:r w:rsidRPr="006F0058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9</w:t>
      </w:r>
      <w:r w:rsidR="000D049A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tzm-Arab-MA"/>
        </w:rPr>
        <w:t>.</w:t>
      </w:r>
      <w:r w:rsidRPr="006F005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معدل البطالة حسب الجه</w:t>
      </w:r>
      <w:r w:rsidRPr="006F0058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tzm-Arab-MA"/>
        </w:rPr>
        <w:t>ات</w:t>
      </w:r>
      <w:r w:rsidRPr="006F005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ووسط الإقامة </w:t>
      </w:r>
      <w:r w:rsidR="00CC0834" w:rsidRPr="006F0058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tzm-Arab-MA"/>
        </w:rPr>
        <w:t>خلال</w:t>
      </w:r>
      <w:r w:rsidRPr="006F005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Pr="006F0058">
        <w:rPr>
          <w:rFonts w:asciiTheme="majorBidi" w:eastAsia="Times New Roman" w:hAnsiTheme="majorBidi" w:cs="Times New Roman" w:hint="cs"/>
          <w:b/>
          <w:bCs/>
          <w:sz w:val="24"/>
          <w:szCs w:val="24"/>
          <w:rtl/>
        </w:rPr>
        <w:t>الفصل</w:t>
      </w:r>
      <w:r w:rsidR="00971740" w:rsidRPr="006F0058">
        <w:rPr>
          <w:rFonts w:asciiTheme="majorBidi" w:eastAsia="Times New Roman" w:hAnsiTheme="majorBidi" w:cs="Times New Roman"/>
          <w:b/>
          <w:bCs/>
          <w:sz w:val="24"/>
          <w:szCs w:val="24"/>
        </w:rPr>
        <w:t xml:space="preserve"> </w:t>
      </w:r>
      <w:r w:rsidRPr="006F0058">
        <w:rPr>
          <w:rFonts w:asciiTheme="majorBidi" w:eastAsia="Times New Roman" w:hAnsiTheme="majorBidi" w:cs="Times New Roman" w:hint="cs"/>
          <w:b/>
          <w:bCs/>
          <w:sz w:val="24"/>
          <w:szCs w:val="24"/>
          <w:rtl/>
        </w:rPr>
        <w:t>الثاني</w:t>
      </w:r>
      <w:r w:rsidR="00971740" w:rsidRPr="006F0058">
        <w:rPr>
          <w:rFonts w:asciiTheme="majorBidi" w:eastAsia="Times New Roman" w:hAnsiTheme="majorBidi" w:cs="Times New Roman"/>
          <w:b/>
          <w:bCs/>
          <w:sz w:val="24"/>
          <w:szCs w:val="24"/>
        </w:rPr>
        <w:t xml:space="preserve"> </w:t>
      </w:r>
      <w:r w:rsidRPr="006F0058">
        <w:rPr>
          <w:rFonts w:asciiTheme="majorBidi" w:eastAsia="Times New Roman" w:hAnsiTheme="majorBidi" w:cs="Times New Roman" w:hint="cs"/>
          <w:b/>
          <w:bCs/>
          <w:sz w:val="24"/>
          <w:szCs w:val="24"/>
          <w:rtl/>
        </w:rPr>
        <w:t>لسنة</w:t>
      </w:r>
      <w:r w:rsidRPr="006F0058">
        <w:rPr>
          <w:rFonts w:asciiTheme="majorBidi" w:eastAsia="Times New Roman" w:hAnsiTheme="majorBidi" w:cs="Times New Roman"/>
          <w:b/>
          <w:bCs/>
          <w:sz w:val="24"/>
          <w:szCs w:val="24"/>
        </w:rPr>
        <w:t xml:space="preserve"> (%) </w:t>
      </w:r>
      <w:r w:rsidR="006C2E53" w:rsidRPr="006F0058">
        <w:rPr>
          <w:rFonts w:asciiTheme="majorBidi" w:eastAsia="Times New Roman" w:hAnsiTheme="majorBidi" w:cs="Times New Roman"/>
          <w:b/>
          <w:bCs/>
          <w:sz w:val="24"/>
          <w:szCs w:val="24"/>
        </w:rPr>
        <w:t>2023</w:t>
      </w:r>
      <w:r w:rsidR="00971740">
        <w:rPr>
          <w:rFonts w:asciiTheme="majorBidi" w:eastAsia="Times New Roman" w:hAnsiTheme="majorBidi" w:cs="Times New Roman"/>
          <w:b/>
          <w:bCs/>
          <w:sz w:val="24"/>
          <w:szCs w:val="24"/>
        </w:rPr>
        <w:t xml:space="preserve"> </w:t>
      </w:r>
    </w:p>
    <w:p w:rsidR="00803633" w:rsidRPr="00803633" w:rsidRDefault="006F0058" w:rsidP="00803633">
      <w:pPr>
        <w:bidi/>
        <w:spacing w:after="160" w:line="259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F0058">
        <w:rPr>
          <w:rFonts w:asciiTheme="majorBidi" w:eastAsia="Times New Roman" w:hAnsiTheme="majorBidi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4742597" cy="2743200"/>
            <wp:effectExtent l="0" t="0" r="853" b="0"/>
            <wp:docPr id="14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03633" w:rsidRPr="00803633" w:rsidRDefault="00803633" w:rsidP="00803633">
      <w:pPr>
        <w:bidi/>
        <w:spacing w:before="240" w:after="160"/>
        <w:jc w:val="center"/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</w:rPr>
      </w:pPr>
    </w:p>
    <w:p w:rsidR="00803633" w:rsidRPr="00803633" w:rsidRDefault="00803633" w:rsidP="00803633">
      <w:pPr>
        <w:bidi/>
        <w:spacing w:before="240" w:after="160"/>
        <w:ind w:left="1080"/>
        <w:contextualSpacing/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803633" w:rsidRPr="00803633" w:rsidRDefault="00803633" w:rsidP="00803633">
      <w:pPr>
        <w:bidi/>
        <w:spacing w:before="240" w:after="160"/>
        <w:ind w:left="1080"/>
        <w:contextualSpacing/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803633" w:rsidRPr="00803633" w:rsidRDefault="00803633" w:rsidP="00803633">
      <w:pPr>
        <w:bidi/>
        <w:spacing w:before="240" w:after="160"/>
        <w:ind w:left="1080"/>
        <w:contextualSpacing/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803633" w:rsidRPr="00803633" w:rsidRDefault="00803633" w:rsidP="0080363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</w:pPr>
    </w:p>
    <w:p w:rsidR="00803633" w:rsidRPr="00803633" w:rsidRDefault="00803633" w:rsidP="0080363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lang w:bidi="ar-MA"/>
        </w:rPr>
      </w:pPr>
    </w:p>
    <w:p w:rsidR="008B16A0" w:rsidRDefault="008B16A0">
      <w:r>
        <w:br w:type="page"/>
      </w:r>
    </w:p>
    <w:p w:rsidR="00CF32D3" w:rsidRDefault="00CF32D3" w:rsidP="00CF32D3">
      <w:pPr>
        <w:bidi/>
        <w:jc w:val="center"/>
        <w:rPr>
          <w:rtl/>
        </w:rPr>
      </w:pPr>
      <w:r w:rsidRPr="001A6A7A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 xml:space="preserve">الجدول 1: المؤشـرات </w:t>
      </w:r>
      <w:r w:rsidRPr="001A6A7A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 xml:space="preserve">الفصلية </w:t>
      </w:r>
      <w:r w:rsidRPr="001A6A7A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>للنشـاط والشغل والبطالـة حسـب وسـط الإقامـة</w:t>
      </w:r>
    </w:p>
    <w:tbl>
      <w:tblPr>
        <w:tblW w:w="959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156"/>
        <w:gridCol w:w="1156"/>
        <w:gridCol w:w="1132"/>
        <w:gridCol w:w="1155"/>
        <w:gridCol w:w="1155"/>
        <w:gridCol w:w="1155"/>
        <w:gridCol w:w="2688"/>
      </w:tblGrid>
      <w:tr w:rsidR="00CF32D3" w:rsidRPr="008B16A0" w:rsidTr="00126F1D">
        <w:trPr>
          <w:trHeight w:val="229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الفصل الثاني</w:t>
            </w:r>
            <w:r>
              <w:rPr>
                <w:rFonts w:ascii="Garamond" w:eastAsia="Times New Roman" w:hAnsi="Garamond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2023</w:t>
            </w:r>
            <w:r w:rsidRPr="008B16A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الفصل الثاني</w:t>
            </w:r>
            <w:r>
              <w:rPr>
                <w:rFonts w:ascii="Garamond" w:eastAsia="Times New Roman" w:hAnsi="Garamond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2022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المـؤشـــــرات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المجموع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قروي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حضري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المجموع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قروي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حضري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3" w:rsidRPr="008B16A0" w:rsidRDefault="00CF32D3" w:rsidP="0012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126F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126F1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32D3" w:rsidRPr="008B16A0" w:rsidTr="00126F1D">
        <w:trPr>
          <w:trHeight w:val="567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6E1C3E" w:rsidRDefault="00CF32D3" w:rsidP="00033F7A">
            <w:pPr>
              <w:spacing w:after="0" w:line="240" w:lineRule="auto"/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6E1C3E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12 482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6E1C3E" w:rsidRDefault="00CF32D3" w:rsidP="00033F7A">
            <w:pPr>
              <w:spacing w:after="0" w:line="240" w:lineRule="auto"/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6E1C3E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4 624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6E1C3E" w:rsidRDefault="00CF32D3" w:rsidP="00033F7A">
            <w:pPr>
              <w:spacing w:after="0" w:line="240" w:lineRule="auto"/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6E1C3E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7 858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033F7A">
            <w:pPr>
              <w:spacing w:after="0" w:line="240" w:lineRule="auto"/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12 411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033F7A">
            <w:pPr>
              <w:spacing w:after="0" w:line="240" w:lineRule="auto"/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4 766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033F7A">
            <w:pPr>
              <w:spacing w:after="0" w:line="240" w:lineRule="auto"/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7 646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السكـان النشيطـون (بالآلاف)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23,2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23,4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23,9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25,1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23,1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نسبـة الإنـاث ضمـن السكـان النشيطيـن  (%)</w:t>
            </w:r>
          </w:p>
        </w:tc>
      </w:tr>
      <w:tr w:rsidR="00CF32D3" w:rsidRPr="008B16A0" w:rsidTr="00126F1D">
        <w:trPr>
          <w:trHeight w:val="38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44,8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42,6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45,2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50,8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42,3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معـدل النشـاط (%)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69,8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67,3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69,9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75,0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67,1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23,0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19,3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21,3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25,9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19,0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22,9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22,6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27,1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19,6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 24 – 15سنـة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60,9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61,2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62,5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60,6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 34 – 25سنـة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59,7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57,6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60,6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66,6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57,9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 44 – 35سنـة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35,9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41,6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53,4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35,8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 45سنـة فأكثـر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42,7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43,9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54,0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35,2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بـدون شهـادة</w:t>
            </w:r>
          </w:p>
        </w:tc>
      </w:tr>
      <w:tr w:rsidR="00CF32D3" w:rsidRPr="008B16A0" w:rsidTr="00126F1D">
        <w:trPr>
          <w:trHeight w:val="38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46,8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44,1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47,6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46,5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47,0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حاصـل علـى شهـادة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1F497D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1F497D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1F497D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126F1D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Calibri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126F1D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Calibri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6E1C3E" w:rsidRDefault="00CF32D3" w:rsidP="00033F7A">
            <w:pPr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6E1C3E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10 939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6E1C3E" w:rsidRDefault="00CF32D3" w:rsidP="00033F7A">
            <w:pPr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6E1C3E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4 360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6E1C3E" w:rsidRDefault="00CF32D3" w:rsidP="00033F7A">
            <w:pPr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6E1C3E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6 579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033F7A">
            <w:pPr>
              <w:spacing w:after="0" w:line="240" w:lineRule="auto"/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11 025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033F7A">
            <w:pPr>
              <w:spacing w:after="0" w:line="240" w:lineRule="auto"/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4 567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033F7A">
            <w:pPr>
              <w:spacing w:after="0" w:line="240" w:lineRule="auto"/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6 458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السكـان النشيطـون المشتغلـون (بالآلاف)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39,3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46,4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35,7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48,7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35,7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معدل الشغل</w:t>
            </w:r>
            <w:r w:rsidR="00033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033F7A"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(%)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62,2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58,0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62,9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71,6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58,2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17,0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18,1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25,1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14,6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32D3" w:rsidRPr="008B16A0" w:rsidTr="00126F1D">
        <w:trPr>
          <w:trHeight w:val="38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65,1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4,4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30,8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68,1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4,4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الفلاحة والغابة والصيد</w:t>
            </w:r>
          </w:p>
        </w:tc>
      </w:tr>
      <w:tr w:rsidR="00CF32D3" w:rsidRPr="008B16A0" w:rsidTr="00126F1D">
        <w:trPr>
          <w:trHeight w:val="38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11,7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16,8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961AEC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الصناعة بما فيها الصناعة التقليدية</w:t>
            </w:r>
            <w:r w:rsidR="00CF32D3"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</w:p>
        </w:tc>
      </w:tr>
      <w:tr w:rsidR="00CF32D3" w:rsidRPr="008B16A0" w:rsidTr="00126F1D">
        <w:trPr>
          <w:trHeight w:val="38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10,7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12,2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البناء والأشغال العمومية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48,1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66,5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46,8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66,5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الخدمات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0,0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أنشطة مبهمة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87,7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97,6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86,0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69,7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97,5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نسبة الشغل المؤدى عنه ضمـن الشغـل الكلي، منها :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64,9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72,6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60,4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68,1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.</w:t>
            </w:r>
            <w:r w:rsidRPr="008B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العمل المستأجر</w:t>
            </w:r>
          </w:p>
        </w:tc>
      </w:tr>
      <w:tr w:rsidR="00CF32D3" w:rsidRPr="008B16A0" w:rsidTr="00126F1D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35,1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50,7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27,4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39,6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55,0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center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31,9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.</w:t>
            </w:r>
            <w:r w:rsidRPr="008B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الشغل الذاتي</w:t>
            </w:r>
          </w:p>
        </w:tc>
      </w:tr>
      <w:tr w:rsidR="00CF32D3" w:rsidRPr="008B16A0" w:rsidTr="00126F1D">
        <w:trPr>
          <w:trHeight w:val="481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6E1C3E" w:rsidRDefault="00CF32D3" w:rsidP="00033F7A">
            <w:pPr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6E1C3E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983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6E1C3E" w:rsidRDefault="00CF32D3" w:rsidP="00033F7A">
            <w:pPr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6E1C3E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434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6E1C3E" w:rsidRDefault="00CF32D3" w:rsidP="00033F7A">
            <w:pPr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6E1C3E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549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033F7A">
            <w:pPr>
              <w:spacing w:after="0" w:line="240" w:lineRule="auto"/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939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033F7A">
            <w:pPr>
              <w:spacing w:after="0" w:line="240" w:lineRule="auto"/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439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033F7A">
            <w:pPr>
              <w:spacing w:after="0" w:line="240" w:lineRule="auto"/>
              <w:ind w:firstLineChars="100" w:firstLine="241"/>
              <w:contextualSpacing/>
              <w:jc w:val="right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  السكان النشيطون المشتغلون في حالة شغل ناقص (بالآلاف)</w:t>
            </w:r>
          </w:p>
        </w:tc>
      </w:tr>
      <w:tr w:rsidR="00CF32D3" w:rsidRPr="008B16A0" w:rsidTr="00033F7A">
        <w:trPr>
          <w:trHeight w:val="38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8,4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9,6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7,7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  معدل الشغل الناقص (%) </w:t>
            </w:r>
          </w:p>
        </w:tc>
      </w:tr>
      <w:tr w:rsidR="00CF32D3" w:rsidRPr="008B16A0" w:rsidTr="00033F7A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32D3" w:rsidRPr="008B16A0" w:rsidTr="00033F7A">
        <w:trPr>
          <w:trHeight w:val="45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3,6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3,1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الشغل الناقص المرتبط بساعات العمل</w:t>
            </w:r>
          </w:p>
        </w:tc>
      </w:tr>
      <w:tr w:rsidR="00CF32D3" w:rsidRPr="008B16A0" w:rsidTr="00033F7A">
        <w:trPr>
          <w:trHeight w:val="406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color w:val="010205"/>
              </w:rPr>
              <w:t>4,7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color w:val="010205"/>
              </w:rPr>
              <w:t>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10205"/>
                <w:sz w:val="24"/>
                <w:szCs w:val="24"/>
              </w:rPr>
            </w:pPr>
            <w:r>
              <w:rPr>
                <w:rFonts w:ascii="Garamond" w:hAnsi="Garamond" w:cs="Calibri"/>
                <w:color w:val="010205"/>
              </w:rPr>
              <w:t>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5,3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4,6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الشغل الناقص المرتبط بالدخل غير الكافي أو عدم ملاءمة الشغل مع التكوين </w:t>
            </w:r>
          </w:p>
        </w:tc>
      </w:tr>
    </w:tbl>
    <w:p w:rsidR="00CF32D3" w:rsidRDefault="00CF32D3" w:rsidP="00CF32D3">
      <w:pPr>
        <w:jc w:val="center"/>
      </w:pPr>
    </w:p>
    <w:p w:rsidR="00CF32D3" w:rsidRDefault="00CF32D3" w:rsidP="00CF32D3">
      <w:pPr>
        <w:jc w:val="center"/>
        <w:rPr>
          <w:rtl/>
        </w:rPr>
      </w:pPr>
    </w:p>
    <w:p w:rsidR="00CF32D3" w:rsidRDefault="00CF32D3" w:rsidP="00CF32D3">
      <w:pPr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</w:pP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 xml:space="preserve">الجدول 1: المؤشـرات 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 xml:space="preserve">الفصلية 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>للنشـاط والشغل والبطالـة حسـب وسـط الإقامـة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 xml:space="preserve"> (تتمة)</w:t>
      </w:r>
    </w:p>
    <w:tbl>
      <w:tblPr>
        <w:tblW w:w="9138" w:type="dxa"/>
        <w:jc w:val="center"/>
        <w:tblCellMar>
          <w:left w:w="70" w:type="dxa"/>
          <w:right w:w="70" w:type="dxa"/>
        </w:tblCellMar>
        <w:tblLook w:val="04A0"/>
      </w:tblPr>
      <w:tblGrid>
        <w:gridCol w:w="1008"/>
        <w:gridCol w:w="831"/>
        <w:gridCol w:w="971"/>
        <w:gridCol w:w="1003"/>
        <w:gridCol w:w="827"/>
        <w:gridCol w:w="991"/>
        <w:gridCol w:w="3507"/>
      </w:tblGrid>
      <w:tr w:rsidR="00CF32D3" w:rsidRPr="008B16A0" w:rsidTr="00126F1D">
        <w:trPr>
          <w:trHeight w:val="303"/>
          <w:jc w:val="center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 xml:space="preserve">الفصل  الثاني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2023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 xml:space="preserve"> الفصل الثاني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2022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المـؤشـــــرات</w:t>
            </w:r>
          </w:p>
        </w:tc>
      </w:tr>
      <w:tr w:rsidR="00CF32D3" w:rsidRPr="008B16A0" w:rsidTr="00126F1D">
        <w:trPr>
          <w:trHeight w:val="3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D3" w:rsidRPr="008B16A0" w:rsidRDefault="00CF32D3" w:rsidP="0012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CF32D3" w:rsidRPr="008B16A0" w:rsidTr="00126F1D">
        <w:trPr>
          <w:trHeight w:val="446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6E1C3E" w:rsidRDefault="00CF32D3" w:rsidP="006E1C3E">
            <w:pPr>
              <w:spacing w:after="0" w:line="240" w:lineRule="auto"/>
              <w:ind w:firstLineChars="100" w:firstLine="241"/>
              <w:contextualSpacing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6E1C3E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1 543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6E1C3E" w:rsidRDefault="00CF32D3" w:rsidP="006E1C3E">
            <w:pPr>
              <w:spacing w:after="0" w:line="240" w:lineRule="auto"/>
              <w:ind w:firstLineChars="100" w:firstLine="241"/>
              <w:contextualSpacing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6E1C3E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263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6E1C3E" w:rsidRDefault="00CF32D3" w:rsidP="006E1C3E">
            <w:pPr>
              <w:spacing w:after="0" w:line="240" w:lineRule="auto"/>
              <w:ind w:firstLineChars="100" w:firstLine="241"/>
              <w:contextualSpacing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6E1C3E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1 280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6E1C3E" w:rsidRDefault="00CF32D3" w:rsidP="006E1C3E">
            <w:pPr>
              <w:spacing w:after="0" w:line="240" w:lineRule="auto"/>
              <w:ind w:firstLineChars="100" w:firstLine="241"/>
              <w:contextualSpacing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6E1C3E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1 387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6E1C3E" w:rsidRDefault="00CF32D3" w:rsidP="006E1C3E">
            <w:pPr>
              <w:spacing w:after="0" w:line="240" w:lineRule="auto"/>
              <w:ind w:firstLineChars="100" w:firstLine="241"/>
              <w:contextualSpacing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6E1C3E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199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6E1C3E" w:rsidRDefault="00CF32D3" w:rsidP="006E1C3E">
            <w:pPr>
              <w:spacing w:after="0" w:line="240" w:lineRule="auto"/>
              <w:ind w:firstLineChars="100" w:firstLine="241"/>
              <w:contextualSpacing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6E1C3E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1 188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السكـان النشيطـون العاطلـون (بالآلاف)</w:t>
            </w:r>
          </w:p>
        </w:tc>
      </w:tr>
      <w:tr w:rsidR="00CF32D3" w:rsidRPr="008B16A0" w:rsidTr="00126F1D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31,9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17,6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34,9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32,3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34,6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>نسبة الإنـاث ضمـن السكان النشيطين العاطلين (%)</w:t>
            </w:r>
          </w:p>
        </w:tc>
      </w:tr>
      <w:tr w:rsidR="00CF32D3" w:rsidRPr="008B16A0" w:rsidTr="00126F1D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12,4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5,7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16,3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15,5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معـدل البطالـة (%</w:t>
            </w:r>
            <w:r w:rsidRPr="008B16A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  <w:t xml:space="preserve">) </w:t>
            </w:r>
          </w:p>
        </w:tc>
      </w:tr>
      <w:tr w:rsidR="00CF32D3" w:rsidRPr="008B16A0" w:rsidTr="00126F1D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126F1D">
            <w:pPr>
              <w:spacing w:after="0" w:line="240" w:lineRule="auto"/>
              <w:ind w:firstLineChars="200" w:firstLine="480"/>
              <w:contextualSpacing/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126F1D">
            <w:pPr>
              <w:spacing w:after="0" w:line="240" w:lineRule="auto"/>
              <w:ind w:firstLineChars="200" w:firstLine="480"/>
              <w:contextualSpacing/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CF32D3" w:rsidRPr="008B16A0" w:rsidTr="00126F1D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11,0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13,2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CF32D3" w:rsidRPr="008B16A0" w:rsidTr="00126F1D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17,0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24,3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15,1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23,3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CF32D3" w:rsidRPr="008B16A0" w:rsidTr="00126F1D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126F1D">
            <w:pPr>
              <w:spacing w:after="0" w:line="240" w:lineRule="auto"/>
              <w:ind w:firstLineChars="200" w:firstLine="480"/>
              <w:contextualSpacing/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8B16A0" w:rsidRDefault="00CF32D3" w:rsidP="00126F1D">
            <w:pPr>
              <w:spacing w:after="0" w:line="240" w:lineRule="auto"/>
              <w:ind w:firstLineChars="200" w:firstLine="480"/>
              <w:contextualSpacing/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CF32D3" w:rsidRPr="008B16A0" w:rsidTr="00126F1D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33,6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18,4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46,1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30,2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46,4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 xml:space="preserve">   24 – 15  سنـة</w:t>
            </w:r>
          </w:p>
        </w:tc>
      </w:tr>
      <w:tr w:rsidR="00CF32D3" w:rsidRPr="008B16A0" w:rsidTr="00126F1D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19,8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25,8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18,7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24,7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 xml:space="preserve">   34 – 25  سنـة</w:t>
            </w:r>
          </w:p>
        </w:tc>
      </w:tr>
      <w:tr w:rsidR="00CF32D3" w:rsidRPr="008B16A0" w:rsidTr="00126F1D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9,0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6,1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8,3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 xml:space="preserve">   44 – 35  سنـة</w:t>
            </w:r>
          </w:p>
        </w:tc>
      </w:tr>
      <w:tr w:rsidR="00CF32D3" w:rsidRPr="008B16A0" w:rsidTr="00126F1D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3,6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4,3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 xml:space="preserve">   45  سنـة فأكثـر</w:t>
            </w:r>
          </w:p>
        </w:tc>
      </w:tr>
      <w:tr w:rsidR="00CF32D3" w:rsidRPr="008B16A0" w:rsidTr="00126F1D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contextualSpacing/>
              <w:rPr>
                <w:rFonts w:ascii="Garamond" w:hAnsi="Garamond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i/>
                <w:iCs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CF32D3" w:rsidRPr="008B16A0" w:rsidTr="00126F1D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4,5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7,0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3,6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6,3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>بـدون شهـادة</w:t>
            </w:r>
          </w:p>
        </w:tc>
      </w:tr>
      <w:tr w:rsidR="00CF32D3" w:rsidRPr="008B16A0" w:rsidTr="00126F1D">
        <w:trPr>
          <w:trHeight w:val="53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19,2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13,1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Default="00CF32D3" w:rsidP="00126F1D">
            <w:pPr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color w:val="000000"/>
              </w:rPr>
              <w:t>20,8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10,1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033F7A" w:rsidRDefault="00CF32D3" w:rsidP="00033F7A">
            <w:pPr>
              <w:spacing w:after="0" w:line="240" w:lineRule="auto"/>
              <w:ind w:firstLineChars="100" w:firstLine="220"/>
              <w:contextualSpacing/>
              <w:jc w:val="right"/>
              <w:rPr>
                <w:rFonts w:ascii="Garamond" w:hAnsi="Garamond" w:cs="Calibri"/>
                <w:color w:val="000000"/>
              </w:rPr>
            </w:pPr>
            <w:r w:rsidRPr="00033F7A">
              <w:rPr>
                <w:rFonts w:ascii="Garamond" w:hAnsi="Garamond" w:cs="Calibri"/>
                <w:color w:val="000000"/>
              </w:rPr>
              <w:t>20,1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2D3" w:rsidRPr="008B16A0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 xml:space="preserve">حاصـل علـى شهـادة </w:t>
            </w:r>
          </w:p>
        </w:tc>
      </w:tr>
    </w:tbl>
    <w:p w:rsidR="00CF32D3" w:rsidRPr="003D2EFB" w:rsidRDefault="00CF32D3" w:rsidP="00CF32D3">
      <w:pPr>
        <w:pStyle w:val="Paragraphedeliste"/>
        <w:numPr>
          <w:ilvl w:val="0"/>
          <w:numId w:val="2"/>
        </w:numPr>
        <w:bidi/>
        <w:spacing w:before="240" w:after="0" w:line="276" w:lineRule="auto"/>
        <w:rPr>
          <w:sz w:val="16"/>
          <w:szCs w:val="16"/>
        </w:rPr>
      </w:pPr>
      <w:r w:rsidRPr="003D2EFB">
        <w:rPr>
          <w:sz w:val="18"/>
          <w:szCs w:val="18"/>
          <w:rtl/>
        </w:rPr>
        <w:t>المصـدر: البحث الوطني حول التشغيل، المندوبية السامية للتخطيط</w:t>
      </w:r>
    </w:p>
    <w:p w:rsidR="00CF32D3" w:rsidRPr="003D2EFB" w:rsidRDefault="00CF32D3" w:rsidP="00CF32D3">
      <w:pPr>
        <w:pStyle w:val="Paragraphedeliste"/>
        <w:numPr>
          <w:ilvl w:val="0"/>
          <w:numId w:val="2"/>
        </w:numPr>
        <w:bidi/>
        <w:spacing w:before="240" w:after="0" w:line="276" w:lineRule="auto"/>
        <w:rPr>
          <w:b/>
          <w:bCs/>
          <w:sz w:val="18"/>
          <w:szCs w:val="18"/>
          <w:rtl/>
        </w:rPr>
      </w:pPr>
      <w:r w:rsidRPr="003D2EFB">
        <w:rPr>
          <w:sz w:val="18"/>
          <w:szCs w:val="18"/>
          <w:rtl/>
        </w:rPr>
        <w:t>بالنسبة للتعاريف والمصطلحات والمؤشرات المستعملة، انظر المعجم على الموقع الإلكتروني للمندوبية السامية للتخطيط</w:t>
      </w:r>
      <w:r w:rsidRPr="003D2EFB">
        <w:rPr>
          <w:b/>
          <w:bCs/>
          <w:sz w:val="18"/>
          <w:szCs w:val="18"/>
          <w:rtl/>
        </w:rPr>
        <w:t xml:space="preserve">: </w:t>
      </w:r>
      <w:hyperlink r:id="rId17" w:history="1">
        <w:r w:rsidRPr="003D2EFB">
          <w:rPr>
            <w:b/>
            <w:bCs/>
            <w:color w:val="0070C0"/>
            <w:sz w:val="18"/>
            <w:szCs w:val="36"/>
            <w:u w:val="single"/>
          </w:rPr>
          <w:t>http://www.hcp.ma</w:t>
        </w:r>
      </w:hyperlink>
    </w:p>
    <w:p w:rsidR="00CF32D3" w:rsidRPr="003D2EFB" w:rsidRDefault="00CF32D3" w:rsidP="00CF32D3">
      <w:pPr>
        <w:pStyle w:val="Paragraphedeliste"/>
        <w:numPr>
          <w:ilvl w:val="0"/>
          <w:numId w:val="2"/>
        </w:numPr>
        <w:bidi/>
        <w:spacing w:before="240" w:after="0" w:line="276" w:lineRule="auto"/>
        <w:rPr>
          <w:sz w:val="16"/>
          <w:szCs w:val="16"/>
        </w:rPr>
      </w:pPr>
      <w:r w:rsidRPr="003D2EFB">
        <w:rPr>
          <w:sz w:val="16"/>
          <w:szCs w:val="16"/>
          <w:rtl/>
        </w:rPr>
        <w:t>الأرقام المدرجة هي أرقام مدورة/تقريبية. قد تكون النتيجة المقربة لمزيج من الأرقام (التي تتضمن قيمها الفعلية) مختلفة قليلاً عن تلك التي تجمع بين قيمها المدورة.</w:t>
      </w:r>
      <w:r w:rsidRPr="003D2EFB">
        <w:rPr>
          <w:b/>
          <w:bCs/>
          <w:sz w:val="18"/>
          <w:szCs w:val="18"/>
        </w:rPr>
        <w:t>.</w:t>
      </w:r>
    </w:p>
    <w:p w:rsidR="00CF32D3" w:rsidRPr="003D2EFB" w:rsidRDefault="00CF32D3" w:rsidP="00CF32D3">
      <w:pPr>
        <w:bidi/>
        <w:spacing w:before="24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F32D3" w:rsidRDefault="00CF32D3" w:rsidP="00CF32D3">
      <w:r>
        <w:br w:type="page"/>
      </w:r>
    </w:p>
    <w:p w:rsidR="00CF32D3" w:rsidRDefault="00CF32D3" w:rsidP="00CF32D3">
      <w:pPr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>الجدول 2: معـدل النشـاط، الشغل، والبطالـة حسـب الجهات (%)</w:t>
      </w:r>
    </w:p>
    <w:tbl>
      <w:tblPr>
        <w:tblW w:w="8448" w:type="dxa"/>
        <w:jc w:val="center"/>
        <w:tblCellMar>
          <w:left w:w="70" w:type="dxa"/>
          <w:right w:w="70" w:type="dxa"/>
        </w:tblCellMar>
        <w:tblLook w:val="04A0"/>
      </w:tblPr>
      <w:tblGrid>
        <w:gridCol w:w="1724"/>
        <w:gridCol w:w="1724"/>
        <w:gridCol w:w="5000"/>
      </w:tblGrid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الفصل الثاني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2023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الفصل الثاني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2022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971302" w:rsidRDefault="00CF32D3" w:rsidP="0012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rtl/>
                <w:lang w:eastAsia="fr-FR"/>
              </w:rPr>
              <w:t>معـدل النشـاط ( 15سنـة فأكثـر)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51,2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43,1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42,0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45,7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41,7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46,5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43,0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39,9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44,2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ind w:firstLineChars="300" w:firstLine="723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3"/>
              <w:contextualSpacing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45,2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rtl/>
                <w:lang w:eastAsia="fr-FR"/>
              </w:rPr>
              <w:t>معدل الشغل ( 15سنـة فأكثـر)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46,7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35,2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36,7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41,0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38,0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41,4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43,4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39,0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35,3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35,0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3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3"/>
              <w:contextualSpacing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40,2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rtl/>
                <w:lang w:eastAsia="fr-FR"/>
              </w:rPr>
              <w:t>معـدل البطالـة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8,7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18,2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12,5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10,3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8,7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12,8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6,5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9,1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11,4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E66BBA" w:rsidRDefault="00CF32D3" w:rsidP="00126F1D">
            <w:pPr>
              <w:spacing w:line="240" w:lineRule="auto"/>
              <w:ind w:firstLineChars="300" w:firstLine="720"/>
              <w:contextualSpacing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66B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0"/>
              <w:contextualSpacing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20,9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CF32D3" w:rsidRPr="00971302" w:rsidTr="00126F1D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2A55D2" w:rsidRDefault="00CF32D3" w:rsidP="00126F1D">
            <w:pPr>
              <w:spacing w:line="240" w:lineRule="auto"/>
              <w:ind w:firstLineChars="300" w:firstLine="723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A55D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spacing w:after="0" w:line="240" w:lineRule="auto"/>
              <w:ind w:firstLineChars="300" w:firstLine="723"/>
              <w:contextualSpacing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11,2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D3" w:rsidRPr="00971302" w:rsidRDefault="00CF32D3" w:rsidP="00126F1D">
            <w:pPr>
              <w:bidi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</w:tbl>
    <w:p w:rsidR="00CF32D3" w:rsidRPr="00CC0834" w:rsidRDefault="00CF32D3" w:rsidP="00CF32D3">
      <w:pPr>
        <w:bidi/>
        <w:spacing w:before="240" w:after="0"/>
        <w:rPr>
          <w:b/>
          <w:bCs/>
          <w:sz w:val="16"/>
          <w:szCs w:val="16"/>
        </w:rPr>
      </w:pPr>
      <w:r>
        <w:rPr>
          <w:rFonts w:hint="cs"/>
          <w:sz w:val="18"/>
          <w:szCs w:val="18"/>
          <w:rtl/>
          <w:lang w:bidi="tzm-Arab-MA"/>
        </w:rPr>
        <w:t xml:space="preserve">       </w:t>
      </w:r>
      <w:r w:rsidRPr="00CC0834">
        <w:rPr>
          <w:rFonts w:hint="cs"/>
          <w:b/>
          <w:bCs/>
          <w:sz w:val="18"/>
          <w:szCs w:val="18"/>
          <w:rtl/>
          <w:lang w:bidi="tzm-Arab-MA"/>
        </w:rPr>
        <w:t xml:space="preserve">   ا</w:t>
      </w:r>
      <w:r w:rsidRPr="00CC0834">
        <w:rPr>
          <w:b/>
          <w:bCs/>
          <w:sz w:val="18"/>
          <w:szCs w:val="18"/>
          <w:rtl/>
        </w:rPr>
        <w:t>لمصـدر: البحث الوطني حول التشغيل، المندوبية السامية للتخطيط</w:t>
      </w:r>
    </w:p>
    <w:p w:rsidR="00971302" w:rsidRDefault="00971302" w:rsidP="00803633">
      <w:pPr>
        <w:jc w:val="center"/>
      </w:pPr>
    </w:p>
    <w:sectPr w:rsidR="00971302" w:rsidSect="008657D0">
      <w:head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C4D" w:rsidRDefault="00BD3C4D" w:rsidP="00983B3A">
      <w:pPr>
        <w:spacing w:after="0" w:line="240" w:lineRule="auto"/>
      </w:pPr>
      <w:r>
        <w:separator/>
      </w:r>
    </w:p>
  </w:endnote>
  <w:endnote w:type="continuationSeparator" w:id="0">
    <w:p w:rsidR="00BD3C4D" w:rsidRDefault="00BD3C4D" w:rsidP="0098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99610"/>
      <w:docPartObj>
        <w:docPartGallery w:val="Page Numbers (Bottom of Page)"/>
        <w:docPartUnique/>
      </w:docPartObj>
    </w:sdtPr>
    <w:sdtContent>
      <w:p w:rsidR="001F336E" w:rsidRDefault="00242A66">
        <w:pPr>
          <w:pStyle w:val="Pieddepage"/>
          <w:jc w:val="center"/>
        </w:pPr>
        <w:fldSimple w:instr=" PAGE   \* MERGEFORMAT ">
          <w:r w:rsidR="001C18D4">
            <w:rPr>
              <w:noProof/>
            </w:rPr>
            <w:t>1</w:t>
          </w:r>
        </w:fldSimple>
      </w:p>
    </w:sdtContent>
  </w:sdt>
  <w:p w:rsidR="001F336E" w:rsidRDefault="001F336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C4D" w:rsidRDefault="00BD3C4D" w:rsidP="00983B3A">
      <w:pPr>
        <w:spacing w:after="0" w:line="240" w:lineRule="auto"/>
      </w:pPr>
      <w:r>
        <w:separator/>
      </w:r>
    </w:p>
  </w:footnote>
  <w:footnote w:type="continuationSeparator" w:id="0">
    <w:p w:rsidR="00BD3C4D" w:rsidRDefault="00BD3C4D" w:rsidP="00983B3A">
      <w:pPr>
        <w:spacing w:after="0" w:line="240" w:lineRule="auto"/>
      </w:pPr>
      <w:r>
        <w:continuationSeparator/>
      </w:r>
    </w:p>
  </w:footnote>
  <w:footnote w:id="1">
    <w:p w:rsidR="00126F1D" w:rsidRPr="00664910" w:rsidRDefault="00126F1D" w:rsidP="00274980">
      <w:pPr>
        <w:pStyle w:val="Notedebasdepage"/>
        <w:bidi/>
        <w:rPr>
          <w:rFonts w:asciiTheme="minorBidi" w:hAnsiTheme="minorBidi"/>
          <w:sz w:val="16"/>
          <w:szCs w:val="16"/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 xml:space="preserve">الفرق بين مجموع الفقدان الصافي لمناصب الشغل حسب قطاع النشاط الاقتصادي </w:t>
      </w:r>
      <w:r>
        <w:rPr>
          <w:rFonts w:asciiTheme="minorBidi" w:hAnsiTheme="minorBidi" w:hint="cs"/>
          <w:sz w:val="16"/>
          <w:szCs w:val="16"/>
          <w:rtl/>
          <w:lang w:bidi="ar-MA"/>
        </w:rPr>
        <w:t>و</w:t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>الفقدان الصافي الإجمالي على المستوى الوطني ناتج عن الأنشطة المبهمة</w:t>
      </w:r>
      <w:r w:rsidR="00537EFA">
        <w:rPr>
          <w:rFonts w:asciiTheme="minorBidi" w:hAnsiTheme="minorBidi"/>
          <w:sz w:val="16"/>
          <w:szCs w:val="16"/>
          <w:lang w:bidi="ar-MA"/>
        </w:rPr>
        <w:t>.</w:t>
      </w:r>
    </w:p>
    <w:p w:rsidR="00126F1D" w:rsidRDefault="00126F1D">
      <w:pPr>
        <w:pStyle w:val="Notedebasdepage"/>
        <w:rPr>
          <w:rtl/>
          <w:lang w:bidi="tzm-Arab-MA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1D" w:rsidRDefault="00126F1D" w:rsidP="008657D0">
    <w:pPr>
      <w:pStyle w:val="En-tt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1D" w:rsidRDefault="00126F1D" w:rsidP="008657D0">
    <w:pPr>
      <w:pStyle w:val="En-tte"/>
      <w:jc w:val="center"/>
    </w:pPr>
    <w:r w:rsidRPr="008657D0">
      <w:rPr>
        <w:noProof/>
        <w:lang w:eastAsia="fr-FR"/>
      </w:rPr>
      <w:drawing>
        <wp:inline distT="0" distB="0" distL="0" distR="0">
          <wp:extent cx="1365250" cy="990600"/>
          <wp:effectExtent l="19050" t="0" r="635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316" cy="991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5F4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648A6"/>
    <w:multiLevelType w:val="multilevel"/>
    <w:tmpl w:val="E3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244061" w:themeColor="accent1" w:themeShade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803633"/>
    <w:rsid w:val="00001DC6"/>
    <w:rsid w:val="00024EB9"/>
    <w:rsid w:val="00033F7A"/>
    <w:rsid w:val="00037DA2"/>
    <w:rsid w:val="00043286"/>
    <w:rsid w:val="000614DA"/>
    <w:rsid w:val="000B0540"/>
    <w:rsid w:val="000D049A"/>
    <w:rsid w:val="000D6FD8"/>
    <w:rsid w:val="001207E7"/>
    <w:rsid w:val="00126F1D"/>
    <w:rsid w:val="00141458"/>
    <w:rsid w:val="001600D6"/>
    <w:rsid w:val="00176A12"/>
    <w:rsid w:val="00180D82"/>
    <w:rsid w:val="00183AF0"/>
    <w:rsid w:val="001A7970"/>
    <w:rsid w:val="001C18D4"/>
    <w:rsid w:val="001E4B86"/>
    <w:rsid w:val="001F336E"/>
    <w:rsid w:val="00224C72"/>
    <w:rsid w:val="00235F7D"/>
    <w:rsid w:val="00242A66"/>
    <w:rsid w:val="00244DCD"/>
    <w:rsid w:val="00274980"/>
    <w:rsid w:val="002A3114"/>
    <w:rsid w:val="002E756F"/>
    <w:rsid w:val="003032CC"/>
    <w:rsid w:val="00365133"/>
    <w:rsid w:val="003831D2"/>
    <w:rsid w:val="003C6903"/>
    <w:rsid w:val="003D5618"/>
    <w:rsid w:val="003D755B"/>
    <w:rsid w:val="00401931"/>
    <w:rsid w:val="0040790B"/>
    <w:rsid w:val="00440428"/>
    <w:rsid w:val="00475FFC"/>
    <w:rsid w:val="004B14D4"/>
    <w:rsid w:val="004E30F1"/>
    <w:rsid w:val="004F19A2"/>
    <w:rsid w:val="00534928"/>
    <w:rsid w:val="00537EFA"/>
    <w:rsid w:val="005639C8"/>
    <w:rsid w:val="0056650E"/>
    <w:rsid w:val="00591BD5"/>
    <w:rsid w:val="005D2E63"/>
    <w:rsid w:val="0063226D"/>
    <w:rsid w:val="00632A3E"/>
    <w:rsid w:val="00676ADB"/>
    <w:rsid w:val="0068668C"/>
    <w:rsid w:val="00697649"/>
    <w:rsid w:val="006B2C71"/>
    <w:rsid w:val="006C2E53"/>
    <w:rsid w:val="006C6F6D"/>
    <w:rsid w:val="006E19D7"/>
    <w:rsid w:val="006E1C3E"/>
    <w:rsid w:val="006F0058"/>
    <w:rsid w:val="00703155"/>
    <w:rsid w:val="00714E9C"/>
    <w:rsid w:val="00731A64"/>
    <w:rsid w:val="007B1F49"/>
    <w:rsid w:val="007B40B0"/>
    <w:rsid w:val="007B423B"/>
    <w:rsid w:val="007D3E4E"/>
    <w:rsid w:val="00800CFB"/>
    <w:rsid w:val="00803633"/>
    <w:rsid w:val="00804A97"/>
    <w:rsid w:val="008150D1"/>
    <w:rsid w:val="00832310"/>
    <w:rsid w:val="008608E0"/>
    <w:rsid w:val="008657D0"/>
    <w:rsid w:val="008B16A0"/>
    <w:rsid w:val="008B3393"/>
    <w:rsid w:val="008D2301"/>
    <w:rsid w:val="008F15A2"/>
    <w:rsid w:val="00961AEC"/>
    <w:rsid w:val="00971302"/>
    <w:rsid w:val="00971740"/>
    <w:rsid w:val="00983B3A"/>
    <w:rsid w:val="009856D6"/>
    <w:rsid w:val="009A01F8"/>
    <w:rsid w:val="00A06AD4"/>
    <w:rsid w:val="00A14739"/>
    <w:rsid w:val="00A558E4"/>
    <w:rsid w:val="00A61E8A"/>
    <w:rsid w:val="00A80667"/>
    <w:rsid w:val="00AE684E"/>
    <w:rsid w:val="00B40036"/>
    <w:rsid w:val="00B43E8F"/>
    <w:rsid w:val="00B700A5"/>
    <w:rsid w:val="00B84E4B"/>
    <w:rsid w:val="00B85D74"/>
    <w:rsid w:val="00BA769D"/>
    <w:rsid w:val="00BD3C4D"/>
    <w:rsid w:val="00C22724"/>
    <w:rsid w:val="00C248BE"/>
    <w:rsid w:val="00C53AA3"/>
    <w:rsid w:val="00CB52D8"/>
    <w:rsid w:val="00CC0834"/>
    <w:rsid w:val="00CD7CDC"/>
    <w:rsid w:val="00CE38A8"/>
    <w:rsid w:val="00CF32D3"/>
    <w:rsid w:val="00D13C87"/>
    <w:rsid w:val="00D166E2"/>
    <w:rsid w:val="00D302AC"/>
    <w:rsid w:val="00D7060C"/>
    <w:rsid w:val="00D722A2"/>
    <w:rsid w:val="00D82B44"/>
    <w:rsid w:val="00D8542D"/>
    <w:rsid w:val="00DC44AD"/>
    <w:rsid w:val="00DD2A22"/>
    <w:rsid w:val="00DD3F05"/>
    <w:rsid w:val="00DF5FA0"/>
    <w:rsid w:val="00E4538E"/>
    <w:rsid w:val="00E63247"/>
    <w:rsid w:val="00E91823"/>
    <w:rsid w:val="00EC383C"/>
    <w:rsid w:val="00EC4254"/>
    <w:rsid w:val="00ED6280"/>
    <w:rsid w:val="00F265D8"/>
    <w:rsid w:val="00F27B16"/>
    <w:rsid w:val="00F619F8"/>
    <w:rsid w:val="00F76FB6"/>
    <w:rsid w:val="00FC20CC"/>
    <w:rsid w:val="00FC2437"/>
    <w:rsid w:val="00FC31AF"/>
    <w:rsid w:val="00FC6770"/>
    <w:rsid w:val="00FF4201"/>
    <w:rsid w:val="00FF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49"/>
  </w:style>
  <w:style w:type="paragraph" w:styleId="Titre1">
    <w:name w:val="heading 1"/>
    <w:basedOn w:val="Normal"/>
    <w:next w:val="Normal"/>
    <w:link w:val="Titre1Car"/>
    <w:uiPriority w:val="9"/>
    <w:qFormat/>
    <w:rsid w:val="00EC3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3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38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C38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C38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63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3B3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3B3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3B3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83B3A"/>
    <w:pPr>
      <w:spacing w:after="160" w:line="256" w:lineRule="auto"/>
      <w:ind w:left="720"/>
      <w:contextualSpacing/>
    </w:pPr>
    <w:rPr>
      <w:rFonts w:asciiTheme="majorBidi" w:hAnsiTheme="majorBidi" w:cstheme="majorBidi"/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unhideWhenUsed/>
    <w:rsid w:val="00141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4145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C3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C3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C38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EC38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EC38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gende">
    <w:name w:val="caption"/>
    <w:basedOn w:val="Normal"/>
    <w:next w:val="Normal"/>
    <w:uiPriority w:val="35"/>
    <w:unhideWhenUsed/>
    <w:qFormat/>
    <w:rsid w:val="00EC38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EC383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C383C"/>
  </w:style>
  <w:style w:type="paragraph" w:styleId="En-tte">
    <w:name w:val="header"/>
    <w:basedOn w:val="Normal"/>
    <w:link w:val="En-tteCar"/>
    <w:uiPriority w:val="99"/>
    <w:semiHidden/>
    <w:unhideWhenUsed/>
    <w:rsid w:val="0086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57D0"/>
  </w:style>
  <w:style w:type="paragraph" w:styleId="Pieddepage">
    <w:name w:val="footer"/>
    <w:basedOn w:val="Normal"/>
    <w:link w:val="PieddepageCar"/>
    <w:uiPriority w:val="99"/>
    <w:unhideWhenUsed/>
    <w:rsid w:val="0086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5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www.hcp.ma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2023T2%20-%20Note%20sur%20les%20chiffres%20cl&#233;s%20-%20Annexe%20-2407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2023T2%20-%20Note%20sur%20les%20chiffres%20cl&#233;s%20-%20Annexe%20-2407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2023T2%20-%20Note%20sur%20les%20chiffres%20cl&#233;s%20-%20Annexe%20-240720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s\note%20T2-2023\2023T2%20-%20Note%20sur%20les%20chiffres%20cl&#233;s%20-%20Annexe%20-24072023-graphe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2023T2%20-%20Note%20sur%20les%20chiffres%20cl&#233;s%20-%20Annexe%20-2407202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2023T2%20-%20Note%20sur%20les%20chiffres%20cl&#233;s%20-%20Annexe%20-2407202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2023T2%20-%20Note%20sur%20les%20chiffres%20cl&#233;s%20-%20Annexe%20-24072023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2023T2%20-%20Note%20sur%20les%20chiffres%20cl&#233;s%20-%20Annexe%20-2407202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2023T2%20-%20Note%20sur%20les%20chiffres%20cl&#233;s%20-%20Annexe%20-2407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Feuil1!$G$164</c:f>
              <c:strCache>
                <c:ptCount val="1"/>
                <c:pt idx="0">
                  <c:v>حضري</c:v>
                </c:pt>
              </c:strCache>
            </c:strRef>
          </c:tx>
          <c:spPr>
            <a:ln>
              <a:solidFill>
                <a:schemeClr val="bg1">
                  <a:lumMod val="50000"/>
                </a:schemeClr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numRef>
              <c:f>Feuil1!$F$165:$F$171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Feuil1!$G$165:$G$171</c:f>
              <c:numCache>
                <c:formatCode>General</c:formatCode>
                <c:ptCount val="7"/>
                <c:pt idx="0">
                  <c:v>42.3</c:v>
                </c:pt>
                <c:pt idx="1">
                  <c:v>42.6</c:v>
                </c:pt>
                <c:pt idx="2">
                  <c:v>41.8</c:v>
                </c:pt>
                <c:pt idx="3">
                  <c:v>42.2</c:v>
                </c:pt>
                <c:pt idx="4">
                  <c:v>42.6</c:v>
                </c:pt>
                <c:pt idx="5">
                  <c:v>42.3</c:v>
                </c:pt>
                <c:pt idx="6" formatCode="0.0">
                  <c:v>42.593046667172494</c:v>
                </c:pt>
              </c:numCache>
            </c:numRef>
          </c:val>
        </c:ser>
        <c:ser>
          <c:idx val="1"/>
          <c:order val="1"/>
          <c:tx>
            <c:strRef>
              <c:f>Feuil1!$H$164</c:f>
              <c:strCache>
                <c:ptCount val="1"/>
                <c:pt idx="0">
                  <c:v>قروي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numRef>
              <c:f>Feuil1!$F$165:$F$171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Feuil1!$H$165:$H$171</c:f>
              <c:numCache>
                <c:formatCode>General</c:formatCode>
                <c:ptCount val="7"/>
                <c:pt idx="0">
                  <c:v>56</c:v>
                </c:pt>
                <c:pt idx="1">
                  <c:v>54.6</c:v>
                </c:pt>
                <c:pt idx="2">
                  <c:v>53.2</c:v>
                </c:pt>
                <c:pt idx="3">
                  <c:v>49.6</c:v>
                </c:pt>
                <c:pt idx="4">
                  <c:v>52.9</c:v>
                </c:pt>
                <c:pt idx="5">
                  <c:v>50.8</c:v>
                </c:pt>
                <c:pt idx="6" formatCode="0.0">
                  <c:v>49.238160705242294</c:v>
                </c:pt>
              </c:numCache>
            </c:numRef>
          </c:val>
        </c:ser>
        <c:ser>
          <c:idx val="2"/>
          <c:order val="2"/>
          <c:tx>
            <c:strRef>
              <c:f>Feuil1!$I$164</c:f>
              <c:strCache>
                <c:ptCount val="1"/>
                <c:pt idx="0">
                  <c:v>وطني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numRef>
              <c:f>Feuil1!$F$165:$F$171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Feuil1!$I$165:$I$171</c:f>
              <c:numCache>
                <c:formatCode>General</c:formatCode>
                <c:ptCount val="7"/>
                <c:pt idx="0">
                  <c:v>47.3</c:v>
                </c:pt>
                <c:pt idx="1">
                  <c:v>47</c:v>
                </c:pt>
                <c:pt idx="2">
                  <c:v>45.8</c:v>
                </c:pt>
                <c:pt idx="3">
                  <c:v>44.8</c:v>
                </c:pt>
                <c:pt idx="4">
                  <c:v>46.1</c:v>
                </c:pt>
                <c:pt idx="5">
                  <c:v>45.2</c:v>
                </c:pt>
                <c:pt idx="6" formatCode="0.0">
                  <c:v>44.834372927663324</c:v>
                </c:pt>
              </c:numCache>
            </c:numRef>
          </c:val>
        </c:ser>
        <c:marker val="1"/>
        <c:axId val="81954304"/>
        <c:axId val="81955840"/>
      </c:lineChart>
      <c:catAx>
        <c:axId val="819543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81955840"/>
        <c:crosses val="autoZero"/>
        <c:auto val="1"/>
        <c:lblAlgn val="ctr"/>
        <c:lblOffset val="100"/>
      </c:catAx>
      <c:valAx>
        <c:axId val="81955840"/>
        <c:scaling>
          <c:orientation val="minMax"/>
          <c:min val="20"/>
        </c:scaling>
        <c:delete val="1"/>
        <c:axPos val="l"/>
        <c:numFmt formatCode="General" sourceLinked="1"/>
        <c:tickLblPos val="none"/>
        <c:crossAx val="81954304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Feuil1!$G$190</c:f>
              <c:strCache>
                <c:ptCount val="1"/>
                <c:pt idx="0">
                  <c:v>حضري</c:v>
                </c:pt>
              </c:strCache>
            </c:strRef>
          </c:tx>
          <c:spPr>
            <a:ln>
              <a:solidFill>
                <a:schemeClr val="bg1">
                  <a:lumMod val="50000"/>
                </a:schemeClr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numRef>
              <c:f>Feuil1!$F$191:$F$197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Feuil1!$G$191:$G$197</c:f>
              <c:numCache>
                <c:formatCode>0.0</c:formatCode>
                <c:ptCount val="7"/>
                <c:pt idx="0">
                  <c:v>36.4</c:v>
                </c:pt>
                <c:pt idx="1">
                  <c:v>36.800000000000004</c:v>
                </c:pt>
                <c:pt idx="2">
                  <c:v>36.9</c:v>
                </c:pt>
                <c:pt idx="3">
                  <c:v>35.6</c:v>
                </c:pt>
                <c:pt idx="4">
                  <c:v>34.9</c:v>
                </c:pt>
                <c:pt idx="5">
                  <c:v>35.719658804358282</c:v>
                </c:pt>
                <c:pt idx="6">
                  <c:v>35.657301927887879</c:v>
                </c:pt>
              </c:numCache>
            </c:numRef>
          </c:val>
        </c:ser>
        <c:ser>
          <c:idx val="1"/>
          <c:order val="1"/>
          <c:tx>
            <c:strRef>
              <c:f>Feuil1!$H$190</c:f>
              <c:strCache>
                <c:ptCount val="1"/>
                <c:pt idx="0">
                  <c:v>قروي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numRef>
              <c:f>Feuil1!$F$191:$F$197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Feuil1!$H$191:$H$197</c:f>
              <c:numCache>
                <c:formatCode>0.0</c:formatCode>
                <c:ptCount val="7"/>
                <c:pt idx="0">
                  <c:v>54.2</c:v>
                </c:pt>
                <c:pt idx="1">
                  <c:v>53.1</c:v>
                </c:pt>
                <c:pt idx="2">
                  <c:v>51.6</c:v>
                </c:pt>
                <c:pt idx="3">
                  <c:v>46</c:v>
                </c:pt>
                <c:pt idx="4">
                  <c:v>50.4</c:v>
                </c:pt>
                <c:pt idx="5">
                  <c:v>48.709089313528331</c:v>
                </c:pt>
                <c:pt idx="6">
                  <c:v>46.436122701835501</c:v>
                </c:pt>
              </c:numCache>
            </c:numRef>
          </c:val>
        </c:ser>
        <c:ser>
          <c:idx val="2"/>
          <c:order val="2"/>
          <c:tx>
            <c:strRef>
              <c:f>Feuil1!$I$190</c:f>
              <c:strCache>
                <c:ptCount val="1"/>
                <c:pt idx="0">
                  <c:v>وطني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numRef>
              <c:f>Feuil1!$F$191:$F$197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Feuil1!$I$191:$I$197</c:f>
              <c:numCache>
                <c:formatCode>0.0</c:formatCode>
                <c:ptCount val="7"/>
                <c:pt idx="0">
                  <c:v>42.9</c:v>
                </c:pt>
                <c:pt idx="1">
                  <c:v>42.7</c:v>
                </c:pt>
                <c:pt idx="2">
                  <c:v>42.1</c:v>
                </c:pt>
                <c:pt idx="3">
                  <c:v>39.300000000000004</c:v>
                </c:pt>
                <c:pt idx="4">
                  <c:v>40.200000000000003</c:v>
                </c:pt>
                <c:pt idx="5">
                  <c:v>40.155174729422001</c:v>
                </c:pt>
                <c:pt idx="6">
                  <c:v>39.292883487415295</c:v>
                </c:pt>
              </c:numCache>
            </c:numRef>
          </c:val>
        </c:ser>
        <c:marker val="1"/>
        <c:axId val="81982592"/>
        <c:axId val="81984128"/>
      </c:lineChart>
      <c:catAx>
        <c:axId val="81982592"/>
        <c:scaling>
          <c:orientation val="minMax"/>
        </c:scaling>
        <c:axPos val="b"/>
        <c:numFmt formatCode="General" sourceLinked="1"/>
        <c:tickLblPos val="nextTo"/>
        <c:crossAx val="81984128"/>
        <c:crosses val="autoZero"/>
        <c:auto val="1"/>
        <c:lblAlgn val="ctr"/>
        <c:lblOffset val="100"/>
      </c:catAx>
      <c:valAx>
        <c:axId val="81984128"/>
        <c:scaling>
          <c:orientation val="minMax"/>
          <c:min val="0"/>
        </c:scaling>
        <c:delete val="1"/>
        <c:axPos val="l"/>
        <c:numFmt formatCode="0.0" sourceLinked="1"/>
        <c:tickLblPos val="none"/>
        <c:crossAx val="81982592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Feuil1!$A$122</c:f>
              <c:strCache>
                <c:ptCount val="1"/>
                <c:pt idx="0">
                  <c:v>الشغل مؤدى عنه</c:v>
                </c:pt>
              </c:strCache>
            </c:strRef>
          </c:tx>
          <c:spPr>
            <a:solidFill>
              <a:schemeClr val="accent2"/>
            </a:solidFill>
          </c:spPr>
          <c:dLbls>
            <c:showVal val="1"/>
          </c:dLbls>
          <c:cat>
            <c:strRef>
              <c:f>Feuil1!$B$121:$D$121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Feuil1!$B$122:$D$122</c:f>
              <c:numCache>
                <c:formatCode>0</c:formatCode>
                <c:ptCount val="3"/>
                <c:pt idx="0">
                  <c:v>125.86873877849938</c:v>
                </c:pt>
                <c:pt idx="1">
                  <c:v>-13.590552711076725</c:v>
                </c:pt>
                <c:pt idx="2">
                  <c:v>112.27818606736945</c:v>
                </c:pt>
              </c:numCache>
            </c:numRef>
          </c:val>
        </c:ser>
        <c:ser>
          <c:idx val="1"/>
          <c:order val="1"/>
          <c:tx>
            <c:strRef>
              <c:f>Feuil1!$A$123</c:f>
              <c:strCache>
                <c:ptCount val="1"/>
                <c:pt idx="0">
                  <c:v>الشغل غير المؤدى عنه 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showVal val="1"/>
          </c:dLbls>
          <c:cat>
            <c:strRef>
              <c:f>Feuil1!$B$121:$D$121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Feuil1!$B$123:$D$123</c:f>
              <c:numCache>
                <c:formatCode>0</c:formatCode>
                <c:ptCount val="3"/>
                <c:pt idx="0">
                  <c:v>-5.2677125392675848</c:v>
                </c:pt>
                <c:pt idx="1">
                  <c:v>-192.54417283282919</c:v>
                </c:pt>
                <c:pt idx="2">
                  <c:v>-197.81188537211142</c:v>
                </c:pt>
              </c:numCache>
            </c:numRef>
          </c:val>
        </c:ser>
        <c:ser>
          <c:idx val="2"/>
          <c:order val="2"/>
          <c:tx>
            <c:strRef>
              <c:f>Feuil1!$A$124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chemeClr val="accent6"/>
            </a:solidFill>
          </c:spPr>
          <c:dLbls>
            <c:showVal val="1"/>
          </c:dLbls>
          <c:cat>
            <c:strRef>
              <c:f>Feuil1!$B$121:$D$121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Feuil1!$B$124:$D$124</c:f>
              <c:numCache>
                <c:formatCode>0</c:formatCode>
                <c:ptCount val="3"/>
                <c:pt idx="0">
                  <c:v>120.601026239246</c:v>
                </c:pt>
                <c:pt idx="1">
                  <c:v>-206.13472554382747</c:v>
                </c:pt>
                <c:pt idx="2">
                  <c:v>-85.53369930478766</c:v>
                </c:pt>
              </c:numCache>
            </c:numRef>
          </c:val>
        </c:ser>
        <c:axId val="105540992"/>
        <c:axId val="105550976"/>
      </c:barChart>
      <c:catAx>
        <c:axId val="105540992"/>
        <c:scaling>
          <c:orientation val="minMax"/>
        </c:scaling>
        <c:axPos val="b"/>
        <c:tickLblPos val="low"/>
        <c:crossAx val="105550976"/>
        <c:crosses val="autoZero"/>
        <c:auto val="1"/>
        <c:lblAlgn val="ctr"/>
        <c:lblOffset val="100"/>
      </c:catAx>
      <c:valAx>
        <c:axId val="105550976"/>
        <c:scaling>
          <c:orientation val="minMax"/>
        </c:scaling>
        <c:delete val="1"/>
        <c:axPos val="l"/>
        <c:numFmt formatCode="0" sourceLinked="1"/>
        <c:tickLblPos val="none"/>
        <c:crossAx val="105540992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'graphiques en arabe'!$B$128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chemeClr val="accent2"/>
            </a:solidFill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showVal val="1"/>
          </c:dLbls>
          <c:cat>
            <c:strRef>
              <c:f>'graphiques en arabe'!$A$129:$A$132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'graphiques en arabe'!$B$129:$B$132</c:f>
              <c:numCache>
                <c:formatCode>0</c:formatCode>
                <c:ptCount val="4"/>
                <c:pt idx="0">
                  <c:v>4.2955669644159498</c:v>
                </c:pt>
                <c:pt idx="1">
                  <c:v>34.366234208892394</c:v>
                </c:pt>
                <c:pt idx="2">
                  <c:v>3.3736637619422982</c:v>
                </c:pt>
                <c:pt idx="3">
                  <c:v>76.662725993261489</c:v>
                </c:pt>
              </c:numCache>
            </c:numRef>
          </c:val>
        </c:ser>
        <c:ser>
          <c:idx val="1"/>
          <c:order val="1"/>
          <c:tx>
            <c:strRef>
              <c:f>'graphiques en arabe'!$C$128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accent6"/>
            </a:solidFill>
          </c:spP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'graphiques en arabe'!$A$129:$A$132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'graphiques en arabe'!$C$129:$C$132</c:f>
              <c:numCache>
                <c:formatCode>0</c:formatCode>
                <c:ptCount val="4"/>
                <c:pt idx="0">
                  <c:v>-270.0811018356186</c:v>
                </c:pt>
                <c:pt idx="1">
                  <c:v>11.448230326340017</c:v>
                </c:pt>
                <c:pt idx="2">
                  <c:v>26.477868843019241</c:v>
                </c:pt>
                <c:pt idx="3">
                  <c:v>26.020277122335827</c:v>
                </c:pt>
              </c:numCache>
            </c:numRef>
          </c:val>
        </c:ser>
        <c:ser>
          <c:idx val="2"/>
          <c:order val="2"/>
          <c:tx>
            <c:strRef>
              <c:f>'graphiques en arabe'!$D$128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'graphiques en arabe'!$A$129:$A$132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'graphiques en arabe'!$D$129:$D$132</c:f>
              <c:numCache>
                <c:formatCode>0</c:formatCode>
                <c:ptCount val="4"/>
                <c:pt idx="0">
                  <c:v>-265.78553487120274</c:v>
                </c:pt>
                <c:pt idx="1">
                  <c:v>45.814464535234826</c:v>
                </c:pt>
                <c:pt idx="2">
                  <c:v>29.851532604970416</c:v>
                </c:pt>
                <c:pt idx="3">
                  <c:v>102.68300311551545</c:v>
                </c:pt>
              </c:numCache>
            </c:numRef>
          </c:val>
        </c:ser>
        <c:overlap val="-34"/>
        <c:axId val="98537856"/>
        <c:axId val="98539392"/>
      </c:barChart>
      <c:catAx>
        <c:axId val="98537856"/>
        <c:scaling>
          <c:orientation val="minMax"/>
        </c:scaling>
        <c:axPos val="b"/>
        <c:tickLblPos val="low"/>
        <c:crossAx val="98539392"/>
        <c:crosses val="autoZero"/>
        <c:auto val="1"/>
        <c:lblAlgn val="ctr"/>
        <c:lblOffset val="100"/>
      </c:catAx>
      <c:valAx>
        <c:axId val="98539392"/>
        <c:scaling>
          <c:orientation val="minMax"/>
        </c:scaling>
        <c:delete val="1"/>
        <c:axPos val="l"/>
        <c:numFmt formatCode="0" sourceLinked="1"/>
        <c:tickLblPos val="none"/>
        <c:crossAx val="98537856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2.4250440917107582E-2"/>
          <c:y val="4.974065665499959E-2"/>
          <c:w val="0.95149911816578714"/>
          <c:h val="0.62659258224506609"/>
        </c:manualLayout>
      </c:layout>
      <c:lineChart>
        <c:grouping val="standard"/>
        <c:ser>
          <c:idx val="0"/>
          <c:order val="0"/>
          <c:tx>
            <c:strRef>
              <c:f>Feuil1!$G$212</c:f>
              <c:strCache>
                <c:ptCount val="1"/>
                <c:pt idx="0">
                  <c:v>حضري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dLbls>
            <c:showVal val="1"/>
          </c:dLbls>
          <c:cat>
            <c:numRef>
              <c:f>Feuil1!$F$213:$F$219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Feuil1!$G$213:$G$219</c:f>
              <c:numCache>
                <c:formatCode>0.0</c:formatCode>
                <c:ptCount val="7"/>
                <c:pt idx="0">
                  <c:v>14</c:v>
                </c:pt>
                <c:pt idx="1">
                  <c:v>13.6</c:v>
                </c:pt>
                <c:pt idx="2">
                  <c:v>11.7</c:v>
                </c:pt>
                <c:pt idx="3">
                  <c:v>15.6</c:v>
                </c:pt>
                <c:pt idx="4">
                  <c:v>18.2</c:v>
                </c:pt>
                <c:pt idx="5">
                  <c:v>15.5</c:v>
                </c:pt>
                <c:pt idx="6">
                  <c:v>16.283748832249074</c:v>
                </c:pt>
              </c:numCache>
            </c:numRef>
          </c:val>
        </c:ser>
        <c:ser>
          <c:idx val="1"/>
          <c:order val="1"/>
          <c:tx>
            <c:strRef>
              <c:f>Feuil1!$H$212</c:f>
              <c:strCache>
                <c:ptCount val="1"/>
                <c:pt idx="0">
                  <c:v>قروي</c:v>
                </c:pt>
              </c:strCache>
            </c:strRef>
          </c:tx>
          <c:spPr>
            <a:ln>
              <a:solidFill>
                <a:schemeClr val="bg1">
                  <a:lumMod val="50000"/>
                </a:schemeClr>
              </a:solidFill>
            </a:ln>
          </c:spPr>
          <c:marker>
            <c:symbol val="none"/>
          </c:marker>
          <c:dLbls>
            <c:showVal val="1"/>
          </c:dLbls>
          <c:cat>
            <c:numRef>
              <c:f>Feuil1!$F$213:$F$219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Feuil1!$H$213:$H$219</c:f>
              <c:numCache>
                <c:formatCode>0.0</c:formatCode>
                <c:ptCount val="7"/>
                <c:pt idx="0">
                  <c:v>3.2</c:v>
                </c:pt>
                <c:pt idx="1">
                  <c:v>3.3</c:v>
                </c:pt>
                <c:pt idx="2">
                  <c:v>3</c:v>
                </c:pt>
                <c:pt idx="3">
                  <c:v>7.2</c:v>
                </c:pt>
                <c:pt idx="4">
                  <c:v>4.8</c:v>
                </c:pt>
                <c:pt idx="5">
                  <c:v>4.2</c:v>
                </c:pt>
                <c:pt idx="6">
                  <c:v>5.6907852837571555</c:v>
                </c:pt>
              </c:numCache>
            </c:numRef>
          </c:val>
        </c:ser>
        <c:ser>
          <c:idx val="2"/>
          <c:order val="2"/>
          <c:tx>
            <c:strRef>
              <c:f>Feuil1!$I$212</c:f>
              <c:strCache>
                <c:ptCount val="1"/>
                <c:pt idx="0">
                  <c:v>وطني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none"/>
          </c:marker>
          <c:dLbls>
            <c:showVal val="1"/>
          </c:dLbls>
          <c:cat>
            <c:numRef>
              <c:f>Feuil1!$F$213:$F$219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Feuil1!$I$213:$I$219</c:f>
              <c:numCache>
                <c:formatCode>0.0</c:formatCode>
                <c:ptCount val="7"/>
                <c:pt idx="0">
                  <c:v>9.3000000000000007</c:v>
                </c:pt>
                <c:pt idx="1">
                  <c:v>9.3000000000000007</c:v>
                </c:pt>
                <c:pt idx="2">
                  <c:v>8.1</c:v>
                </c:pt>
                <c:pt idx="3">
                  <c:v>12.3</c:v>
                </c:pt>
                <c:pt idx="4">
                  <c:v>12.8</c:v>
                </c:pt>
                <c:pt idx="5">
                  <c:v>11.2</c:v>
                </c:pt>
                <c:pt idx="6">
                  <c:v>12.359912893592854</c:v>
                </c:pt>
              </c:numCache>
            </c:numRef>
          </c:val>
        </c:ser>
        <c:marker val="1"/>
        <c:axId val="114997888"/>
        <c:axId val="115085696"/>
      </c:lineChart>
      <c:catAx>
        <c:axId val="114997888"/>
        <c:scaling>
          <c:orientation val="minMax"/>
        </c:scaling>
        <c:axPos val="b"/>
        <c:numFmt formatCode="General" sourceLinked="1"/>
        <c:tickLblPos val="nextTo"/>
        <c:crossAx val="115085696"/>
        <c:crosses val="autoZero"/>
        <c:auto val="1"/>
        <c:lblAlgn val="ctr"/>
        <c:lblOffset val="100"/>
      </c:catAx>
      <c:valAx>
        <c:axId val="115085696"/>
        <c:scaling>
          <c:orientation val="minMax"/>
        </c:scaling>
        <c:delete val="1"/>
        <c:axPos val="l"/>
        <c:numFmt formatCode="0.0" sourceLinked="1"/>
        <c:tickLblPos val="none"/>
        <c:crossAx val="114997888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Feuil1!$B$108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showVal val="1"/>
          </c:dLbls>
          <c:cat>
            <c:strRef>
              <c:f>Feuil1!$A$109:$A$116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بدون شهادة</c:v>
                </c:pt>
                <c:pt idx="6">
                  <c:v>حاملوا الشهادة</c:v>
                </c:pt>
                <c:pt idx="7">
                  <c:v>وطني</c:v>
                </c:pt>
              </c:strCache>
            </c:strRef>
          </c:cat>
          <c:val>
            <c:numRef>
              <c:f>Feuil1!$B$109:$B$116</c:f>
              <c:numCache>
                <c:formatCode>0.0</c:formatCode>
                <c:ptCount val="8"/>
                <c:pt idx="0">
                  <c:v>15.532640319919079</c:v>
                </c:pt>
                <c:pt idx="1">
                  <c:v>4.1754630286293724</c:v>
                </c:pt>
                <c:pt idx="2">
                  <c:v>9.9353483494829504</c:v>
                </c:pt>
                <c:pt idx="3">
                  <c:v>15.1150463654195</c:v>
                </c:pt>
                <c:pt idx="4">
                  <c:v>30.177284294397381</c:v>
                </c:pt>
                <c:pt idx="5">
                  <c:v>3.6475612609706189</c:v>
                </c:pt>
                <c:pt idx="6">
                  <c:v>17.960199216170803</c:v>
                </c:pt>
                <c:pt idx="7">
                  <c:v>11.171832997745827</c:v>
                </c:pt>
              </c:numCache>
            </c:numRef>
          </c:val>
        </c:ser>
        <c:ser>
          <c:idx val="1"/>
          <c:order val="1"/>
          <c:tx>
            <c:strRef>
              <c:f>Feuil1!$C$108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/>
            </a:solidFill>
          </c:spPr>
          <c:dLbls>
            <c:showVal val="1"/>
          </c:dLbls>
          <c:cat>
            <c:strRef>
              <c:f>Feuil1!$A$109:$A$116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 بين 15 و 24 سنة</c:v>
                </c:pt>
                <c:pt idx="5">
                  <c:v>بدون شهادة</c:v>
                </c:pt>
                <c:pt idx="6">
                  <c:v>حاملوا الشهادة</c:v>
                </c:pt>
                <c:pt idx="7">
                  <c:v>وطني</c:v>
                </c:pt>
              </c:strCache>
            </c:strRef>
          </c:cat>
          <c:val>
            <c:numRef>
              <c:f>Feuil1!$C$109:$C$116</c:f>
              <c:numCache>
                <c:formatCode>0.0</c:formatCode>
                <c:ptCount val="8"/>
                <c:pt idx="0">
                  <c:v>16.283748832249074</c:v>
                </c:pt>
                <c:pt idx="1">
                  <c:v>5.6907852837571555</c:v>
                </c:pt>
                <c:pt idx="2">
                  <c:v>10.951208971123904</c:v>
                </c:pt>
                <c:pt idx="3">
                  <c:v>17.024390585708062</c:v>
                </c:pt>
                <c:pt idx="4">
                  <c:v>33.599458000079366</c:v>
                </c:pt>
                <c:pt idx="5">
                  <c:v>4.4682302464189245</c:v>
                </c:pt>
                <c:pt idx="6">
                  <c:v>19.161765618890499</c:v>
                </c:pt>
                <c:pt idx="7">
                  <c:v>12.359912893592854</c:v>
                </c:pt>
              </c:numCache>
            </c:numRef>
          </c:val>
        </c:ser>
        <c:gapWidth val="75"/>
        <c:overlap val="-25"/>
        <c:axId val="115119232"/>
        <c:axId val="115120768"/>
      </c:barChart>
      <c:catAx>
        <c:axId val="115119232"/>
        <c:scaling>
          <c:orientation val="minMax"/>
        </c:scaling>
        <c:axPos val="b"/>
        <c:majorTickMark val="none"/>
        <c:tickLblPos val="nextTo"/>
        <c:crossAx val="115120768"/>
        <c:crosses val="autoZero"/>
        <c:auto val="1"/>
        <c:lblAlgn val="ctr"/>
        <c:lblOffset val="100"/>
      </c:catAx>
      <c:valAx>
        <c:axId val="115120768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15119232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Feuil1!$D$8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79646"/>
            </a:solidFill>
          </c:spPr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Feuil1!$C$9:$C$11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Feuil1!$D$9:$D$11</c:f>
              <c:numCache>
                <c:formatCode>0.0</c:formatCode>
                <c:ptCount val="3"/>
                <c:pt idx="0">
                  <c:v>7.7</c:v>
                </c:pt>
                <c:pt idx="1">
                  <c:v>9.6</c:v>
                </c:pt>
                <c:pt idx="2">
                  <c:v>8.5</c:v>
                </c:pt>
              </c:numCache>
            </c:numRef>
          </c:val>
        </c:ser>
        <c:ser>
          <c:idx val="1"/>
          <c:order val="1"/>
          <c:tx>
            <c:strRef>
              <c:f>Feuil1!$E$8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dLbl>
              <c:idx val="2"/>
              <c:tx>
                <c:rich>
                  <a:bodyPr/>
                  <a:lstStyle/>
                  <a:p>
                    <a:r>
                      <a:rPr lang="en-US" sz="900"/>
                      <a:t>9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Feuil1!$C$9:$C$11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Feuil1!$E$9:$E$11</c:f>
              <c:numCache>
                <c:formatCode>0.0</c:formatCode>
                <c:ptCount val="3"/>
                <c:pt idx="0">
                  <c:v>8.4</c:v>
                </c:pt>
                <c:pt idx="1">
                  <c:v>9.9</c:v>
                </c:pt>
                <c:pt idx="2">
                  <c:v>9</c:v>
                </c:pt>
              </c:numCache>
            </c:numRef>
          </c:val>
        </c:ser>
        <c:overlap val="-25"/>
        <c:axId val="105476864"/>
        <c:axId val="105478400"/>
      </c:barChart>
      <c:catAx>
        <c:axId val="105476864"/>
        <c:scaling>
          <c:orientation val="minMax"/>
        </c:scaling>
        <c:axPos val="b"/>
        <c:tickLblPos val="nextTo"/>
        <c:crossAx val="105478400"/>
        <c:crosses val="autoZero"/>
        <c:auto val="1"/>
        <c:lblAlgn val="ctr"/>
        <c:lblOffset val="100"/>
      </c:catAx>
      <c:valAx>
        <c:axId val="105478400"/>
        <c:scaling>
          <c:orientation val="minMax"/>
        </c:scaling>
        <c:delete val="1"/>
        <c:axPos val="l"/>
        <c:numFmt formatCode="0.0" sourceLinked="1"/>
        <c:tickLblPos val="none"/>
        <c:crossAx val="105476864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clustered"/>
        <c:ser>
          <c:idx val="0"/>
          <c:order val="0"/>
          <c:dPt>
            <c:idx val="10"/>
            <c:spPr>
              <a:solidFill>
                <a:schemeClr val="accent6"/>
              </a:solidFill>
            </c:spPr>
          </c:dPt>
          <c:dLbls>
            <c:showVal val="1"/>
          </c:dLbls>
          <c:cat>
            <c:strRef>
              <c:f>Feuil1!$A$40:$A$50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</c:v>
                </c:pt>
                <c:pt idx="10">
                  <c:v>المجموع</c:v>
                </c:pt>
              </c:strCache>
            </c:strRef>
          </c:cat>
          <c:val>
            <c:numRef>
              <c:f>Feuil1!$B$40:$B$50</c:f>
              <c:numCache>
                <c:formatCode>0.0</c:formatCode>
                <c:ptCount val="11"/>
                <c:pt idx="0">
                  <c:v>50.168605530840502</c:v>
                </c:pt>
                <c:pt idx="1">
                  <c:v>41.230348773345078</c:v>
                </c:pt>
                <c:pt idx="2">
                  <c:v>42.492505822338188</c:v>
                </c:pt>
                <c:pt idx="3">
                  <c:v>45.472643430833394</c:v>
                </c:pt>
                <c:pt idx="4">
                  <c:v>40.147286006056</c:v>
                </c:pt>
                <c:pt idx="5">
                  <c:v>47.025213420128523</c:v>
                </c:pt>
                <c:pt idx="6">
                  <c:v>44.610482818274761</c:v>
                </c:pt>
                <c:pt idx="7">
                  <c:v>46.122684268885116</c:v>
                </c:pt>
                <c:pt idx="8">
                  <c:v>41.15346017796584</c:v>
                </c:pt>
                <c:pt idx="9">
                  <c:v>45.622694164147454</c:v>
                </c:pt>
                <c:pt idx="10">
                  <c:v>44.834372927663324</c:v>
                </c:pt>
              </c:numCache>
            </c:numRef>
          </c:val>
        </c:ser>
        <c:axId val="98559104"/>
        <c:axId val="98560640"/>
      </c:barChart>
      <c:catAx>
        <c:axId val="98559104"/>
        <c:scaling>
          <c:orientation val="minMax"/>
        </c:scaling>
        <c:axPos val="l"/>
        <c:tickLblPos val="nextTo"/>
        <c:crossAx val="98560640"/>
        <c:crosses val="autoZero"/>
        <c:auto val="1"/>
        <c:lblAlgn val="ctr"/>
        <c:lblOffset val="100"/>
      </c:catAx>
      <c:valAx>
        <c:axId val="98560640"/>
        <c:scaling>
          <c:orientation val="minMax"/>
        </c:scaling>
        <c:delete val="1"/>
        <c:axPos val="b"/>
        <c:numFmt formatCode="0.0" sourceLinked="1"/>
        <c:tickLblPos val="none"/>
        <c:crossAx val="98559104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clustered"/>
        <c:ser>
          <c:idx val="0"/>
          <c:order val="0"/>
          <c:dPt>
            <c:idx val="10"/>
            <c:spPr>
              <a:solidFill>
                <a:srgbClr val="F79646"/>
              </a:solidFill>
            </c:spPr>
          </c:dPt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Feuil1!$A$25:$A$35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</c:v>
                </c:pt>
                <c:pt idx="10">
                  <c:v>المجموع</c:v>
                </c:pt>
              </c:strCache>
            </c:strRef>
          </c:cat>
          <c:val>
            <c:numRef>
              <c:f>Feuil1!$B$25:$B$35</c:f>
              <c:numCache>
                <c:formatCode>0.0</c:formatCode>
                <c:ptCount val="11"/>
                <c:pt idx="0">
                  <c:v>8.4514926626616766</c:v>
                </c:pt>
                <c:pt idx="1">
                  <c:v>20.252497167445387</c:v>
                </c:pt>
                <c:pt idx="2">
                  <c:v>13.211773004921648</c:v>
                </c:pt>
                <c:pt idx="3">
                  <c:v>11.432625482838468</c:v>
                </c:pt>
                <c:pt idx="4">
                  <c:v>12.90151668585635</c:v>
                </c:pt>
                <c:pt idx="5">
                  <c:v>14.293945216952835</c:v>
                </c:pt>
                <c:pt idx="6">
                  <c:v>6.7194021842108889</c:v>
                </c:pt>
                <c:pt idx="7">
                  <c:v>10.10915381612782</c:v>
                </c:pt>
                <c:pt idx="8">
                  <c:v>12.579977316229074</c:v>
                </c:pt>
                <c:pt idx="9">
                  <c:v>23.779545751505029</c:v>
                </c:pt>
                <c:pt idx="10">
                  <c:v>12.359912893592854</c:v>
                </c:pt>
              </c:numCache>
            </c:numRef>
          </c:val>
        </c:ser>
        <c:axId val="106114432"/>
        <c:axId val="106120320"/>
      </c:barChart>
      <c:catAx>
        <c:axId val="106114432"/>
        <c:scaling>
          <c:orientation val="minMax"/>
        </c:scaling>
        <c:axPos val="l"/>
        <c:tickLblPos val="nextTo"/>
        <c:crossAx val="106120320"/>
        <c:crosses val="autoZero"/>
        <c:auto val="1"/>
        <c:lblAlgn val="ctr"/>
        <c:lblOffset val="100"/>
      </c:catAx>
      <c:valAx>
        <c:axId val="106120320"/>
        <c:scaling>
          <c:orientation val="minMax"/>
        </c:scaling>
        <c:delete val="1"/>
        <c:axPos val="b"/>
        <c:numFmt formatCode="0.0" sourceLinked="1"/>
        <c:tickLblPos val="none"/>
        <c:crossAx val="10611443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D6C0-6165-4B4A-82CD-3D51FB79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1767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zouazzani</dc:creator>
  <cp:lastModifiedBy>HCP</cp:lastModifiedBy>
  <cp:revision>3</cp:revision>
  <cp:lastPrinted>2023-07-27T13:59:00Z</cp:lastPrinted>
  <dcterms:created xsi:type="dcterms:W3CDTF">2023-08-03T09:25:00Z</dcterms:created>
  <dcterms:modified xsi:type="dcterms:W3CDTF">2023-08-03T10:06:00Z</dcterms:modified>
</cp:coreProperties>
</file>