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A8" w:rsidRDefault="00D459A8" w:rsidP="000D6655">
      <w:pPr>
        <w:bidi/>
        <w:spacing w:after="0" w:line="312" w:lineRule="auto"/>
        <w:jc w:val="center"/>
        <w:rPr>
          <w:rFonts w:asciiTheme="majorBidi" w:eastAsiaTheme="majorEastAsia" w:hAnsiTheme="majorBidi" w:cstheme="majorBidi"/>
          <w:b/>
          <w:bCs/>
          <w:shadow/>
          <w:color w:val="4F81BD" w:themeColor="accent1"/>
          <w:spacing w:val="-10"/>
          <w:kern w:val="28"/>
          <w:sz w:val="36"/>
          <w:szCs w:val="36"/>
          <w:rtl/>
        </w:rPr>
      </w:pPr>
    </w:p>
    <w:p w:rsidR="00D459A8" w:rsidRDefault="00D459A8" w:rsidP="000D6655">
      <w:pPr>
        <w:bidi/>
        <w:spacing w:after="0" w:line="312" w:lineRule="auto"/>
        <w:jc w:val="center"/>
        <w:rPr>
          <w:rFonts w:asciiTheme="majorBidi" w:eastAsiaTheme="majorEastAsia" w:hAnsiTheme="majorBidi" w:cstheme="majorBidi"/>
          <w:b/>
          <w:bCs/>
          <w:shadow/>
          <w:color w:val="4F81BD" w:themeColor="accent1"/>
          <w:spacing w:val="-10"/>
          <w:kern w:val="28"/>
          <w:sz w:val="36"/>
          <w:szCs w:val="36"/>
          <w:rtl/>
        </w:rPr>
      </w:pPr>
    </w:p>
    <w:p w:rsidR="00D459A8" w:rsidRDefault="00D459A8" w:rsidP="000D6655">
      <w:pPr>
        <w:bidi/>
        <w:spacing w:after="0" w:line="312" w:lineRule="auto"/>
        <w:jc w:val="center"/>
        <w:rPr>
          <w:rFonts w:asciiTheme="majorBidi" w:eastAsiaTheme="majorEastAsia" w:hAnsiTheme="majorBidi" w:cstheme="majorBidi"/>
          <w:b/>
          <w:bCs/>
          <w:shadow/>
          <w:color w:val="4F81BD" w:themeColor="accent1"/>
          <w:spacing w:val="-10"/>
          <w:kern w:val="28"/>
          <w:sz w:val="36"/>
          <w:szCs w:val="36"/>
          <w:rtl/>
        </w:rPr>
      </w:pPr>
    </w:p>
    <w:p w:rsidR="00D459A8" w:rsidRPr="00772C9F" w:rsidRDefault="00D459A8" w:rsidP="000D6655">
      <w:pPr>
        <w:bidi/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hadow/>
          <w:color w:val="4F81BD" w:themeColor="accent1"/>
          <w:spacing w:val="-10"/>
          <w:kern w:val="28"/>
          <w:sz w:val="32"/>
          <w:szCs w:val="32"/>
        </w:rPr>
      </w:pPr>
      <w:r w:rsidRPr="00772C9F">
        <w:rPr>
          <w:rFonts w:asciiTheme="majorBidi" w:eastAsiaTheme="majorEastAsia" w:hAnsiTheme="majorBidi" w:cstheme="majorBidi"/>
          <w:b/>
          <w:bCs/>
          <w:shadow/>
          <w:color w:val="4F81BD" w:themeColor="accent1"/>
          <w:spacing w:val="-10"/>
          <w:kern w:val="28"/>
          <w:sz w:val="32"/>
          <w:szCs w:val="32"/>
          <w:rtl/>
        </w:rPr>
        <w:t>مذكرة إخبارية للمندوبية السامية للتخطيط حول</w:t>
      </w:r>
    </w:p>
    <w:p w:rsidR="00D459A8" w:rsidRPr="00772C9F" w:rsidRDefault="00D459A8" w:rsidP="000D6655">
      <w:pPr>
        <w:bidi/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hadow/>
          <w:color w:val="4F81BD" w:themeColor="accent1"/>
          <w:spacing w:val="-10"/>
          <w:kern w:val="28"/>
          <w:sz w:val="32"/>
          <w:szCs w:val="32"/>
        </w:rPr>
      </w:pPr>
      <w:r w:rsidRPr="00772C9F">
        <w:rPr>
          <w:rFonts w:asciiTheme="majorBidi" w:eastAsiaTheme="majorEastAsia" w:hAnsiTheme="majorBidi" w:cstheme="majorBidi"/>
          <w:b/>
          <w:bCs/>
          <w:shadow/>
          <w:color w:val="4F81BD" w:themeColor="accent1"/>
          <w:spacing w:val="-10"/>
          <w:kern w:val="28"/>
          <w:sz w:val="32"/>
          <w:szCs w:val="32"/>
          <w:rtl/>
        </w:rPr>
        <w:t>وضعية سوق الشغل خلال</w:t>
      </w:r>
      <w:r w:rsidRPr="00772C9F">
        <w:rPr>
          <w:rFonts w:asciiTheme="majorBidi" w:eastAsiaTheme="majorEastAsia" w:hAnsiTheme="majorBidi" w:cstheme="majorBidi"/>
          <w:b/>
          <w:bCs/>
          <w:shadow/>
          <w:color w:val="4F81BD" w:themeColor="accent1"/>
          <w:spacing w:val="-10"/>
          <w:kern w:val="28"/>
          <w:sz w:val="32"/>
          <w:szCs w:val="32"/>
        </w:rPr>
        <w:t xml:space="preserve"> </w:t>
      </w:r>
      <w:r w:rsidRPr="00772C9F">
        <w:rPr>
          <w:rFonts w:asciiTheme="majorBidi" w:eastAsiaTheme="majorEastAsia" w:hAnsiTheme="majorBidi" w:cstheme="majorBidi"/>
          <w:b/>
          <w:bCs/>
          <w:shadow/>
          <w:color w:val="4F81BD" w:themeColor="accent1"/>
          <w:spacing w:val="-10"/>
          <w:kern w:val="28"/>
          <w:sz w:val="32"/>
          <w:szCs w:val="32"/>
          <w:rtl/>
        </w:rPr>
        <w:t>الفصل الثالث من</w:t>
      </w:r>
      <w:r w:rsidRPr="00772C9F">
        <w:rPr>
          <w:rFonts w:asciiTheme="majorBidi" w:eastAsiaTheme="majorEastAsia" w:hAnsiTheme="majorBidi" w:cstheme="majorBidi"/>
          <w:b/>
          <w:bCs/>
          <w:shadow/>
          <w:color w:val="4F81BD" w:themeColor="accent1"/>
          <w:spacing w:val="-10"/>
          <w:kern w:val="28"/>
          <w:sz w:val="32"/>
          <w:szCs w:val="32"/>
        </w:rPr>
        <w:t xml:space="preserve"> </w:t>
      </w:r>
      <w:r w:rsidRPr="00772C9F">
        <w:rPr>
          <w:rFonts w:asciiTheme="majorBidi" w:eastAsiaTheme="majorEastAsia" w:hAnsiTheme="majorBidi" w:cstheme="majorBidi"/>
          <w:b/>
          <w:bCs/>
          <w:shadow/>
          <w:color w:val="4F81BD" w:themeColor="accent1"/>
          <w:spacing w:val="-10"/>
          <w:kern w:val="28"/>
          <w:sz w:val="32"/>
          <w:szCs w:val="32"/>
          <w:rtl/>
        </w:rPr>
        <w:t xml:space="preserve">سنة </w:t>
      </w:r>
      <w:r w:rsidRPr="00772C9F">
        <w:rPr>
          <w:rFonts w:asciiTheme="majorBidi" w:eastAsiaTheme="majorEastAsia" w:hAnsiTheme="majorBidi" w:cstheme="majorBidi"/>
          <w:b/>
          <w:bCs/>
          <w:shadow/>
          <w:color w:val="4F81BD" w:themeColor="accent1"/>
          <w:spacing w:val="-10"/>
          <w:kern w:val="28"/>
          <w:sz w:val="32"/>
          <w:szCs w:val="32"/>
        </w:rPr>
        <w:t>2023</w:t>
      </w:r>
    </w:p>
    <w:p w:rsidR="00D459A8" w:rsidRPr="005D6234" w:rsidRDefault="00D459A8" w:rsidP="000D6655">
      <w:pPr>
        <w:bidi/>
        <w:spacing w:after="0" w:line="312" w:lineRule="auto"/>
        <w:jc w:val="center"/>
        <w:rPr>
          <w:rFonts w:asciiTheme="majorBidi" w:eastAsiaTheme="majorEastAsia" w:hAnsiTheme="majorBidi" w:cstheme="majorBidi"/>
          <w:b/>
          <w:bCs/>
          <w:color w:val="4F81BD" w:themeColor="accent1"/>
          <w:spacing w:val="-10"/>
          <w:kern w:val="28"/>
          <w:sz w:val="28"/>
          <w:szCs w:val="28"/>
        </w:rPr>
      </w:pPr>
    </w:p>
    <w:p w:rsidR="00D459A8" w:rsidRDefault="00CF086C" w:rsidP="00CF086C">
      <w:pPr>
        <w:bidi/>
        <w:spacing w:line="312" w:lineRule="auto"/>
        <w:jc w:val="center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</w:pPr>
      <w:r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 </w:t>
      </w:r>
    </w:p>
    <w:p w:rsidR="00D459A8" w:rsidRPr="001B6EFD" w:rsidRDefault="000D6655" w:rsidP="007B4958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عرف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الاقتصاد الوطني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،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ما بين الفصل الثالث من سنة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2022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ونفس الفصل من سنة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2023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،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فقد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ان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297</w:t>
      </w:r>
      <w:r w:rsidR="007B4958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.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000  </w:t>
      </w:r>
      <w:r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منصب شغل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، وذلك</w:t>
      </w:r>
      <w:r w:rsidR="00D459A8"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نتيجة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فقدان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29.000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منصب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بالوسط الحضري</w:t>
      </w:r>
      <w:r w:rsidR="00D459A8"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و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269.000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بالوسط القروي</w:t>
      </w:r>
      <w:r w:rsidR="00D459A8"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.</w:t>
      </w:r>
    </w:p>
    <w:p w:rsidR="00D459A8" w:rsidRPr="001B6EFD" w:rsidRDefault="000D6655" w:rsidP="000D6655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فقد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قطاع "الفلاحة والغابة والصيد"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D459A8" w:rsidRPr="00DA4F69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297.000</w:t>
      </w:r>
      <w:r w:rsidR="00D459A8" w:rsidRPr="00DA4F69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منصب</w:t>
      </w:r>
      <w:r w:rsidR="007B4958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7B4958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 xml:space="preserve"> شغل</w:t>
      </w:r>
      <w:r w:rsidR="00D459A8"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،</w:t>
      </w:r>
      <w:r w:rsidR="00D459A8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قطاع</w:t>
      </w:r>
      <w:r w:rsidR="00D459A8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"الخدمات"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D459A8" w:rsidRPr="00DA4F69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15.000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منصب</w:t>
      </w:r>
      <w:r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،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قطاع "البناء والأشغال العمومية"</w:t>
      </w:r>
      <w:r w:rsidR="00D459A8" w:rsidRPr="00DA4F69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2.000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منصب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،</w:t>
      </w:r>
      <w:r w:rsidRPr="000D6655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بينما</w:t>
      </w:r>
      <w:r w:rsidRPr="000D6655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أحدث</w:t>
      </w:r>
      <w:r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قطاع "الصناع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>ة</w:t>
      </w:r>
      <w:r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C305E1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بما فيها الصناعة التقليدية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"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14.000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منصب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.</w:t>
      </w:r>
    </w:p>
    <w:p w:rsidR="00D459A8" w:rsidRDefault="00D459A8" w:rsidP="00D120B5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عرف حجم البطالة </w:t>
      </w:r>
      <w:r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ارتفاعا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بـ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248.000</w:t>
      </w:r>
      <w:r w:rsidR="00C305E1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 xml:space="preserve">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شخص،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نتيجة </w:t>
      </w:r>
      <w:r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ارتفاع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قدره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181.000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عاطل بالوسط الحضري </w:t>
      </w:r>
      <w:r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و67.000 بالوسط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القروي، ليبلغ </w:t>
      </w:r>
      <w:r w:rsidR="00D120B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عدد العاطلين</w:t>
      </w:r>
      <w:r w:rsidR="00D120B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>،</w:t>
      </w:r>
      <w:r w:rsidR="00D120B5" w:rsidRPr="00D120B5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D120B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على المستوى الوطني</w:t>
      </w:r>
      <w:r w:rsidR="00D120B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 xml:space="preserve">،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1.625.000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شخص</w:t>
      </w:r>
      <w:r w:rsidR="00D120B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>،</w:t>
      </w:r>
      <w:r w:rsidR="00D120B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D120B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>خلال الفصل الثالث من 2023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.</w:t>
      </w:r>
    </w:p>
    <w:p w:rsidR="00D459A8" w:rsidRDefault="00D459A8" w:rsidP="00D120B5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</w:pP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وهكذا، انتقل معدل البطالة</w:t>
      </w:r>
      <w:r w:rsidR="00D120B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 xml:space="preserve">، </w:t>
      </w:r>
      <w:r w:rsidR="00D120B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ما بين الفصل الثالث من سنة </w:t>
      </w:r>
      <w:r w:rsidR="00D120B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2022</w:t>
      </w:r>
      <w:r w:rsidR="00D120B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ونفس الفصل من سنة </w:t>
      </w:r>
      <w:r w:rsidR="00D120B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2023</w:t>
      </w:r>
      <w:r w:rsidR="00D120B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>،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من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11,4%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إلى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13,5% 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على المستوى الوطني، من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15%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إلى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17%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بالوسط الحضري ومن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5,2%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إلى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7%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بالوسط القروي.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و</w:t>
      </w:r>
      <w:r w:rsidR="00C305E1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>يبقى معدل البطالة مرتفعا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بين الشباب الذين تتراوح أعمارهم بين 15 و 24 </w:t>
      </w:r>
      <w:r w:rsidR="00DA4F69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سنة</w:t>
      </w:r>
      <w:r w:rsidR="00D120B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>، مسجلا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38,2%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،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والنساء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19,8%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DA4F69" w:rsidRPr="00DA4F69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والأشخاص الحاصلين على شهادة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19,8%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.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</w:p>
    <w:p w:rsidR="00D459A8" w:rsidRPr="00985A27" w:rsidRDefault="00D459A8" w:rsidP="000D6655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 w:rsidRPr="00985A27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م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ن جهته، ارتفع حجم الشغل الناقص </w:t>
      </w:r>
      <w:r w:rsidR="000D665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بـ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94.000 </w:t>
      </w:r>
      <w:r w:rsidRPr="00985A27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شخص</w:t>
      </w:r>
      <w:r w:rsidR="00DA4F69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،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ليصل إلى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1.005.000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شخص. </w:t>
      </w:r>
      <w:r w:rsidR="000D665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وهكذا،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ارتفع معدل الشغل الناقص من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8,5%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إلى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9,6%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على المستوى الوطني، ومن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7,5%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إلى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8,1%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بالوسط الحضري ومن</w:t>
      </w:r>
      <w:r w:rsidR="007B4958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9,9%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إلى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12%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بالوسط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القروي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.</w:t>
      </w:r>
    </w:p>
    <w:p w:rsidR="00D459A8" w:rsidRDefault="00D459A8" w:rsidP="000D6655">
      <w:pPr>
        <w:spacing w:line="312" w:lineRule="auto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br w:type="page"/>
      </w:r>
    </w:p>
    <w:p w:rsidR="00D459A8" w:rsidRPr="005D6234" w:rsidRDefault="00D459A8" w:rsidP="000D6655">
      <w:pPr>
        <w:pStyle w:val="Paragraphedeliste"/>
        <w:numPr>
          <w:ilvl w:val="0"/>
          <w:numId w:val="1"/>
        </w:numPr>
        <w:bidi/>
        <w:spacing w:before="240" w:line="312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5D6234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>النشاط والشغل</w:t>
      </w:r>
    </w:p>
    <w:p w:rsidR="00D459A8" w:rsidRPr="00801AE5" w:rsidRDefault="00D459A8" w:rsidP="000D665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  <w:lang w:bidi="ar-MA"/>
        </w:rPr>
      </w:pPr>
      <w:r w:rsidRPr="005D623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  انخفاض النشاط والشغل </w:t>
      </w:r>
    </w:p>
    <w:p w:rsidR="00D459A8" w:rsidRDefault="005162DD" w:rsidP="003907D3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تراجع</w:t>
      </w:r>
      <w:r w:rsidR="000D665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0D6655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معدل النشاط</w:t>
      </w:r>
      <w:r w:rsidR="000D665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،</w:t>
      </w:r>
      <w:r w:rsidR="000D6655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="00D459A8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ما بين الفصل الثالث من سنة </w:t>
      </w:r>
      <w:r w:rsidR="00D459A8">
        <w:rPr>
          <w:rFonts w:asciiTheme="majorBidi" w:eastAsia="Times New Roman" w:hAnsiTheme="majorBidi" w:cstheme="majorBidi"/>
          <w:sz w:val="28"/>
          <w:szCs w:val="28"/>
          <w:lang w:bidi="tzm-Arab-MA"/>
        </w:rPr>
        <w:t>2022</w:t>
      </w:r>
      <w:r w:rsidR="00D459A8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ونفس </w:t>
      </w:r>
      <w:r w:rsidR="00D459A8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الفصل من سنة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>
        <w:rPr>
          <w:rFonts w:asciiTheme="majorBidi" w:eastAsia="Times New Roman" w:hAnsiTheme="majorBidi" w:cstheme="majorBidi"/>
          <w:sz w:val="28"/>
          <w:szCs w:val="28"/>
          <w:lang w:bidi="tzm-Arab-MA"/>
        </w:rPr>
        <w:t>2023</w:t>
      </w:r>
      <w:r w:rsidR="000D665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،</w:t>
      </w:r>
      <w:r w:rsidR="00D459A8" w:rsidRPr="005D6234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من</w:t>
      </w:r>
      <w:r w:rsidR="00D459A8" w:rsidRPr="005D6234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44% </w:t>
      </w:r>
      <w:r w:rsidR="00D459A8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إلى 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lang w:bidi="tzm-Arab-MA"/>
        </w:rPr>
        <w:t>43,2%</w:t>
      </w:r>
      <w:r w:rsidR="00D459A8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على المستوى الوطني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. </w:t>
      </w:r>
      <w:r w:rsidR="00D459A8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و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لقد انخفض من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48,1% </w:t>
      </w:r>
      <w:r w:rsidR="00D459A8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إلى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45,8% </w:t>
      </w:r>
      <w:r w:rsidR="00D459A8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بالوسط القروي و</w:t>
      </w:r>
      <w:r w:rsidR="00D459A8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استقر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="003907D3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في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41,9% </w:t>
      </w:r>
      <w:r w:rsidR="00D459A8" w:rsidRPr="005162DD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بالوسط الحضري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. </w:t>
      </w:r>
      <w:r w:rsidRPr="005162DD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كما 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انخفض</w:t>
      </w:r>
      <w:r w:rsidRPr="005162DD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هذا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Pr="005162DD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ال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معدل</w:t>
      </w:r>
      <w:r w:rsidRPr="005162DD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لدى كل من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الرجال والنساء بمقدار </w:t>
      </w:r>
      <w:r w:rsidR="007B4958">
        <w:rPr>
          <w:rFonts w:asciiTheme="majorBidi" w:eastAsia="Times New Roman" w:hAnsiTheme="majorBidi" w:cstheme="majorBidi"/>
          <w:sz w:val="28"/>
          <w:szCs w:val="28"/>
          <w:lang w:bidi="tzm-Arab-MA"/>
        </w:rPr>
        <w:t>0,8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نقطة</w:t>
      </w:r>
      <w:r w:rsidRPr="005162DD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،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ل</w:t>
      </w:r>
      <w:r w:rsidR="003907D3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ي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صل </w:t>
      </w:r>
      <w:r w:rsidRPr="005162DD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على التوالي 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إلى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68,7% </w:t>
      </w:r>
      <w:r w:rsidR="00D459A8" w:rsidRPr="005162DD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و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lang w:bidi="tzm-Arab-MA"/>
        </w:rPr>
        <w:t>18,4%</w:t>
      </w:r>
      <w:r w:rsidR="00D459A8" w:rsidRPr="005162DD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.</w:t>
      </w:r>
    </w:p>
    <w:p w:rsidR="00D459A8" w:rsidRPr="005D6234" w:rsidRDefault="00D459A8" w:rsidP="000D6655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</w:pPr>
      <w:r w:rsidRPr="005D6234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  <w:t xml:space="preserve">مبيان 1: تطور معدل النشاط  حسب وسط الإقامة خلال الفصل الثالث منذ سنة </w:t>
      </w:r>
      <w:r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  <w:t>2019</w:t>
      </w:r>
      <w:r w:rsidRPr="005D6234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  <w:t xml:space="preserve"> (ب %)</w:t>
      </w:r>
    </w:p>
    <w:p w:rsidR="00D459A8" w:rsidRDefault="00D459A8" w:rsidP="000D6655">
      <w:pPr>
        <w:bidi/>
        <w:spacing w:line="312" w:lineRule="auto"/>
        <w:jc w:val="center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</w:pPr>
      <w:r w:rsidRPr="007F4AD5">
        <w:rPr>
          <w:rFonts w:asciiTheme="majorBidi" w:eastAsia="Book Antiqua" w:hAnsiTheme="majorBidi" w:cs="Times New Roman"/>
          <w:b/>
          <w:bCs/>
          <w:noProof/>
          <w:color w:val="365F91" w:themeColor="accent1" w:themeShade="BF"/>
          <w:sz w:val="28"/>
          <w:szCs w:val="28"/>
          <w:rtl/>
        </w:rPr>
        <w:drawing>
          <wp:inline distT="0" distB="0" distL="0" distR="0">
            <wp:extent cx="4832350" cy="2209800"/>
            <wp:effectExtent l="0" t="0" r="0" b="0"/>
            <wp:docPr id="7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59A8" w:rsidRPr="00934105" w:rsidRDefault="00D459A8" w:rsidP="00934105">
      <w:pPr>
        <w:tabs>
          <w:tab w:val="left" w:pos="1080"/>
        </w:tabs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bidi="tzm-Arab-MA"/>
        </w:rPr>
      </w:pP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من جهته، تراجع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معدل الشغل</w:t>
      </w:r>
      <w:r w:rsidRPr="005D6234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على المستوى الوطني 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من 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39%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إلى 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>37,4%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(1,6</w:t>
      </w:r>
      <w:r w:rsidR="005162DD"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-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نقطة). </w:t>
      </w:r>
      <w:r w:rsidR="005162DD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عرف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هذا المعدل انخفاضا </w:t>
      </w:r>
      <w:r w:rsidR="005162DD"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بـ 2,9 نقطة </w:t>
      </w:r>
      <w:r w:rsidR="005162DD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ب</w:t>
      </w:r>
      <w:r w:rsidR="005162DD"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الوسط القروي (من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45,5% 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إلى 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>42,6%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) وبـ 0,9 نقطة </w:t>
      </w:r>
      <w:r w:rsidR="005162DD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ب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الوسط الحضري (من 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35,7% </w:t>
      </w:r>
      <w:r w:rsidR="005162DD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إلى</w:t>
      </w:r>
      <w:r w:rsidR="005162DD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>34,8%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). </w:t>
      </w:r>
      <w:r w:rsidR="005162DD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كما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كان الانخفاض في هذا المعدل أكثر </w:t>
      </w:r>
      <w:r w:rsidR="005162DD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حدة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="00934105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في صفوف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الرجال (2</w:t>
      </w:r>
      <w:r w:rsidR="005162DD"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,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2 نقطة)، من 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62,9%</w:t>
      </w:r>
      <w:r w:rsidR="005162DD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إلى 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>60,7%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، </w:t>
      </w:r>
      <w:r w:rsidR="00934105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مقارنة بانخفاضه في صفوف 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النساء (1</w:t>
      </w:r>
      <w:r w:rsidR="00934105"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,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1 نقطة)، من</w:t>
      </w:r>
      <w:r w:rsidR="00934105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>%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15</w:t>
      </w:r>
      <w:r w:rsidR="00934105"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,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9 إلى 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>14,8%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.</w:t>
      </w:r>
    </w:p>
    <w:p w:rsidR="00D459A8" w:rsidRPr="00CA07A9" w:rsidRDefault="00D459A8" w:rsidP="0093410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5D623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فقدان مناصب الشغل، </w:t>
      </w:r>
      <w:r w:rsidR="00934105"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أساسا</w:t>
      </w:r>
      <w:r w:rsidRPr="005D623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غير </w:t>
      </w:r>
      <w:r w:rsidR="00934105"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ال</w:t>
      </w:r>
      <w:r w:rsidRPr="005D623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>مِؤدى عنها</w:t>
      </w:r>
    </w:p>
    <w:p w:rsidR="00D459A8" w:rsidRPr="00934105" w:rsidRDefault="00D459A8" w:rsidP="003907D3">
      <w:pPr>
        <w:tabs>
          <w:tab w:val="left" w:pos="1080"/>
        </w:tabs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bidi="tzm-Arab-MA"/>
        </w:rPr>
      </w:pP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انخفض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حجم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الشغل</w:t>
      </w:r>
      <w:r w:rsid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، مابين الفصل الثالث من سنة 2022</w:t>
      </w:r>
      <w:r w:rsidR="00934105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ونفس</w:t>
      </w:r>
      <w:r w:rsidR="00934105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الفصل </w:t>
      </w:r>
      <w:r w:rsidR="00934105"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من سنة 2023،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="00934105"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بـ</w:t>
      </w:r>
      <w:r w:rsidR="00934105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297.000 </w:t>
      </w:r>
      <w:r w:rsidR="00934105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منصب</w:t>
      </w:r>
      <w:r w:rsidR="00934105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،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وذلك نتيجة فقدان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269.000 </w:t>
      </w:r>
      <w:r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م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نصب شغل بالوسط القروي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و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>29.000</w:t>
      </w:r>
      <w:r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منصب بالوسط</w:t>
      </w:r>
      <w:r w:rsidR="00934105"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الحضري. و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حسب نوع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الشغل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، تم فقدان 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231.000 </w:t>
      </w:r>
      <w:r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منصب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شغل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غير مؤدى عنه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،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وذلك نتيجة فقدان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190.000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شغل بالوسط القروي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و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>41.000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بالوسط الحضري. كما انخفض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الشغل المؤدى عنه </w:t>
      </w:r>
      <w:r w:rsidR="007B4958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 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934105"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بـ</w:t>
      </w:r>
      <w:r w:rsidR="00934105"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934105"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66.000 </w:t>
      </w:r>
      <w:r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منصب، نتيجة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إحداث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>13.000</w:t>
      </w:r>
      <w:r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منصب</w:t>
      </w:r>
      <w:r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بالوسط الحضري و</w:t>
      </w:r>
      <w:r w:rsidR="00934105"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فقدان</w:t>
      </w:r>
      <w:r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934105" w:rsidRPr="00934105">
        <w:rPr>
          <w:rFonts w:asciiTheme="majorBidi" w:eastAsia="Times New Roman" w:hAnsiTheme="majorBidi" w:cstheme="majorBidi"/>
          <w:sz w:val="28"/>
          <w:szCs w:val="28"/>
          <w:lang w:bidi="tzm-Arab-MA"/>
        </w:rPr>
        <w:t>79.000</w:t>
      </w:r>
      <w:r w:rsidRPr="0093410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منصب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بالوسط القروي</w:t>
      </w:r>
      <w:r w:rsidRPr="0093410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.</w:t>
      </w:r>
    </w:p>
    <w:p w:rsidR="00D459A8" w:rsidRDefault="00D459A8" w:rsidP="000D6655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365F91" w:themeColor="accent1" w:themeShade="BF"/>
          <w:rtl/>
        </w:rPr>
      </w:pPr>
    </w:p>
    <w:p w:rsidR="00D459A8" w:rsidRDefault="00D459A8" w:rsidP="000D6655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365F91" w:themeColor="accent1" w:themeShade="BF"/>
          <w:rtl/>
        </w:rPr>
      </w:pPr>
    </w:p>
    <w:p w:rsidR="00D459A8" w:rsidRPr="005D6234" w:rsidRDefault="00D459A8" w:rsidP="00D7414B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365F91" w:themeColor="accent1" w:themeShade="BF"/>
          <w:rtl/>
        </w:rPr>
      </w:pPr>
      <w:r w:rsidRPr="005D6234">
        <w:rPr>
          <w:rFonts w:asciiTheme="majorBidi" w:hAnsiTheme="majorBidi" w:cstheme="majorBidi"/>
          <w:b/>
          <w:bCs/>
          <w:color w:val="365F91" w:themeColor="accent1" w:themeShade="BF"/>
          <w:rtl/>
        </w:rPr>
        <w:lastRenderedPageBreak/>
        <w:t xml:space="preserve">مبيان </w:t>
      </w:r>
      <w:r w:rsidRPr="005D6234">
        <w:rPr>
          <w:rFonts w:asciiTheme="majorBidi" w:hAnsiTheme="majorBidi" w:cstheme="majorBidi"/>
          <w:b/>
          <w:bCs/>
          <w:color w:val="365F91" w:themeColor="accent1" w:themeShade="BF"/>
        </w:rPr>
        <w:t>2</w:t>
      </w:r>
      <w:r w:rsidRPr="005D6234">
        <w:rPr>
          <w:rFonts w:asciiTheme="majorBidi" w:hAnsiTheme="majorBidi" w:cstheme="majorBidi"/>
          <w:b/>
          <w:bCs/>
          <w:color w:val="365F91" w:themeColor="accent1" w:themeShade="BF"/>
          <w:rtl/>
        </w:rPr>
        <w:t xml:space="preserve">: التغير الصافي لمناصب الشغل خلال الفصل الثالث بين سنتي </w:t>
      </w:r>
      <w:r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>2022 و2023</w:t>
      </w:r>
      <w:r w:rsidRPr="005D6234">
        <w:rPr>
          <w:rFonts w:asciiTheme="majorBidi" w:hAnsiTheme="majorBidi" w:cstheme="majorBidi"/>
          <w:b/>
          <w:bCs/>
          <w:color w:val="365F91" w:themeColor="accent1" w:themeShade="BF"/>
          <w:rtl/>
        </w:rPr>
        <w:t xml:space="preserve"> حسب نوع الشغل ووسط الإقامة</w:t>
      </w:r>
    </w:p>
    <w:p w:rsidR="00D459A8" w:rsidRDefault="00632D32" w:rsidP="000D6655">
      <w:pPr>
        <w:tabs>
          <w:tab w:val="left" w:pos="1080"/>
        </w:tabs>
        <w:bidi/>
        <w:spacing w:line="312" w:lineRule="auto"/>
        <w:jc w:val="center"/>
        <w:rPr>
          <w:rFonts w:asciiTheme="majorBidi" w:eastAsia="Book Antiqua" w:hAnsiTheme="majorBidi" w:cstheme="majorBidi"/>
          <w:sz w:val="28"/>
          <w:szCs w:val="28"/>
        </w:rPr>
      </w:pPr>
      <w:r w:rsidRPr="00632D32">
        <w:rPr>
          <w:rFonts w:asciiTheme="majorBidi" w:eastAsia="Book Antiqua" w:hAnsiTheme="majorBidi" w:cs="Times New Roman"/>
          <w:noProof/>
          <w:sz w:val="28"/>
          <w:szCs w:val="28"/>
          <w:rtl/>
        </w:rPr>
        <w:drawing>
          <wp:inline distT="0" distB="0" distL="0" distR="0">
            <wp:extent cx="5019896" cy="1900362"/>
            <wp:effectExtent l="0" t="0" r="0" b="0"/>
            <wp:docPr id="6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59A8" w:rsidRPr="00A81FCB" w:rsidRDefault="00D459A8" w:rsidP="000D665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 w:rsidRPr="006B0119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باستثناء </w:t>
      </w:r>
      <w:r w:rsidR="007B4958"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 xml:space="preserve">قطاع </w:t>
      </w:r>
      <w:r w:rsidRPr="006B0119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الصناعة، شهدت </w:t>
      </w:r>
      <w:r w:rsidRPr="006B0119"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ال</w:t>
      </w:r>
      <w:r w:rsidRPr="006B0119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>قطاعات</w:t>
      </w:r>
      <w:r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6B0119">
        <w:rPr>
          <w:rFonts w:asciiTheme="majorBidi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الأخرى فقدان مناصب شغل</w:t>
      </w:r>
      <w:r w:rsidRPr="006B0119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</w:p>
    <w:p w:rsidR="00D459A8" w:rsidRPr="00D7414B" w:rsidRDefault="00D459A8" w:rsidP="00D7414B">
      <w:pPr>
        <w:bidi/>
        <w:spacing w:before="240" w:after="240"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</w:pP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ما بين الفصل الثالث من سنة </w:t>
      </w:r>
      <w:r>
        <w:rPr>
          <w:rFonts w:asciiTheme="majorBidi" w:eastAsia="Times New Roman" w:hAnsiTheme="majorBidi" w:cstheme="majorBidi"/>
          <w:sz w:val="28"/>
          <w:szCs w:val="28"/>
          <w:lang w:bidi="tzm-Arab-MA"/>
        </w:rPr>
        <w:t>2022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ونفس </w:t>
      </w:r>
      <w:r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الفصل من سنة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bidi="tzm-Arab-MA"/>
        </w:rPr>
        <w:t>2023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،</w:t>
      </w:r>
      <w:r w:rsid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أحدث قطاع "الصناعة</w:t>
      </w:r>
      <w:r w:rsid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7414B"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بما فيها الصناعة التقليدية</w:t>
      </w:r>
      <w:r w:rsidR="00D7414B"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"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7414B" w:rsidRPr="00A81FCB">
        <w:rPr>
          <w:rFonts w:asciiTheme="majorBidi" w:eastAsia="Times New Roman" w:hAnsiTheme="majorBidi" w:cstheme="majorBidi"/>
          <w:sz w:val="28"/>
          <w:szCs w:val="28"/>
          <w:lang w:bidi="tzm-Arab-MA"/>
        </w:rPr>
        <w:t>14.000</w:t>
      </w:r>
      <w:r w:rsid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منصب شغل،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ن</w:t>
      </w:r>
      <w:r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تيجة</w:t>
      </w: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إحداث 24.000 منصب بالوسط الحضري و</w:t>
      </w:r>
      <w:r w:rsidR="00D7414B"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فقدان</w:t>
      </w: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10.000 منصب بالوسط القروي، مسجلا ارتفاعا بنسبة </w:t>
      </w:r>
      <w:r w:rsidRPr="00D7414B">
        <w:rPr>
          <w:rFonts w:asciiTheme="majorBidi" w:eastAsia="Times New Roman" w:hAnsiTheme="majorBidi" w:cstheme="majorBidi"/>
          <w:sz w:val="28"/>
          <w:szCs w:val="28"/>
          <w:lang w:bidi="tzm-Arab-MA"/>
        </w:rPr>
        <w:t>1%</w:t>
      </w:r>
      <w:r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في حجم التشغيل </w:t>
      </w:r>
      <w:r w:rsidR="00D7414B"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ب</w:t>
      </w: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هذا القطاع</w:t>
      </w:r>
      <w:r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.</w:t>
      </w:r>
    </w:p>
    <w:p w:rsidR="00D459A8" w:rsidRPr="00D7414B" w:rsidRDefault="00D459A8" w:rsidP="00D7414B">
      <w:pPr>
        <w:bidi/>
        <w:spacing w:before="240" w:after="240"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</w:pP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و</w:t>
      </w:r>
      <w:r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فقد</w:t>
      </w: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قطاع </w:t>
      </w:r>
      <w:r w:rsidRPr="005D6234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"الفلاحة والغابة والصيد" </w:t>
      </w:r>
      <w:r w:rsidRPr="00D7414B">
        <w:rPr>
          <w:rFonts w:asciiTheme="majorBidi" w:eastAsia="Times New Roman" w:hAnsiTheme="majorBidi" w:cstheme="majorBidi"/>
          <w:sz w:val="28"/>
          <w:szCs w:val="28"/>
          <w:lang w:bidi="tzm-Arab-MA"/>
        </w:rPr>
        <w:t>297.000</w:t>
      </w:r>
      <w:r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منصب شغل (</w:t>
      </w:r>
      <w:r w:rsidRPr="00D7414B">
        <w:rPr>
          <w:rFonts w:asciiTheme="majorBidi" w:eastAsia="Times New Roman" w:hAnsiTheme="majorBidi" w:cstheme="majorBidi"/>
          <w:sz w:val="28"/>
          <w:szCs w:val="28"/>
          <w:lang w:bidi="tzm-Arab-MA"/>
        </w:rPr>
        <w:t>(-10%</w:t>
      </w: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، نتيجة </w:t>
      </w:r>
      <w:r w:rsidR="00D7414B"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فقدان</w:t>
      </w:r>
      <w:r w:rsidR="00D7414B"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Pr="00D7414B">
        <w:rPr>
          <w:rFonts w:asciiTheme="majorBidi" w:eastAsia="Times New Roman" w:hAnsiTheme="majorBidi" w:cstheme="majorBidi"/>
          <w:sz w:val="28"/>
          <w:szCs w:val="28"/>
          <w:lang w:bidi="tzm-Arab-MA"/>
        </w:rPr>
        <w:t>279.000</w:t>
      </w: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منصب بالوسط القروي و</w:t>
      </w:r>
      <w:r w:rsidRPr="00D7414B">
        <w:rPr>
          <w:rFonts w:asciiTheme="majorBidi" w:eastAsia="Times New Roman" w:hAnsiTheme="majorBidi" w:cstheme="majorBidi"/>
          <w:sz w:val="28"/>
          <w:szCs w:val="28"/>
          <w:lang w:bidi="tzm-Arab-MA"/>
        </w:rPr>
        <w:t>18.000</w:t>
      </w:r>
      <w:r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بالوسط الحضري.</w:t>
      </w:r>
    </w:p>
    <w:p w:rsidR="00D459A8" w:rsidRPr="00D7414B" w:rsidRDefault="00D459A8" w:rsidP="00D7414B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</w:pP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وفقد قطاع البناء 2</w:t>
      </w:r>
      <w:r w:rsidR="00680CF8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.</w:t>
      </w: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000 </w:t>
      </w:r>
      <w:r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منصب شغل</w:t>
      </w: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، نتيجة </w:t>
      </w:r>
      <w:r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فقدان</w:t>
      </w:r>
      <w:r w:rsidRPr="00D7414B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20.000 </w:t>
      </w:r>
      <w:r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بالوسط الحضري وإحداث </w:t>
      </w:r>
      <w:r w:rsidRPr="00D7414B">
        <w:rPr>
          <w:rFonts w:asciiTheme="majorBidi" w:eastAsia="Times New Roman" w:hAnsiTheme="majorBidi" w:cstheme="majorBidi"/>
          <w:sz w:val="28"/>
          <w:szCs w:val="28"/>
          <w:lang w:bidi="tzm-Arab-MA"/>
        </w:rPr>
        <w:t>18.000</w:t>
      </w:r>
      <w:r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منصب بالوسط القروي</w:t>
      </w:r>
      <w:r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.</w:t>
      </w:r>
    </w:p>
    <w:p w:rsidR="00D459A8" w:rsidRPr="00D7414B" w:rsidRDefault="00D7414B" w:rsidP="00D7414B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</w:pPr>
      <w:r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كما فقد </w:t>
      </w:r>
      <w:r w:rsidR="00D459A8"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قطاع "الخدمات" 15.000 </w:t>
      </w:r>
      <w:r w:rsidR="00D459A8"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منصب شغل </w:t>
      </w:r>
      <w:r w:rsidR="00D459A8"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على </w:t>
      </w:r>
      <w:r w:rsidR="00D459A8"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المستوى</w:t>
      </w:r>
      <w:r w:rsidR="00D459A8"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الوطني (فقد</w:t>
      </w:r>
      <w:r w:rsidR="00D459A8"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ان</w:t>
      </w:r>
      <w:r w:rsidR="00D459A8" w:rsidRPr="00D7414B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17.000 بالوسط الحضري وإحداث 3.000 بالوسط القروي)</w:t>
      </w:r>
      <w:r w:rsidR="00D459A8" w:rsidRPr="00D7414B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.</w:t>
      </w:r>
      <w:r w:rsidR="00D459A8" w:rsidRPr="00D7414B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</w:t>
      </w:r>
    </w:p>
    <w:p w:rsidR="00D459A8" w:rsidRPr="00D7414B" w:rsidRDefault="00D459A8" w:rsidP="00D7414B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365F91" w:themeColor="accent1" w:themeShade="BF"/>
        </w:rPr>
      </w:pPr>
      <w:r w:rsidRPr="00D7414B">
        <w:rPr>
          <w:rFonts w:asciiTheme="majorBidi" w:hAnsiTheme="majorBidi" w:cstheme="majorBidi"/>
          <w:b/>
          <w:bCs/>
          <w:color w:val="365F91" w:themeColor="accent1" w:themeShade="BF"/>
          <w:rtl/>
        </w:rPr>
        <w:t>مبيان 3: التغير الصافي في معدل الشغل بين الفصل الثالث من سنة 2022 والفصل الثالث من سنة 2023 حسب قطاع النشاط الاقتصادي و</w:t>
      </w:r>
      <w:r w:rsidR="00C305E1" w:rsidRPr="00D7414B"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 xml:space="preserve">سط </w:t>
      </w:r>
      <w:r w:rsidRPr="00D7414B">
        <w:rPr>
          <w:rFonts w:asciiTheme="majorBidi" w:hAnsiTheme="majorBidi" w:cstheme="majorBidi"/>
          <w:b/>
          <w:bCs/>
          <w:color w:val="365F91" w:themeColor="accent1" w:themeShade="BF"/>
          <w:rtl/>
        </w:rPr>
        <w:t>الإقامة</w:t>
      </w:r>
      <w:r w:rsidR="00C305E1" w:rsidRPr="00680CF8">
        <w:rPr>
          <w:rFonts w:asciiTheme="majorBidi" w:hAnsiTheme="majorBidi" w:cstheme="majorBidi"/>
          <w:b/>
          <w:bCs/>
          <w:color w:val="365F91" w:themeColor="accent1" w:themeShade="BF"/>
          <w:vertAlign w:val="superscript"/>
          <w:rtl/>
        </w:rPr>
        <w:footnoteReference w:id="1"/>
      </w:r>
      <w:r w:rsidR="00C305E1" w:rsidRPr="005D6234">
        <w:rPr>
          <w:rFonts w:asciiTheme="majorBidi" w:hAnsiTheme="majorBidi" w:cstheme="majorBidi"/>
          <w:b/>
          <w:bCs/>
          <w:color w:val="365F91" w:themeColor="accent1" w:themeShade="BF"/>
          <w:rtl/>
        </w:rPr>
        <w:t>.</w:t>
      </w:r>
    </w:p>
    <w:p w:rsidR="00242EF6" w:rsidRDefault="00594289" w:rsidP="000D6655">
      <w:pPr>
        <w:autoSpaceDE w:val="0"/>
        <w:autoSpaceDN w:val="0"/>
        <w:bidi/>
        <w:adjustRightInd w:val="0"/>
        <w:spacing w:line="312" w:lineRule="auto"/>
        <w:jc w:val="center"/>
        <w:rPr>
          <w:rFonts w:ascii="Book Antiqua" w:eastAsia="Book Antiqua" w:hAnsi="Book Antiqua" w:cs="Book Antiqua"/>
          <w:sz w:val="24"/>
          <w:szCs w:val="24"/>
          <w:rtl/>
        </w:rPr>
      </w:pPr>
      <w:r w:rsidRPr="00594289">
        <w:rPr>
          <w:rFonts w:ascii="Book Antiqua" w:eastAsia="Book Antiqua" w:hAnsi="Book Antiqua" w:cs="Times New Roman"/>
          <w:noProof/>
          <w:sz w:val="24"/>
          <w:szCs w:val="24"/>
          <w:rtl/>
        </w:rPr>
        <w:drawing>
          <wp:inline distT="0" distB="0" distL="0" distR="0">
            <wp:extent cx="5562600" cy="2159000"/>
            <wp:effectExtent l="0" t="0" r="0" b="0"/>
            <wp:docPr id="5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59A8" w:rsidRPr="005D6234" w:rsidRDefault="00763C34" w:rsidP="00763C34">
      <w:pPr>
        <w:spacing w:line="312" w:lineRule="auto"/>
        <w:jc w:val="right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  <w:r w:rsidRPr="005D6234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>البطالة والشغل الناقص</w:t>
      </w:r>
      <w:r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  <w:t xml:space="preserve"> .2 </w:t>
      </w:r>
    </w:p>
    <w:p w:rsidR="00D459A8" w:rsidRPr="000A54C2" w:rsidRDefault="00D459A8" w:rsidP="000D6655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0070C0"/>
          <w:sz w:val="28"/>
          <w:szCs w:val="28"/>
          <w:rtl/>
        </w:rPr>
      </w:pPr>
      <w:r w:rsidRPr="000A54C2">
        <w:rPr>
          <w:rFonts w:asciiTheme="majorBidi" w:eastAsia="Book Antiqua" w:hAnsiTheme="majorBidi" w:cstheme="majorBidi" w:hint="cs"/>
          <w:b/>
          <w:bCs/>
          <w:color w:val="0070C0"/>
          <w:sz w:val="28"/>
          <w:szCs w:val="28"/>
          <w:rtl/>
        </w:rPr>
        <w:t>ارتفاع</w:t>
      </w:r>
      <w:r w:rsidRPr="000A54C2">
        <w:rPr>
          <w:rFonts w:asciiTheme="majorBidi" w:eastAsia="Book Antiqua" w:hAnsiTheme="majorBidi" w:cstheme="majorBidi"/>
          <w:b/>
          <w:bCs/>
          <w:color w:val="0070C0"/>
          <w:sz w:val="28"/>
          <w:szCs w:val="28"/>
          <w:rtl/>
        </w:rPr>
        <w:t xml:space="preserve"> البطالة</w:t>
      </w:r>
    </w:p>
    <w:p w:rsidR="00D459A8" w:rsidRPr="004223D5" w:rsidRDefault="00D459A8" w:rsidP="00DF0C30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bidi="tzm-Arab-MA"/>
        </w:rPr>
      </w:pP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ارتفع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حجم العاطلين</w:t>
      </w:r>
      <w:r w:rsidR="00DF0C30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، مابين الفصل الثالث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F0C30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من سنة 20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2</w:t>
      </w:r>
      <w:r w:rsidR="00DF0C30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2 ونفس الفصل من سنة 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2023،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بـ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248.000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شخص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، 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منتقل</w:t>
      </w:r>
      <w:r w:rsidRPr="004223D5">
        <w:rPr>
          <w:rFonts w:asciiTheme="majorBidi" w:eastAsia="Times New Roman" w:hAnsiTheme="majorBidi" w:cstheme="majorBidi" w:hint="eastAsia"/>
          <w:sz w:val="28"/>
          <w:szCs w:val="28"/>
          <w:rtl/>
          <w:lang w:bidi="tzm-Arab-MA"/>
        </w:rPr>
        <w:t>ا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بذلك من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1.378.000 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إلى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1.625.000 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عاطل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،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وهو ما يمثل 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ارتفاعا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بـ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18%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. وجاء هذا الارتفاع 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نتيجة 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تزايد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عدد العاطلين بـ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181.000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بالوسط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الحضري وبـ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67.000</w:t>
      </w:r>
      <w:r w:rsidR="00DF0C30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بالوسط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القروي.</w:t>
      </w:r>
    </w:p>
    <w:p w:rsidR="00D459A8" w:rsidRPr="004223D5" w:rsidRDefault="00DF0C30" w:rsidP="007B4958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</w:pP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وهكذا، ارتفع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معدل البطالة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بـ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2,1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نقطة</w:t>
      </w:r>
      <w:r w:rsidR="007B4958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خلال هذه الفترة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، من</w:t>
      </w:r>
      <w:r w:rsidR="00C305E1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11,4%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إ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لى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13,5%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،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="00D459A8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نتيجة ارتفاعه ب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كلا </w:t>
      </w:r>
      <w:r w:rsidR="00D459A8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الوسطين،</w:t>
      </w:r>
      <w:r w:rsidR="00C305E1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حيث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انتقل هذا المعدل من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5,2%</w:t>
      </w:r>
      <w:r w:rsidR="00D459A8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إلى 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7%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بالوسط القروي</w:t>
      </w:r>
      <w:r w:rsidR="00D459A8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(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+1,8</w:t>
      </w:r>
      <w:r w:rsidR="00D459A8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نقطة) و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من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15% 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إلى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17%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="007B4958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بالوسط الحضري 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(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2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+ </w:t>
      </w:r>
      <w:r w:rsidR="00D459A8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نقطة)</w:t>
      </w:r>
      <w:r w:rsidR="00D459A8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.</w:t>
      </w:r>
    </w:p>
    <w:p w:rsidR="00D459A8" w:rsidRPr="004223D5" w:rsidRDefault="00D459A8" w:rsidP="00680CF8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</w:pP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وقد </w:t>
      </w:r>
      <w:r w:rsidR="00DF0C30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هم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ارتفاع البطالة جميع فئات السكان</w:t>
      </w:r>
      <w:r w:rsidR="00680CF8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، حيث 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سجل أكبر</w:t>
      </w:r>
      <w:r w:rsidR="00DF0C30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ارتفاع</w:t>
      </w:r>
      <w:r w:rsid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</w:t>
      </w:r>
      <w:r w:rsid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لهذا المعدل</w:t>
      </w:r>
      <w:r w:rsidR="00DF0C30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(</w:t>
      </w:r>
      <w:r w:rsidR="00DF0C30"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6,5</w:t>
      </w:r>
      <w:r w:rsidR="00DF0C30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+ نقطة)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في صفوف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الشباب المتراوحة أعمارهم</w:t>
      </w:r>
      <w:r w:rsidR="00DF0C30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ما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بين 15 إلى 24 </w:t>
      </w:r>
      <w:r w:rsidR="00DF0C30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سنة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، منتقلا من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31,7% 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إلى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38,2%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، متبوعا بالأشخاص الذين تتراوح أعمارهم </w:t>
      </w:r>
      <w:r w:rsid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ما 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بين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25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و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34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سنة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(+2,5) 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، منتقلا من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18,4%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إلى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20,9%</w:t>
      </w:r>
      <w:r w:rsid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.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كما </w:t>
      </w:r>
      <w:r w:rsid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ارتفع معدل البطالة</w:t>
      </w:r>
      <w:r w:rsid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4223D5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بـ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2</w:t>
      </w:r>
      <w:r w:rsidR="004223D5"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,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2 نقطة </w:t>
      </w:r>
      <w:r w:rsidR="004223D5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لدى </w:t>
      </w:r>
      <w:r w:rsidR="00C305E1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لرجال،</w:t>
      </w:r>
      <w:r w:rsid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منتقلا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من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9,5%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إلى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11,7%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، 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وبـ 2 نقط</w:t>
      </w:r>
      <w:r w:rsid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ة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لدى النساء،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من</w:t>
      </w:r>
      <w:r w:rsid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17,8%</w:t>
      </w:r>
      <w:r w:rsid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إلى</w:t>
      </w:r>
      <w:r w:rsid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19,8%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.</w:t>
      </w:r>
      <w:r w:rsidR="00C305E1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و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حسب 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الشهادة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، سجل 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معدل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البطالة 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ارتفاعا </w:t>
      </w:r>
      <w:r w:rsidR="0003215E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بـ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2,1 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نقطة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لدى حاملي الشهادات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،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منتقلا من</w:t>
      </w:r>
      <w:r w:rsidR="0003215E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17,7%</w:t>
      </w:r>
      <w:r w:rsidR="0003215E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إلى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19,8% 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، و</w:t>
      </w:r>
      <w:r w:rsidR="0003215E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بـ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 </w:t>
      </w:r>
      <w:r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1,4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680CF8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ن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قطة </w:t>
      </w:r>
      <w:r w:rsidR="00841643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لدى ا</w:t>
      </w:r>
      <w:r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لأشخاص بدون شهادة</w:t>
      </w:r>
      <w:r w:rsidR="00841643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،</w:t>
      </w:r>
      <w:r w:rsidR="00841643" w:rsidRPr="00841643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="00841643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من </w:t>
      </w:r>
      <w:r w:rsidR="00841643"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4,1%</w:t>
      </w:r>
      <w:r w:rsidR="00841643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841643" w:rsidRPr="004223D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إلى</w:t>
      </w:r>
      <w:r w:rsidR="00841643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841643" w:rsidRPr="004223D5">
        <w:rPr>
          <w:rFonts w:asciiTheme="majorBidi" w:eastAsia="Times New Roman" w:hAnsiTheme="majorBidi" w:cstheme="majorBidi"/>
          <w:sz w:val="28"/>
          <w:szCs w:val="28"/>
          <w:lang w:bidi="tzm-Arab-MA"/>
        </w:rPr>
        <w:t>5,5%</w:t>
      </w:r>
      <w:r w:rsidR="00841643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.</w:t>
      </w:r>
    </w:p>
    <w:p w:rsidR="00D459A8" w:rsidRPr="00841643" w:rsidRDefault="00D459A8" w:rsidP="000D6655">
      <w:pPr>
        <w:bidi/>
        <w:spacing w:line="312" w:lineRule="auto"/>
        <w:jc w:val="center"/>
        <w:rPr>
          <w:rFonts w:asciiTheme="majorBidi" w:hAnsiTheme="majorBidi" w:cstheme="majorBidi"/>
          <w:b/>
          <w:bCs/>
          <w:color w:val="365F91" w:themeColor="accent1" w:themeShade="BF"/>
        </w:rPr>
      </w:pPr>
      <w:r w:rsidRPr="005D6234">
        <w:rPr>
          <w:rFonts w:asciiTheme="majorBidi" w:hAnsiTheme="majorBidi" w:cstheme="majorBidi"/>
          <w:b/>
          <w:bCs/>
          <w:color w:val="365F91" w:themeColor="accent1" w:themeShade="BF"/>
          <w:rtl/>
        </w:rPr>
        <w:t>مبيان</w:t>
      </w:r>
      <w:r w:rsidR="00E93EB2"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>4</w:t>
      </w:r>
      <w:r w:rsidRPr="005D6234"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>:</w:t>
      </w:r>
      <w:r w:rsidRPr="005D6234">
        <w:rPr>
          <w:rFonts w:asciiTheme="majorBidi" w:hAnsiTheme="majorBidi" w:cstheme="majorBidi"/>
          <w:b/>
          <w:bCs/>
          <w:color w:val="365F91" w:themeColor="accent1" w:themeShade="BF"/>
          <w:rtl/>
        </w:rPr>
        <w:t xml:space="preserve"> تطور معدل البطا</w:t>
      </w:r>
      <w:r>
        <w:rPr>
          <w:rFonts w:asciiTheme="majorBidi" w:hAnsiTheme="majorBidi" w:cstheme="majorBidi"/>
          <w:b/>
          <w:bCs/>
          <w:color w:val="365F91" w:themeColor="accent1" w:themeShade="BF"/>
          <w:rtl/>
        </w:rPr>
        <w:t>لة ما بين الفصل الثالث لسنة 202</w:t>
      </w:r>
      <w:r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 xml:space="preserve">2 </w:t>
      </w:r>
      <w:r>
        <w:rPr>
          <w:rFonts w:asciiTheme="majorBidi" w:hAnsiTheme="majorBidi" w:cstheme="majorBidi"/>
          <w:b/>
          <w:bCs/>
          <w:color w:val="365F91" w:themeColor="accent1" w:themeShade="BF"/>
          <w:rtl/>
        </w:rPr>
        <w:t xml:space="preserve">ونفس الفترة من سنة </w:t>
      </w:r>
      <w:r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 xml:space="preserve">2023 </w:t>
      </w:r>
      <w:r w:rsidRPr="005D6234"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>لدى</w:t>
      </w:r>
      <w:r w:rsidRPr="005D6234">
        <w:rPr>
          <w:rFonts w:asciiTheme="majorBidi" w:hAnsiTheme="majorBidi" w:cstheme="majorBidi"/>
          <w:b/>
          <w:bCs/>
          <w:color w:val="365F91" w:themeColor="accent1" w:themeShade="BF"/>
          <w:rtl/>
        </w:rPr>
        <w:t xml:space="preserve"> بعض فئات </w:t>
      </w:r>
      <w:r w:rsidRPr="005D6234"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>الساكنة (</w:t>
      </w:r>
      <w:r w:rsidRPr="005D6234">
        <w:rPr>
          <w:rFonts w:asciiTheme="majorBidi" w:hAnsiTheme="majorBidi" w:cstheme="majorBidi"/>
          <w:b/>
          <w:bCs/>
          <w:color w:val="365F91" w:themeColor="accent1" w:themeShade="BF"/>
          <w:rtl/>
        </w:rPr>
        <w:t>ب %)</w:t>
      </w:r>
    </w:p>
    <w:p w:rsidR="00D459A8" w:rsidRPr="005D6234" w:rsidRDefault="00D459A8" w:rsidP="000D6655">
      <w:pPr>
        <w:spacing w:line="312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bidi="tzm-Arab-MA"/>
        </w:rPr>
      </w:pPr>
      <w:r>
        <w:rPr>
          <w:noProof/>
        </w:rPr>
        <w:drawing>
          <wp:inline distT="0" distB="0" distL="0" distR="0">
            <wp:extent cx="5556250" cy="2413000"/>
            <wp:effectExtent l="0" t="0" r="0" b="0"/>
            <wp:docPr id="8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59A8" w:rsidRPr="00F807C5" w:rsidRDefault="00841643" w:rsidP="00F807C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bidi="tzm-Arab-MA"/>
        </w:rPr>
      </w:pPr>
      <w:r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من جهة أخرى،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تميزت البطالة خلال هذه الفترة بزيادة نسبة الأشخاص العاطلين </w:t>
      </w:r>
      <w:r w:rsidR="00C305E1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حديثا</w:t>
      </w:r>
      <w:r w:rsidR="00991267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، حيث </w:t>
      </w:r>
      <w:r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رتفعت نسبة الأشخاص </w:t>
      </w:r>
      <w:r w:rsidR="00991267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ال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عاطلين لمدة أقل من </w:t>
      </w:r>
      <w:r w:rsidR="00D459A8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سنة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من 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lang w:bidi="tzm-Arab-MA"/>
        </w:rPr>
        <w:t>31%</w:t>
      </w:r>
      <w:r w:rsidR="00D459A8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إلى</w:t>
      </w:r>
      <w:r w:rsid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lang w:bidi="tzm-Arab-MA"/>
        </w:rPr>
        <w:t>33</w:t>
      </w:r>
      <w:r w:rsidR="00F807C5">
        <w:rPr>
          <w:rFonts w:asciiTheme="majorBidi" w:eastAsia="Times New Roman" w:hAnsiTheme="majorBidi" w:cstheme="majorBidi"/>
          <w:sz w:val="28"/>
          <w:szCs w:val="28"/>
          <w:lang w:bidi="tzm-Arab-MA"/>
        </w:rPr>
        <w:t>,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7% </w:t>
      </w:r>
      <w:r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،</w:t>
      </w:r>
      <w:r w:rsidR="00D459A8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وبذلك انخفض متوسط ​​مدة البطالة من 33 شهرا إلى 31 شهرا.</w:t>
      </w:r>
    </w:p>
    <w:p w:rsidR="00D459A8" w:rsidRPr="00F807C5" w:rsidRDefault="00841643" w:rsidP="007B4958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</w:pPr>
      <w:r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كما أن</w:t>
      </w:r>
      <w:r w:rsidR="007B4958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نصف العاطلين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(50,1%) 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="00F807C5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أصبحوا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في </w:t>
      </w:r>
      <w:r w:rsidR="00F807C5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هذ</w:t>
      </w:r>
      <w:r w:rsid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ه</w:t>
      </w:r>
      <w:r w:rsidR="00F807C5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991267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وضعية </w:t>
      </w:r>
      <w:r w:rsidR="00F807C5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إثر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="00D459A8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الانتهاء من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الدراسة أو</w:t>
      </w:r>
      <w:r w:rsidR="00991267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ال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توقف</w:t>
      </w:r>
      <w:r w:rsidR="00991267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F807C5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ع</w:t>
      </w:r>
      <w:r w:rsidR="00991267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ن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ها 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(38,1%) 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أو </w:t>
      </w:r>
      <w:r w:rsidR="00F807C5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بلوغ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سن العمل</w:t>
      </w:r>
      <w:r w:rsidR="00991267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F807C5">
        <w:rPr>
          <w:rFonts w:asciiTheme="majorBidi" w:eastAsia="Times New Roman" w:hAnsiTheme="majorBidi" w:cstheme="majorBidi"/>
          <w:sz w:val="28"/>
          <w:szCs w:val="28"/>
          <w:lang w:bidi="tzm-Arab-MA"/>
        </w:rPr>
        <w:t>(12%)</w:t>
      </w:r>
      <w:r w:rsidR="00F807C5" w:rsidRP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.</w:t>
      </w:r>
    </w:p>
    <w:p w:rsidR="00D459A8" w:rsidRPr="00F807C5" w:rsidRDefault="00D459A8" w:rsidP="00F807C5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0070C0"/>
          <w:sz w:val="28"/>
          <w:szCs w:val="28"/>
          <w:rtl/>
        </w:rPr>
      </w:pPr>
      <w:r w:rsidRPr="00F807C5">
        <w:rPr>
          <w:rFonts w:asciiTheme="majorBidi" w:eastAsia="Book Antiqua" w:hAnsiTheme="majorBidi" w:cstheme="majorBidi" w:hint="cs"/>
          <w:b/>
          <w:bCs/>
          <w:color w:val="0070C0"/>
          <w:sz w:val="28"/>
          <w:szCs w:val="28"/>
          <w:rtl/>
        </w:rPr>
        <w:lastRenderedPageBreak/>
        <w:t xml:space="preserve">ارتفاع </w:t>
      </w:r>
      <w:r w:rsidRPr="00F807C5">
        <w:rPr>
          <w:rFonts w:asciiTheme="majorBidi" w:eastAsia="Book Antiqua" w:hAnsiTheme="majorBidi" w:cstheme="majorBidi"/>
          <w:b/>
          <w:bCs/>
          <w:color w:val="0070C0"/>
          <w:sz w:val="28"/>
          <w:szCs w:val="28"/>
          <w:rtl/>
        </w:rPr>
        <w:t>الشغل الناقص</w:t>
      </w:r>
    </w:p>
    <w:p w:rsidR="00D459A8" w:rsidRDefault="00D459A8" w:rsidP="00250F4E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</w:pPr>
      <w:r w:rsidRPr="000A54C2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ارتفع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حجم النشيطين المشتغلين في حالة الشغل الناقص على </w:t>
      </w:r>
      <w:r w:rsid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المستوى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الوطني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F807C5"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بـ</w:t>
      </w:r>
      <w:r w:rsidRPr="00250F4E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94.000 </w:t>
      </w:r>
      <w:r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 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شخص، </w:t>
      </w:r>
      <w:r w:rsidR="00991267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ما بين </w:t>
      </w:r>
      <w:r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الفصل الثالث</w:t>
      </w:r>
      <w:r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من سنة 20</w:t>
      </w:r>
      <w:r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2</w:t>
      </w:r>
      <w:r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2 ونفس الفصل من سنة </w:t>
      </w:r>
      <w:r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2023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،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منتقلا</w:t>
      </w:r>
      <w:r w:rsid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من</w:t>
      </w:r>
      <w:r w:rsidRPr="000A54C2">
        <w:rPr>
          <w:rFonts w:asciiTheme="majorBidi" w:eastAsia="Times New Roman" w:hAnsiTheme="majorBidi" w:cstheme="majorBidi"/>
          <w:sz w:val="28"/>
          <w:szCs w:val="28"/>
          <w:lang w:bidi="tzm-Arab-MA"/>
        </w:rPr>
        <w:t>911.000</w:t>
      </w:r>
      <w:r w:rsid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إلى</w:t>
      </w:r>
      <w:r w:rsidRPr="000A54C2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1.005.000 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شخص، ومن</w:t>
      </w:r>
      <w:r w:rsidRPr="000A54C2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488.000 </w:t>
      </w:r>
      <w:r w:rsid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إلى</w:t>
      </w:r>
      <w:r w:rsidRPr="000A54C2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523.000 </w:t>
      </w:r>
      <w:r w:rsid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250F4E"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بالوسط الحضري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ومن</w:t>
      </w:r>
      <w:r w:rsidRPr="000A54C2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423.000 </w:t>
      </w:r>
      <w:r w:rsid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إلى</w:t>
      </w:r>
      <w:r w:rsidRPr="000A54C2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482.000 </w:t>
      </w:r>
      <w:r w:rsidR="00F807C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250F4E"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بالوسط القروي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.</w:t>
      </w:r>
    </w:p>
    <w:p w:rsidR="00D459A8" w:rsidRDefault="00D459A8" w:rsidP="000D665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</w:pP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وهكذا، انتقل معدل الشغل الناقص من</w:t>
      </w:r>
      <w:r w:rsidRPr="000A54C2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8,5% </w:t>
      </w:r>
      <w:r w:rsid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إلى</w:t>
      </w:r>
      <w:r w:rsid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A54C2">
        <w:rPr>
          <w:rFonts w:asciiTheme="majorBidi" w:eastAsia="Times New Roman" w:hAnsiTheme="majorBidi" w:cstheme="majorBidi"/>
          <w:sz w:val="28"/>
          <w:szCs w:val="28"/>
          <w:lang w:bidi="tzm-Arab-MA"/>
        </w:rPr>
        <w:t>9,6%</w:t>
      </w:r>
      <w:r w:rsid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على المستوى الوطني، ومن</w:t>
      </w:r>
      <w:r w:rsidRPr="000A54C2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7,5% </w:t>
      </w:r>
      <w:r w:rsid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إلى</w:t>
      </w:r>
      <w:r w:rsid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A54C2">
        <w:rPr>
          <w:rFonts w:asciiTheme="majorBidi" w:eastAsia="Times New Roman" w:hAnsiTheme="majorBidi" w:cstheme="majorBidi"/>
          <w:sz w:val="28"/>
          <w:szCs w:val="28"/>
          <w:lang w:bidi="tzm-Arab-MA"/>
        </w:rPr>
        <w:t>8,1%</w:t>
      </w:r>
      <w:r w:rsid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بالوسط الحضري ومن</w:t>
      </w:r>
      <w:r w:rsidRPr="000A54C2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9,9% </w:t>
      </w:r>
      <w:r w:rsid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إلى </w:t>
      </w:r>
      <w:r w:rsidRPr="000A54C2">
        <w:rPr>
          <w:rFonts w:asciiTheme="majorBidi" w:eastAsia="Times New Roman" w:hAnsiTheme="majorBidi" w:cstheme="majorBidi"/>
          <w:sz w:val="28"/>
          <w:szCs w:val="28"/>
          <w:lang w:bidi="tzm-Arab-MA"/>
        </w:rPr>
        <w:t>12%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بالوسط القروي.</w:t>
      </w:r>
      <w:bookmarkStart w:id="0" w:name="_GoBack"/>
      <w:bookmarkEnd w:id="0"/>
    </w:p>
    <w:p w:rsidR="00D459A8" w:rsidRPr="00250F4E" w:rsidRDefault="00D459A8" w:rsidP="00D120B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</w:pPr>
      <w:r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وفيما يتعلق بحجم السكان </w:t>
      </w:r>
      <w:r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النشيطين المشتغلين في حالة الشغل </w:t>
      </w:r>
      <w:r w:rsidRPr="000A54C2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الناقص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المرتبط</w:t>
      </w:r>
      <w:r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بعدد ساعات العمل، فقد ارتفع من 401.000 إلى 501.000 شخص على المستوى الوطني. و</w:t>
      </w:r>
      <w:r w:rsidR="00250F4E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</w:t>
      </w:r>
      <w:r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رتفع المعدل المقابل من</w:t>
      </w:r>
      <w:r w:rsidRPr="00250F4E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</w:t>
      </w:r>
      <w:r w:rsidR="00D120B5">
        <w:rPr>
          <w:rFonts w:asciiTheme="majorBidi" w:eastAsia="Times New Roman" w:hAnsiTheme="majorBidi" w:cstheme="majorBidi"/>
          <w:sz w:val="28"/>
          <w:szCs w:val="28"/>
          <w:lang w:bidi="tzm-Arab-MA"/>
        </w:rPr>
        <w:t>3,7</w:t>
      </w:r>
      <w:r w:rsidRPr="00250F4E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% </w:t>
      </w:r>
      <w:r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إلى </w:t>
      </w:r>
      <w:r w:rsidRPr="00250F4E">
        <w:rPr>
          <w:rFonts w:asciiTheme="majorBidi" w:eastAsia="Times New Roman" w:hAnsiTheme="majorBidi" w:cstheme="majorBidi"/>
          <w:sz w:val="28"/>
          <w:szCs w:val="28"/>
          <w:lang w:bidi="tzm-Arab-MA"/>
        </w:rPr>
        <w:t>4,8%</w:t>
      </w:r>
      <w:r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.</w:t>
      </w:r>
    </w:p>
    <w:p w:rsidR="00D459A8" w:rsidRPr="00250F4E" w:rsidRDefault="00991267" w:rsidP="00250F4E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</w:pPr>
      <w:r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وانتقل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عدد السكان </w:t>
      </w:r>
      <w:r w:rsidR="00D459A8"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النشيطين المشتغلين في حالة الشغل </w:t>
      </w:r>
      <w:r w:rsidR="00D459A8" w:rsidRPr="000A54C2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الناقص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المرتبط بعدم كفاية الدخل أو عدم التوافق بين </w:t>
      </w:r>
      <w:r w:rsidR="00D459A8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الدراسة والشغل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من 510.000 إلى 505.000 شخص على المستوى الوطني. أما المعدل المقابل ف</w:t>
      </w:r>
      <w:r w:rsidR="00250F4E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عرف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شبه </w:t>
      </w:r>
      <w:r w:rsidR="00250F4E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</w:t>
      </w:r>
      <w:r w:rsidR="00D459A8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ستقر</w:t>
      </w:r>
      <w:r w:rsidR="00250F4E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ار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،</w:t>
      </w:r>
      <w:r w:rsidR="00250F4E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حيث انتقل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من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4,7%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إلى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lang w:bidi="tzm-Arab-MA"/>
        </w:rPr>
        <w:t>4,8%</w:t>
      </w:r>
      <w:r w:rsidR="00D459A8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.</w:t>
      </w:r>
    </w:p>
    <w:p w:rsidR="00242EF6" w:rsidRPr="00250F4E" w:rsidRDefault="00250F4E" w:rsidP="00250F4E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</w:pPr>
      <w:r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عرف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قطاع البناء</w:t>
      </w:r>
      <w:r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،</w:t>
      </w:r>
      <w:r w:rsidR="00D459A8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حيث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="00D459A8"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الشغل </w:t>
      </w:r>
      <w:r w:rsidR="00D459A8" w:rsidRPr="000A54C2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الناقص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أكثر انتشارا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، </w:t>
      </w:r>
      <w:r w:rsidR="00D459A8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ارتفاعا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في معدل</w:t>
      </w:r>
      <w:r w:rsidR="00D459A8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0A54C2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الشغل الناقص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</w:t>
      </w:r>
      <w:r w:rsidRPr="004223D5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>بـ</w:t>
      </w:r>
      <w:r w:rsidRPr="00250F4E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 3,1 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نقطة (من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15,8% </w:t>
      </w:r>
      <w:r w:rsidR="00D459A8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إلى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lang w:bidi="tzm-Arab-MA"/>
        </w:rPr>
        <w:t>18,9%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)، يليه قطاع "الصناعة</w:t>
      </w:r>
      <w:r w:rsidR="00991267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بما فيها الصناعة التقليدية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" بنسبة </w:t>
      </w:r>
      <w:r w:rsidRPr="00250F4E">
        <w:rPr>
          <w:rFonts w:asciiTheme="majorBidi" w:eastAsia="Times New Roman" w:hAnsiTheme="majorBidi" w:cstheme="majorBidi"/>
          <w:sz w:val="28"/>
          <w:szCs w:val="28"/>
          <w:lang w:bidi="tzm-Arab-MA"/>
        </w:rPr>
        <w:t>2,1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 نقطة (من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lang w:bidi="tzm-Arab-MA"/>
        </w:rPr>
        <w:t xml:space="preserve">5,6% </w:t>
      </w:r>
      <w:r w:rsidR="00D459A8" w:rsidRPr="00250F4E">
        <w:rPr>
          <w:rFonts w:asciiTheme="majorBidi" w:eastAsia="Times New Roman" w:hAnsiTheme="majorBidi" w:cstheme="majorBidi" w:hint="cs"/>
          <w:sz w:val="28"/>
          <w:szCs w:val="28"/>
          <w:rtl/>
          <w:lang w:bidi="tzm-Arab-MA"/>
        </w:rPr>
        <w:t xml:space="preserve">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 xml:space="preserve">إلى 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lang w:bidi="tzm-Arab-MA"/>
        </w:rPr>
        <w:t>7,7%</w:t>
      </w:r>
      <w:r w:rsidR="00D459A8" w:rsidRPr="00250F4E">
        <w:rPr>
          <w:rFonts w:asciiTheme="majorBidi" w:eastAsia="Times New Roman" w:hAnsiTheme="majorBidi" w:cstheme="majorBidi"/>
          <w:sz w:val="28"/>
          <w:szCs w:val="28"/>
          <w:rtl/>
          <w:lang w:bidi="tzm-Arab-MA"/>
        </w:rPr>
        <w:t>).</w:t>
      </w:r>
    </w:p>
    <w:p w:rsidR="00D459A8" w:rsidRPr="005D6234" w:rsidRDefault="00D459A8" w:rsidP="00250F4E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365F91" w:themeColor="accent1" w:themeShade="BF"/>
          <w:rtl/>
        </w:rPr>
      </w:pPr>
      <w:r w:rsidRPr="005D6234">
        <w:rPr>
          <w:rFonts w:asciiTheme="majorBidi" w:hAnsiTheme="majorBidi" w:cstheme="majorBidi"/>
          <w:b/>
          <w:bCs/>
          <w:color w:val="365F91" w:themeColor="accent1" w:themeShade="BF"/>
          <w:rtl/>
        </w:rPr>
        <w:t>مبيان</w:t>
      </w:r>
      <w:r w:rsidR="00E93EB2"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>5</w:t>
      </w:r>
      <w:r w:rsidRPr="005D6234">
        <w:rPr>
          <w:rFonts w:asciiTheme="majorBidi" w:hAnsiTheme="majorBidi" w:cstheme="majorBidi"/>
          <w:b/>
          <w:bCs/>
          <w:color w:val="365F91" w:themeColor="accent1" w:themeShade="BF"/>
          <w:rtl/>
        </w:rPr>
        <w:t>:</w:t>
      </w:r>
      <w:r w:rsidR="00632D32">
        <w:rPr>
          <w:rFonts w:asciiTheme="majorBidi" w:hAnsiTheme="majorBidi" w:cstheme="majorBidi"/>
          <w:b/>
          <w:bCs/>
          <w:color w:val="365F91" w:themeColor="accent1" w:themeShade="BF"/>
        </w:rPr>
        <w:t xml:space="preserve"> </w:t>
      </w:r>
      <w:r w:rsidRPr="005D6234">
        <w:rPr>
          <w:rFonts w:asciiTheme="majorBidi" w:hAnsiTheme="majorBidi" w:cstheme="majorBidi"/>
          <w:b/>
          <w:bCs/>
          <w:color w:val="365F91" w:themeColor="accent1" w:themeShade="BF"/>
          <w:rtl/>
        </w:rPr>
        <w:t>تطور معدل الشغل الناقص ما بين الفصل الثالث لسنة 202</w:t>
      </w:r>
      <w:r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>2</w:t>
      </w:r>
      <w:r>
        <w:rPr>
          <w:rFonts w:asciiTheme="majorBidi" w:hAnsiTheme="majorBidi" w:cstheme="majorBidi"/>
          <w:b/>
          <w:bCs/>
          <w:color w:val="365F91" w:themeColor="accent1" w:themeShade="BF"/>
          <w:rtl/>
        </w:rPr>
        <w:t xml:space="preserve"> ونفس الفترة من سنة 202</w:t>
      </w:r>
      <w:r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>3</w:t>
      </w:r>
      <w:r w:rsidRPr="008A626E">
        <w:rPr>
          <w:rFonts w:asciiTheme="majorBidi" w:hAnsiTheme="majorBidi" w:cstheme="majorBidi"/>
          <w:b/>
          <w:bCs/>
          <w:color w:val="365F91" w:themeColor="accent1" w:themeShade="BF"/>
          <w:rtl/>
        </w:rPr>
        <w:t>حسب قطاعات النشاط الاقتصادي</w:t>
      </w:r>
      <w:r w:rsidRPr="005D6234">
        <w:rPr>
          <w:rFonts w:asciiTheme="majorBidi" w:hAnsiTheme="majorBidi" w:cstheme="majorBidi"/>
          <w:b/>
          <w:bCs/>
          <w:color w:val="365F91" w:themeColor="accent1" w:themeShade="BF"/>
          <w:rtl/>
        </w:rPr>
        <w:t>(ب %)</w:t>
      </w:r>
    </w:p>
    <w:p w:rsidR="00D459A8" w:rsidRDefault="00D459A8" w:rsidP="000D6655">
      <w:pPr>
        <w:bidi/>
        <w:spacing w:line="312" w:lineRule="auto"/>
        <w:jc w:val="center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lang w:bidi="tzm-Arab-MA"/>
        </w:rPr>
      </w:pPr>
      <w:r>
        <w:rPr>
          <w:noProof/>
        </w:rPr>
        <w:drawing>
          <wp:inline distT="0" distB="0" distL="0" distR="0">
            <wp:extent cx="5575300" cy="2000250"/>
            <wp:effectExtent l="0" t="0" r="0" b="0"/>
            <wp:docPr id="9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0F4E" w:rsidRDefault="00250F4E" w:rsidP="00250F4E">
      <w:pPr>
        <w:bidi/>
        <w:spacing w:line="312" w:lineRule="auto"/>
        <w:jc w:val="center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lang w:bidi="tzm-Arab-MA"/>
        </w:rPr>
      </w:pPr>
    </w:p>
    <w:p w:rsidR="00250F4E" w:rsidRDefault="00250F4E" w:rsidP="00250F4E">
      <w:pPr>
        <w:bidi/>
        <w:spacing w:line="312" w:lineRule="auto"/>
        <w:jc w:val="center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lang w:bidi="tzm-Arab-MA"/>
        </w:rPr>
      </w:pPr>
    </w:p>
    <w:p w:rsidR="00250F4E" w:rsidRPr="005D6234" w:rsidRDefault="00250F4E" w:rsidP="00250F4E">
      <w:pPr>
        <w:bidi/>
        <w:spacing w:line="312" w:lineRule="auto"/>
        <w:jc w:val="center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  <w:lang w:bidi="tzm-Arab-MA"/>
        </w:rPr>
      </w:pPr>
    </w:p>
    <w:p w:rsidR="007C049B" w:rsidRPr="00991267" w:rsidRDefault="00991267" w:rsidP="000D6655">
      <w:pPr>
        <w:bidi/>
        <w:spacing w:before="240" w:line="312" w:lineRule="auto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</w:pPr>
      <w:r w:rsidRPr="00991267">
        <w:rPr>
          <w:rFonts w:eastAsiaTheme="majorEastAsia" w:hint="cs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  <w:lastRenderedPageBreak/>
        <w:t xml:space="preserve">3. </w:t>
      </w:r>
      <w:r w:rsidR="007C049B" w:rsidRPr="00991267">
        <w:rPr>
          <w:rFonts w:eastAsiaTheme="majorEastAsia" w:hint="cs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 xml:space="preserve">وضعية </w:t>
      </w:r>
      <w:r w:rsidR="007C049B" w:rsidRPr="00991267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سوق الشغل على المستوى الجهوي</w:t>
      </w:r>
    </w:p>
    <w:p w:rsidR="007C049B" w:rsidRPr="00F406F0" w:rsidRDefault="007C049B" w:rsidP="000D6655">
      <w:pPr>
        <w:bidi/>
        <w:spacing w:line="312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تضم خمس جهات </w:t>
      </w:r>
      <w:r w:rsidR="00CA06A1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72,6% 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من مجموع السكان النشيطين البالغين من العمر 15 سنة فما فوق. وتأتي جهة الدار البيضاء- سطات في المركز 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الأول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بنسبة</w:t>
      </w:r>
      <w:r w:rsidR="00692F09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CA06A1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22,5% 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من مجموع النشيطين متب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ع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="00CA06A1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ب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كل من جهة الرباط -سلا-القنيطرة (</w:t>
      </w:r>
      <w:r w:rsidR="00CA06A1" w:rsidRPr="00F406F0">
        <w:rPr>
          <w:rFonts w:asciiTheme="majorBidi" w:hAnsiTheme="majorBidi" w:cstheme="majorBidi"/>
          <w:sz w:val="28"/>
          <w:szCs w:val="28"/>
          <w:lang w:bidi="ar-MA"/>
        </w:rPr>
        <w:t>13,8%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)، وجهة مراكش-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أ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سفي (</w:t>
      </w:r>
      <w:r w:rsidR="00CA06A1" w:rsidRPr="00F406F0">
        <w:rPr>
          <w:rFonts w:asciiTheme="majorBidi" w:hAnsiTheme="majorBidi" w:cstheme="majorBidi"/>
          <w:sz w:val="28"/>
          <w:szCs w:val="28"/>
          <w:lang w:bidi="ar-MA"/>
        </w:rPr>
        <w:t>13,1%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) </w:t>
      </w:r>
      <w:r w:rsidR="00692F09" w:rsidRPr="00F406F0">
        <w:rPr>
          <w:rFonts w:asciiTheme="majorBidi" w:hAnsiTheme="majorBidi" w:cstheme="majorBidi"/>
          <w:sz w:val="28"/>
          <w:szCs w:val="28"/>
          <w:rtl/>
          <w:lang w:bidi="ar-MA"/>
        </w:rPr>
        <w:t>وفاس-مكناس (</w:t>
      </w:r>
      <w:r w:rsidR="00692F09" w:rsidRPr="00F406F0">
        <w:rPr>
          <w:rFonts w:asciiTheme="majorBidi" w:hAnsiTheme="majorBidi" w:cstheme="majorBidi"/>
          <w:sz w:val="28"/>
          <w:szCs w:val="28"/>
          <w:lang w:bidi="ar-MA"/>
        </w:rPr>
        <w:t>11,7%</w:t>
      </w:r>
      <w:r w:rsidR="00692F09" w:rsidRPr="00F406F0">
        <w:rPr>
          <w:rFonts w:asciiTheme="majorBidi" w:hAnsiTheme="majorBidi" w:cstheme="majorBidi"/>
          <w:sz w:val="28"/>
          <w:szCs w:val="28"/>
          <w:rtl/>
          <w:lang w:bidi="ar-MA"/>
        </w:rPr>
        <w:t>)</w:t>
      </w:r>
      <w:r w:rsidR="00692F09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ثم طنجة-تطوان-الحسيمة (</w:t>
      </w:r>
      <w:r w:rsidR="00CA06A1" w:rsidRPr="00F406F0">
        <w:rPr>
          <w:rFonts w:asciiTheme="majorBidi" w:hAnsiTheme="majorBidi" w:cstheme="majorBidi"/>
          <w:sz w:val="28"/>
          <w:szCs w:val="28"/>
          <w:lang w:bidi="ar-MA"/>
        </w:rPr>
        <w:t>11,5%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).</w:t>
      </w:r>
    </w:p>
    <w:p w:rsidR="00632D32" w:rsidRPr="00F406F0" w:rsidRDefault="007C049B" w:rsidP="00D120B5">
      <w:pPr>
        <w:bidi/>
        <w:spacing w:line="312" w:lineRule="auto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تسجل </w:t>
      </w:r>
      <w:r w:rsidR="00CA06A1" w:rsidRPr="00F406F0">
        <w:rPr>
          <w:rFonts w:asciiTheme="majorBidi" w:hAnsiTheme="majorBidi" w:cs="Times New Roman" w:hint="cs"/>
          <w:sz w:val="28"/>
          <w:szCs w:val="28"/>
          <w:rtl/>
          <w:lang w:bidi="ar-MA"/>
        </w:rPr>
        <w:t>خمس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جهات معدلات نشاط تفوق المعدل الوطني (</w:t>
      </w:r>
      <w:r w:rsidR="00CA06A1" w:rsidRPr="00F406F0">
        <w:rPr>
          <w:rFonts w:asciiTheme="majorBidi" w:hAnsiTheme="majorBidi" w:cstheme="majorBidi"/>
          <w:sz w:val="28"/>
          <w:szCs w:val="28"/>
          <w:lang w:bidi="ar-MA"/>
        </w:rPr>
        <w:t>43,2%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)، ويتعلق الأمر بجهة طنجة-تطوان-الحسيمة(</w:t>
      </w:r>
      <w:r w:rsidR="00CA06A1" w:rsidRPr="00F406F0">
        <w:rPr>
          <w:rFonts w:asciiTheme="majorBidi" w:hAnsiTheme="majorBidi" w:cstheme="majorBidi"/>
          <w:sz w:val="28"/>
          <w:szCs w:val="28"/>
          <w:lang w:bidi="ar-MA"/>
        </w:rPr>
        <w:t>47,0%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) والدارالبيضاء-سطات(</w:t>
      </w:r>
      <w:r w:rsidR="00CA06A1" w:rsidRPr="00F406F0">
        <w:rPr>
          <w:rFonts w:asciiTheme="majorBidi" w:hAnsiTheme="majorBidi" w:cstheme="majorBidi"/>
          <w:sz w:val="28"/>
          <w:szCs w:val="28"/>
          <w:lang w:bidi="ar-MA"/>
        </w:rPr>
        <w:t>45,9%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) </w:t>
      </w:r>
      <w:r w:rsidR="00CA06A1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و جهات الجنوب</w:t>
      </w:r>
      <w:r w:rsidR="002D065B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2D065B" w:rsidRPr="00F406F0">
        <w:rPr>
          <w:rFonts w:asciiTheme="majorBidi" w:hAnsiTheme="majorBidi" w:cstheme="majorBidi"/>
          <w:sz w:val="28"/>
          <w:szCs w:val="28"/>
          <w:lang w:bidi="ar-MA"/>
        </w:rPr>
        <w:t>(45,6%)</w:t>
      </w:r>
      <w:r w:rsidR="00CA06A1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ومراكش-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أ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سفي(</w:t>
      </w:r>
      <w:r w:rsidR="002D065B" w:rsidRPr="00F406F0">
        <w:rPr>
          <w:rFonts w:asciiTheme="majorBidi" w:hAnsiTheme="majorBidi" w:cstheme="majorBidi"/>
          <w:sz w:val="28"/>
          <w:szCs w:val="28"/>
          <w:lang w:val="en-US" w:bidi="ar-MA"/>
        </w:rPr>
        <w:t>43,8</w:t>
      </w:r>
      <w:r w:rsidR="002D065B" w:rsidRPr="00F406F0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)</w:t>
      </w:r>
      <w:r w:rsidR="002D065B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="002D065B"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جهة الرباط -سلا-القنيطرة (</w:t>
      </w:r>
      <w:r w:rsidR="002D065B" w:rsidRPr="00F406F0">
        <w:rPr>
          <w:rFonts w:asciiTheme="majorBidi" w:hAnsiTheme="majorBidi" w:cstheme="majorBidi"/>
          <w:sz w:val="28"/>
          <w:szCs w:val="28"/>
          <w:lang w:bidi="ar-MA"/>
        </w:rPr>
        <w:t>43,6%</w:t>
      </w:r>
      <w:r w:rsidR="002D065B" w:rsidRPr="00F406F0">
        <w:rPr>
          <w:rFonts w:asciiTheme="majorBidi" w:hAnsiTheme="majorBidi" w:cstheme="majorBidi"/>
          <w:sz w:val="28"/>
          <w:szCs w:val="28"/>
          <w:rtl/>
          <w:lang w:bidi="ar-MA"/>
        </w:rPr>
        <w:t>)</w:t>
      </w:r>
      <w:r w:rsidR="002D065B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. </w:t>
      </w:r>
      <w:r w:rsidR="00D120B5" w:rsidRPr="00F406F0">
        <w:rPr>
          <w:rFonts w:asciiTheme="majorBidi" w:hAnsiTheme="majorBidi" w:cstheme="majorBidi"/>
          <w:sz w:val="28"/>
          <w:szCs w:val="28"/>
          <w:rtl/>
          <w:lang w:bidi="ar-MA"/>
        </w:rPr>
        <w:t>بالمقابل،</w:t>
      </w:r>
      <w:r w:rsidR="00D120B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D120B5"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سجلت </w:t>
      </w:r>
      <w:r w:rsidR="00D120B5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أدنى</w:t>
      </w:r>
      <w:r w:rsidR="00D120B5"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المعدلات بكل من</w:t>
      </w:r>
      <w:r w:rsidR="00D120B5" w:rsidRPr="00192E2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D120B5" w:rsidRPr="00F406F0">
        <w:rPr>
          <w:rFonts w:asciiTheme="majorBidi" w:hAnsiTheme="majorBidi" w:cstheme="majorBidi"/>
          <w:sz w:val="28"/>
          <w:szCs w:val="28"/>
          <w:rtl/>
          <w:lang w:bidi="ar-MA"/>
        </w:rPr>
        <w:t>جهة</w:t>
      </w:r>
      <w:r w:rsidR="00D120B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D120B5" w:rsidRPr="00F406F0">
        <w:rPr>
          <w:rFonts w:asciiTheme="majorBidi" w:hAnsiTheme="majorBidi" w:cstheme="majorBidi"/>
          <w:sz w:val="28"/>
          <w:szCs w:val="28"/>
          <w:rtl/>
          <w:lang w:bidi="ar-MA"/>
        </w:rPr>
        <w:t>درعــــة – تافيلالــت</w:t>
      </w:r>
      <w:r w:rsidR="00D120B5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(38,3%)  </w:t>
      </w:r>
      <w:r w:rsidR="00D120B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="00D120B5" w:rsidRPr="00F406F0">
        <w:rPr>
          <w:rFonts w:asciiTheme="majorBidi" w:hAnsiTheme="majorBidi" w:cstheme="majorBidi"/>
          <w:sz w:val="28"/>
          <w:szCs w:val="28"/>
          <w:rtl/>
          <w:lang w:bidi="ar-MA"/>
        </w:rPr>
        <w:t>وجهة سوس-ماسة (</w:t>
      </w:r>
      <w:r w:rsidR="00D120B5" w:rsidRPr="00F406F0">
        <w:rPr>
          <w:rFonts w:asciiTheme="majorBidi" w:hAnsiTheme="majorBidi" w:cstheme="majorBidi"/>
          <w:sz w:val="28"/>
          <w:szCs w:val="28"/>
          <w:lang w:bidi="ar-MA"/>
        </w:rPr>
        <w:t>39,5%</w:t>
      </w:r>
      <w:r w:rsidR="00D120B5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)،</w:t>
      </w:r>
      <w:r w:rsidR="00D120B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D120B5" w:rsidRPr="00F406F0">
        <w:rPr>
          <w:rFonts w:asciiTheme="majorBidi" w:hAnsiTheme="majorBidi" w:cstheme="majorBidi"/>
          <w:sz w:val="28"/>
          <w:szCs w:val="28"/>
          <w:rtl/>
          <w:lang w:bidi="ar-MA"/>
        </w:rPr>
        <w:t>والجهة الشرقية</w:t>
      </w:r>
      <w:r w:rsidR="00D120B5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D120B5" w:rsidRPr="00F406F0">
        <w:rPr>
          <w:rFonts w:asciiTheme="majorBidi" w:hAnsiTheme="majorBidi" w:cstheme="majorBidi"/>
          <w:sz w:val="28"/>
          <w:szCs w:val="28"/>
          <w:rtl/>
          <w:lang w:bidi="ar-MA"/>
        </w:rPr>
        <w:t>(</w:t>
      </w:r>
      <w:r w:rsidR="00D120B5" w:rsidRPr="00F406F0">
        <w:rPr>
          <w:rFonts w:asciiTheme="majorBidi" w:hAnsiTheme="majorBidi" w:cstheme="majorBidi"/>
          <w:sz w:val="28"/>
          <w:szCs w:val="28"/>
          <w:lang w:bidi="ar-MA"/>
        </w:rPr>
        <w:t>39,9%</w:t>
      </w:r>
      <w:r w:rsidR="00D120B5" w:rsidRPr="00F406F0">
        <w:rPr>
          <w:rFonts w:asciiTheme="majorBidi" w:hAnsiTheme="majorBidi" w:cstheme="majorBidi"/>
          <w:sz w:val="28"/>
          <w:szCs w:val="28"/>
          <w:rtl/>
          <w:lang w:bidi="ar-MA"/>
        </w:rPr>
        <w:t>)</w:t>
      </w:r>
      <w:r w:rsidR="00D120B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="00D120B5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="00D120B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جهة </w:t>
      </w:r>
      <w:r w:rsidR="00D120B5"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بني مــلال-خنيفـرة </w:t>
      </w:r>
      <w:r w:rsidR="00D120B5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(40%) </w:t>
      </w:r>
      <w:r w:rsidR="00D120B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="00D120B5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جهة </w:t>
      </w:r>
      <w:r w:rsidR="00D120B5" w:rsidRPr="00F406F0">
        <w:rPr>
          <w:rFonts w:asciiTheme="majorBidi" w:hAnsiTheme="majorBidi" w:cstheme="majorBidi"/>
          <w:sz w:val="28"/>
          <w:szCs w:val="28"/>
          <w:rtl/>
          <w:lang w:bidi="ar-MA"/>
        </w:rPr>
        <w:t>فاس-مكناس (</w:t>
      </w:r>
      <w:r w:rsidR="00D120B5" w:rsidRPr="00F406F0">
        <w:rPr>
          <w:rFonts w:asciiTheme="majorBidi" w:hAnsiTheme="majorBidi" w:cstheme="majorBidi"/>
          <w:sz w:val="28"/>
          <w:szCs w:val="28"/>
          <w:lang w:bidi="ar-MA"/>
        </w:rPr>
        <w:t>41,8%</w:t>
      </w:r>
      <w:r w:rsidR="00D120B5" w:rsidRPr="00F406F0">
        <w:rPr>
          <w:rFonts w:asciiTheme="majorBidi" w:hAnsiTheme="majorBidi" w:cstheme="majorBidi"/>
          <w:sz w:val="28"/>
          <w:szCs w:val="28"/>
          <w:rtl/>
          <w:lang w:bidi="ar-MA"/>
        </w:rPr>
        <w:t>).</w:t>
      </w:r>
    </w:p>
    <w:p w:rsidR="00242EF6" w:rsidRPr="00F406F0" w:rsidRDefault="007C049B" w:rsidP="000D6655">
      <w:pPr>
        <w:bidi/>
        <w:spacing w:line="312" w:lineRule="auto"/>
        <w:jc w:val="center"/>
        <w:rPr>
          <w:rFonts w:asciiTheme="majorBidi" w:hAnsiTheme="majorBidi" w:cstheme="majorBidi"/>
          <w:b/>
          <w:bCs/>
          <w:color w:val="000000" w:themeColor="text1"/>
          <w:lang w:bidi="tzm-Arab-MA"/>
        </w:rPr>
      </w:pPr>
      <w:r w:rsidRPr="00680CF8">
        <w:rPr>
          <w:rFonts w:asciiTheme="majorBidi" w:hAnsiTheme="majorBidi" w:cstheme="majorBidi"/>
          <w:b/>
          <w:bCs/>
          <w:color w:val="365F91" w:themeColor="accent1" w:themeShade="BF"/>
          <w:rtl/>
        </w:rPr>
        <w:t>مبيان</w:t>
      </w:r>
      <w:r w:rsidR="00E93EB2" w:rsidRPr="00680CF8"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>6</w:t>
      </w:r>
      <w:r w:rsidRPr="00680CF8"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 xml:space="preserve">. </w:t>
      </w:r>
      <w:r w:rsidRPr="00680CF8">
        <w:rPr>
          <w:rFonts w:asciiTheme="majorBidi" w:hAnsiTheme="majorBidi" w:cstheme="majorBidi"/>
          <w:b/>
          <w:bCs/>
          <w:color w:val="365F91" w:themeColor="accent1" w:themeShade="BF"/>
          <w:rtl/>
        </w:rPr>
        <w:t xml:space="preserve">معدل النشاط حسب الجهات خلال الفصل الثالث من سنة </w:t>
      </w:r>
      <w:r w:rsidR="00FB130E" w:rsidRPr="00680CF8">
        <w:rPr>
          <w:rFonts w:asciiTheme="majorBidi" w:hAnsiTheme="majorBidi" w:cstheme="majorBidi"/>
          <w:b/>
          <w:bCs/>
          <w:color w:val="365F91" w:themeColor="accent1" w:themeShade="BF"/>
        </w:rPr>
        <w:t>2023</w:t>
      </w:r>
      <w:r w:rsidRPr="00680CF8">
        <w:rPr>
          <w:rFonts w:asciiTheme="majorBidi" w:hAnsiTheme="majorBidi" w:cstheme="majorBidi"/>
          <w:b/>
          <w:bCs/>
          <w:color w:val="365F91" w:themeColor="accent1" w:themeShade="BF"/>
          <w:rtl/>
        </w:rPr>
        <w:t xml:space="preserve"> (</w:t>
      </w:r>
      <w:r w:rsidRPr="00680CF8">
        <w:rPr>
          <w:rFonts w:asciiTheme="majorBidi" w:hAnsiTheme="majorBidi" w:cstheme="majorBidi" w:hint="cs"/>
          <w:b/>
          <w:bCs/>
          <w:color w:val="365F91" w:themeColor="accent1" w:themeShade="BF"/>
          <w:rtl/>
        </w:rPr>
        <w:t xml:space="preserve">ب </w:t>
      </w:r>
      <w:r w:rsidRPr="00680CF8">
        <w:rPr>
          <w:rFonts w:asciiTheme="majorBidi" w:hAnsiTheme="majorBidi" w:cstheme="majorBidi"/>
          <w:b/>
          <w:bCs/>
          <w:color w:val="4F81BD" w:themeColor="accent1"/>
          <w:rtl/>
          <w:lang w:bidi="ar-MA"/>
        </w:rPr>
        <w:t>%)</w:t>
      </w:r>
      <w:r w:rsidR="00242EF6" w:rsidRPr="00242EF6">
        <w:rPr>
          <w:rFonts w:asciiTheme="majorBidi" w:hAnsiTheme="majorBidi" w:cs="Times New Roman"/>
          <w:b/>
          <w:bCs/>
          <w:noProof/>
          <w:color w:val="000000" w:themeColor="text1"/>
          <w:rtl/>
        </w:rPr>
        <w:drawing>
          <wp:inline distT="0" distB="0" distL="0" distR="0">
            <wp:extent cx="4573656" cy="2560320"/>
            <wp:effectExtent l="0" t="0" r="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049B" w:rsidRPr="00F406F0" w:rsidRDefault="007C049B" w:rsidP="000D6655">
      <w:pPr>
        <w:bidi/>
        <w:spacing w:before="240" w:line="312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فيما يتعلق بالبطالة، </w:t>
      </w:r>
      <w:r w:rsidRPr="00F406F0">
        <w:rPr>
          <w:rFonts w:asciiTheme="majorBidi" w:hAnsiTheme="majorBidi" w:cs="Times New Roman"/>
          <w:sz w:val="28"/>
          <w:szCs w:val="28"/>
          <w:rtl/>
          <w:lang w:bidi="ar-MA"/>
        </w:rPr>
        <w:t xml:space="preserve">ما يقارب </w:t>
      </w:r>
      <w:r w:rsidR="002D065B" w:rsidRPr="00F406F0">
        <w:rPr>
          <w:rFonts w:asciiTheme="majorBidi" w:hAnsiTheme="majorBidi" w:cs="Times New Roman" w:hint="cs"/>
          <w:sz w:val="28"/>
          <w:szCs w:val="28"/>
          <w:rtl/>
          <w:lang w:bidi="ar-MA"/>
        </w:rPr>
        <w:t xml:space="preserve">ثلاث أرباع </w:t>
      </w:r>
      <w:r w:rsidR="00147695" w:rsidRPr="00F406F0">
        <w:rPr>
          <w:rFonts w:asciiTheme="majorBidi" w:hAnsiTheme="majorBidi" w:cs="Times New Roman" w:hint="cs"/>
          <w:sz w:val="28"/>
          <w:szCs w:val="28"/>
          <w:rtl/>
          <w:lang w:bidi="ar-MA"/>
        </w:rPr>
        <w:t>من العاطلين</w:t>
      </w:r>
      <w:r w:rsidR="00147695" w:rsidRPr="00F406F0">
        <w:rPr>
          <w:rFonts w:asciiTheme="majorBidi" w:hAnsiTheme="majorBidi" w:cs="Times New Roman"/>
          <w:sz w:val="28"/>
          <w:szCs w:val="28"/>
          <w:lang w:bidi="ar-MA"/>
        </w:rPr>
        <w:t xml:space="preserve">(75,8%) </w:t>
      </w:r>
      <w:r w:rsidR="00147695" w:rsidRPr="00F406F0">
        <w:rPr>
          <w:rFonts w:asciiTheme="majorBidi" w:hAnsiTheme="majorBidi" w:cstheme="majorBidi"/>
          <w:sz w:val="28"/>
          <w:szCs w:val="28"/>
          <w:rtl/>
          <w:lang w:bidi="ar-MA"/>
        </w:rPr>
        <w:t>يتمركزون ب</w:t>
      </w:r>
      <w:r w:rsidR="00147695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ست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جهات. تأتي</w:t>
      </w:r>
      <w:r w:rsidRPr="00F406F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جهة الدار البيضاء-سطات في المقدمة بـ </w:t>
      </w:r>
      <w:r w:rsidR="00241517" w:rsidRPr="00F406F0">
        <w:rPr>
          <w:rFonts w:asciiTheme="majorBidi" w:hAnsiTheme="majorBidi" w:cstheme="majorBidi"/>
          <w:sz w:val="28"/>
          <w:szCs w:val="28"/>
          <w:lang w:bidi="ar-MA"/>
        </w:rPr>
        <w:t>25,1</w:t>
      </w:r>
      <w:r w:rsidR="006B0DA5" w:rsidRPr="00F406F0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F406F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مجموع العاطلين، متبوعة بجهة </w:t>
      </w:r>
      <w:r w:rsidR="006B0DA5" w:rsidRPr="00F406F0">
        <w:rPr>
          <w:rFonts w:asciiTheme="majorBidi" w:hAnsiTheme="majorBidi" w:cstheme="majorBidi"/>
          <w:sz w:val="28"/>
          <w:szCs w:val="28"/>
          <w:rtl/>
          <w:lang w:bidi="ar-MA"/>
        </w:rPr>
        <w:t>فاس-مكناس (</w:t>
      </w:r>
      <w:r w:rsidR="006B0DA5" w:rsidRPr="00F406F0">
        <w:rPr>
          <w:rFonts w:asciiTheme="majorBidi" w:hAnsiTheme="majorBidi" w:cstheme="majorBidi"/>
          <w:sz w:val="28"/>
          <w:szCs w:val="28"/>
          <w:lang w:bidi="ar-MA"/>
        </w:rPr>
        <w:t>(13%</w:t>
      </w:r>
      <w:r w:rsidR="006B0DA5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وجهة الرباط-سلا-القنيطرة(</w:t>
      </w:r>
      <w:r w:rsidRPr="00F406F0">
        <w:rPr>
          <w:rFonts w:asciiTheme="majorBidi" w:hAnsiTheme="majorBidi" w:cstheme="majorBidi"/>
          <w:sz w:val="28"/>
          <w:szCs w:val="28"/>
          <w:lang w:bidi="ar-MA"/>
        </w:rPr>
        <w:t>(</w:t>
      </w:r>
      <w:r w:rsidR="00241517" w:rsidRPr="00F406F0">
        <w:rPr>
          <w:rFonts w:asciiTheme="majorBidi" w:hAnsiTheme="majorBidi" w:cstheme="majorBidi"/>
          <w:sz w:val="28"/>
          <w:szCs w:val="28"/>
          <w:lang w:bidi="ar-MA"/>
        </w:rPr>
        <w:t>11,7%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241517" w:rsidRPr="00F406F0">
        <w:rPr>
          <w:rFonts w:asciiTheme="majorBidi" w:hAnsiTheme="majorBidi" w:cstheme="majorBidi"/>
          <w:sz w:val="28"/>
          <w:szCs w:val="28"/>
          <w:rtl/>
          <w:lang w:bidi="ar-MA"/>
        </w:rPr>
        <w:t>والجهة الشرقية</w:t>
      </w:r>
      <w:r w:rsidR="00241517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 (9,8%)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وجهة </w:t>
      </w:r>
      <w:r w:rsidR="00241517" w:rsidRPr="00F406F0">
        <w:rPr>
          <w:rFonts w:asciiTheme="majorBidi" w:hAnsiTheme="majorBidi" w:cstheme="majorBidi"/>
          <w:sz w:val="28"/>
          <w:szCs w:val="28"/>
          <w:rtl/>
          <w:lang w:bidi="ar-MA"/>
        </w:rPr>
        <w:t>مراكش-</w:t>
      </w:r>
      <w:r w:rsidR="00241517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أ</w:t>
      </w:r>
      <w:r w:rsidR="00241517" w:rsidRPr="00F406F0">
        <w:rPr>
          <w:rFonts w:asciiTheme="majorBidi" w:hAnsiTheme="majorBidi" w:cstheme="majorBidi"/>
          <w:sz w:val="28"/>
          <w:szCs w:val="28"/>
          <w:rtl/>
          <w:lang w:bidi="ar-MA"/>
        </w:rPr>
        <w:t>سفي(</w:t>
      </w:r>
      <w:r w:rsidR="00241517" w:rsidRPr="00F406F0">
        <w:rPr>
          <w:rFonts w:asciiTheme="majorBidi" w:hAnsiTheme="majorBidi" w:cstheme="majorBidi"/>
          <w:sz w:val="28"/>
          <w:szCs w:val="28"/>
          <w:lang w:bidi="ar-MA"/>
        </w:rPr>
        <w:t>8,1%</w:t>
      </w:r>
      <w:r w:rsidR="00241517" w:rsidRPr="00F406F0">
        <w:rPr>
          <w:rFonts w:asciiTheme="majorBidi" w:hAnsiTheme="majorBidi" w:cstheme="majorBidi"/>
          <w:sz w:val="28"/>
          <w:szCs w:val="28"/>
          <w:rtl/>
          <w:lang w:bidi="ar-MA"/>
        </w:rPr>
        <w:t>)</w:t>
      </w:r>
      <w:r w:rsidR="00241517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241517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ثم</w:t>
      </w:r>
      <w:r w:rsidR="00241517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241517" w:rsidRPr="00F406F0">
        <w:rPr>
          <w:rFonts w:asciiTheme="majorBidi" w:hAnsiTheme="majorBidi" w:cstheme="majorBidi"/>
          <w:sz w:val="28"/>
          <w:szCs w:val="28"/>
          <w:rtl/>
          <w:lang w:bidi="ar-MA"/>
        </w:rPr>
        <w:t>جهة سوس-ماسة (</w:t>
      </w:r>
      <w:r w:rsidR="003A4AF5" w:rsidRPr="00F406F0">
        <w:rPr>
          <w:rFonts w:asciiTheme="majorBidi" w:hAnsiTheme="majorBidi" w:cstheme="majorBidi"/>
          <w:sz w:val="28"/>
          <w:szCs w:val="28"/>
          <w:lang w:bidi="ar-MA"/>
        </w:rPr>
        <w:t>8,1%</w:t>
      </w:r>
      <w:r w:rsidR="00241517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)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242EF6" w:rsidRDefault="007C049B" w:rsidP="003907D3">
      <w:pPr>
        <w:bidi/>
        <w:spacing w:before="240" w:line="312" w:lineRule="auto"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tzm-Arab-MA"/>
        </w:rPr>
      </w:pP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وسجلت أعلى مستويات البطالة بكل من جهات الجنوب </w:t>
      </w:r>
      <w:r w:rsidRPr="00F406F0">
        <w:rPr>
          <w:rFonts w:asciiTheme="majorBidi" w:hAnsiTheme="majorBidi" w:cstheme="majorBidi"/>
          <w:sz w:val="28"/>
          <w:szCs w:val="28"/>
          <w:lang w:bidi="ar-MA"/>
        </w:rPr>
        <w:t>(</w:t>
      </w:r>
      <w:r w:rsidR="00301F1C" w:rsidRPr="00F406F0">
        <w:rPr>
          <w:rFonts w:asciiTheme="majorBidi" w:hAnsiTheme="majorBidi" w:cstheme="majorBidi"/>
          <w:sz w:val="28"/>
          <w:szCs w:val="28"/>
          <w:lang w:bidi="ar-MA"/>
        </w:rPr>
        <w:t>23,5%</w:t>
      </w:r>
      <w:r w:rsidRPr="00F406F0">
        <w:rPr>
          <w:rFonts w:asciiTheme="majorBidi" w:hAnsiTheme="majorBidi" w:cstheme="majorBidi"/>
          <w:sz w:val="28"/>
          <w:szCs w:val="28"/>
          <w:lang w:bidi="ar-MA"/>
        </w:rPr>
        <w:t>)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والجهة الشرقية </w:t>
      </w:r>
      <w:r w:rsidR="00241517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301F1C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(20,3%) </w:t>
      </w:r>
      <w:r w:rsidR="00301F1C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="00301F1C"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درعــــة – تافيلالــت</w:t>
      </w:r>
      <w:r w:rsidR="00301F1C" w:rsidRPr="00F406F0">
        <w:rPr>
          <w:rFonts w:asciiTheme="majorBidi" w:hAnsiTheme="majorBidi" w:cstheme="majorBidi"/>
          <w:sz w:val="28"/>
          <w:szCs w:val="28"/>
          <w:lang w:bidi="ar-MA"/>
        </w:rPr>
        <w:t>(</w:t>
      </w:r>
      <w:r w:rsidR="00991267" w:rsidRPr="00F406F0">
        <w:rPr>
          <w:rFonts w:asciiTheme="majorBidi" w:hAnsiTheme="majorBidi" w:cstheme="majorBidi"/>
          <w:sz w:val="28"/>
          <w:szCs w:val="28"/>
          <w:lang w:bidi="ar-MA"/>
        </w:rPr>
        <w:t>1</w:t>
      </w:r>
      <w:r w:rsidR="003907D3" w:rsidRPr="00F406F0">
        <w:rPr>
          <w:rFonts w:asciiTheme="majorBidi" w:hAnsiTheme="majorBidi" w:cstheme="majorBidi"/>
          <w:sz w:val="28"/>
          <w:szCs w:val="28"/>
          <w:lang w:bidi="ar-MA"/>
        </w:rPr>
        <w:t>5</w:t>
      </w:r>
      <w:r w:rsidR="00991267" w:rsidRPr="00F406F0">
        <w:rPr>
          <w:rFonts w:asciiTheme="majorBidi" w:hAnsiTheme="majorBidi" w:cstheme="majorBidi"/>
          <w:sz w:val="28"/>
          <w:szCs w:val="28"/>
          <w:lang w:bidi="ar-MA"/>
        </w:rPr>
        <w:t>,</w:t>
      </w:r>
      <w:r w:rsidR="003907D3">
        <w:rPr>
          <w:rFonts w:asciiTheme="majorBidi" w:hAnsiTheme="majorBidi" w:cstheme="majorBidi"/>
          <w:sz w:val="28"/>
          <w:szCs w:val="28"/>
          <w:lang w:bidi="ar-MA"/>
        </w:rPr>
        <w:t>2</w:t>
      </w:r>
      <w:r w:rsidR="00301F1C" w:rsidRPr="00F406F0">
        <w:rPr>
          <w:rFonts w:asciiTheme="majorBidi" w:hAnsiTheme="majorBidi" w:cstheme="majorBidi"/>
          <w:sz w:val="28"/>
          <w:szCs w:val="28"/>
          <w:lang w:bidi="ar-MA"/>
        </w:rPr>
        <w:t>%)</w:t>
      </w:r>
      <w:r w:rsidR="00301F1C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="00301F1C" w:rsidRPr="00F406F0">
        <w:rPr>
          <w:rFonts w:asciiTheme="majorBidi" w:hAnsiTheme="majorBidi" w:cstheme="majorBidi"/>
          <w:sz w:val="28"/>
          <w:szCs w:val="28"/>
          <w:rtl/>
          <w:lang w:bidi="ar-MA"/>
        </w:rPr>
        <w:t>الدار البيضاء-سطات</w:t>
      </w:r>
      <w:r w:rsidR="00301F1C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F406F0">
        <w:rPr>
          <w:rFonts w:asciiTheme="majorBidi" w:hAnsiTheme="majorBidi" w:cstheme="majorBidi"/>
          <w:sz w:val="28"/>
          <w:szCs w:val="28"/>
          <w:lang w:bidi="ar-MA"/>
        </w:rPr>
        <w:t>(</w:t>
      </w:r>
      <w:r w:rsidR="00301F1C" w:rsidRPr="00F406F0">
        <w:rPr>
          <w:rFonts w:asciiTheme="majorBidi" w:hAnsiTheme="majorBidi" w:cstheme="majorBidi"/>
          <w:sz w:val="28"/>
          <w:szCs w:val="28"/>
          <w:lang w:bidi="ar-MA"/>
        </w:rPr>
        <w:t>15%</w:t>
      </w:r>
      <w:r w:rsidRPr="00F406F0">
        <w:rPr>
          <w:rFonts w:asciiTheme="majorBidi" w:hAnsiTheme="majorBidi" w:cstheme="majorBidi"/>
          <w:sz w:val="28"/>
          <w:szCs w:val="28"/>
          <w:lang w:bidi="ar-MA"/>
        </w:rPr>
        <w:t>)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. وبحدة أقل، 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تسجل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جهت</w:t>
      </w:r>
      <w:r w:rsidR="00301F1C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ان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معدلات 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تفوق المعدل الوطني </w:t>
      </w:r>
      <w:r w:rsidRPr="00F406F0">
        <w:rPr>
          <w:rFonts w:asciiTheme="majorBidi" w:hAnsiTheme="majorBidi" w:cstheme="majorBidi"/>
          <w:sz w:val="28"/>
          <w:szCs w:val="28"/>
          <w:lang w:bidi="ar-MA"/>
        </w:rPr>
        <w:t>(</w:t>
      </w:r>
      <w:r w:rsidR="00301F1C" w:rsidRPr="00F406F0">
        <w:rPr>
          <w:rFonts w:asciiTheme="majorBidi" w:hAnsiTheme="majorBidi" w:cstheme="majorBidi"/>
          <w:sz w:val="28"/>
          <w:szCs w:val="28"/>
          <w:lang w:bidi="ar-MA"/>
        </w:rPr>
        <w:t>13,5%</w:t>
      </w:r>
      <w:r w:rsidRPr="00F406F0">
        <w:rPr>
          <w:rFonts w:asciiTheme="majorBidi" w:hAnsiTheme="majorBidi" w:cstheme="majorBidi"/>
          <w:sz w:val="28"/>
          <w:szCs w:val="28"/>
          <w:lang w:bidi="ar-MA"/>
        </w:rPr>
        <w:t>)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، ويتعلق الأمر بجهات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فاس-مكناس</w:t>
      </w:r>
      <w:r w:rsidRPr="00F406F0">
        <w:rPr>
          <w:rFonts w:asciiTheme="majorBidi" w:hAnsiTheme="majorBidi" w:cstheme="majorBidi"/>
          <w:sz w:val="28"/>
          <w:szCs w:val="28"/>
          <w:lang w:bidi="ar-MA"/>
        </w:rPr>
        <w:t>(</w:t>
      </w:r>
      <w:r w:rsidR="00301F1C" w:rsidRPr="00F406F0">
        <w:rPr>
          <w:rFonts w:asciiTheme="majorBidi" w:hAnsiTheme="majorBidi" w:cstheme="majorBidi"/>
          <w:sz w:val="28"/>
          <w:szCs w:val="28"/>
          <w:lang w:bidi="ar-MA"/>
        </w:rPr>
        <w:t>14,9%</w:t>
      </w:r>
      <w:r w:rsidRPr="00F406F0">
        <w:rPr>
          <w:rFonts w:asciiTheme="majorBidi" w:hAnsiTheme="majorBidi" w:cstheme="majorBidi"/>
          <w:sz w:val="28"/>
          <w:szCs w:val="28"/>
          <w:lang w:bidi="ar-MA"/>
        </w:rPr>
        <w:t>)</w:t>
      </w:r>
      <w:r w:rsidR="00301F1C"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وسوس-ماسة (</w:t>
      </w:r>
      <w:r w:rsidR="00301F1C" w:rsidRPr="00F406F0">
        <w:rPr>
          <w:rFonts w:asciiTheme="majorBidi" w:hAnsiTheme="majorBidi" w:cstheme="majorBidi"/>
          <w:sz w:val="28"/>
          <w:szCs w:val="28"/>
          <w:lang w:bidi="ar-MA"/>
        </w:rPr>
        <w:t>14,6%</w:t>
      </w:r>
      <w:r w:rsidR="00301F1C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).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بالمقابل، سجلت أدنى مستويات البطالة بجه</w:t>
      </w:r>
      <w:r w:rsidR="00763C34">
        <w:rPr>
          <w:rFonts w:asciiTheme="majorBidi" w:hAnsiTheme="majorBidi" w:cstheme="majorBidi" w:hint="cs"/>
          <w:sz w:val="28"/>
          <w:szCs w:val="28"/>
          <w:rtl/>
          <w:lang w:bidi="tzm-Arab-MA"/>
        </w:rPr>
        <w:t>تي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763C34" w:rsidRPr="00F406F0">
        <w:rPr>
          <w:rFonts w:asciiTheme="majorBidi" w:hAnsiTheme="majorBidi" w:cstheme="majorBidi"/>
          <w:sz w:val="28"/>
          <w:szCs w:val="28"/>
          <w:rtl/>
          <w:lang w:bidi="ar-MA"/>
        </w:rPr>
        <w:t>طنجة-تطوان-الحسيمة</w:t>
      </w:r>
      <w:r w:rsidR="00763C34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763C34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مراكش-أسفي</w:t>
      </w:r>
      <w:r w:rsidR="00763C34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حيث كانت على التوالي </w:t>
      </w:r>
      <w:r w:rsidR="00301F1C" w:rsidRPr="00F406F0">
        <w:rPr>
          <w:rFonts w:asciiTheme="majorBidi" w:hAnsiTheme="majorBidi" w:cstheme="majorBidi"/>
          <w:sz w:val="28"/>
          <w:szCs w:val="28"/>
          <w:lang w:bidi="ar-MA"/>
        </w:rPr>
        <w:t xml:space="preserve">8,3% </w:t>
      </w:r>
      <w:r w:rsidRPr="00F406F0">
        <w:rPr>
          <w:rFonts w:asciiTheme="majorBidi" w:hAnsiTheme="majorBidi" w:cstheme="majorBidi"/>
          <w:sz w:val="28"/>
          <w:szCs w:val="28"/>
          <w:rtl/>
          <w:lang w:bidi="ar-MA"/>
        </w:rPr>
        <w:t>و</w:t>
      </w:r>
      <w:r w:rsidR="00301F1C"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301F1C" w:rsidRPr="00F406F0">
        <w:rPr>
          <w:rFonts w:asciiTheme="majorBidi" w:hAnsiTheme="majorBidi" w:cstheme="majorBidi"/>
          <w:sz w:val="28"/>
          <w:szCs w:val="28"/>
          <w:lang w:bidi="ar-MA"/>
        </w:rPr>
        <w:t>9,4%</w:t>
      </w:r>
      <w:r w:rsidRPr="00F406F0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7C049B" w:rsidRPr="00680CF8" w:rsidRDefault="007C049B" w:rsidP="000D6655">
      <w:pPr>
        <w:bidi/>
        <w:spacing w:line="312" w:lineRule="auto"/>
        <w:jc w:val="center"/>
        <w:rPr>
          <w:rFonts w:asciiTheme="majorBidi" w:hAnsiTheme="majorBidi" w:cs="Times New Roman"/>
          <w:b/>
          <w:bCs/>
          <w:noProof/>
          <w:color w:val="4F81BD" w:themeColor="accent1"/>
          <w:rtl/>
        </w:rPr>
      </w:pPr>
      <w:r w:rsidRPr="00680CF8">
        <w:rPr>
          <w:rFonts w:asciiTheme="majorBidi" w:hAnsiTheme="majorBidi" w:cs="Times New Roman"/>
          <w:b/>
          <w:bCs/>
          <w:noProof/>
          <w:color w:val="4F81BD" w:themeColor="accent1"/>
          <w:rtl/>
        </w:rPr>
        <w:lastRenderedPageBreak/>
        <w:t>مبيان</w:t>
      </w:r>
      <w:r w:rsidRPr="00680CF8">
        <w:rPr>
          <w:rFonts w:asciiTheme="majorBidi" w:hAnsiTheme="majorBidi" w:cs="Times New Roman" w:hint="cs"/>
          <w:b/>
          <w:bCs/>
          <w:noProof/>
          <w:color w:val="4F81BD" w:themeColor="accent1"/>
          <w:rtl/>
        </w:rPr>
        <w:t xml:space="preserve"> </w:t>
      </w:r>
      <w:r w:rsidR="00E93EB2" w:rsidRPr="00680CF8">
        <w:rPr>
          <w:rFonts w:asciiTheme="majorBidi" w:hAnsiTheme="majorBidi" w:cs="Times New Roman" w:hint="cs"/>
          <w:b/>
          <w:bCs/>
          <w:noProof/>
          <w:color w:val="4F81BD" w:themeColor="accent1"/>
          <w:rtl/>
        </w:rPr>
        <w:t>7</w:t>
      </w:r>
      <w:r w:rsidRPr="00680CF8">
        <w:rPr>
          <w:rFonts w:asciiTheme="majorBidi" w:hAnsiTheme="majorBidi" w:cs="Times New Roman" w:hint="cs"/>
          <w:b/>
          <w:bCs/>
          <w:noProof/>
          <w:color w:val="4F81BD" w:themeColor="accent1"/>
          <w:rtl/>
        </w:rPr>
        <w:t>.</w:t>
      </w:r>
      <w:r w:rsidRPr="00680CF8">
        <w:rPr>
          <w:rFonts w:asciiTheme="majorBidi" w:hAnsiTheme="majorBidi" w:cs="Times New Roman"/>
          <w:b/>
          <w:bCs/>
          <w:noProof/>
          <w:color w:val="4F81BD" w:themeColor="accent1"/>
          <w:rtl/>
        </w:rPr>
        <w:t xml:space="preserve"> معدل البطالة حسب الجهات خلال الفصل الثالث</w:t>
      </w:r>
      <w:r w:rsidRPr="00680CF8">
        <w:rPr>
          <w:rFonts w:asciiTheme="majorBidi" w:hAnsiTheme="majorBidi" w:cs="Times New Roman"/>
          <w:b/>
          <w:bCs/>
          <w:noProof/>
          <w:color w:val="4F81BD" w:themeColor="accent1"/>
        </w:rPr>
        <w:t xml:space="preserve"> </w:t>
      </w:r>
      <w:r w:rsidRPr="00680CF8">
        <w:rPr>
          <w:rFonts w:asciiTheme="majorBidi" w:hAnsiTheme="majorBidi" w:cs="Times New Roman"/>
          <w:b/>
          <w:bCs/>
          <w:noProof/>
          <w:color w:val="4F81BD" w:themeColor="accent1"/>
          <w:rtl/>
        </w:rPr>
        <w:t xml:space="preserve">من سنة </w:t>
      </w:r>
      <w:r w:rsidR="00FB130E" w:rsidRPr="00680CF8">
        <w:rPr>
          <w:rFonts w:asciiTheme="majorBidi" w:hAnsiTheme="majorBidi" w:cs="Times New Roman"/>
          <w:b/>
          <w:bCs/>
          <w:noProof/>
          <w:color w:val="4F81BD" w:themeColor="accent1"/>
        </w:rPr>
        <w:t>2023</w:t>
      </w:r>
      <w:r w:rsidRPr="00680CF8">
        <w:rPr>
          <w:rFonts w:asciiTheme="majorBidi" w:hAnsiTheme="majorBidi" w:cs="Times New Roman"/>
          <w:b/>
          <w:bCs/>
          <w:noProof/>
          <w:color w:val="4F81BD" w:themeColor="accent1"/>
          <w:rtl/>
        </w:rPr>
        <w:t xml:space="preserve"> (</w:t>
      </w:r>
      <w:r w:rsidRPr="00680CF8">
        <w:rPr>
          <w:rFonts w:asciiTheme="majorBidi" w:hAnsiTheme="majorBidi" w:cs="Times New Roman" w:hint="cs"/>
          <w:b/>
          <w:bCs/>
          <w:noProof/>
          <w:color w:val="4F81BD" w:themeColor="accent1"/>
          <w:rtl/>
        </w:rPr>
        <w:t xml:space="preserve">ب </w:t>
      </w:r>
      <w:r w:rsidRPr="00680CF8">
        <w:rPr>
          <w:rFonts w:asciiTheme="majorBidi" w:hAnsiTheme="majorBidi" w:cs="Times New Roman"/>
          <w:b/>
          <w:bCs/>
          <w:noProof/>
          <w:color w:val="4F81BD" w:themeColor="accent1"/>
          <w:rtl/>
        </w:rPr>
        <w:t>%)</w:t>
      </w:r>
    </w:p>
    <w:p w:rsidR="00242EF6" w:rsidRPr="00C74A37" w:rsidRDefault="00242EF6" w:rsidP="000D6655">
      <w:pPr>
        <w:bidi/>
        <w:spacing w:line="312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tzm-Arab-MA"/>
        </w:rPr>
      </w:pPr>
      <w:r w:rsidRPr="00242EF6">
        <w:rPr>
          <w:rFonts w:asciiTheme="majorBidi" w:hAnsiTheme="majorBidi" w:cs="Times New Roman"/>
          <w:b/>
          <w:bCs/>
          <w:noProof/>
          <w:color w:val="000000" w:themeColor="text1"/>
          <w:rtl/>
        </w:rPr>
        <w:drawing>
          <wp:inline distT="0" distB="0" distL="0" distR="0">
            <wp:extent cx="4572000" cy="2743200"/>
            <wp:effectExtent l="0" t="0" r="0" b="0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C049B" w:rsidRPr="00BC2822" w:rsidRDefault="007C049B" w:rsidP="000D6655">
      <w:pPr>
        <w:bidi/>
        <w:spacing w:line="312" w:lineRule="auto"/>
        <w:jc w:val="center"/>
        <w:rPr>
          <w:rFonts w:asciiTheme="majorBidi" w:hAnsiTheme="majorBidi" w:cstheme="majorBidi"/>
          <w:sz w:val="28"/>
          <w:szCs w:val="28"/>
          <w:rtl/>
          <w:lang w:bidi="tzm-Arab-MA"/>
        </w:rPr>
      </w:pPr>
    </w:p>
    <w:p w:rsidR="007C049B" w:rsidRDefault="007C049B" w:rsidP="000D6655">
      <w:pPr>
        <w:tabs>
          <w:tab w:val="left" w:pos="8289"/>
        </w:tabs>
        <w:spacing w:line="312" w:lineRule="auto"/>
        <w:rPr>
          <w:rtl/>
          <w:lang w:bidi="ar-MA"/>
        </w:rPr>
      </w:pPr>
      <w:r>
        <w:rPr>
          <w:lang w:bidi="ar-MA"/>
        </w:rPr>
        <w:tab/>
      </w:r>
    </w:p>
    <w:p w:rsidR="003466B7" w:rsidRDefault="003466B7" w:rsidP="000D6655">
      <w:pPr>
        <w:tabs>
          <w:tab w:val="left" w:pos="8289"/>
        </w:tabs>
        <w:spacing w:line="312" w:lineRule="auto"/>
        <w:rPr>
          <w:rtl/>
          <w:lang w:bidi="ar-MA"/>
        </w:rPr>
      </w:pPr>
    </w:p>
    <w:p w:rsidR="003466B7" w:rsidRDefault="003466B7" w:rsidP="000D6655">
      <w:pPr>
        <w:tabs>
          <w:tab w:val="left" w:pos="8289"/>
        </w:tabs>
        <w:spacing w:line="312" w:lineRule="auto"/>
        <w:rPr>
          <w:rtl/>
          <w:lang w:bidi="ar-MA"/>
        </w:rPr>
      </w:pPr>
    </w:p>
    <w:p w:rsidR="003466B7" w:rsidRDefault="003466B7" w:rsidP="000D6655">
      <w:pPr>
        <w:tabs>
          <w:tab w:val="left" w:pos="8289"/>
        </w:tabs>
        <w:spacing w:line="312" w:lineRule="auto"/>
        <w:rPr>
          <w:rtl/>
          <w:lang w:bidi="ar-MA"/>
        </w:rPr>
      </w:pPr>
    </w:p>
    <w:p w:rsidR="003466B7" w:rsidRDefault="003466B7" w:rsidP="000D6655">
      <w:pPr>
        <w:tabs>
          <w:tab w:val="left" w:pos="8289"/>
        </w:tabs>
        <w:spacing w:line="312" w:lineRule="auto"/>
        <w:rPr>
          <w:rtl/>
          <w:lang w:bidi="ar-MA"/>
        </w:rPr>
      </w:pPr>
    </w:p>
    <w:p w:rsidR="00F406F0" w:rsidRDefault="00F406F0" w:rsidP="000D6655">
      <w:pPr>
        <w:tabs>
          <w:tab w:val="left" w:pos="8289"/>
        </w:tabs>
        <w:spacing w:line="312" w:lineRule="auto"/>
        <w:rPr>
          <w:rtl/>
          <w:lang w:bidi="ar-MA"/>
        </w:rPr>
      </w:pPr>
    </w:p>
    <w:p w:rsidR="00E93EB2" w:rsidRDefault="00E93EB2" w:rsidP="000D6655">
      <w:pPr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632D32" w:rsidRDefault="00632D32" w:rsidP="000D6655">
      <w:pPr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br w:type="page"/>
      </w:r>
    </w:p>
    <w:p w:rsidR="00FD24AB" w:rsidRPr="008B707A" w:rsidRDefault="00FD24AB" w:rsidP="000D6655">
      <w:pPr>
        <w:autoSpaceDE w:val="0"/>
        <w:autoSpaceDN w:val="0"/>
        <w:bidi/>
        <w:adjustRightInd w:val="0"/>
        <w:spacing w:before="240" w:line="312" w:lineRule="auto"/>
        <w:contextualSpacing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 xml:space="preserve">الجدول 1: المؤشـرات </w:t>
      </w:r>
      <w:r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>الفصلية</w:t>
      </w:r>
      <w:r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 للنشـاط والشغل والبطالـة حسـب وسـط الإقامـة</w:t>
      </w:r>
      <w:r w:rsidRPr="008B707A">
        <w:rPr>
          <w:rFonts w:asciiTheme="majorBidi" w:hAnsiTheme="majorBidi" w:cstheme="majorBidi"/>
          <w:b/>
          <w:bCs/>
          <w:color w:val="548DD4"/>
          <w:sz w:val="28"/>
          <w:szCs w:val="28"/>
          <w:vertAlign w:val="superscript"/>
        </w:rPr>
        <w:t>(1)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5"/>
        <w:gridCol w:w="995"/>
        <w:gridCol w:w="997"/>
        <w:gridCol w:w="995"/>
        <w:gridCol w:w="988"/>
        <w:gridCol w:w="1004"/>
        <w:gridCol w:w="3224"/>
      </w:tblGrid>
      <w:tr w:rsidR="00FD24AB" w:rsidRPr="008B707A" w:rsidTr="00C305E1">
        <w:trPr>
          <w:trHeight w:val="170"/>
          <w:jc w:val="center"/>
        </w:trPr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bidi/>
              <w:spacing w:before="240" w:after="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الفصل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tzm-Arab-MA"/>
              </w:rPr>
              <w:t xml:space="preserve"> الثالث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2023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keepNext/>
              <w:bidi/>
              <w:spacing w:before="240" w:after="0" w:line="312" w:lineRule="auto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الفصل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tzm-Arab-MA"/>
              </w:rPr>
              <w:t xml:space="preserve"> الثالث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keepNext/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outlineLvl w:val="0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FD24AB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after="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after="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after="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after="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after="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keepNext/>
              <w:spacing w:before="240" w:after="0" w:line="312" w:lineRule="auto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</w:p>
        </w:tc>
      </w:tr>
      <w:tr w:rsidR="00FD24AB" w:rsidRPr="008B707A" w:rsidTr="00C305E1">
        <w:trPr>
          <w:trHeight w:val="23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النشـاط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(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15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سنـة فأكثـر)</w:t>
            </w:r>
          </w:p>
        </w:tc>
      </w:tr>
      <w:tr w:rsidR="00D63D55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12 078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4 305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7 773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12 127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4 507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7 621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55" w:rsidRPr="008B707A" w:rsidRDefault="00D63D55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(بالآلاف)</w:t>
            </w:r>
          </w:p>
        </w:tc>
      </w:tr>
      <w:tr w:rsidR="00D63D55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55" w:rsidRPr="008B707A" w:rsidRDefault="00D63D55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نسبـة الإنـاث ضمـن السكـان النشيطيـن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 (%)</w:t>
            </w: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</w:rPr>
              <w:t xml:space="preserve"> </w:t>
            </w:r>
          </w:p>
        </w:tc>
      </w:tr>
      <w:tr w:rsidR="00D63D55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55" w:rsidRPr="008B707A" w:rsidRDefault="00D63D55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النشـاط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  <w:t xml:space="preserve">  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(%)</w:t>
            </w:r>
          </w:p>
        </w:tc>
      </w:tr>
      <w:tr w:rsidR="00FD24AB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D63D55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55" w:rsidRPr="008B707A" w:rsidRDefault="00D63D55" w:rsidP="000D6655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D63D55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55" w:rsidRPr="008B707A" w:rsidRDefault="00D63D55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FD24AB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السن</w:t>
            </w:r>
          </w:p>
        </w:tc>
      </w:tr>
      <w:tr w:rsidR="00D63D55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55" w:rsidRPr="008B707A" w:rsidRDefault="00D63D55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24 – 15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D63D55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55" w:rsidRPr="008B707A" w:rsidRDefault="00D63D55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34 – 25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D63D55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55" w:rsidRPr="008B707A" w:rsidRDefault="00D63D55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44 – 35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D63D55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D63D55" w:rsidRPr="009660EC" w:rsidRDefault="00D63D55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55" w:rsidRPr="008B707A" w:rsidRDefault="00D63D55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45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فأكثـر</w:t>
            </w:r>
          </w:p>
        </w:tc>
      </w:tr>
      <w:tr w:rsidR="00FD24AB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الشهادة</w:t>
            </w:r>
          </w:p>
        </w:tc>
      </w:tr>
      <w:tr w:rsidR="00502E2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27" w:rsidRPr="008B707A" w:rsidRDefault="00502E27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502E2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27" w:rsidRPr="008B707A" w:rsidRDefault="00502E27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  <w:tr w:rsidR="00D63D55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55" w:rsidRPr="008B707A" w:rsidRDefault="00D63D55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الشعل (15 سنة فما فوق)</w:t>
            </w:r>
          </w:p>
        </w:tc>
      </w:tr>
      <w:tr w:rsidR="00502E2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10 452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4 002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6 450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10 750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4 271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6 479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27" w:rsidRPr="008B707A" w:rsidRDefault="00502E27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المشتغلـون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(بالآلاف)</w:t>
            </w:r>
          </w:p>
        </w:tc>
      </w:tr>
      <w:tr w:rsidR="00502E2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27" w:rsidRPr="008B707A" w:rsidRDefault="00502E27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</w:rPr>
              <w:t>معدل الشغل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</w:rPr>
              <w:t>( %)</w:t>
            </w:r>
          </w:p>
        </w:tc>
      </w:tr>
      <w:tr w:rsidR="00D63D55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55" w:rsidRPr="008B707A" w:rsidRDefault="00D63D55" w:rsidP="000D6655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502E2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27" w:rsidRPr="008B707A" w:rsidRDefault="00502E27" w:rsidP="000D6655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502E2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502E27" w:rsidRPr="009660EC" w:rsidRDefault="00502E2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27" w:rsidRPr="008B707A" w:rsidRDefault="00502E27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D63D55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55" w:rsidRPr="008B707A" w:rsidRDefault="00D63D55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بنية الشغل حسب قطاعات النشاط الاقتصادي (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%</w:t>
            </w: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)</w:t>
            </w:r>
          </w:p>
        </w:tc>
      </w:tr>
      <w:tr w:rsidR="00BB703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37" w:rsidRPr="008B707A" w:rsidRDefault="00BB7037" w:rsidP="000D6655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الفلاحة والغابة والصيد</w:t>
            </w:r>
          </w:p>
        </w:tc>
      </w:tr>
      <w:tr w:rsidR="00BB703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37" w:rsidRPr="008B707A" w:rsidRDefault="00BB7037" w:rsidP="000D6655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الصناعة بما فيها الصناعة التقليدية</w:t>
            </w:r>
          </w:p>
        </w:tc>
      </w:tr>
      <w:tr w:rsidR="00BB703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37" w:rsidRPr="008B707A" w:rsidRDefault="00BB7037" w:rsidP="000D6655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البناء والأشغال العمومية</w:t>
            </w:r>
          </w:p>
        </w:tc>
      </w:tr>
      <w:tr w:rsidR="00BB703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37" w:rsidRPr="008B707A" w:rsidRDefault="00BB7037" w:rsidP="000D6655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الخدمات</w:t>
            </w:r>
          </w:p>
        </w:tc>
      </w:tr>
      <w:tr w:rsidR="00BB703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37" w:rsidRPr="008B707A" w:rsidRDefault="00BB7037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الأنشطة غير محددة</w:t>
            </w:r>
          </w:p>
        </w:tc>
      </w:tr>
      <w:tr w:rsidR="00BB703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37" w:rsidRPr="008B707A" w:rsidRDefault="00BB7037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نسبة الشغل المؤدى عنه ضمـن الشغـل الكلي، منها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: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(%)</w:t>
            </w:r>
          </w:p>
        </w:tc>
      </w:tr>
      <w:tr w:rsidR="00BB703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37" w:rsidRPr="008B707A" w:rsidRDefault="00BB7037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العمل المستأجر</w:t>
            </w:r>
          </w:p>
        </w:tc>
      </w:tr>
      <w:tr w:rsidR="00BB703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37" w:rsidRPr="008B707A" w:rsidRDefault="00BB7037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الشغل الذاتي</w:t>
            </w:r>
          </w:p>
        </w:tc>
      </w:tr>
      <w:tr w:rsidR="00BB703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1 005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482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523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911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423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488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37" w:rsidRPr="008B707A" w:rsidRDefault="00BB7037" w:rsidP="000D6655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السكان النشيطون المشتغلون في حالة شغل ناقص (بالآلاف)</w:t>
            </w:r>
          </w:p>
        </w:tc>
      </w:tr>
      <w:tr w:rsidR="00BB703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37" w:rsidRPr="008B707A" w:rsidRDefault="00BB7037" w:rsidP="000D6655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معدل الشغل الناقص (%)</w:t>
            </w:r>
          </w:p>
        </w:tc>
      </w:tr>
      <w:tr w:rsidR="00D63D55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55" w:rsidRDefault="00D63D55" w:rsidP="000D6655">
            <w:pPr>
              <w:spacing w:after="0" w:line="312" w:lineRule="auto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55" w:rsidRPr="008B707A" w:rsidRDefault="00D63D55" w:rsidP="000D6655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حسب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tzm-Arab-MA"/>
              </w:rPr>
              <w:t xml:space="preserve"> نوع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 xml:space="preserve"> الشغل الناقص</w:t>
            </w:r>
          </w:p>
        </w:tc>
      </w:tr>
      <w:tr w:rsidR="00BB703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37" w:rsidRPr="008B707A" w:rsidRDefault="00BB7037" w:rsidP="000D6655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بساعات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العمل</w:t>
            </w:r>
          </w:p>
        </w:tc>
      </w:tr>
      <w:tr w:rsidR="00BB703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10205"/>
                <w:sz w:val="20"/>
                <w:szCs w:val="20"/>
              </w:rPr>
              <w:t>4,8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10205"/>
                <w:sz w:val="20"/>
                <w:szCs w:val="20"/>
              </w:rPr>
              <w:t>5,1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10205"/>
                <w:sz w:val="20"/>
                <w:szCs w:val="20"/>
              </w:rPr>
              <w:t>4,6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10205"/>
                <w:sz w:val="20"/>
                <w:szCs w:val="20"/>
              </w:rPr>
              <w:t>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10205"/>
                <w:sz w:val="20"/>
                <w:szCs w:val="20"/>
              </w:rPr>
              <w:t>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7037" w:rsidRPr="009660EC" w:rsidRDefault="00BB7037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10205"/>
                <w:sz w:val="20"/>
                <w:szCs w:val="20"/>
              </w:rPr>
              <w:t>4,7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37" w:rsidRPr="008B707A" w:rsidRDefault="00BB7037" w:rsidP="000D6655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بالدخل غير الكافي أو عدم ملاءمة الشغل مع التكوين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</w:p>
        </w:tc>
      </w:tr>
    </w:tbl>
    <w:p w:rsidR="00FD24AB" w:rsidRPr="008B707A" w:rsidRDefault="00FD24AB" w:rsidP="000D6655">
      <w:pPr>
        <w:spacing w:after="0" w:line="312" w:lineRule="auto"/>
        <w:rPr>
          <w:rFonts w:asciiTheme="majorBidi" w:hAnsiTheme="majorBidi" w:cstheme="majorBidi"/>
        </w:rPr>
      </w:pPr>
      <w:r w:rsidRPr="008B707A">
        <w:rPr>
          <w:rFonts w:asciiTheme="majorBidi" w:hAnsiTheme="majorBidi" w:cstheme="majorBidi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5"/>
        <w:gridCol w:w="995"/>
        <w:gridCol w:w="997"/>
        <w:gridCol w:w="995"/>
        <w:gridCol w:w="988"/>
        <w:gridCol w:w="1004"/>
        <w:gridCol w:w="3224"/>
      </w:tblGrid>
      <w:tr w:rsidR="00FD24AB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4AB" w:rsidRPr="008B707A" w:rsidRDefault="00FD24AB" w:rsidP="000D6655">
            <w:pPr>
              <w:spacing w:before="240" w:line="312" w:lineRule="auto"/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4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4AB" w:rsidRPr="008B707A" w:rsidRDefault="00FD24AB" w:rsidP="000D6655">
            <w:pPr>
              <w:autoSpaceDE w:val="0"/>
              <w:autoSpaceDN w:val="0"/>
              <w:bidi/>
              <w:adjustRightInd w:val="0"/>
              <w:spacing w:before="24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28"/>
                <w:szCs w:val="28"/>
                <w:rtl/>
              </w:rPr>
              <w:t xml:space="preserve">الجدول 1: المؤشـرات 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28"/>
                <w:szCs w:val="28"/>
                <w:rtl/>
                <w:lang w:bidi="tzm-Arab-MA"/>
              </w:rPr>
              <w:t xml:space="preserve">الفصلية 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28"/>
                <w:szCs w:val="28"/>
                <w:rtl/>
              </w:rPr>
              <w:t>للنشـاط والشغل والبطالـة حسـب وسـط الإقامـة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28"/>
                <w:szCs w:val="28"/>
                <w:rtl/>
                <w:lang w:bidi="tzm-Arab-MA"/>
              </w:rPr>
              <w:t xml:space="preserve"> (تتمة)</w:t>
            </w:r>
          </w:p>
        </w:tc>
      </w:tr>
      <w:tr w:rsidR="00FD24AB" w:rsidRPr="008B707A" w:rsidTr="00C305E1">
        <w:trPr>
          <w:trHeight w:val="170"/>
          <w:jc w:val="center"/>
        </w:trPr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bidi/>
              <w:spacing w:before="24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99126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tzm-Arab-MA"/>
              </w:rPr>
              <w:t>الثالث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2023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keepNext/>
              <w:bidi/>
              <w:spacing w:before="240" w:line="312" w:lineRule="auto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99126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tzm-Arab-MA"/>
              </w:rPr>
              <w:t>الثالث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2022</w:t>
            </w:r>
          </w:p>
        </w:tc>
        <w:tc>
          <w:tcPr>
            <w:tcW w:w="176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FD24AB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keepNext/>
              <w:spacing w:before="240" w:line="312" w:lineRule="auto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keepNext/>
              <w:spacing w:before="240" w:line="312" w:lineRule="auto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76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133F8A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1 625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303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1 322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1 378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236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1"/>
              <w:contextualSpacing/>
              <w:jc w:val="right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1 142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A" w:rsidRPr="008B707A" w:rsidRDefault="00133F8A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العاطلـون (بالآلاف)</w:t>
            </w:r>
          </w:p>
        </w:tc>
      </w:tr>
      <w:tr w:rsidR="00133F8A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A" w:rsidRPr="008B707A" w:rsidRDefault="00133F8A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نسبة الإنـاث ضمـن السكان النشيطين العاطلين (%)</w:t>
            </w:r>
          </w:p>
        </w:tc>
      </w:tr>
      <w:tr w:rsidR="00133F8A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A" w:rsidRPr="008B707A" w:rsidRDefault="00133F8A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البطالـة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(%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)</w:t>
            </w:r>
          </w:p>
        </w:tc>
      </w:tr>
      <w:tr w:rsidR="00FD24AB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133F8A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A" w:rsidRPr="008B707A" w:rsidRDefault="00133F8A" w:rsidP="000D6655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133F8A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33F8A" w:rsidRPr="009660EC" w:rsidRDefault="00133F8A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A" w:rsidRPr="008B707A" w:rsidRDefault="00133F8A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FD24AB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4AB" w:rsidRDefault="00FD24AB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السن</w:t>
            </w:r>
          </w:p>
        </w:tc>
      </w:tr>
      <w:tr w:rsidR="00750A72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72" w:rsidRPr="008B707A" w:rsidRDefault="00750A72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24 – 15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750A72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72" w:rsidRPr="008B707A" w:rsidRDefault="00750A72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34 – 25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750A72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9C57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9C5700"/>
                <w:sz w:val="20"/>
                <w:szCs w:val="20"/>
              </w:rPr>
              <w:t>2,6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72" w:rsidRPr="008B707A" w:rsidRDefault="00750A72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44 – 35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750A72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72" w:rsidRPr="008B707A" w:rsidRDefault="00750A72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45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فأكثـر</w:t>
            </w:r>
          </w:p>
        </w:tc>
      </w:tr>
      <w:tr w:rsidR="00750A72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A72" w:rsidRDefault="00750A72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A72" w:rsidRDefault="00750A72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A72" w:rsidRDefault="00750A72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A72" w:rsidRDefault="00750A72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A72" w:rsidRDefault="00750A72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A72" w:rsidRDefault="00750A72" w:rsidP="000D665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hAnsi="Garamond" w:cs="Garamond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72" w:rsidRPr="008B707A" w:rsidRDefault="00750A72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الشهادة</w:t>
            </w:r>
          </w:p>
        </w:tc>
      </w:tr>
      <w:tr w:rsidR="00750A72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72" w:rsidRPr="008B707A" w:rsidRDefault="00750A72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750A72" w:rsidRPr="008B707A" w:rsidTr="00C305E1">
        <w:trPr>
          <w:trHeight w:val="2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50A72" w:rsidRPr="009660EC" w:rsidRDefault="00750A72" w:rsidP="000D6655">
            <w:pPr>
              <w:spacing w:before="240" w:after="240" w:line="312" w:lineRule="auto"/>
              <w:ind w:firstLineChars="100" w:firstLine="200"/>
              <w:contextualSpacing/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60EC">
              <w:rPr>
                <w:rFonts w:ascii="Garamond" w:hAnsi="Garamond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72" w:rsidRPr="008B707A" w:rsidRDefault="00750A72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</w:tbl>
    <w:p w:rsidR="00FD24AB" w:rsidRPr="008B707A" w:rsidRDefault="00FD24AB" w:rsidP="000D6655">
      <w:pPr>
        <w:pStyle w:val="Paragraphedeliste"/>
        <w:numPr>
          <w:ilvl w:val="0"/>
          <w:numId w:val="3"/>
        </w:numPr>
        <w:bidi/>
        <w:spacing w:before="240" w:after="0" w:line="312" w:lineRule="auto"/>
        <w:rPr>
          <w:sz w:val="16"/>
          <w:szCs w:val="16"/>
        </w:rPr>
      </w:pPr>
      <w:r w:rsidRPr="008B707A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:rsidR="00FD24AB" w:rsidRPr="008B707A" w:rsidRDefault="00FD24AB" w:rsidP="000D6655">
      <w:pPr>
        <w:pStyle w:val="Paragraphedeliste"/>
        <w:numPr>
          <w:ilvl w:val="0"/>
          <w:numId w:val="3"/>
        </w:numPr>
        <w:bidi/>
        <w:spacing w:before="240" w:after="0" w:line="312" w:lineRule="auto"/>
        <w:rPr>
          <w:b/>
          <w:bCs/>
          <w:sz w:val="18"/>
          <w:szCs w:val="18"/>
          <w:rtl/>
        </w:rPr>
      </w:pPr>
      <w:r w:rsidRPr="008B707A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8B707A">
        <w:rPr>
          <w:b/>
          <w:bCs/>
          <w:sz w:val="18"/>
          <w:szCs w:val="18"/>
          <w:rtl/>
        </w:rPr>
        <w:t xml:space="preserve">: </w:t>
      </w:r>
      <w:hyperlink r:id="rId15" w:history="1">
        <w:r w:rsidRPr="008B707A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p w:rsidR="00FD24AB" w:rsidRPr="008B707A" w:rsidRDefault="00FD24AB" w:rsidP="000D6655">
      <w:pPr>
        <w:pStyle w:val="Paragraphedeliste"/>
        <w:numPr>
          <w:ilvl w:val="0"/>
          <w:numId w:val="3"/>
        </w:numPr>
        <w:bidi/>
        <w:spacing w:before="240" w:after="0" w:line="312" w:lineRule="auto"/>
        <w:rPr>
          <w:sz w:val="16"/>
          <w:szCs w:val="16"/>
        </w:rPr>
      </w:pPr>
      <w:r w:rsidRPr="008B707A">
        <w:rPr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8B707A">
        <w:rPr>
          <w:b/>
          <w:bCs/>
          <w:sz w:val="18"/>
          <w:szCs w:val="18"/>
        </w:rPr>
        <w:t>.</w:t>
      </w:r>
    </w:p>
    <w:p w:rsidR="00FD24AB" w:rsidRPr="008B707A" w:rsidRDefault="00FD24AB" w:rsidP="000D6655">
      <w:pPr>
        <w:bidi/>
        <w:spacing w:before="240" w:line="312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F406F0" w:rsidRDefault="00F406F0" w:rsidP="000D6655">
      <w:pPr>
        <w:bidi/>
        <w:spacing w:line="312" w:lineRule="auto"/>
        <w:rPr>
          <w:rtl/>
          <w:lang w:bidi="ar-MA"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632D32" w:rsidRDefault="00632D32" w:rsidP="000D6655">
      <w:pPr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br w:type="page"/>
      </w:r>
    </w:p>
    <w:p w:rsidR="00F406F0" w:rsidRPr="003D2EFB" w:rsidRDefault="00F406F0" w:rsidP="000D6655">
      <w:pPr>
        <w:tabs>
          <w:tab w:val="left" w:pos="5757"/>
        </w:tabs>
        <w:bidi/>
        <w:spacing w:line="312" w:lineRule="auto"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>الجدول 2: معـدل النشـاط، الشغل، والبطالـة حسـب الجهات (%)</w:t>
      </w:r>
    </w:p>
    <w:tbl>
      <w:tblPr>
        <w:tblW w:w="8870" w:type="dxa"/>
        <w:jc w:val="center"/>
        <w:tblInd w:w="-441" w:type="dxa"/>
        <w:tblCellMar>
          <w:left w:w="70" w:type="dxa"/>
          <w:right w:w="70" w:type="dxa"/>
        </w:tblCellMar>
        <w:tblLook w:val="04A0"/>
      </w:tblPr>
      <w:tblGrid>
        <w:gridCol w:w="2664"/>
        <w:gridCol w:w="2693"/>
        <w:gridCol w:w="3513"/>
      </w:tblGrid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F0" w:rsidRPr="00763C34" w:rsidRDefault="00FD24AB" w:rsidP="000D6655">
            <w:pPr>
              <w:spacing w:after="0" w:line="312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bidi="tzm-Arab-MA"/>
              </w:rPr>
            </w:pPr>
            <w:r w:rsidRPr="00763C3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الفصل </w:t>
            </w:r>
            <w:r w:rsidR="00991267" w:rsidRPr="00763C3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tzm-Arab-MA"/>
              </w:rPr>
              <w:t>الثالث</w:t>
            </w:r>
            <w:r w:rsidRPr="00763C3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من سنة 202</w:t>
            </w:r>
            <w:r w:rsidRPr="00763C3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tzm-Arab-M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F0" w:rsidRPr="00763C34" w:rsidRDefault="00FD24AB" w:rsidP="000D6655">
            <w:pPr>
              <w:spacing w:after="0" w:line="312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الفصل </w:t>
            </w:r>
            <w:r w:rsidR="00991267" w:rsidRPr="00763C3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tzm-Arab-MA"/>
              </w:rPr>
              <w:t>الثالث</w:t>
            </w:r>
            <w:r w:rsidRPr="00763C3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من سنة 2022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0D6655">
            <w:pPr>
              <w:spacing w:after="0" w:line="312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3C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763C34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rtl/>
              </w:rPr>
              <w:t xml:space="preserve">معـدل النشـاط </w:t>
            </w:r>
            <w:r w:rsidRPr="00763C3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rtl/>
              </w:rPr>
              <w:t>( 15</w:t>
            </w:r>
            <w:r w:rsidRPr="00763C34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rtl/>
              </w:rPr>
              <w:t>سنـة فأكثـر</w:t>
            </w:r>
            <w:r w:rsidRPr="00763C3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rtl/>
              </w:rPr>
              <w:t>)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طنجة- تطوان- الحسيمة 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جهـــــــــة الشـــــــــرق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فـــــــــاس-مكــــــناس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الربــاط- ســلا-القنيطـــرة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بني مــلال-خنيفـــــــــرة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الدار البيضاء -ســــطات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مـــراكش – اسفــي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درعــــة – تافيلالــت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ســــوس – مــــاسة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جهات الجنوب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763C34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rtl/>
              </w:rPr>
              <w:t xml:space="preserve">معدل الشغل </w:t>
            </w:r>
            <w:r w:rsidRPr="00763C3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rtl/>
              </w:rPr>
              <w:t>( 15</w:t>
            </w:r>
            <w:r w:rsidRPr="00763C34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rtl/>
              </w:rPr>
              <w:t>سنـة فأكثـر</w:t>
            </w:r>
            <w:r w:rsidRPr="00763C3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rtl/>
              </w:rPr>
              <w:t>)</w:t>
            </w:r>
          </w:p>
        </w:tc>
      </w:tr>
      <w:tr w:rsidR="00F406F0" w:rsidRPr="00763C34" w:rsidTr="00763C34">
        <w:trPr>
          <w:trHeight w:val="365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طنجة- تطوان- الحسيمة 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جهـــــــــة الشـــــــــرق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فـــــــــاس-مكــــــناس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الربــاط- ســلا-القنيطـــرة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بني مــلال-خنيفـــــــــرة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الدار البيضاء -ســــطات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مـــراكش – اسفــي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درعــــة – تافيلالــت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ســــوس – مــــاسة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جهات الجنوب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763C34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rtl/>
              </w:rPr>
              <w:t xml:space="preserve">معـدل البطالـة </w:t>
            </w:r>
          </w:p>
        </w:tc>
      </w:tr>
      <w:tr w:rsidR="00F406F0" w:rsidRPr="00763C34" w:rsidTr="00763C34">
        <w:trPr>
          <w:trHeight w:val="324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طنجة- تطوان- الحسيمة 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جهـــــــــة الشـــــــــرق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فـــــــــاس-مكــــــناس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الربــاط- ســلا-القنيطـــرة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بني مــلال-خنيفـــــــــرة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الدار البيضاء -ســــطات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مـــراكش – اسفــي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درعــــة – تافيلالــت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ســــوس – مــــاسة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جهات الجنوب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763C34">
            <w:pPr>
              <w:spacing w:after="0" w:line="312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</w:tr>
    </w:tbl>
    <w:p w:rsidR="003466B7" w:rsidRDefault="00991267" w:rsidP="00763C34">
      <w:pPr>
        <w:pStyle w:val="Paragraphedeliste"/>
        <w:bidi/>
        <w:spacing w:before="240" w:after="0" w:line="312" w:lineRule="auto"/>
      </w:pPr>
      <w:r w:rsidRPr="008B707A">
        <w:rPr>
          <w:sz w:val="18"/>
          <w:szCs w:val="18"/>
          <w:rtl/>
        </w:rPr>
        <w:t>المصـدر: البحث الوطني حول التشغيل، المندوبية السامية للتخطيط</w:t>
      </w:r>
    </w:p>
    <w:sectPr w:rsidR="003466B7" w:rsidSect="00772C9F"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FC" w:rsidRDefault="00DB0FFC" w:rsidP="00F406F0">
      <w:pPr>
        <w:spacing w:after="0" w:line="240" w:lineRule="auto"/>
      </w:pPr>
      <w:r>
        <w:separator/>
      </w:r>
    </w:p>
  </w:endnote>
  <w:endnote w:type="continuationSeparator" w:id="0">
    <w:p w:rsidR="00DB0FFC" w:rsidRDefault="00DB0FFC" w:rsidP="00F4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087360"/>
      <w:docPartObj>
        <w:docPartGallery w:val="Page Numbers (Bottom of Page)"/>
        <w:docPartUnique/>
      </w:docPartObj>
    </w:sdtPr>
    <w:sdtContent>
      <w:p w:rsidR="003907D3" w:rsidRDefault="00553E88">
        <w:pPr>
          <w:pStyle w:val="Pieddepage"/>
          <w:jc w:val="center"/>
        </w:pPr>
        <w:fldSimple w:instr=" PAGE   \* MERGEFORMAT ">
          <w:r w:rsidR="00CF086C">
            <w:rPr>
              <w:noProof/>
            </w:rPr>
            <w:t>2</w:t>
          </w:r>
        </w:fldSimple>
      </w:p>
    </w:sdtContent>
  </w:sdt>
  <w:p w:rsidR="003907D3" w:rsidRDefault="003907D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FC" w:rsidRDefault="00DB0FFC" w:rsidP="00F406F0">
      <w:pPr>
        <w:spacing w:after="0" w:line="240" w:lineRule="auto"/>
      </w:pPr>
      <w:r>
        <w:separator/>
      </w:r>
    </w:p>
  </w:footnote>
  <w:footnote w:type="continuationSeparator" w:id="0">
    <w:p w:rsidR="00DB0FFC" w:rsidRDefault="00DB0FFC" w:rsidP="00F406F0">
      <w:pPr>
        <w:spacing w:after="0" w:line="240" w:lineRule="auto"/>
      </w:pPr>
      <w:r>
        <w:continuationSeparator/>
      </w:r>
    </w:p>
  </w:footnote>
  <w:footnote w:id="1">
    <w:p w:rsidR="003907D3" w:rsidRDefault="003907D3" w:rsidP="00C305E1">
      <w:pPr>
        <w:pStyle w:val="Notedebasdepage"/>
        <w:bidi/>
        <w:rPr>
          <w:lang w:bidi="tzm-Arab-MA"/>
        </w:rPr>
      </w:pPr>
      <w:r>
        <w:rPr>
          <w:rStyle w:val="Appelnotedebasdep"/>
        </w:rPr>
        <w:footnoteRef/>
      </w:r>
      <w:r>
        <w:t xml:space="preserve"> </w:t>
      </w:r>
      <w:r w:rsidR="00680CF8">
        <w:rPr>
          <w:rFonts w:hint="cs"/>
          <w:rtl/>
          <w:lang w:bidi="tzm-Arab-MA"/>
        </w:rPr>
        <w:t xml:space="preserve"> 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  <w:r w:rsidR="00680CF8">
        <w:rPr>
          <w:rFonts w:asciiTheme="minorBidi" w:hAnsiTheme="minorBidi" w:hint="cs"/>
          <w:sz w:val="16"/>
          <w:szCs w:val="16"/>
          <w:rtl/>
          <w:lang w:bidi="tzm-Arab-MA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C9F" w:rsidRDefault="00772C9F" w:rsidP="00772C9F">
    <w:pPr>
      <w:pStyle w:val="En-tte"/>
      <w:jc w:val="center"/>
    </w:pPr>
    <w:r w:rsidRPr="00772C9F">
      <w:drawing>
        <wp:inline distT="0" distB="0" distL="0" distR="0">
          <wp:extent cx="1202340" cy="787400"/>
          <wp:effectExtent l="19050" t="0" r="0" b="0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072" cy="793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52A6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648A6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B6978A7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49B"/>
    <w:rsid w:val="0003215E"/>
    <w:rsid w:val="000D558B"/>
    <w:rsid w:val="000D6655"/>
    <w:rsid w:val="00103A38"/>
    <w:rsid w:val="00133F8A"/>
    <w:rsid w:val="00147695"/>
    <w:rsid w:val="00241517"/>
    <w:rsid w:val="00242EF6"/>
    <w:rsid w:val="00250F4E"/>
    <w:rsid w:val="002D065B"/>
    <w:rsid w:val="002E39B3"/>
    <w:rsid w:val="002F371C"/>
    <w:rsid w:val="00301F1C"/>
    <w:rsid w:val="003366DA"/>
    <w:rsid w:val="00336992"/>
    <w:rsid w:val="003466B7"/>
    <w:rsid w:val="003907D3"/>
    <w:rsid w:val="003A241D"/>
    <w:rsid w:val="003A4AF5"/>
    <w:rsid w:val="004223D5"/>
    <w:rsid w:val="00445BD3"/>
    <w:rsid w:val="004470FA"/>
    <w:rsid w:val="004A483A"/>
    <w:rsid w:val="00502E27"/>
    <w:rsid w:val="005162DD"/>
    <w:rsid w:val="00553E88"/>
    <w:rsid w:val="0056524D"/>
    <w:rsid w:val="00591543"/>
    <w:rsid w:val="00594289"/>
    <w:rsid w:val="00632D32"/>
    <w:rsid w:val="00680CF8"/>
    <w:rsid w:val="00692506"/>
    <w:rsid w:val="00692F09"/>
    <w:rsid w:val="006B0DA5"/>
    <w:rsid w:val="006F3692"/>
    <w:rsid w:val="00750A72"/>
    <w:rsid w:val="0076097B"/>
    <w:rsid w:val="00763C34"/>
    <w:rsid w:val="00772C9F"/>
    <w:rsid w:val="007B4958"/>
    <w:rsid w:val="007C049B"/>
    <w:rsid w:val="00841643"/>
    <w:rsid w:val="008574CA"/>
    <w:rsid w:val="008A626E"/>
    <w:rsid w:val="008E3F92"/>
    <w:rsid w:val="00934105"/>
    <w:rsid w:val="00991267"/>
    <w:rsid w:val="00AD4EEB"/>
    <w:rsid w:val="00B16F3A"/>
    <w:rsid w:val="00B46AE8"/>
    <w:rsid w:val="00BB7037"/>
    <w:rsid w:val="00C305E1"/>
    <w:rsid w:val="00C42CB2"/>
    <w:rsid w:val="00CA06A1"/>
    <w:rsid w:val="00CB473E"/>
    <w:rsid w:val="00CF086C"/>
    <w:rsid w:val="00D023A9"/>
    <w:rsid w:val="00D120B5"/>
    <w:rsid w:val="00D459A8"/>
    <w:rsid w:val="00D63D55"/>
    <w:rsid w:val="00D7414B"/>
    <w:rsid w:val="00DA04C0"/>
    <w:rsid w:val="00DA4F69"/>
    <w:rsid w:val="00DB0FFC"/>
    <w:rsid w:val="00DF0C30"/>
    <w:rsid w:val="00E00D90"/>
    <w:rsid w:val="00E93EB2"/>
    <w:rsid w:val="00EF17B2"/>
    <w:rsid w:val="00F23EAB"/>
    <w:rsid w:val="00F406F0"/>
    <w:rsid w:val="00F60252"/>
    <w:rsid w:val="00F7775B"/>
    <w:rsid w:val="00F807C5"/>
    <w:rsid w:val="00FB130E"/>
    <w:rsid w:val="00FB4107"/>
    <w:rsid w:val="00FD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9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49B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D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F4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406F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4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06F0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D459A8"/>
    <w:pPr>
      <w:spacing w:after="160" w:line="256" w:lineRule="auto"/>
      <w:ind w:left="720"/>
      <w:contextualSpacing/>
    </w:pPr>
    <w:rPr>
      <w:rFonts w:asciiTheme="majorBidi" w:eastAsiaTheme="minorHAnsi" w:hAnsiTheme="majorBidi" w:cstheme="majorBidi"/>
      <w:sz w:val="28"/>
      <w:szCs w:val="2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24A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24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D24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hcp.ma" TargetMode="Externa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ouazzani\Downloads\Graphiques%20R&#233;gion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T3%202023\Graphiques%20R&#233;gion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T3%202023\graphique%20a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Taches%20DEE\Publications%20DEE\Publications%20Trimestrielles\Notes%20Trimestrielles\Notes%20informatives\2023\T3\Graphs%20fr_a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Graphiques%20R&#233;gion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T3%202023\Graphiques%20R&#233;gion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T3%202023\Graphiques%20R&#233;gio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3.0769230769230802E-2"/>
          <c:y val="2.8735632183908108E-2"/>
          <c:w val="0.93846153846153868"/>
          <c:h val="0.77336682052674388"/>
        </c:manualLayout>
      </c:layout>
      <c:lineChart>
        <c:grouping val="standard"/>
        <c:ser>
          <c:idx val="0"/>
          <c:order val="0"/>
          <c:tx>
            <c:strRef>
              <c:f>'taux d''activité et sous-emploi'!$C$35</c:f>
              <c:strCache>
                <c:ptCount val="1"/>
                <c:pt idx="0">
                  <c:v>حضري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dLblPos val="ctr"/>
            <c:showVal val="1"/>
          </c:dLbls>
          <c:cat>
            <c:numRef>
              <c:f>'taux d''activité et sous-emploi'!$D$34:$H$34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'taux d''activité et sous-emploi'!$D$35:$H$35</c:f>
              <c:numCache>
                <c:formatCode>General</c:formatCode>
                <c:ptCount val="5"/>
                <c:pt idx="0">
                  <c:v>41.7</c:v>
                </c:pt>
                <c:pt idx="1">
                  <c:v>41</c:v>
                </c:pt>
                <c:pt idx="2">
                  <c:v>42.4</c:v>
                </c:pt>
                <c:pt idx="3">
                  <c:v>41.9</c:v>
                </c:pt>
                <c:pt idx="4" formatCode="0.0">
                  <c:v>41.915260773841233</c:v>
                </c:pt>
              </c:numCache>
            </c:numRef>
          </c:val>
        </c:ser>
        <c:ser>
          <c:idx val="1"/>
          <c:order val="1"/>
          <c:tx>
            <c:strRef>
              <c:f>'taux d''activité et sous-emploi'!$C$36</c:f>
              <c:strCache>
                <c:ptCount val="1"/>
                <c:pt idx="0">
                  <c:v>قروي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dLblPos val="ctr"/>
            <c:showVal val="1"/>
          </c:dLbls>
          <c:cat>
            <c:numRef>
              <c:f>'taux d''activité et sous-emploi'!$D$34:$H$34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'taux d''activité et sous-emploi'!$D$36:$H$36</c:f>
              <c:numCache>
                <c:formatCode>General</c:formatCode>
                <c:ptCount val="5"/>
                <c:pt idx="0">
                  <c:v>50.8</c:v>
                </c:pt>
                <c:pt idx="1">
                  <c:v>48</c:v>
                </c:pt>
                <c:pt idx="2">
                  <c:v>50.3</c:v>
                </c:pt>
                <c:pt idx="3">
                  <c:v>48.1</c:v>
                </c:pt>
                <c:pt idx="4" formatCode="0.0">
                  <c:v>45.818780803410846</c:v>
                </c:pt>
              </c:numCache>
            </c:numRef>
          </c:val>
        </c:ser>
        <c:ser>
          <c:idx val="2"/>
          <c:order val="2"/>
          <c:tx>
            <c:strRef>
              <c:f>'taux d''activité et sous-emploi'!$C$37</c:f>
              <c:strCache>
                <c:ptCount val="1"/>
                <c:pt idx="0">
                  <c:v>وطني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dLblPos val="ctr"/>
            <c:showVal val="1"/>
          </c:dLbls>
          <c:cat>
            <c:numRef>
              <c:f>'taux d''activité et sous-emploi'!$D$34:$H$34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'taux d''activité et sous-emploi'!$D$37:$H$37</c:f>
              <c:numCache>
                <c:formatCode>General</c:formatCode>
                <c:ptCount val="5"/>
                <c:pt idx="0">
                  <c:v>44.9</c:v>
                </c:pt>
                <c:pt idx="1">
                  <c:v>43.5</c:v>
                </c:pt>
                <c:pt idx="2">
                  <c:v>45.1</c:v>
                </c:pt>
                <c:pt idx="3">
                  <c:v>44</c:v>
                </c:pt>
                <c:pt idx="4" formatCode="0.0">
                  <c:v>43.227962997012</c:v>
                </c:pt>
              </c:numCache>
            </c:numRef>
          </c:val>
        </c:ser>
        <c:dLbls>
          <c:showVal val="1"/>
        </c:dLbls>
        <c:marker val="1"/>
        <c:axId val="105718912"/>
        <c:axId val="105720448"/>
      </c:lineChart>
      <c:catAx>
        <c:axId val="105718912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9525">
            <a:noFill/>
          </a:ln>
        </c:spPr>
        <c:crossAx val="105720448"/>
        <c:crosses val="autoZero"/>
        <c:auto val="1"/>
        <c:lblAlgn val="ctr"/>
        <c:lblOffset val="100"/>
      </c:catAx>
      <c:valAx>
        <c:axId val="105720448"/>
        <c:scaling>
          <c:orientation val="minMax"/>
        </c:scaling>
        <c:delete val="1"/>
        <c:axPos val="l"/>
        <c:numFmt formatCode="General" sourceLinked="1"/>
        <c:tickLblPos val="none"/>
        <c:crossAx val="1057189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271890314410108"/>
          <c:y val="0.90250475156122656"/>
          <c:w val="0.44896756786520731"/>
          <c:h val="9.7495248438772747E-2"/>
        </c:manualLayout>
      </c:layout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3.0555555555555582E-2"/>
          <c:y val="5.0925925925925923E-2"/>
          <c:w val="0.93888888888889133"/>
          <c:h val="0.76917249927092468"/>
        </c:manualLayout>
      </c:layout>
      <c:barChart>
        <c:barDir val="col"/>
        <c:grouping val="clustered"/>
        <c:ser>
          <c:idx val="0"/>
          <c:order val="0"/>
          <c:tx>
            <c:strRef>
              <c:f>Feuil1!$C$9</c:f>
              <c:strCache>
                <c:ptCount val="1"/>
                <c:pt idx="0">
                  <c:v>الشغل المؤدى عنه</c:v>
                </c:pt>
              </c:strCache>
            </c:strRef>
          </c:tx>
          <c:dLbls>
            <c:txPr>
              <a:bodyPr/>
              <a:lstStyle/>
              <a:p>
                <a:pPr>
                  <a:defRPr sz="900" b="1"/>
                </a:pPr>
                <a:endParaRPr lang="fr-FR"/>
              </a:p>
            </c:txPr>
            <c:showVal val="1"/>
          </c:dLbls>
          <c:cat>
            <c:strRef>
              <c:f>Feuil1!$D$8:$F$8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المجموع</c:v>
                </c:pt>
              </c:strCache>
            </c:strRef>
          </c:cat>
          <c:val>
            <c:numRef>
              <c:f>Feuil1!$D$9:$F$9</c:f>
              <c:numCache>
                <c:formatCode>General</c:formatCode>
                <c:ptCount val="3"/>
                <c:pt idx="0">
                  <c:v>13000</c:v>
                </c:pt>
                <c:pt idx="1">
                  <c:v>-79000</c:v>
                </c:pt>
                <c:pt idx="2">
                  <c:v>-66000</c:v>
                </c:pt>
              </c:numCache>
            </c:numRef>
          </c:val>
        </c:ser>
        <c:ser>
          <c:idx val="1"/>
          <c:order val="1"/>
          <c:tx>
            <c:strRef>
              <c:f>Feuil1!$C$10</c:f>
              <c:strCache>
                <c:ptCount val="1"/>
                <c:pt idx="0">
                  <c:v>الشغل غير المؤدى عنه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 sz="900" b="1"/>
                </a:pPr>
                <a:endParaRPr lang="fr-FR"/>
              </a:p>
            </c:txPr>
            <c:showVal val="1"/>
          </c:dLbls>
          <c:cat>
            <c:strRef>
              <c:f>Feuil1!$D$8:$F$8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المجموع</c:v>
                </c:pt>
              </c:strCache>
            </c:strRef>
          </c:cat>
          <c:val>
            <c:numRef>
              <c:f>Feuil1!$D$10:$F$10</c:f>
              <c:numCache>
                <c:formatCode>General</c:formatCode>
                <c:ptCount val="3"/>
                <c:pt idx="0">
                  <c:v>-41000</c:v>
                </c:pt>
                <c:pt idx="1">
                  <c:v>-190000</c:v>
                </c:pt>
                <c:pt idx="2">
                  <c:v>-231000</c:v>
                </c:pt>
              </c:numCache>
            </c:numRef>
          </c:val>
        </c:ser>
        <c:ser>
          <c:idx val="2"/>
          <c:order val="2"/>
          <c:tx>
            <c:strRef>
              <c:f>Feuil1!$C$11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900" b="1"/>
                </a:pPr>
                <a:endParaRPr lang="fr-FR"/>
              </a:p>
            </c:txPr>
            <c:showVal val="1"/>
          </c:dLbls>
          <c:cat>
            <c:strRef>
              <c:f>Feuil1!$D$8:$F$8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المجموع</c:v>
                </c:pt>
              </c:strCache>
            </c:strRef>
          </c:cat>
          <c:val>
            <c:numRef>
              <c:f>Feuil1!$D$11:$F$11</c:f>
              <c:numCache>
                <c:formatCode>General</c:formatCode>
                <c:ptCount val="3"/>
                <c:pt idx="0">
                  <c:v>-29000</c:v>
                </c:pt>
                <c:pt idx="1">
                  <c:v>-269000</c:v>
                </c:pt>
                <c:pt idx="2">
                  <c:v>-297000</c:v>
                </c:pt>
              </c:numCache>
            </c:numRef>
          </c:val>
        </c:ser>
        <c:gapWidth val="75"/>
        <c:overlap val="-25"/>
        <c:axId val="105802752"/>
        <c:axId val="105857024"/>
      </c:barChart>
      <c:catAx>
        <c:axId val="10580275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105857024"/>
        <c:crosses val="autoZero"/>
        <c:auto val="1"/>
        <c:lblAlgn val="ctr"/>
        <c:lblOffset val="100"/>
      </c:catAx>
      <c:valAx>
        <c:axId val="10585702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58027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781649168853962"/>
          <c:y val="3.2023549139690875E-2"/>
          <c:w val="0.63547812773403323"/>
          <c:h val="8.3717191601050026E-2"/>
        </c:manualLayout>
      </c:layout>
      <c:txPr>
        <a:bodyPr/>
        <a:lstStyle/>
        <a:p>
          <a:pPr>
            <a:defRPr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3.888888888888889E-2"/>
          <c:y val="0.20811533117183964"/>
          <c:w val="0.93888888888889166"/>
          <c:h val="0.53722788327929594"/>
        </c:manualLayout>
      </c:layout>
      <c:barChart>
        <c:barDir val="col"/>
        <c:grouping val="clustered"/>
        <c:ser>
          <c:idx val="0"/>
          <c:order val="0"/>
          <c:tx>
            <c:strRef>
              <c:f>'C:\Users\maaib\Desktop\T3 2023\[2023T3 - Note sur les chiffres clés - Annexe -DEE 22102023 (1).xlsx]Feuil1'!$C$53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sz="800"/>
                      <a:t>-</a:t>
                    </a:r>
                    <a:r>
                      <a:rPr lang="tzm-Arab-MA" sz="800"/>
                      <a:t>18.000</a:t>
                    </a:r>
                    <a:endParaRPr lang="en-US" sz="800"/>
                  </a:p>
                </c:rich>
              </c:tx>
              <c:spPr/>
              <c:showVal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tzm-Arab-MA" sz="800"/>
                      <a:t>24.000</a:t>
                    </a:r>
                    <a:endParaRPr lang="en-US" sz="800"/>
                  </a:p>
                </c:rich>
              </c:tx>
              <c:spPr/>
              <c:showVal val="1"/>
            </c:dLbl>
            <c:dLbl>
              <c:idx val="2"/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tzm-Arab-MA" sz="800"/>
                      <a:t>-20,000</a:t>
                    </a:r>
                    <a:endParaRPr lang="en-US" sz="800"/>
                  </a:p>
                </c:rich>
              </c:tx>
              <c:spPr/>
              <c:showVal val="1"/>
            </c:dLbl>
            <c:dLbl>
              <c:idx val="3"/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sz="800"/>
                      <a:t>-</a:t>
                    </a:r>
                    <a:r>
                      <a:rPr lang="tzm-Arab-MA" sz="800"/>
                      <a:t>17.000</a:t>
                    </a:r>
                    <a:endParaRPr lang="en-US" sz="800"/>
                  </a:p>
                </c:rich>
              </c:tx>
              <c:spPr/>
              <c:showVal val="1"/>
            </c:dLbl>
            <c:showVal val="1"/>
          </c:dLbls>
          <c:cat>
            <c:strRef>
              <c:f>'C:\Users\maaib\Desktop\T3 2023\[2023T3 - Note sur les chiffres clés - Annexe -DEE 22102023 (1).xlsx]Feuil1'!$B$54:$B$57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'C:\Users\maaib\Desktop\T3 2023\[2023T3 - Note sur les chiffres clés - Annexe -DEE 22102023 (1).xlsx]Feuil1'!$C$54:$C$57</c:f>
              <c:numCache>
                <c:formatCode>General</c:formatCode>
                <c:ptCount val="4"/>
                <c:pt idx="0">
                  <c:v>-17.919463331988517</c:v>
                </c:pt>
                <c:pt idx="1">
                  <c:v>23.524130074988189</c:v>
                </c:pt>
                <c:pt idx="2">
                  <c:v>-20.412504992844326</c:v>
                </c:pt>
                <c:pt idx="3">
                  <c:v>-17.417162721235655</c:v>
                </c:pt>
              </c:numCache>
            </c:numRef>
          </c:val>
        </c:ser>
        <c:ser>
          <c:idx val="1"/>
          <c:order val="1"/>
          <c:tx>
            <c:strRef>
              <c:f>'C:\Users\maaib\Desktop\T3 2023\[2023T3 - Note sur les chiffres clés - Annexe -DEE 22102023 (1).xlsx]Feuil1'!$D$53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dLbl>
              <c:idx val="0"/>
              <c:layout>
                <c:manualLayout>
                  <c:x val="-7.3762874622473789E-3"/>
                  <c:y val="1.3888888888889043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tzm-Arab-MA" sz="800"/>
                      <a:t>-279.000</a:t>
                    </a:r>
                    <a:endParaRPr lang="en-US" sz="800"/>
                  </a:p>
                </c:rich>
              </c:tx>
              <c:spPr/>
              <c:showVal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tzm-Arab-MA" sz="800"/>
                      <a:t>- 10.000</a:t>
                    </a:r>
                    <a:endParaRPr lang="en-US" sz="800"/>
                  </a:p>
                </c:rich>
              </c:tx>
              <c:spPr/>
              <c:showVal val="1"/>
            </c:dLbl>
            <c:dLbl>
              <c:idx val="2"/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tzm-Arab-MA" sz="800"/>
                      <a:t>18.000</a:t>
                    </a:r>
                    <a:endParaRPr lang="en-US" sz="800"/>
                  </a:p>
                </c:rich>
              </c:tx>
              <c:spPr/>
              <c:showVal val="1"/>
            </c:dLbl>
            <c:dLbl>
              <c:idx val="3"/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tzm-Arab-MA" sz="800"/>
                      <a:t>3.000</a:t>
                    </a:r>
                    <a:endParaRPr lang="en-US" sz="800"/>
                  </a:p>
                </c:rich>
              </c:tx>
              <c:spPr/>
              <c:showVal val="1"/>
            </c:dLbl>
            <c:showVal val="1"/>
          </c:dLbls>
          <c:cat>
            <c:strRef>
              <c:f>'C:\Users\maaib\Desktop\T3 2023\[2023T3 - Note sur les chiffres clés - Annexe -DEE 22102023 (1).xlsx]Feuil1'!$B$54:$B$57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'C:\Users\maaib\Desktop\T3 2023\[2023T3 - Note sur les chiffres clés - Annexe -DEE 22102023 (1).xlsx]Feuil1'!$D$54:$D$57</c:f>
              <c:numCache>
                <c:formatCode>General</c:formatCode>
                <c:ptCount val="4"/>
                <c:pt idx="0">
                  <c:v>-279.46064753268865</c:v>
                </c:pt>
                <c:pt idx="1">
                  <c:v>-9.8203670447815519</c:v>
                </c:pt>
                <c:pt idx="2">
                  <c:v>17.94685078500299</c:v>
                </c:pt>
                <c:pt idx="3">
                  <c:v>2.7595846739248371</c:v>
                </c:pt>
              </c:numCache>
            </c:numRef>
          </c:val>
        </c:ser>
        <c:ser>
          <c:idx val="2"/>
          <c:order val="2"/>
          <c:tx>
            <c:strRef>
              <c:f>'C:\Users\maaib\Desktop\T3 2023\[2023T3 - Note sur les chiffres clés - Annexe -DEE 22102023 (1).xlsx]Feuil1'!$E$53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sz="800"/>
                      <a:t>-</a:t>
                    </a:r>
                    <a:r>
                      <a:rPr lang="tzm-Arab-MA" sz="800"/>
                      <a:t>297.000</a:t>
                    </a:r>
                    <a:endParaRPr lang="en-US" sz="800"/>
                  </a:p>
                </c:rich>
              </c:tx>
              <c:spPr/>
              <c:showVal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tzm-Arab-MA" sz="800"/>
                      <a:t>14.000</a:t>
                    </a:r>
                    <a:endParaRPr lang="en-US" sz="800"/>
                  </a:p>
                </c:rich>
              </c:tx>
              <c:spPr/>
              <c:showVal val="1"/>
            </c:dLbl>
            <c:dLbl>
              <c:idx val="2"/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sz="800"/>
                      <a:t>-</a:t>
                    </a:r>
                    <a:r>
                      <a:rPr lang="tzm-Arab-MA" sz="800"/>
                      <a:t>2000</a:t>
                    </a:r>
                    <a:endParaRPr lang="en-US" sz="800"/>
                  </a:p>
                </c:rich>
              </c:tx>
              <c:spPr/>
              <c:showVal val="1"/>
            </c:dLbl>
            <c:dLbl>
              <c:idx val="3"/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sz="800"/>
                      <a:t>-</a:t>
                    </a:r>
                    <a:r>
                      <a:rPr lang="tzm-Arab-MA" sz="800"/>
                      <a:t>15.000</a:t>
                    </a:r>
                    <a:endParaRPr lang="en-US" sz="800"/>
                  </a:p>
                </c:rich>
              </c:tx>
              <c:spPr/>
              <c:showVal val="1"/>
            </c:dLbl>
            <c:showVal val="1"/>
          </c:dLbls>
          <c:cat>
            <c:strRef>
              <c:f>'C:\Users\maaib\Desktop\T3 2023\[2023T3 - Note sur les chiffres clés - Annexe -DEE 22102023 (1).xlsx]Feuil1'!$B$54:$B$57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'C:\Users\maaib\Desktop\T3 2023\[2023T3 - Note sur les chiffres clés - Annexe -DEE 22102023 (1).xlsx]Feuil1'!$E$54:$E$57</c:f>
              <c:numCache>
                <c:formatCode>General</c:formatCode>
                <c:ptCount val="4"/>
                <c:pt idx="0">
                  <c:v>-297.38011086466997</c:v>
                </c:pt>
                <c:pt idx="1">
                  <c:v>13.703763030203994</c:v>
                </c:pt>
                <c:pt idx="2">
                  <c:v>-2.4656542078399801</c:v>
                </c:pt>
                <c:pt idx="3">
                  <c:v>-14.657578047261923</c:v>
                </c:pt>
              </c:numCache>
            </c:numRef>
          </c:val>
        </c:ser>
        <c:gapWidth val="75"/>
        <c:overlap val="-25"/>
        <c:axId val="115931776"/>
        <c:axId val="115939968"/>
      </c:barChart>
      <c:catAx>
        <c:axId val="115931776"/>
        <c:scaling>
          <c:orientation val="minMax"/>
        </c:scaling>
        <c:axPos val="b"/>
        <c:majorTickMark val="none"/>
        <c:tickLblPos val="low"/>
        <c:crossAx val="115939968"/>
        <c:crosses val="autoZero"/>
        <c:auto val="1"/>
        <c:lblAlgn val="ctr"/>
        <c:lblOffset val="100"/>
      </c:catAx>
      <c:valAx>
        <c:axId val="11593996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5931776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ar!$A$2:$A$8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رجال</c:v>
                </c:pt>
                <c:pt idx="3">
                  <c:v>نساء</c:v>
                </c:pt>
                <c:pt idx="4">
                  <c:v>من 15 إلى 24 سنة</c:v>
                </c:pt>
                <c:pt idx="5">
                  <c:v>حاصل على شهادة</c:v>
                </c:pt>
                <c:pt idx="6">
                  <c:v>المعدل الوطني</c:v>
                </c:pt>
              </c:strCache>
            </c:strRef>
          </c:cat>
          <c:val>
            <c:numRef>
              <c:f>ar!$B$2:$B$8</c:f>
              <c:numCache>
                <c:formatCode>0.0</c:formatCode>
                <c:ptCount val="7"/>
                <c:pt idx="0">
                  <c:v>14.979396375249406</c:v>
                </c:pt>
                <c:pt idx="1">
                  <c:v>5.2369172072864272</c:v>
                </c:pt>
                <c:pt idx="2">
                  <c:v>9.5335610296348499</c:v>
                </c:pt>
                <c:pt idx="3">
                  <c:v>17.753887600186697</c:v>
                </c:pt>
                <c:pt idx="4">
                  <c:v>31.669674484313425</c:v>
                </c:pt>
                <c:pt idx="5">
                  <c:v>17.685623752184629</c:v>
                </c:pt>
                <c:pt idx="6">
                  <c:v>11.359011428314735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D2-4375-964B-ADC761A2EEB8}"/>
            </c:ext>
          </c:extLst>
        </c:ser>
        <c:ser>
          <c:idx val="1"/>
          <c:order val="1"/>
          <c:tx>
            <c:strRef>
              <c:f>ar!$C$1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ar!$A$2:$A$8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رجال</c:v>
                </c:pt>
                <c:pt idx="3">
                  <c:v>نساء</c:v>
                </c:pt>
                <c:pt idx="4">
                  <c:v>من 15 إلى 24 سنة</c:v>
                </c:pt>
                <c:pt idx="5">
                  <c:v>حاصل على شهادة</c:v>
                </c:pt>
                <c:pt idx="6">
                  <c:v>المعدل الوطني</c:v>
                </c:pt>
              </c:strCache>
            </c:strRef>
          </c:cat>
          <c:val>
            <c:numRef>
              <c:f>ar!$C$2:$C$8</c:f>
              <c:numCache>
                <c:formatCode>0.0</c:formatCode>
                <c:ptCount val="7"/>
                <c:pt idx="0">
                  <c:v>17.011142587893492</c:v>
                </c:pt>
                <c:pt idx="1">
                  <c:v>7.0382952932067004</c:v>
                </c:pt>
                <c:pt idx="2">
                  <c:v>11.718327840173231</c:v>
                </c:pt>
                <c:pt idx="3">
                  <c:v>19.76374760119371</c:v>
                </c:pt>
                <c:pt idx="4">
                  <c:v>38.206131869468912</c:v>
                </c:pt>
                <c:pt idx="5">
                  <c:v>19.764584417018831</c:v>
                </c:pt>
                <c:pt idx="6">
                  <c:v>13.456403452494722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D2-4375-964B-ADC761A2EEB8}"/>
            </c:ext>
          </c:extLst>
        </c:ser>
        <c:dLbls>
          <c:showVal val="1"/>
        </c:dLbls>
        <c:gapWidth val="219"/>
        <c:overlap val="-27"/>
        <c:axId val="148878080"/>
        <c:axId val="148879616"/>
      </c:barChart>
      <c:catAx>
        <c:axId val="1488780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8879616"/>
        <c:crosses val="autoZero"/>
        <c:auto val="1"/>
        <c:lblAlgn val="ctr"/>
        <c:lblOffset val="100"/>
      </c:catAx>
      <c:valAx>
        <c:axId val="148879616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4887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'[Graphiques Régions.xlsx]taux d''activité et sous-emploi'!$C$5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'[Graphiques Régions.xlsx]taux d''activité et sous-emploi'!$B$6:$B$10</c:f>
              <c:strCache>
                <c:ptCount val="5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ولأشغال العمومية</c:v>
                </c:pt>
                <c:pt idx="3">
                  <c:v>الخدمات </c:v>
                </c:pt>
                <c:pt idx="4">
                  <c:v>المجموع</c:v>
                </c:pt>
              </c:strCache>
            </c:strRef>
          </c:cat>
          <c:val>
            <c:numRef>
              <c:f>'[Graphiques Régions.xlsx]taux d''activité et sous-emploi'!$C$6:$C$10</c:f>
              <c:numCache>
                <c:formatCode>0.0</c:formatCode>
                <c:ptCount val="5"/>
                <c:pt idx="0">
                  <c:v>10.244543403055042</c:v>
                </c:pt>
                <c:pt idx="1">
                  <c:v>5.5802255386025976</c:v>
                </c:pt>
                <c:pt idx="2">
                  <c:v>15.7816496730634</c:v>
                </c:pt>
                <c:pt idx="3">
                  <c:v>6.4604780473974746</c:v>
                </c:pt>
                <c:pt idx="4">
                  <c:v>8.4754439022412846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03-4DFD-8839-030462DCCB1E}"/>
            </c:ext>
          </c:extLst>
        </c:ser>
        <c:ser>
          <c:idx val="1"/>
          <c:order val="1"/>
          <c:tx>
            <c:strRef>
              <c:f>'[Graphiques Régions.xlsx]taux d''activité et sous-emploi'!$D$5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'[Graphiques Régions.xlsx]taux d''activité et sous-emploi'!$B$6:$B$10</c:f>
              <c:strCache>
                <c:ptCount val="5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ولأشغال العمومية</c:v>
                </c:pt>
                <c:pt idx="3">
                  <c:v>الخدمات </c:v>
                </c:pt>
                <c:pt idx="4">
                  <c:v>المجموع</c:v>
                </c:pt>
              </c:strCache>
            </c:strRef>
          </c:cat>
          <c:val>
            <c:numRef>
              <c:f>'[Graphiques Régions.xlsx]taux d''activité et sous-emploi'!$D$6:$D$10</c:f>
              <c:numCache>
                <c:formatCode>0.0</c:formatCode>
                <c:ptCount val="5"/>
                <c:pt idx="0">
                  <c:v>11.199502102710309</c:v>
                </c:pt>
                <c:pt idx="1">
                  <c:v>7.7112394231386636</c:v>
                </c:pt>
                <c:pt idx="2">
                  <c:v>18.939767072409129</c:v>
                </c:pt>
                <c:pt idx="3">
                  <c:v>7.0944854793319383</c:v>
                </c:pt>
                <c:pt idx="4">
                  <c:v>9.6197610359359427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03-4DFD-8839-030462DCCB1E}"/>
            </c:ext>
          </c:extLst>
        </c:ser>
        <c:dLbls>
          <c:showVal val="1"/>
        </c:dLbls>
        <c:gapWidth val="219"/>
        <c:overlap val="-27"/>
        <c:axId val="148950400"/>
        <c:axId val="164368384"/>
      </c:barChart>
      <c:catAx>
        <c:axId val="1489504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4368384"/>
        <c:crosses val="autoZero"/>
        <c:auto val="1"/>
        <c:lblAlgn val="ctr"/>
        <c:lblOffset val="100"/>
      </c:catAx>
      <c:valAx>
        <c:axId val="164368384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4895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dPt>
            <c:idx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1"/>
            <c:spPr>
              <a:solidFill>
                <a:schemeClr val="bg1">
                  <a:lumMod val="65000"/>
                </a:schemeClr>
              </a:solidFill>
            </c:spPr>
          </c:dPt>
          <c:dPt>
            <c:idx val="2"/>
            <c:spPr>
              <a:solidFill>
                <a:schemeClr val="bg1">
                  <a:lumMod val="65000"/>
                </a:schemeClr>
              </a:solidFill>
            </c:spPr>
          </c:dPt>
          <c:dPt>
            <c:idx val="3"/>
            <c:spPr>
              <a:solidFill>
                <a:schemeClr val="bg1">
                  <a:lumMod val="65000"/>
                </a:schemeClr>
              </a:solidFill>
            </c:spPr>
          </c:dPt>
          <c:dPt>
            <c:idx val="4"/>
            <c:spPr>
              <a:solidFill>
                <a:schemeClr val="bg1">
                  <a:lumMod val="65000"/>
                </a:schemeClr>
              </a:solidFill>
            </c:spPr>
          </c:dPt>
          <c:dPt>
            <c:idx val="5"/>
            <c:spPr>
              <a:solidFill>
                <a:schemeClr val="bg1">
                  <a:lumMod val="65000"/>
                </a:schemeClr>
              </a:solidFill>
            </c:spPr>
          </c:dPt>
          <c:dPt>
            <c:idx val="6"/>
            <c:spPr>
              <a:solidFill>
                <a:schemeClr val="bg1">
                  <a:lumMod val="65000"/>
                </a:schemeClr>
              </a:solidFill>
            </c:spPr>
          </c:dPt>
          <c:dPt>
            <c:idx val="7"/>
            <c:spPr>
              <a:solidFill>
                <a:schemeClr val="bg1">
                  <a:lumMod val="65000"/>
                </a:schemeClr>
              </a:solidFill>
            </c:spPr>
          </c:dPt>
          <c:dPt>
            <c:idx val="8"/>
            <c:spPr>
              <a:solidFill>
                <a:schemeClr val="bg1">
                  <a:lumMod val="65000"/>
                </a:schemeClr>
              </a:solidFill>
            </c:spPr>
          </c:dPt>
          <c:dPt>
            <c:idx val="9"/>
            <c:spPr>
              <a:solidFill>
                <a:schemeClr val="bg1">
                  <a:lumMod val="65000"/>
                </a:schemeClr>
              </a:solidFill>
            </c:spPr>
          </c:dPt>
          <c:dPt>
            <c:idx val="10"/>
            <c:spPr>
              <a:solidFill>
                <a:srgbClr val="FFC000"/>
              </a:solidFill>
            </c:spPr>
          </c:dPt>
          <c:dLbls>
            <c:showVal val="1"/>
          </c:dLbls>
          <c:cat>
            <c:strRef>
              <c:f>Taux!$B$38:$B$48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المجموع</c:v>
                </c:pt>
              </c:strCache>
            </c:strRef>
          </c:cat>
          <c:val>
            <c:numRef>
              <c:f>Taux!$C$38:$C$48</c:f>
              <c:numCache>
                <c:formatCode>0.0</c:formatCode>
                <c:ptCount val="11"/>
                <c:pt idx="0">
                  <c:v>47.04290902145393</c:v>
                </c:pt>
                <c:pt idx="1">
                  <c:v>39.9424849772928</c:v>
                </c:pt>
                <c:pt idx="2">
                  <c:v>41.826734807956818</c:v>
                </c:pt>
                <c:pt idx="3">
                  <c:v>43.613177602406928</c:v>
                </c:pt>
                <c:pt idx="4">
                  <c:v>39.980435600740194</c:v>
                </c:pt>
                <c:pt idx="5">
                  <c:v>45.856748065793447</c:v>
                </c:pt>
                <c:pt idx="6">
                  <c:v>43.775295766661273</c:v>
                </c:pt>
                <c:pt idx="7">
                  <c:v>38.336310687479333</c:v>
                </c:pt>
                <c:pt idx="8">
                  <c:v>39.467923119154314</c:v>
                </c:pt>
                <c:pt idx="9">
                  <c:v>45.62233788528858</c:v>
                </c:pt>
                <c:pt idx="10">
                  <c:v>43.227962997012</c:v>
                </c:pt>
              </c:numCache>
            </c:numRef>
          </c:val>
        </c:ser>
        <c:axId val="148923136"/>
        <c:axId val="148924672"/>
      </c:barChart>
      <c:catAx>
        <c:axId val="148923136"/>
        <c:scaling>
          <c:orientation val="minMax"/>
        </c:scaling>
        <c:axPos val="l"/>
        <c:tickLblPos val="nextTo"/>
        <c:crossAx val="148924672"/>
        <c:crosses val="autoZero"/>
        <c:auto val="1"/>
        <c:lblAlgn val="ctr"/>
        <c:lblOffset val="100"/>
      </c:catAx>
      <c:valAx>
        <c:axId val="148924672"/>
        <c:scaling>
          <c:orientation val="minMax"/>
        </c:scaling>
        <c:delete val="1"/>
        <c:axPos val="b"/>
        <c:numFmt formatCode="0.0" sourceLinked="1"/>
        <c:tickLblPos val="none"/>
        <c:crossAx val="14892313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FFC000"/>
            </a:solidFill>
          </c:spPr>
          <c:dPt>
            <c:idx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1"/>
            <c:spPr>
              <a:solidFill>
                <a:schemeClr val="bg1">
                  <a:lumMod val="65000"/>
                </a:schemeClr>
              </a:solidFill>
            </c:spPr>
          </c:dPt>
          <c:dPt>
            <c:idx val="2"/>
            <c:spPr>
              <a:solidFill>
                <a:schemeClr val="bg1">
                  <a:lumMod val="65000"/>
                </a:schemeClr>
              </a:solidFill>
            </c:spPr>
          </c:dPt>
          <c:dPt>
            <c:idx val="3"/>
            <c:spPr>
              <a:solidFill>
                <a:schemeClr val="bg1">
                  <a:lumMod val="65000"/>
                </a:schemeClr>
              </a:solidFill>
            </c:spPr>
          </c:dPt>
          <c:dPt>
            <c:idx val="4"/>
            <c:spPr>
              <a:solidFill>
                <a:schemeClr val="bg1">
                  <a:lumMod val="65000"/>
                </a:schemeClr>
              </a:solidFill>
            </c:spPr>
          </c:dPt>
          <c:dPt>
            <c:idx val="5"/>
            <c:spPr>
              <a:solidFill>
                <a:schemeClr val="bg1">
                  <a:lumMod val="65000"/>
                </a:schemeClr>
              </a:solidFill>
            </c:spPr>
          </c:dPt>
          <c:dPt>
            <c:idx val="6"/>
            <c:spPr>
              <a:solidFill>
                <a:schemeClr val="bg1">
                  <a:lumMod val="65000"/>
                </a:schemeClr>
              </a:solidFill>
            </c:spPr>
          </c:dPt>
          <c:dPt>
            <c:idx val="7"/>
            <c:spPr>
              <a:solidFill>
                <a:schemeClr val="bg1">
                  <a:lumMod val="65000"/>
                </a:schemeClr>
              </a:solidFill>
            </c:spPr>
          </c:dPt>
          <c:dPt>
            <c:idx val="8"/>
            <c:spPr>
              <a:solidFill>
                <a:schemeClr val="bg1">
                  <a:lumMod val="65000"/>
                </a:schemeClr>
              </a:solidFill>
            </c:spPr>
          </c:dPt>
          <c:dPt>
            <c:idx val="9"/>
            <c:spPr>
              <a:solidFill>
                <a:schemeClr val="bg1">
                  <a:lumMod val="65000"/>
                </a:schemeClr>
              </a:solidFill>
            </c:spPr>
          </c:dPt>
          <c:dLbls>
            <c:showVal val="1"/>
          </c:dLbls>
          <c:cat>
            <c:strRef>
              <c:f>Taux!$B$57:$B$67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المجموع</c:v>
                </c:pt>
              </c:strCache>
            </c:strRef>
          </c:cat>
          <c:val>
            <c:numRef>
              <c:f>Taux!$C$57:$C$67</c:f>
              <c:numCache>
                <c:formatCode>0.0</c:formatCode>
                <c:ptCount val="11"/>
                <c:pt idx="0">
                  <c:v>9.3677604658166054</c:v>
                </c:pt>
                <c:pt idx="1">
                  <c:v>20.320650704633685</c:v>
                </c:pt>
                <c:pt idx="2">
                  <c:v>14.94995325438167</c:v>
                </c:pt>
                <c:pt idx="3">
                  <c:v>11.45577878278637</c:v>
                </c:pt>
                <c:pt idx="4">
                  <c:v>13.290547337116552</c:v>
                </c:pt>
                <c:pt idx="5">
                  <c:v>15.02558136764277</c:v>
                </c:pt>
                <c:pt idx="6">
                  <c:v>8.3233592080431222</c:v>
                </c:pt>
                <c:pt idx="7">
                  <c:v>15.167385158271971</c:v>
                </c:pt>
                <c:pt idx="8">
                  <c:v>14.628705071092794</c:v>
                </c:pt>
                <c:pt idx="9">
                  <c:v>23.452149079842041</c:v>
                </c:pt>
                <c:pt idx="10">
                  <c:v>13.456403452494722</c:v>
                </c:pt>
              </c:numCache>
            </c:numRef>
          </c:val>
        </c:ser>
        <c:axId val="164312576"/>
        <c:axId val="164314112"/>
      </c:barChart>
      <c:catAx>
        <c:axId val="164312576"/>
        <c:scaling>
          <c:orientation val="minMax"/>
        </c:scaling>
        <c:axPos val="l"/>
        <c:tickLblPos val="nextTo"/>
        <c:crossAx val="164314112"/>
        <c:crosses val="autoZero"/>
        <c:auto val="1"/>
        <c:lblAlgn val="ctr"/>
        <c:lblOffset val="100"/>
      </c:catAx>
      <c:valAx>
        <c:axId val="164314112"/>
        <c:scaling>
          <c:orientation val="minMax"/>
        </c:scaling>
        <c:delete val="1"/>
        <c:axPos val="b"/>
        <c:numFmt formatCode="0.0" sourceLinked="1"/>
        <c:tickLblPos val="none"/>
        <c:crossAx val="16431257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C8A1-69E1-4EE6-9B98-B8F5478B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1796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Analyse et conception</dc:creator>
  <cp:lastModifiedBy>HCP</cp:lastModifiedBy>
  <cp:revision>4</cp:revision>
  <dcterms:created xsi:type="dcterms:W3CDTF">2023-11-02T12:23:00Z</dcterms:created>
  <dcterms:modified xsi:type="dcterms:W3CDTF">2023-11-02T15:17:00Z</dcterms:modified>
</cp:coreProperties>
</file>