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D0" w:rsidRPr="00BD4B64" w:rsidRDefault="00EA6737" w:rsidP="00242641">
      <w:pPr>
        <w:spacing w:before="240" w:line="312" w:lineRule="auto"/>
        <w:ind w:left="-181"/>
        <w:jc w:val="center"/>
        <w:rPr>
          <w:rFonts w:ascii="Book Antiqua" w:eastAsiaTheme="majorEastAsia" w:hAnsi="Book Antiqua" w:cstheme="majorHAnsi"/>
          <w:b/>
          <w:bCs/>
          <w:color w:val="1F3864" w:themeColor="accent1" w:themeShade="80"/>
          <w:spacing w:val="-10"/>
          <w:kern w:val="28"/>
          <w:sz w:val="28"/>
          <w:szCs w:val="28"/>
          <w:lang w:eastAsia="en-US"/>
        </w:rPr>
      </w:pPr>
      <w:r>
        <w:rPr>
          <w:rFonts w:ascii="Book Antiqua" w:eastAsiaTheme="majorEastAsia" w:hAnsi="Book Antiqua" w:cstheme="majorHAnsi"/>
          <w:b/>
          <w:bCs/>
          <w:color w:val="1F3864" w:themeColor="accent1" w:themeShade="80"/>
          <w:spacing w:val="-10"/>
          <w:kern w:val="28"/>
          <w:sz w:val="28"/>
          <w:szCs w:val="28"/>
          <w:lang w:eastAsia="en-US"/>
        </w:rPr>
        <w:t xml:space="preserve">  </w:t>
      </w:r>
    </w:p>
    <w:p w:rsidR="00775F52" w:rsidRPr="00EA6737" w:rsidRDefault="00775F52" w:rsidP="00F95402">
      <w:pPr>
        <w:spacing w:before="240" w:line="312" w:lineRule="auto"/>
        <w:ind w:left="-181"/>
        <w:jc w:val="center"/>
        <w:rPr>
          <w:rFonts w:ascii="Book Antiqua" w:eastAsia="Book Antiqua" w:hAnsi="Book Antiqua" w:cs="Book Antiqua"/>
          <w:b/>
          <w:color w:val="1F3864" w:themeColor="accent1" w:themeShade="80"/>
          <w:sz w:val="24"/>
          <w:szCs w:val="24"/>
        </w:rPr>
      </w:pPr>
      <w:bookmarkStart w:id="0" w:name="m_-7401311542936427547__Hlk125637456"/>
      <w:bookmarkStart w:id="1" w:name="_Hlk125637456"/>
      <w:r w:rsidRPr="00EA6737">
        <w:rPr>
          <w:rFonts w:ascii="Book Antiqua" w:eastAsia="Book Antiqua" w:hAnsi="Book Antiqua" w:cs="Book Antiqua"/>
          <w:b/>
          <w:color w:val="1F3864" w:themeColor="accent1" w:themeShade="80"/>
          <w:sz w:val="24"/>
          <w:szCs w:val="24"/>
        </w:rPr>
        <w:t xml:space="preserve">NOTE D’INFORMATION DU HAUT-COMMISSARIAT AU PLAN RELATIVE </w:t>
      </w:r>
      <w:r w:rsidR="00F95402" w:rsidRPr="00EA6737">
        <w:rPr>
          <w:rFonts w:ascii="Book Antiqua" w:eastAsia="Book Antiqua" w:hAnsi="Book Antiqua" w:cs="Book Antiqua"/>
          <w:b/>
          <w:color w:val="1F3864" w:themeColor="accent1" w:themeShade="80"/>
          <w:sz w:val="24"/>
          <w:szCs w:val="24"/>
        </w:rPr>
        <w:t>À</w:t>
      </w:r>
      <w:r w:rsidRPr="00EA6737">
        <w:rPr>
          <w:rFonts w:ascii="Book Antiqua" w:eastAsia="Book Antiqua" w:hAnsi="Book Antiqua" w:cs="Book Antiqua"/>
          <w:b/>
          <w:color w:val="1F3864" w:themeColor="accent1" w:themeShade="80"/>
          <w:sz w:val="24"/>
          <w:szCs w:val="24"/>
        </w:rPr>
        <w:t xml:space="preserve"> LA SITUATION DU MARCHÉ DU TRAVAIL EN 2023</w:t>
      </w:r>
    </w:p>
    <w:p w:rsidR="00775F52" w:rsidRPr="00230D5B" w:rsidRDefault="00775F52" w:rsidP="00775F52">
      <w:pPr>
        <w:shd w:val="clear" w:color="auto" w:fill="FFFFFF"/>
        <w:spacing w:before="240" w:after="240" w:line="288" w:lineRule="auto"/>
        <w:jc w:val="both"/>
        <w:rPr>
          <w:rFonts w:ascii="Book Antiqua" w:hAnsi="Book Antiqua"/>
          <w:b/>
          <w:bCs/>
          <w:color w:val="1F3864" w:themeColor="accent1" w:themeShade="80"/>
          <w:sz w:val="26"/>
          <w:szCs w:val="26"/>
          <w:shd w:val="clear" w:color="auto" w:fill="FFFFFF"/>
        </w:rPr>
      </w:pPr>
    </w:p>
    <w:bookmarkEnd w:id="0"/>
    <w:p w:rsidR="00D419D5" w:rsidRDefault="00A12D8E" w:rsidP="00A12D8E">
      <w:pPr>
        <w:shd w:val="clear" w:color="auto" w:fill="FFFFFF"/>
        <w:spacing w:before="240" w:after="240" w:line="288" w:lineRule="auto"/>
        <w:jc w:val="both"/>
        <w:rPr>
          <w:rFonts w:ascii="Book Antiqua" w:hAnsi="Book Antiqua"/>
          <w:b/>
          <w:bCs/>
          <w:color w:val="1F3864" w:themeColor="accent1" w:themeShade="80"/>
          <w:sz w:val="26"/>
          <w:szCs w:val="26"/>
          <w:shd w:val="clear" w:color="auto" w:fill="FFFFFF"/>
        </w:rPr>
      </w:pPr>
      <w:r>
        <w:rPr>
          <w:rFonts w:ascii="Book Antiqua" w:hAnsi="Book Antiqua"/>
          <w:b/>
          <w:bCs/>
          <w:color w:val="1F3864" w:themeColor="accent1" w:themeShade="80"/>
          <w:sz w:val="26"/>
          <w:szCs w:val="26"/>
          <w:shd w:val="clear" w:color="auto" w:fill="FFFFFF"/>
        </w:rPr>
        <w:t xml:space="preserve">Entre l’année </w:t>
      </w:r>
      <w:r w:rsidR="00D419D5" w:rsidRPr="00D419D5">
        <w:rPr>
          <w:rFonts w:ascii="Book Antiqua" w:hAnsi="Book Antiqua"/>
          <w:b/>
          <w:bCs/>
          <w:color w:val="1F3864" w:themeColor="accent1" w:themeShade="80"/>
          <w:sz w:val="26"/>
          <w:szCs w:val="26"/>
          <w:shd w:val="clear" w:color="auto" w:fill="FFFFFF"/>
        </w:rPr>
        <w:t xml:space="preserve">2022 et 2023, l’économie nationale a perdu 157.000 postes d’emploi, </w:t>
      </w:r>
      <w:r w:rsidR="00D419D5">
        <w:rPr>
          <w:rFonts w:ascii="Book Antiqua" w:hAnsi="Book Antiqua"/>
          <w:b/>
          <w:bCs/>
          <w:color w:val="1F3864" w:themeColor="accent1" w:themeShade="80"/>
          <w:sz w:val="26"/>
          <w:szCs w:val="26"/>
          <w:shd w:val="clear" w:color="auto" w:fill="FFFFFF"/>
        </w:rPr>
        <w:t>résultat d’</w:t>
      </w:r>
      <w:r w:rsidR="00D419D5" w:rsidRPr="00D419D5">
        <w:rPr>
          <w:rFonts w:ascii="Book Antiqua" w:hAnsi="Book Antiqua"/>
          <w:b/>
          <w:bCs/>
          <w:color w:val="1F3864" w:themeColor="accent1" w:themeShade="80"/>
          <w:sz w:val="26"/>
          <w:szCs w:val="26"/>
          <w:shd w:val="clear" w:color="auto" w:fill="FFFFFF"/>
        </w:rPr>
        <w:t xml:space="preserve">une diminution de 198.000 postes en milieu </w:t>
      </w:r>
      <w:r w:rsidR="00D419D5">
        <w:rPr>
          <w:rFonts w:ascii="Book Antiqua" w:hAnsi="Book Antiqua"/>
          <w:b/>
          <w:bCs/>
          <w:color w:val="1F3864" w:themeColor="accent1" w:themeShade="80"/>
          <w:sz w:val="26"/>
          <w:szCs w:val="26"/>
          <w:shd w:val="clear" w:color="auto" w:fill="FFFFFF"/>
        </w:rPr>
        <w:t>rural</w:t>
      </w:r>
      <w:r w:rsidR="00D419D5" w:rsidRPr="00D419D5">
        <w:rPr>
          <w:rFonts w:ascii="Book Antiqua" w:hAnsi="Book Antiqua"/>
          <w:b/>
          <w:bCs/>
          <w:color w:val="1F3864" w:themeColor="accent1" w:themeShade="80"/>
          <w:sz w:val="26"/>
          <w:szCs w:val="26"/>
          <w:shd w:val="clear" w:color="auto" w:fill="FFFFFF"/>
        </w:rPr>
        <w:t xml:space="preserve"> et d’une augmentation de 41.000 en milieu </w:t>
      </w:r>
      <w:r w:rsidR="00D419D5">
        <w:rPr>
          <w:rFonts w:ascii="Book Antiqua" w:hAnsi="Book Antiqua"/>
          <w:b/>
          <w:bCs/>
          <w:color w:val="1F3864" w:themeColor="accent1" w:themeShade="80"/>
          <w:sz w:val="26"/>
          <w:szCs w:val="26"/>
          <w:shd w:val="clear" w:color="auto" w:fill="FFFFFF"/>
        </w:rPr>
        <w:t>urbain</w:t>
      </w:r>
      <w:r w:rsidR="00D419D5" w:rsidRPr="00D419D5">
        <w:rPr>
          <w:rFonts w:ascii="Book Antiqua" w:hAnsi="Book Antiqua"/>
          <w:b/>
          <w:bCs/>
          <w:color w:val="1F3864" w:themeColor="accent1" w:themeShade="80"/>
          <w:sz w:val="26"/>
          <w:szCs w:val="26"/>
          <w:shd w:val="clear" w:color="auto" w:fill="FFFFFF"/>
        </w:rPr>
        <w:t xml:space="preserve">, </w:t>
      </w:r>
      <w:r w:rsidR="00D419D5">
        <w:rPr>
          <w:rFonts w:ascii="Book Antiqua" w:hAnsi="Book Antiqua"/>
          <w:b/>
          <w:bCs/>
          <w:color w:val="1F3864" w:themeColor="accent1" w:themeShade="80"/>
          <w:sz w:val="26"/>
          <w:szCs w:val="26"/>
          <w:shd w:val="clear" w:color="auto" w:fill="FFFFFF"/>
        </w:rPr>
        <w:t>après avoir perdu 24.000 postes une année auparavant.</w:t>
      </w:r>
      <w:bookmarkEnd w:id="1"/>
    </w:p>
    <w:p w:rsidR="00775F52" w:rsidRPr="00673039" w:rsidRDefault="00775F52" w:rsidP="00D419D5">
      <w:pPr>
        <w:shd w:val="clear" w:color="auto" w:fill="FFFFFF"/>
        <w:spacing w:before="240" w:after="240" w:line="288" w:lineRule="auto"/>
        <w:jc w:val="both"/>
        <w:rPr>
          <w:rFonts w:ascii="Book Antiqua" w:hAnsi="Book Antiqua"/>
          <w:b/>
          <w:bCs/>
          <w:color w:val="1F3864" w:themeColor="accent1" w:themeShade="80"/>
          <w:sz w:val="26"/>
          <w:szCs w:val="26"/>
          <w:shd w:val="clear" w:color="auto" w:fill="FFFFFF"/>
        </w:rPr>
      </w:pPr>
      <w:r w:rsidRPr="00673039">
        <w:rPr>
          <w:rFonts w:ascii="Book Antiqua" w:hAnsi="Book Antiqua"/>
          <w:b/>
          <w:bCs/>
          <w:color w:val="1F3864" w:themeColor="accent1" w:themeShade="80"/>
          <w:sz w:val="26"/>
          <w:szCs w:val="26"/>
          <w:shd w:val="clear" w:color="auto" w:fill="FFFFFF"/>
        </w:rPr>
        <w:t xml:space="preserve">Le secteur des BTP a contribué à la création de 19.000 postes d’emploi, celui des services 15.000 postes, celui de l’"industrie y compris l’artisanat" 7.000 postes, alors que l’"agriculture, forêt et pêche" a </w:t>
      </w:r>
      <w:r w:rsidR="00842F44" w:rsidRPr="00842F44">
        <w:rPr>
          <w:rFonts w:ascii="Book Antiqua" w:hAnsi="Book Antiqua"/>
          <w:b/>
          <w:bCs/>
          <w:color w:val="1F3864" w:themeColor="accent1" w:themeShade="80"/>
          <w:sz w:val="26"/>
          <w:szCs w:val="26"/>
          <w:shd w:val="clear" w:color="auto" w:fill="FFFFFF"/>
        </w:rPr>
        <w:t>perdu</w:t>
      </w:r>
      <w:r w:rsidRPr="00842F44">
        <w:rPr>
          <w:rFonts w:ascii="Book Antiqua" w:hAnsi="Book Antiqua"/>
          <w:b/>
          <w:bCs/>
          <w:color w:val="1F3864" w:themeColor="accent1" w:themeShade="80"/>
          <w:sz w:val="26"/>
          <w:szCs w:val="26"/>
          <w:shd w:val="clear" w:color="auto" w:fill="FFFFFF"/>
        </w:rPr>
        <w:t xml:space="preserve"> 2</w:t>
      </w:r>
      <w:r w:rsidRPr="00673039">
        <w:rPr>
          <w:rFonts w:ascii="Book Antiqua" w:hAnsi="Book Antiqua"/>
          <w:b/>
          <w:bCs/>
          <w:color w:val="1F3864" w:themeColor="accent1" w:themeShade="80"/>
          <w:sz w:val="26"/>
          <w:szCs w:val="26"/>
          <w:shd w:val="clear" w:color="auto" w:fill="FFFFFF"/>
        </w:rPr>
        <w:t>02.000 postes.</w:t>
      </w:r>
    </w:p>
    <w:p w:rsidR="00D61DE8" w:rsidRPr="00673039" w:rsidRDefault="00D61DE8" w:rsidP="00842F44">
      <w:pPr>
        <w:shd w:val="clear" w:color="auto" w:fill="FFFFFF"/>
        <w:spacing w:before="240" w:after="240" w:line="288" w:lineRule="auto"/>
        <w:jc w:val="both"/>
        <w:rPr>
          <w:rFonts w:ascii="Book Antiqua" w:hAnsi="Book Antiqua"/>
          <w:b/>
          <w:bCs/>
          <w:color w:val="1F3864" w:themeColor="accent1" w:themeShade="80"/>
          <w:sz w:val="26"/>
          <w:szCs w:val="26"/>
          <w:shd w:val="clear" w:color="auto" w:fill="FFFFFF"/>
        </w:rPr>
      </w:pPr>
      <w:r w:rsidRPr="00673039">
        <w:rPr>
          <w:rFonts w:ascii="Book Antiqua" w:hAnsi="Book Antiqua"/>
          <w:b/>
          <w:bCs/>
          <w:color w:val="1F3864" w:themeColor="accent1" w:themeShade="80"/>
          <w:sz w:val="26"/>
          <w:szCs w:val="26"/>
          <w:shd w:val="clear" w:color="auto" w:fill="FFFFFF"/>
        </w:rPr>
        <w:t>Avec une hausse de 138.000, dont 98.000 en milieu urbain et 40.000 en milieu rural,</w:t>
      </w:r>
      <w:r w:rsidR="00842F44">
        <w:rPr>
          <w:rFonts w:ascii="Book Antiqua" w:hAnsi="Book Antiqua"/>
          <w:b/>
          <w:bCs/>
          <w:color w:val="1F3864" w:themeColor="accent1" w:themeShade="80"/>
          <w:sz w:val="26"/>
          <w:szCs w:val="26"/>
          <w:shd w:val="clear" w:color="auto" w:fill="FFFFFF"/>
        </w:rPr>
        <w:t xml:space="preserve"> le volume du chômage a atteint </w:t>
      </w:r>
      <w:r w:rsidRPr="00673039">
        <w:rPr>
          <w:rFonts w:ascii="Book Antiqua" w:hAnsi="Book Antiqua"/>
          <w:b/>
          <w:bCs/>
          <w:color w:val="1F3864" w:themeColor="accent1" w:themeShade="80"/>
          <w:sz w:val="26"/>
          <w:szCs w:val="26"/>
          <w:shd w:val="clear" w:color="auto" w:fill="FFFFFF"/>
        </w:rPr>
        <w:t xml:space="preserve">1.580.000 personnes au niveau national. </w:t>
      </w:r>
    </w:p>
    <w:p w:rsidR="002C5905" w:rsidRPr="00673039" w:rsidRDefault="002C5905" w:rsidP="005B5E5A">
      <w:pPr>
        <w:shd w:val="clear" w:color="auto" w:fill="FFFFFF"/>
        <w:spacing w:before="240" w:after="240" w:line="288" w:lineRule="auto"/>
        <w:jc w:val="both"/>
        <w:rPr>
          <w:rFonts w:ascii="Book Antiqua" w:hAnsi="Book Antiqua"/>
          <w:b/>
          <w:bCs/>
          <w:color w:val="1F3864" w:themeColor="accent1" w:themeShade="80"/>
          <w:sz w:val="26"/>
          <w:szCs w:val="26"/>
          <w:shd w:val="clear" w:color="auto" w:fill="FFFFFF"/>
        </w:rPr>
      </w:pPr>
      <w:r w:rsidRPr="00673039">
        <w:rPr>
          <w:rFonts w:ascii="Book Antiqua" w:hAnsi="Book Antiqua"/>
          <w:b/>
          <w:bCs/>
          <w:color w:val="1F3864" w:themeColor="accent1" w:themeShade="80"/>
          <w:sz w:val="26"/>
          <w:szCs w:val="26"/>
          <w:shd w:val="clear" w:color="auto" w:fill="FFFFFF"/>
        </w:rPr>
        <w:t>Le taux de chômage est ainsi passé de 11,8% à 13% au niveau national, de 15,8% à 16,8% en milieu urbain et de 5,2% à 6,3%</w:t>
      </w:r>
      <w:r w:rsidR="00F95402" w:rsidRPr="00673039">
        <w:rPr>
          <w:rFonts w:ascii="Book Antiqua" w:hAnsi="Book Antiqua"/>
          <w:b/>
          <w:bCs/>
          <w:color w:val="1F3864" w:themeColor="accent1" w:themeShade="80"/>
          <w:sz w:val="26"/>
          <w:szCs w:val="26"/>
          <w:shd w:val="clear" w:color="auto" w:fill="FFFFFF"/>
        </w:rPr>
        <w:t xml:space="preserve"> </w:t>
      </w:r>
      <w:r w:rsidRPr="00673039">
        <w:rPr>
          <w:rFonts w:ascii="Book Antiqua" w:hAnsi="Book Antiqua"/>
          <w:b/>
          <w:bCs/>
          <w:color w:val="1F3864" w:themeColor="accent1" w:themeShade="80"/>
          <w:sz w:val="26"/>
          <w:szCs w:val="26"/>
          <w:shd w:val="clear" w:color="auto" w:fill="FFFFFF"/>
        </w:rPr>
        <w:t>en milieu rural. Il reste plus élevé parmi les jeunes de 15 à 24 ans (</w:t>
      </w:r>
      <w:r w:rsidR="00F95402" w:rsidRPr="00673039">
        <w:rPr>
          <w:rFonts w:ascii="Book Antiqua" w:hAnsi="Book Antiqua"/>
          <w:b/>
          <w:bCs/>
          <w:color w:val="1F3864" w:themeColor="accent1" w:themeShade="80"/>
          <w:sz w:val="26"/>
          <w:szCs w:val="26"/>
          <w:shd w:val="clear" w:color="auto" w:fill="FFFFFF"/>
        </w:rPr>
        <w:t>35,8</w:t>
      </w:r>
      <w:r w:rsidRPr="00673039">
        <w:rPr>
          <w:rFonts w:ascii="Book Antiqua" w:hAnsi="Book Antiqua"/>
          <w:b/>
          <w:bCs/>
          <w:color w:val="1F3864" w:themeColor="accent1" w:themeShade="80"/>
          <w:sz w:val="26"/>
          <w:szCs w:val="26"/>
          <w:shd w:val="clear" w:color="auto" w:fill="FFFFFF"/>
        </w:rPr>
        <w:t>%), les diplômés (</w:t>
      </w:r>
      <w:r w:rsidR="00F95402" w:rsidRPr="00673039">
        <w:rPr>
          <w:rFonts w:ascii="Book Antiqua" w:hAnsi="Book Antiqua"/>
          <w:b/>
          <w:bCs/>
          <w:color w:val="1F3864" w:themeColor="accent1" w:themeShade="80"/>
          <w:sz w:val="26"/>
          <w:szCs w:val="26"/>
          <w:shd w:val="clear" w:color="auto" w:fill="FFFFFF"/>
        </w:rPr>
        <w:t>19,7</w:t>
      </w:r>
      <w:r w:rsidRPr="00673039">
        <w:rPr>
          <w:rFonts w:ascii="Book Antiqua" w:hAnsi="Book Antiqua"/>
          <w:b/>
          <w:bCs/>
          <w:color w:val="1F3864" w:themeColor="accent1" w:themeShade="80"/>
          <w:sz w:val="26"/>
          <w:szCs w:val="26"/>
          <w:shd w:val="clear" w:color="auto" w:fill="FFFFFF"/>
        </w:rPr>
        <w:t>%) et les femmes (</w:t>
      </w:r>
      <w:r w:rsidR="008E492B" w:rsidRPr="00673039">
        <w:rPr>
          <w:rFonts w:ascii="Book Antiqua" w:hAnsi="Book Antiqua"/>
          <w:b/>
          <w:bCs/>
          <w:color w:val="1F3864" w:themeColor="accent1" w:themeShade="80"/>
          <w:sz w:val="26"/>
          <w:szCs w:val="26"/>
          <w:shd w:val="clear" w:color="auto" w:fill="FFFFFF"/>
        </w:rPr>
        <w:t>18,3%).</w:t>
      </w:r>
    </w:p>
    <w:p w:rsidR="00673039" w:rsidRPr="00D61DE8" w:rsidRDefault="008E492B" w:rsidP="005B5E5A">
      <w:pPr>
        <w:autoSpaceDE w:val="0"/>
        <w:autoSpaceDN w:val="0"/>
        <w:adjustRightInd w:val="0"/>
        <w:spacing w:before="120" w:after="120" w:line="288" w:lineRule="auto"/>
        <w:jc w:val="both"/>
        <w:rPr>
          <w:rFonts w:ascii="Book Antiqua" w:eastAsia="Times New Roman" w:hAnsi="Book Antiqua"/>
          <w:b/>
          <w:bCs/>
          <w:color w:val="1F3864" w:themeColor="accent1" w:themeShade="80"/>
          <w:sz w:val="26"/>
          <w:szCs w:val="26"/>
        </w:rPr>
      </w:pPr>
      <w:r w:rsidRPr="00673039">
        <w:rPr>
          <w:rFonts w:ascii="Book Antiqua" w:hAnsi="Book Antiqua"/>
          <w:b/>
          <w:bCs/>
          <w:color w:val="1F3864" w:themeColor="accent1" w:themeShade="80"/>
          <w:sz w:val="26"/>
          <w:szCs w:val="26"/>
          <w:shd w:val="clear" w:color="auto" w:fill="FFFFFF"/>
        </w:rPr>
        <w:t xml:space="preserve">Le volume du sous-emploi est, de son côté, passé, durant la même période, de 972.000 à 1.043.000 personnes au </w:t>
      </w:r>
      <w:r w:rsidR="00673039">
        <w:rPr>
          <w:rFonts w:ascii="Book Antiqua" w:hAnsi="Book Antiqua"/>
          <w:b/>
          <w:bCs/>
          <w:color w:val="1F3864" w:themeColor="accent1" w:themeShade="80"/>
          <w:sz w:val="26"/>
          <w:szCs w:val="26"/>
          <w:shd w:val="clear" w:color="auto" w:fill="FFFFFF"/>
        </w:rPr>
        <w:t>n</w:t>
      </w:r>
      <w:r w:rsidR="00673039">
        <w:rPr>
          <w:rFonts w:ascii="Book Antiqua" w:eastAsia="Times New Roman" w:hAnsi="Book Antiqua"/>
          <w:b/>
          <w:bCs/>
          <w:color w:val="1F3864" w:themeColor="accent1" w:themeShade="80"/>
          <w:sz w:val="26"/>
          <w:szCs w:val="26"/>
        </w:rPr>
        <w:t>iveau national, de 520.000 à</w:t>
      </w:r>
      <w:r w:rsidR="00842F44">
        <w:rPr>
          <w:rFonts w:ascii="Book Antiqua" w:eastAsia="Times New Roman" w:hAnsi="Book Antiqua"/>
          <w:b/>
          <w:bCs/>
          <w:color w:val="1F3864" w:themeColor="accent1" w:themeShade="80"/>
          <w:sz w:val="26"/>
          <w:szCs w:val="26"/>
        </w:rPr>
        <w:t xml:space="preserve"> </w:t>
      </w:r>
      <w:r w:rsidR="00673039">
        <w:rPr>
          <w:rFonts w:ascii="Book Antiqua" w:eastAsia="Times New Roman" w:hAnsi="Book Antiqua"/>
          <w:b/>
          <w:bCs/>
          <w:color w:val="1F3864" w:themeColor="accent1" w:themeShade="80"/>
          <w:sz w:val="26"/>
          <w:szCs w:val="26"/>
        </w:rPr>
        <w:t>560.000 en milieu urbain et de 452.000 à 483.000 en milieu rural. Le taux de sous-emploi a ainsi augmenté de 9% à 9,8% au niveau national, de 8,1% à 8,7% en milieu urbain et de 10,4% à 11,6% en milieu rural.</w:t>
      </w:r>
    </w:p>
    <w:p w:rsidR="00401909" w:rsidRPr="00673039" w:rsidRDefault="00401909" w:rsidP="00673039">
      <w:pPr>
        <w:shd w:val="clear" w:color="auto" w:fill="FFFFFF"/>
        <w:spacing w:before="240" w:after="240" w:line="288" w:lineRule="auto"/>
        <w:jc w:val="both"/>
        <w:rPr>
          <w:rFonts w:ascii="Book Antiqua" w:hAnsi="Book Antiqua"/>
          <w:b/>
          <w:bCs/>
          <w:color w:val="1F3864" w:themeColor="accent1" w:themeShade="80"/>
          <w:sz w:val="26"/>
          <w:szCs w:val="26"/>
          <w:shd w:val="clear" w:color="auto" w:fill="FFFFFF"/>
        </w:rPr>
      </w:pPr>
    </w:p>
    <w:p w:rsidR="00AE64FC" w:rsidRDefault="00AE64FC">
      <w:pPr>
        <w:spacing w:after="160" w:line="259" w:lineRule="auto"/>
        <w:rPr>
          <w:rFonts w:ascii="Book Antiqua" w:eastAsia="Times New Roman" w:hAnsi="Book Antiqua"/>
          <w:b/>
          <w:bCs/>
          <w:color w:val="1F3864" w:themeColor="accent1" w:themeShade="80"/>
          <w:sz w:val="26"/>
          <w:szCs w:val="26"/>
        </w:rPr>
      </w:pPr>
      <w:r>
        <w:rPr>
          <w:rFonts w:ascii="Book Antiqua" w:eastAsia="Times New Roman" w:hAnsi="Book Antiqua"/>
          <w:b/>
          <w:bCs/>
          <w:color w:val="1F3864" w:themeColor="accent1" w:themeShade="80"/>
          <w:sz w:val="26"/>
          <w:szCs w:val="26"/>
        </w:rPr>
        <w:br w:type="page"/>
      </w:r>
    </w:p>
    <w:p w:rsidR="00775F52" w:rsidRPr="00230D5B" w:rsidRDefault="00775F52" w:rsidP="00AE64FC">
      <w:pPr>
        <w:autoSpaceDE w:val="0"/>
        <w:autoSpaceDN w:val="0"/>
        <w:adjustRightInd w:val="0"/>
        <w:spacing w:before="120" w:after="120" w:line="288" w:lineRule="auto"/>
        <w:jc w:val="both"/>
        <w:rPr>
          <w:rFonts w:ascii="Book Antiqua" w:eastAsia="Times New Roman" w:hAnsi="Book Antiqua"/>
          <w:b/>
          <w:bCs/>
          <w:color w:val="1F3864" w:themeColor="accent1" w:themeShade="80"/>
          <w:sz w:val="26"/>
          <w:szCs w:val="26"/>
        </w:rPr>
      </w:pPr>
    </w:p>
    <w:p w:rsidR="00775F52" w:rsidRPr="00D61DE8" w:rsidRDefault="00775F52" w:rsidP="00775F52">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lang w:val="fr-FR"/>
        </w:rPr>
      </w:pPr>
      <w:r w:rsidRPr="00D61DE8">
        <w:rPr>
          <w:rFonts w:ascii="Book Antiqua" w:hAnsi="Book Antiqua" w:cstheme="majorHAnsi"/>
          <w:b/>
          <w:bCs/>
          <w:color w:val="1F3864" w:themeColor="accent1" w:themeShade="80"/>
          <w:spacing w:val="-10"/>
          <w:kern w:val="28"/>
          <w:sz w:val="28"/>
          <w:szCs w:val="28"/>
          <w:lang w:val="fr-FR"/>
        </w:rPr>
        <w:t>I. Activité et emploi</w:t>
      </w:r>
    </w:p>
    <w:p w:rsidR="00775F52" w:rsidRPr="00CF4868" w:rsidRDefault="00775F52" w:rsidP="00775F52">
      <w:pPr>
        <w:rPr>
          <w:rFonts w:ascii="Book Antiqua" w:eastAsia="Book Antiqua" w:hAnsi="Book Antiqua" w:cs="Book Antiqua"/>
          <w:b/>
          <w:bCs/>
          <w:color w:val="4472C4" w:themeColor="accent1"/>
          <w:sz w:val="26"/>
          <w:szCs w:val="26"/>
        </w:rPr>
      </w:pPr>
      <w:r w:rsidRPr="00CF4868">
        <w:rPr>
          <w:rFonts w:ascii="Book Antiqua" w:eastAsia="Book Antiqua" w:hAnsi="Book Antiqua" w:cs="Book Antiqua"/>
          <w:b/>
          <w:bCs/>
          <w:color w:val="4472C4" w:themeColor="accent1"/>
          <w:sz w:val="26"/>
          <w:szCs w:val="26"/>
        </w:rPr>
        <w:t>Baisse des taux d’activité et d’emploi</w:t>
      </w:r>
    </w:p>
    <w:p w:rsidR="00775F52" w:rsidRPr="00CF4868" w:rsidRDefault="00775F52" w:rsidP="00775F52">
      <w:pPr>
        <w:spacing w:before="100" w:beforeAutospacing="1" w:after="100" w:afterAutospacing="1"/>
        <w:jc w:val="both"/>
        <w:rPr>
          <w:rFonts w:ascii="Book Antiqua" w:hAnsi="Book Antiqua" w:cstheme="majorBidi"/>
          <w:sz w:val="24"/>
          <w:szCs w:val="24"/>
        </w:rPr>
      </w:pPr>
      <w:r w:rsidRPr="00CF4868">
        <w:rPr>
          <w:rFonts w:ascii="Book Antiqua" w:hAnsi="Book Antiqua" w:cstheme="majorBidi"/>
          <w:sz w:val="24"/>
          <w:szCs w:val="24"/>
        </w:rPr>
        <w:t>Le taux d’activité a baissé, entre 2022 et 2023, de 0,7 point pour s’établir à 43,6%. Cette baisse résulte de l’accroissement de la population en âge d'activité (15 ans et plus) de 1,4%et du décroissement de la population active de 0,2%.</w:t>
      </w:r>
    </w:p>
    <w:p w:rsidR="00775F52" w:rsidRPr="00CF4868" w:rsidRDefault="00775F52" w:rsidP="00D16FA7">
      <w:pPr>
        <w:spacing w:before="100" w:beforeAutospacing="1" w:after="100" w:afterAutospacing="1"/>
        <w:jc w:val="both"/>
        <w:rPr>
          <w:rFonts w:ascii="Book Antiqua" w:hAnsi="Book Antiqua" w:cstheme="majorBidi"/>
          <w:sz w:val="24"/>
          <w:szCs w:val="24"/>
        </w:rPr>
      </w:pPr>
      <w:r w:rsidRPr="00CF4868">
        <w:rPr>
          <w:rFonts w:ascii="Book Antiqua" w:hAnsi="Book Antiqua" w:cstheme="majorBidi"/>
          <w:sz w:val="24"/>
          <w:szCs w:val="24"/>
        </w:rPr>
        <w:t xml:space="preserve">La baisse du taux d’activité est plus prononcée en milieu rural (-1,8 point), passant de </w:t>
      </w:r>
      <w:r w:rsidRPr="00CF4868">
        <w:rPr>
          <w:rFonts w:ascii="Book Antiqua" w:hAnsi="Book Antiqua" w:cs="Browallia New"/>
          <w:sz w:val="24"/>
          <w:szCs w:val="24"/>
        </w:rPr>
        <w:t xml:space="preserve">49,1% </w:t>
      </w:r>
      <w:r w:rsidRPr="00CF4868">
        <w:rPr>
          <w:rFonts w:ascii="Book Antiqua" w:hAnsi="Book Antiqua" w:cstheme="majorBidi"/>
          <w:sz w:val="24"/>
          <w:szCs w:val="24"/>
        </w:rPr>
        <w:t>à 47,3%, qu’en milieu urbain (-0,1 point), passant de 41,9</w:t>
      </w:r>
      <w:r w:rsidRPr="00CF4868">
        <w:rPr>
          <w:rFonts w:ascii="Book Antiqua" w:hAnsi="Book Antiqua" w:cs="Browallia New"/>
          <w:sz w:val="24"/>
          <w:szCs w:val="24"/>
        </w:rPr>
        <w:t>%</w:t>
      </w:r>
      <w:r w:rsidRPr="00CF4868">
        <w:rPr>
          <w:rFonts w:ascii="Book Antiqua" w:hAnsi="Book Antiqua" w:cstheme="majorBidi"/>
          <w:sz w:val="24"/>
          <w:szCs w:val="24"/>
        </w:rPr>
        <w:t>à 41,8%.</w:t>
      </w:r>
      <w:r w:rsidR="005B5E5A">
        <w:rPr>
          <w:rFonts w:ascii="Book Antiqua" w:hAnsi="Book Antiqua" w:cstheme="majorBidi"/>
          <w:sz w:val="24"/>
          <w:szCs w:val="24"/>
        </w:rPr>
        <w:t xml:space="preserve"> </w:t>
      </w:r>
      <w:r w:rsidRPr="00CF4868">
        <w:rPr>
          <w:rFonts w:ascii="Book Antiqua" w:hAnsi="Book Antiqua" w:cstheme="majorBidi"/>
          <w:sz w:val="24"/>
          <w:szCs w:val="24"/>
        </w:rPr>
        <w:t>Ce taux a diminué de 0,8 point pour les femmes, s’établissant à 19%,</w:t>
      </w:r>
      <w:r w:rsidR="00D61DE8">
        <w:rPr>
          <w:rFonts w:ascii="Book Antiqua" w:hAnsi="Book Antiqua" w:cstheme="majorBidi"/>
          <w:sz w:val="24"/>
          <w:szCs w:val="24"/>
        </w:rPr>
        <w:t xml:space="preserve"> </w:t>
      </w:r>
      <w:r w:rsidRPr="00CF4868">
        <w:rPr>
          <w:rFonts w:ascii="Book Antiqua" w:hAnsi="Book Antiqua" w:cstheme="majorBidi"/>
          <w:sz w:val="24"/>
          <w:szCs w:val="24"/>
        </w:rPr>
        <w:t>et de 0,6 point pour les hommes (69%).</w:t>
      </w:r>
    </w:p>
    <w:p w:rsidR="00775F52" w:rsidRPr="00CF4868" w:rsidRDefault="00775F52" w:rsidP="00775F52">
      <w:pPr>
        <w:spacing w:before="240" w:line="312" w:lineRule="auto"/>
        <w:jc w:val="center"/>
        <w:rPr>
          <w:rFonts w:ascii="Book Antiqua" w:eastAsia="Book Antiqua" w:hAnsi="Book Antiqua" w:cs="Book Antiqua"/>
          <w:b/>
          <w:sz w:val="20"/>
          <w:szCs w:val="20"/>
        </w:rPr>
      </w:pPr>
      <w:r w:rsidRPr="00CF4868">
        <w:rPr>
          <w:rFonts w:ascii="Book Antiqua" w:eastAsia="Book Antiqua" w:hAnsi="Book Antiqua" w:cs="Book Antiqua"/>
          <w:b/>
          <w:sz w:val="20"/>
          <w:szCs w:val="20"/>
        </w:rPr>
        <w:t>Graphique 1 : Evolution du taux d’activité depuis l’année 2017 (en %).</w:t>
      </w:r>
    </w:p>
    <w:p w:rsidR="00775F52" w:rsidRPr="00CF4868" w:rsidRDefault="00775F52" w:rsidP="00775F52">
      <w:pPr>
        <w:spacing w:before="240" w:after="240" w:line="312" w:lineRule="auto"/>
        <w:jc w:val="center"/>
        <w:rPr>
          <w:rFonts w:ascii="Book Antiqua" w:eastAsia="Book Antiqua" w:hAnsi="Book Antiqua" w:cs="Book Antiqua"/>
          <w:b/>
          <w:bCs/>
          <w:color w:val="8496B0" w:themeColor="text2" w:themeTint="99"/>
          <w:sz w:val="26"/>
          <w:szCs w:val="26"/>
        </w:rPr>
      </w:pPr>
      <w:r w:rsidRPr="00CF4868">
        <w:rPr>
          <w:rFonts w:ascii="Book Antiqua" w:eastAsia="Book Antiqua" w:hAnsi="Book Antiqua" w:cs="Book Antiqua"/>
          <w:b/>
          <w:bCs/>
          <w:noProof/>
          <w:color w:val="8496B0" w:themeColor="text2" w:themeTint="99"/>
          <w:sz w:val="26"/>
          <w:szCs w:val="26"/>
        </w:rPr>
        <w:drawing>
          <wp:inline distT="0" distB="0" distL="0" distR="0">
            <wp:extent cx="5502303" cy="1741335"/>
            <wp:effectExtent l="0" t="0" r="0" b="0"/>
            <wp:docPr id="6"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5F52" w:rsidRPr="00CF4868" w:rsidRDefault="00775F52" w:rsidP="00D61DE8">
      <w:pPr>
        <w:spacing w:before="100" w:beforeAutospacing="1" w:after="100" w:afterAutospacing="1"/>
        <w:jc w:val="both"/>
        <w:rPr>
          <w:rFonts w:ascii="Book Antiqua" w:hAnsi="Book Antiqua" w:cs="Times New Roman"/>
          <w:sz w:val="24"/>
          <w:szCs w:val="24"/>
        </w:rPr>
      </w:pPr>
      <w:r w:rsidRPr="00CF4868">
        <w:rPr>
          <w:rFonts w:ascii="Book Antiqua" w:hAnsi="Book Antiqua" w:cstheme="majorBidi"/>
          <w:sz w:val="24"/>
          <w:szCs w:val="24"/>
        </w:rPr>
        <w:t xml:space="preserve">De son côté, le taux d’emploi a reculé de 39,1% à 38% au niveau national (-1,1 point), </w:t>
      </w:r>
      <w:r w:rsidR="00D61DE8">
        <w:rPr>
          <w:rFonts w:ascii="Book Antiqua" w:hAnsi="Book Antiqua" w:cstheme="majorBidi"/>
          <w:sz w:val="24"/>
          <w:szCs w:val="24"/>
        </w:rPr>
        <w:t>enregistrant</w:t>
      </w:r>
      <w:r w:rsidR="00D61DE8" w:rsidRPr="00CF4868">
        <w:rPr>
          <w:rFonts w:ascii="Book Antiqua" w:hAnsi="Book Antiqua" w:cstheme="majorBidi"/>
          <w:sz w:val="24"/>
          <w:szCs w:val="24"/>
        </w:rPr>
        <w:t xml:space="preserve"> </w:t>
      </w:r>
      <w:r w:rsidRPr="00CF4868">
        <w:rPr>
          <w:rFonts w:ascii="Book Antiqua" w:hAnsi="Book Antiqua" w:cstheme="majorBidi"/>
          <w:sz w:val="24"/>
          <w:szCs w:val="24"/>
        </w:rPr>
        <w:t>une baisse de 2,2 point</w:t>
      </w:r>
      <w:r w:rsidR="0005104E">
        <w:rPr>
          <w:rFonts w:ascii="Book Antiqua" w:hAnsi="Book Antiqua" w:cstheme="majorBidi"/>
          <w:sz w:val="24"/>
          <w:szCs w:val="24"/>
        </w:rPr>
        <w:t>s</w:t>
      </w:r>
      <w:r w:rsidRPr="00CF4868">
        <w:rPr>
          <w:rFonts w:ascii="Book Antiqua" w:hAnsi="Book Antiqua" w:cstheme="majorBidi"/>
          <w:sz w:val="24"/>
          <w:szCs w:val="24"/>
        </w:rPr>
        <w:t xml:space="preserve"> en milieu rural, passant de 46,5% à 44,3%, et une baisse de 0,5 point en milieu urbain, passant de 35,3% à 34,8%. Ce taux a baissé 1,4 point pour les hommes et de 0,9 point pour les femmes.</w:t>
      </w:r>
    </w:p>
    <w:p w:rsidR="00775F52" w:rsidRPr="00CF4868" w:rsidRDefault="00775F52" w:rsidP="00775F52">
      <w:pPr>
        <w:spacing w:line="259" w:lineRule="auto"/>
        <w:jc w:val="center"/>
        <w:rPr>
          <w:rFonts w:ascii="Book Antiqua" w:hAnsi="Book Antiqua" w:cs="Times New Roman"/>
          <w:b/>
          <w:bCs/>
          <w:sz w:val="20"/>
          <w:szCs w:val="20"/>
        </w:rPr>
      </w:pPr>
      <w:r w:rsidRPr="00CF4868">
        <w:rPr>
          <w:rFonts w:ascii="Book Antiqua" w:eastAsia="Book Antiqua" w:hAnsi="Book Antiqua" w:cs="Book Antiqua"/>
          <w:b/>
          <w:sz w:val="20"/>
          <w:szCs w:val="20"/>
        </w:rPr>
        <w:t>Graphique 2 : Evolution du taux d’emploi depuis l’année 2017 (en %).</w:t>
      </w:r>
    </w:p>
    <w:p w:rsidR="00775F52" w:rsidRPr="00CF4868" w:rsidRDefault="00775F52" w:rsidP="00775F52">
      <w:pPr>
        <w:spacing w:before="240" w:line="312" w:lineRule="auto"/>
        <w:jc w:val="center"/>
        <w:rPr>
          <w:rFonts w:ascii="Book Antiqua" w:hAnsi="Book Antiqua"/>
        </w:rPr>
      </w:pPr>
      <w:r w:rsidRPr="00CF4868">
        <w:rPr>
          <w:rFonts w:ascii="Book Antiqua" w:hAnsi="Book Antiqua"/>
          <w:noProof/>
        </w:rPr>
        <w:drawing>
          <wp:inline distT="0" distB="0" distL="0" distR="0">
            <wp:extent cx="5602942" cy="2205317"/>
            <wp:effectExtent l="0" t="0" r="0" b="0"/>
            <wp:docPr id="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5F52" w:rsidRPr="00CF4868" w:rsidRDefault="00775F52" w:rsidP="005B593F">
      <w:pPr>
        <w:spacing w:before="240" w:after="240" w:line="312" w:lineRule="auto"/>
        <w:jc w:val="both"/>
        <w:rPr>
          <w:rFonts w:ascii="Book Antiqua" w:eastAsia="Book Antiqua" w:hAnsi="Book Antiqua" w:cs="Book Antiqua"/>
          <w:b/>
          <w:bCs/>
          <w:color w:val="8496B0" w:themeColor="text2" w:themeTint="99"/>
          <w:sz w:val="26"/>
          <w:szCs w:val="26"/>
        </w:rPr>
      </w:pPr>
      <w:r w:rsidRPr="00CF4868">
        <w:rPr>
          <w:rFonts w:ascii="Book Antiqua" w:eastAsia="Book Antiqua" w:hAnsi="Book Antiqua" w:cs="Book Antiqua"/>
          <w:b/>
          <w:bCs/>
          <w:color w:val="8496B0" w:themeColor="text2" w:themeTint="99"/>
          <w:sz w:val="26"/>
          <w:szCs w:val="26"/>
        </w:rPr>
        <w:lastRenderedPageBreak/>
        <w:t xml:space="preserve">Perte de l’emploi, </w:t>
      </w:r>
      <w:r w:rsidR="005B593F">
        <w:rPr>
          <w:rFonts w:ascii="Book Antiqua" w:eastAsia="Book Antiqua" w:hAnsi="Book Antiqua" w:cs="Times New Roman"/>
          <w:b/>
          <w:bCs/>
          <w:color w:val="8496B0" w:themeColor="text2" w:themeTint="99"/>
          <w:sz w:val="26"/>
          <w:szCs w:val="26"/>
          <w:lang w:bidi="tzm-Arab-MA"/>
        </w:rPr>
        <w:t>exclusivement</w:t>
      </w:r>
      <w:r w:rsidRPr="00CF4868">
        <w:rPr>
          <w:rFonts w:ascii="Book Antiqua" w:eastAsia="Book Antiqua" w:hAnsi="Book Antiqua" w:cs="Book Antiqua"/>
          <w:b/>
          <w:bCs/>
          <w:color w:val="8496B0" w:themeColor="text2" w:themeTint="99"/>
          <w:sz w:val="26"/>
          <w:szCs w:val="26"/>
        </w:rPr>
        <w:t xml:space="preserve"> en milieu rural</w:t>
      </w:r>
    </w:p>
    <w:p w:rsidR="00775F52" w:rsidRPr="00CF4868" w:rsidRDefault="00775F52" w:rsidP="00775F52">
      <w:pPr>
        <w:spacing w:before="240" w:after="240" w:line="312" w:lineRule="auto"/>
        <w:jc w:val="both"/>
        <w:rPr>
          <w:rFonts w:ascii="Book Antiqua" w:hAnsi="Book Antiqua" w:cstheme="majorBidi"/>
          <w:sz w:val="24"/>
          <w:szCs w:val="24"/>
        </w:rPr>
      </w:pPr>
      <w:r w:rsidRPr="00CF4868">
        <w:rPr>
          <w:rFonts w:ascii="Book Antiqua" w:hAnsi="Book Antiqua" w:cstheme="majorBidi"/>
          <w:sz w:val="24"/>
          <w:szCs w:val="24"/>
        </w:rPr>
        <w:t>Après une perte de 24.000 postes d’emploi une année auparavant, l’économie nationale a perdu, en 2023, 157.000 postes, résultat d’une création de 41.000 postes en milieu urbain et d’une perte de 198.000 en milieu rural.</w:t>
      </w:r>
    </w:p>
    <w:p w:rsidR="00775F52" w:rsidRPr="003A0688" w:rsidRDefault="006B1AB2" w:rsidP="00775F52">
      <w:pPr>
        <w:spacing w:before="240" w:after="240" w:line="312" w:lineRule="auto"/>
        <w:jc w:val="both"/>
        <w:rPr>
          <w:rFonts w:ascii="Book Antiqua" w:hAnsi="Book Antiqua" w:cstheme="majorBidi"/>
          <w:sz w:val="24"/>
          <w:szCs w:val="24"/>
        </w:rPr>
      </w:pPr>
      <w:r w:rsidRPr="003A0688">
        <w:rPr>
          <w:rFonts w:ascii="Book Antiqua" w:hAnsi="Book Antiqua" w:cstheme="majorBidi"/>
          <w:sz w:val="24"/>
          <w:szCs w:val="24"/>
        </w:rPr>
        <w:t>Par type d’emploi, 50.000 postes d’emplois rémunérés ont été créés, résultat d’une création de 59.000 postes en milieu urbain et d’une perte de 9.000 en milieu rural. L’emploi non rémunéré a, de son côté, connu une baisse de 209.000 postes, due essentiellement au recul de ce type d’emploi en milieu rural de 190.000 postes et de 19.000 postes en milieu urbain.</w:t>
      </w:r>
    </w:p>
    <w:p w:rsidR="00775F52" w:rsidRPr="00CF4868" w:rsidRDefault="006B1AB2" w:rsidP="00AE64FC">
      <w:pPr>
        <w:rPr>
          <w:rFonts w:ascii="Book Antiqua" w:eastAsia="Book Antiqua" w:hAnsi="Book Antiqua" w:cs="Book Antiqua"/>
          <w:b/>
          <w:color w:val="0D0D0D" w:themeColor="text1" w:themeTint="F2"/>
          <w:sz w:val="20"/>
          <w:szCs w:val="20"/>
        </w:rPr>
      </w:pPr>
      <w:r w:rsidRPr="003A0688">
        <w:rPr>
          <w:rFonts w:ascii="Book Antiqua" w:eastAsia="Book Antiqua" w:hAnsi="Book Antiqua" w:cs="Book Antiqua"/>
          <w:b/>
          <w:color w:val="0D0D0D" w:themeColor="text1" w:themeTint="F2"/>
          <w:sz w:val="20"/>
          <w:szCs w:val="20"/>
        </w:rPr>
        <w:t>Graphique 3 : Variation nette d’emploi entre 2022 et 2023 selon le type d’emploi et le milieu de résidence.</w:t>
      </w:r>
    </w:p>
    <w:p w:rsidR="00775F52" w:rsidRPr="00CF4868" w:rsidRDefault="00775F52" w:rsidP="00775F52">
      <w:pPr>
        <w:jc w:val="center"/>
        <w:rPr>
          <w:rFonts w:ascii="Book Antiqua" w:eastAsia="Book Antiqua" w:hAnsi="Book Antiqua" w:cs="Book Antiqua"/>
          <w:color w:val="0070C0"/>
          <w:sz w:val="24"/>
          <w:szCs w:val="24"/>
        </w:rPr>
      </w:pPr>
      <w:r w:rsidRPr="00CF4868">
        <w:rPr>
          <w:rFonts w:ascii="Book Antiqua" w:eastAsia="Book Antiqua" w:hAnsi="Book Antiqua" w:cs="Book Antiqua"/>
          <w:noProof/>
          <w:color w:val="0070C0"/>
          <w:sz w:val="24"/>
          <w:szCs w:val="24"/>
        </w:rPr>
        <w:drawing>
          <wp:inline distT="0" distB="0" distL="0" distR="0">
            <wp:extent cx="5811769" cy="2271975"/>
            <wp:effectExtent l="0" t="0" r="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5F52" w:rsidRPr="00CF4868" w:rsidRDefault="00775F52" w:rsidP="00775F52">
      <w:pPr>
        <w:spacing w:after="160" w:line="259" w:lineRule="auto"/>
        <w:rPr>
          <w:rFonts w:ascii="Book Antiqua" w:eastAsia="Book Antiqua" w:hAnsi="Book Antiqua" w:cs="Book Antiqua"/>
          <w:b/>
          <w:bCs/>
          <w:color w:val="8496B0" w:themeColor="text2" w:themeTint="99"/>
          <w:sz w:val="26"/>
          <w:szCs w:val="26"/>
        </w:rPr>
      </w:pPr>
    </w:p>
    <w:p w:rsidR="00775F52" w:rsidRPr="00F1697D" w:rsidRDefault="00775F52" w:rsidP="00F1697D">
      <w:pPr>
        <w:spacing w:after="240" w:line="312" w:lineRule="auto"/>
        <w:jc w:val="both"/>
        <w:rPr>
          <w:rFonts w:ascii="Book Antiqua" w:eastAsia="Book Antiqua" w:hAnsi="Book Antiqua" w:cs="Times New Roman"/>
          <w:b/>
          <w:bCs/>
          <w:color w:val="8496B0" w:themeColor="text2" w:themeTint="99"/>
          <w:sz w:val="26"/>
          <w:szCs w:val="26"/>
          <w:lang w:bidi="tzm-Arab-MA"/>
        </w:rPr>
      </w:pPr>
      <w:r w:rsidRPr="00CF4868">
        <w:rPr>
          <w:rFonts w:ascii="Book Antiqua" w:eastAsia="Book Antiqua" w:hAnsi="Book Antiqua" w:cs="Book Antiqua"/>
          <w:b/>
          <w:bCs/>
          <w:color w:val="8496B0" w:themeColor="text2" w:themeTint="99"/>
          <w:sz w:val="26"/>
          <w:szCs w:val="26"/>
        </w:rPr>
        <w:t xml:space="preserve">Les secteurs des services et de l’"agriculture, forêt et pêche" demeurent les premiers </w:t>
      </w:r>
      <w:r w:rsidR="00F1697D">
        <w:rPr>
          <w:rFonts w:ascii="Book Antiqua" w:eastAsia="Book Antiqua" w:hAnsi="Book Antiqua" w:cs="Times New Roman"/>
          <w:b/>
          <w:bCs/>
          <w:color w:val="8496B0" w:themeColor="text2" w:themeTint="99"/>
          <w:sz w:val="26"/>
          <w:szCs w:val="26"/>
          <w:lang w:bidi="tzm-Arab-MA"/>
        </w:rPr>
        <w:t xml:space="preserve">secteurs employeurs </w:t>
      </w:r>
    </w:p>
    <w:p w:rsidR="00775F52" w:rsidRPr="00CF4868" w:rsidRDefault="00775F52" w:rsidP="00842F44">
      <w:pPr>
        <w:spacing w:after="200"/>
        <w:jc w:val="both"/>
        <w:rPr>
          <w:rFonts w:ascii="Book Antiqua" w:hAnsi="Book Antiqua" w:cs="Times New Roman"/>
          <w:sz w:val="24"/>
          <w:szCs w:val="24"/>
        </w:rPr>
      </w:pPr>
      <w:r w:rsidRPr="00CF4868">
        <w:rPr>
          <w:rFonts w:ascii="Book Antiqua" w:hAnsi="Book Antiqua" w:cs="Times New Roman"/>
          <w:sz w:val="24"/>
          <w:szCs w:val="24"/>
        </w:rPr>
        <w:t xml:space="preserve">En 2023, le secteur des "services" emploie </w:t>
      </w:r>
      <w:r w:rsidR="00E84CB0" w:rsidRPr="00CF4868">
        <w:rPr>
          <w:rFonts w:ascii="Book Antiqua" w:hAnsi="Book Antiqua" w:cs="Times New Roman"/>
          <w:sz w:val="24"/>
          <w:szCs w:val="24"/>
        </w:rPr>
        <w:t>4</w:t>
      </w:r>
      <w:r w:rsidR="00E84CB0">
        <w:rPr>
          <w:rFonts w:ascii="Book Antiqua" w:hAnsi="Book Antiqua" w:cs="Times New Roman"/>
          <w:sz w:val="24"/>
          <w:szCs w:val="24"/>
        </w:rPr>
        <w:t>8</w:t>
      </w:r>
      <w:r w:rsidRPr="00CF4868">
        <w:rPr>
          <w:rFonts w:ascii="Book Antiqua" w:hAnsi="Book Antiqua" w:cs="Times New Roman"/>
          <w:sz w:val="24"/>
          <w:szCs w:val="24"/>
        </w:rPr>
        <w:t>,3% des actifs occupés, suivi de l’"agriculture, forêt et pêche" avec 27,8%. L’"industrie y compris l’artisanat", contribue, de son côté, pour 12,2</w:t>
      </w:r>
      <w:r w:rsidR="00842F44">
        <w:rPr>
          <w:rFonts w:ascii="Book Antiqua" w:hAnsi="Book Antiqua" w:cs="Times New Roman"/>
          <w:sz w:val="24"/>
          <w:szCs w:val="24"/>
        </w:rPr>
        <w:t xml:space="preserve">%. </w:t>
      </w:r>
      <w:r w:rsidRPr="00CF4868">
        <w:rPr>
          <w:rFonts w:ascii="Book Antiqua" w:hAnsi="Book Antiqua" w:cs="Times New Roman"/>
          <w:sz w:val="24"/>
          <w:szCs w:val="24"/>
        </w:rPr>
        <w:t xml:space="preserve">Le secteur des BTP emploie, quant à lui, 11,6% des actifs occupés. </w:t>
      </w:r>
    </w:p>
    <w:p w:rsidR="00775F52" w:rsidRPr="00D16FA7" w:rsidRDefault="00775F52" w:rsidP="00842F44">
      <w:pPr>
        <w:spacing w:after="240" w:line="312" w:lineRule="auto"/>
        <w:jc w:val="both"/>
        <w:rPr>
          <w:rFonts w:ascii="Book Antiqua" w:hAnsi="Book Antiqua" w:cs="Times New Roman"/>
          <w:sz w:val="24"/>
          <w:szCs w:val="24"/>
        </w:rPr>
      </w:pPr>
      <w:r w:rsidRPr="00CF4868">
        <w:rPr>
          <w:rFonts w:ascii="Book Antiqua" w:hAnsi="Book Antiqua" w:cs="Times New Roman"/>
          <w:sz w:val="24"/>
          <w:szCs w:val="24"/>
        </w:rPr>
        <w:t>Près de deux tiers des actifs occupés ruraux (64%) exercent dans le secteur de l’ </w:t>
      </w:r>
      <w:r w:rsidR="00842F44" w:rsidRPr="00CF4868">
        <w:rPr>
          <w:rFonts w:ascii="Book Antiqua" w:hAnsi="Book Antiqua" w:cs="Times New Roman"/>
          <w:sz w:val="24"/>
          <w:szCs w:val="24"/>
        </w:rPr>
        <w:t>"</w:t>
      </w:r>
      <w:r w:rsidRPr="00CF4868">
        <w:rPr>
          <w:rFonts w:ascii="Book Antiqua" w:hAnsi="Book Antiqua" w:cs="Times New Roman"/>
          <w:sz w:val="24"/>
          <w:szCs w:val="24"/>
        </w:rPr>
        <w:t>agriculture, forêt et pêche</w:t>
      </w:r>
      <w:r w:rsidR="00842F44" w:rsidRPr="00CF4868">
        <w:rPr>
          <w:rFonts w:ascii="Book Antiqua" w:hAnsi="Book Antiqua" w:cs="Times New Roman"/>
          <w:sz w:val="24"/>
          <w:szCs w:val="24"/>
        </w:rPr>
        <w:t>"</w:t>
      </w:r>
      <w:r w:rsidRPr="00CF4868">
        <w:rPr>
          <w:rFonts w:ascii="Book Antiqua" w:hAnsi="Book Antiqua" w:cs="Times New Roman"/>
          <w:sz w:val="24"/>
          <w:szCs w:val="24"/>
        </w:rPr>
        <w:t>, et les deux tiers des actifs occupés citadins (66,5%) travaillent dans le secteur des</w:t>
      </w:r>
      <w:r w:rsidR="00842F44">
        <w:rPr>
          <w:rFonts w:ascii="Book Antiqua" w:hAnsi="Book Antiqua" w:cs="Times New Roman"/>
          <w:sz w:val="24"/>
          <w:szCs w:val="24"/>
        </w:rPr>
        <w:t xml:space="preserve"> </w:t>
      </w:r>
      <w:r w:rsidR="00842F44" w:rsidRPr="00CF4868">
        <w:rPr>
          <w:rFonts w:ascii="Book Antiqua" w:hAnsi="Book Antiqua" w:cs="Times New Roman"/>
          <w:sz w:val="24"/>
          <w:szCs w:val="24"/>
        </w:rPr>
        <w:t>"</w:t>
      </w:r>
      <w:r w:rsidRPr="00CF4868">
        <w:rPr>
          <w:rFonts w:ascii="Book Antiqua" w:hAnsi="Book Antiqua" w:cs="Times New Roman"/>
          <w:sz w:val="24"/>
          <w:szCs w:val="24"/>
        </w:rPr>
        <w:t>services</w:t>
      </w:r>
      <w:r w:rsidR="00842F44" w:rsidRPr="00CF4868">
        <w:rPr>
          <w:rFonts w:ascii="Book Antiqua" w:hAnsi="Book Antiqua" w:cs="Times New Roman"/>
          <w:sz w:val="24"/>
          <w:szCs w:val="24"/>
        </w:rPr>
        <w:t>"</w:t>
      </w:r>
      <w:r w:rsidRPr="00CF4868">
        <w:rPr>
          <w:rFonts w:ascii="Book Antiqua" w:hAnsi="Book Antiqua" w:cs="Times New Roman"/>
          <w:sz w:val="24"/>
          <w:szCs w:val="24"/>
        </w:rPr>
        <w:t>.</w:t>
      </w:r>
    </w:p>
    <w:p w:rsidR="00775F52" w:rsidRPr="00CF4868" w:rsidRDefault="00842F44" w:rsidP="005B593F">
      <w:pPr>
        <w:spacing w:after="160" w:line="259" w:lineRule="auto"/>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br w:type="page"/>
      </w:r>
      <w:r w:rsidR="0042181C">
        <w:rPr>
          <w:rFonts w:ascii="Book Antiqua" w:eastAsia="Book Antiqua" w:hAnsi="Book Antiqua" w:cstheme="minorBidi"/>
          <w:b/>
          <w:bCs/>
          <w:color w:val="8496B0" w:themeColor="text2" w:themeTint="99"/>
          <w:sz w:val="26"/>
          <w:szCs w:val="26"/>
          <w:lang w:bidi="tzm-Arab-MA"/>
        </w:rPr>
        <w:lastRenderedPageBreak/>
        <w:t>Création</w:t>
      </w:r>
      <w:r w:rsidR="00775F52" w:rsidRPr="00CF4868">
        <w:rPr>
          <w:rFonts w:ascii="Book Antiqua" w:eastAsia="Book Antiqua" w:hAnsi="Book Antiqua" w:cs="Book Antiqua"/>
          <w:b/>
          <w:bCs/>
          <w:color w:val="8496B0" w:themeColor="text2" w:themeTint="99"/>
          <w:sz w:val="26"/>
          <w:szCs w:val="26"/>
        </w:rPr>
        <w:t xml:space="preserve"> </w:t>
      </w:r>
      <w:r w:rsidR="005B593F">
        <w:rPr>
          <w:rFonts w:ascii="Book Antiqua" w:eastAsia="Book Antiqua" w:hAnsi="Book Antiqua" w:cs="Book Antiqua"/>
          <w:b/>
          <w:bCs/>
          <w:color w:val="8496B0" w:themeColor="text2" w:themeTint="99"/>
          <w:sz w:val="26"/>
          <w:szCs w:val="26"/>
        </w:rPr>
        <w:t>de</w:t>
      </w:r>
      <w:r w:rsidR="00775F52" w:rsidRPr="00CF4868">
        <w:rPr>
          <w:rFonts w:ascii="Book Antiqua" w:eastAsia="Book Antiqua" w:hAnsi="Book Antiqua" w:cs="Book Antiqua"/>
          <w:b/>
          <w:bCs/>
          <w:color w:val="8496B0" w:themeColor="text2" w:themeTint="99"/>
          <w:sz w:val="26"/>
          <w:szCs w:val="26"/>
        </w:rPr>
        <w:t xml:space="preserve"> l’emploi</w:t>
      </w:r>
      <w:r w:rsidR="005B593F">
        <w:rPr>
          <w:rFonts w:ascii="Book Antiqua" w:eastAsia="Book Antiqua" w:hAnsi="Book Antiqua" w:cs="Book Antiqua"/>
          <w:b/>
          <w:bCs/>
          <w:color w:val="8496B0" w:themeColor="text2" w:themeTint="99"/>
          <w:sz w:val="26"/>
          <w:szCs w:val="26"/>
        </w:rPr>
        <w:t xml:space="preserve"> selon les secteurs d’activité</w:t>
      </w:r>
      <w:r w:rsidR="00775F52" w:rsidRPr="00CF4868">
        <w:rPr>
          <w:rFonts w:ascii="Book Antiqua" w:eastAsia="Book Antiqua" w:hAnsi="Book Antiqua" w:cs="Book Antiqua"/>
          <w:b/>
          <w:bCs/>
          <w:color w:val="8496B0" w:themeColor="text2" w:themeTint="99"/>
          <w:sz w:val="26"/>
          <w:szCs w:val="26"/>
        </w:rPr>
        <w:t xml:space="preserve"> </w:t>
      </w:r>
    </w:p>
    <w:p w:rsidR="00775F52" w:rsidRPr="003A0688" w:rsidRDefault="00775F52" w:rsidP="003A0688">
      <w:pPr>
        <w:spacing w:before="240" w:after="240" w:line="312" w:lineRule="auto"/>
        <w:jc w:val="both"/>
        <w:rPr>
          <w:rFonts w:ascii="Book Antiqua" w:hAnsi="Book Antiqua" w:cs="Times New Roman"/>
          <w:sz w:val="26"/>
          <w:szCs w:val="26"/>
        </w:rPr>
      </w:pPr>
      <w:r w:rsidRPr="003A0688">
        <w:rPr>
          <w:rFonts w:ascii="Book Antiqua" w:hAnsi="Book Antiqua" w:cs="Times New Roman"/>
          <w:sz w:val="26"/>
          <w:szCs w:val="26"/>
        </w:rPr>
        <w:t xml:space="preserve">En 2023, le secteur des BTP  a créé 19.000 postes d’emploi au niveau national (24.000 en milieu </w:t>
      </w:r>
      <w:r w:rsidR="00982BB8" w:rsidRPr="003A0688">
        <w:rPr>
          <w:rFonts w:ascii="Book Antiqua" w:hAnsi="Book Antiqua" w:cs="Times New Roman"/>
          <w:sz w:val="26"/>
          <w:szCs w:val="26"/>
        </w:rPr>
        <w:t>rural</w:t>
      </w:r>
      <w:r w:rsidRPr="003A0688">
        <w:rPr>
          <w:rFonts w:ascii="Book Antiqua" w:hAnsi="Book Antiqua" w:cs="Times New Roman"/>
          <w:sz w:val="26"/>
          <w:szCs w:val="26"/>
        </w:rPr>
        <w:t xml:space="preserve"> et une perte de 5.000 en milieu </w:t>
      </w:r>
      <w:r w:rsidR="00982BB8" w:rsidRPr="003A0688">
        <w:rPr>
          <w:rFonts w:ascii="Book Antiqua" w:hAnsi="Book Antiqua" w:cs="Times New Roman"/>
          <w:sz w:val="26"/>
          <w:szCs w:val="26"/>
        </w:rPr>
        <w:t>urbain</w:t>
      </w:r>
      <w:r w:rsidR="002B296C">
        <w:rPr>
          <w:rFonts w:ascii="Book Antiqua" w:hAnsi="Book Antiqua" w:cs="Times New Roman"/>
          <w:sz w:val="26"/>
          <w:szCs w:val="26"/>
        </w:rPr>
        <w:t>).</w:t>
      </w:r>
      <w:r w:rsidRPr="003A0688">
        <w:rPr>
          <w:rFonts w:ascii="Book Antiqua" w:hAnsi="Book Antiqua" w:cs="Times New Roman"/>
          <w:sz w:val="26"/>
          <w:szCs w:val="26"/>
        </w:rPr>
        <w:t xml:space="preserve"> </w:t>
      </w:r>
    </w:p>
    <w:p w:rsidR="001C0BAE" w:rsidRPr="003A0688" w:rsidRDefault="001C0BAE" w:rsidP="003A0688">
      <w:pPr>
        <w:spacing w:before="240" w:after="240" w:line="312" w:lineRule="auto"/>
        <w:jc w:val="both"/>
        <w:rPr>
          <w:rFonts w:ascii="Book Antiqua" w:eastAsia="Book Antiqua" w:hAnsi="Book Antiqua" w:cs="Book Antiqua"/>
          <w:sz w:val="24"/>
          <w:szCs w:val="24"/>
        </w:rPr>
      </w:pPr>
      <w:r w:rsidRPr="003A0688">
        <w:rPr>
          <w:rFonts w:ascii="Book Antiqua" w:eastAsia="Book Antiqua" w:hAnsi="Book Antiqua" w:cs="Book Antiqua"/>
          <w:sz w:val="24"/>
          <w:szCs w:val="24"/>
        </w:rPr>
        <w:t xml:space="preserve">Le secteur des </w:t>
      </w:r>
      <w:r w:rsidRPr="003A0688">
        <w:rPr>
          <w:rFonts w:ascii="Book Antiqua" w:hAnsi="Book Antiqua" w:cs="Times New Roman"/>
          <w:sz w:val="26"/>
          <w:szCs w:val="26"/>
        </w:rPr>
        <w:t>"</w:t>
      </w:r>
      <w:r w:rsidRPr="003A0688">
        <w:rPr>
          <w:rFonts w:ascii="Book Antiqua" w:eastAsia="Book Antiqua" w:hAnsi="Book Antiqua" w:cs="Book Antiqua"/>
          <w:sz w:val="24"/>
          <w:szCs w:val="24"/>
        </w:rPr>
        <w:t>services</w:t>
      </w:r>
      <w:r w:rsidRPr="003A0688">
        <w:rPr>
          <w:rFonts w:ascii="Book Antiqua" w:hAnsi="Book Antiqua" w:cs="Times New Roman"/>
          <w:sz w:val="26"/>
          <w:szCs w:val="26"/>
        </w:rPr>
        <w:t>"</w:t>
      </w:r>
      <w:r w:rsidRPr="003A0688">
        <w:rPr>
          <w:rFonts w:ascii="Book Antiqua" w:eastAsia="Book Antiqua" w:hAnsi="Book Antiqua" w:cs="Book Antiqua"/>
          <w:sz w:val="24"/>
          <w:szCs w:val="24"/>
        </w:rPr>
        <w:t xml:space="preserve"> a créé 15.000 postes, résultat d’une création de 33.000 en milieu urbain et d’une perte de 18.000 en milieu rural. </w:t>
      </w:r>
      <w:r w:rsidRPr="003A0688">
        <w:rPr>
          <w:rFonts w:ascii="Book Antiqua" w:hAnsi="Book Antiqua" w:cs="Times New Roman"/>
          <w:sz w:val="26"/>
          <w:szCs w:val="26"/>
        </w:rPr>
        <w:t xml:space="preserve">Les nouveaux emplois créés au niveau de ce secteur </w:t>
      </w:r>
      <w:r w:rsidRPr="003A0688">
        <w:rPr>
          <w:rFonts w:ascii="Book Antiqua" w:eastAsia="Book Antiqua" w:hAnsi="Book Antiqua" w:cs="Book Antiqua"/>
          <w:sz w:val="24"/>
          <w:szCs w:val="24"/>
        </w:rPr>
        <w:t xml:space="preserve">proviennent principalement </w:t>
      </w:r>
      <w:r w:rsidRPr="003A0688">
        <w:rPr>
          <w:rFonts w:ascii="Book Antiqua" w:hAnsi="Book Antiqua" w:cs="Times New Roman"/>
          <w:sz w:val="26"/>
          <w:szCs w:val="26"/>
        </w:rPr>
        <w:t xml:space="preserve">de la création de </w:t>
      </w:r>
      <w:r w:rsidRPr="003A0688">
        <w:rPr>
          <w:rFonts w:ascii="Book Antiqua" w:eastAsia="Book Antiqua" w:hAnsi="Book Antiqua" w:cs="Book Antiqua"/>
          <w:sz w:val="24"/>
          <w:szCs w:val="24"/>
        </w:rPr>
        <w:t xml:space="preserve">31.000 postes par des </w:t>
      </w:r>
      <w:r w:rsidRPr="003A0688">
        <w:rPr>
          <w:rFonts w:ascii="Book Antiqua" w:hAnsi="Book Antiqua" w:cs="Times New Roman"/>
          <w:sz w:val="26"/>
          <w:szCs w:val="26"/>
        </w:rPr>
        <w:t>"</w:t>
      </w:r>
      <w:r w:rsidR="002B296C">
        <w:rPr>
          <w:rFonts w:ascii="Book Antiqua" w:eastAsia="Book Antiqua" w:hAnsi="Book Antiqua" w:cs="Book Antiqua"/>
          <w:sz w:val="24"/>
          <w:szCs w:val="24"/>
        </w:rPr>
        <w:t>s</w:t>
      </w:r>
      <w:r w:rsidR="003A0688">
        <w:rPr>
          <w:rFonts w:ascii="Book Antiqua" w:eastAsia="Book Antiqua" w:hAnsi="Book Antiqua" w:cs="Book Antiqua"/>
          <w:sz w:val="24"/>
          <w:szCs w:val="24"/>
        </w:rPr>
        <w:t xml:space="preserve">ervices sociaux </w:t>
      </w:r>
      <w:r w:rsidRPr="003A0688">
        <w:rPr>
          <w:rFonts w:ascii="Book Antiqua" w:eastAsia="Book Antiqua" w:hAnsi="Book Antiqua" w:cs="Book Antiqua"/>
          <w:sz w:val="24"/>
          <w:szCs w:val="24"/>
        </w:rPr>
        <w:t>fournies aux collectivités</w:t>
      </w:r>
      <w:r w:rsidRPr="00564ECA">
        <w:rPr>
          <w:rFonts w:ascii="Book Antiqua" w:eastAsia="Book Antiqua" w:hAnsi="Book Antiqua" w:cs="Book Antiqua"/>
          <w:sz w:val="24"/>
          <w:szCs w:val="24"/>
        </w:rPr>
        <w:t>"</w:t>
      </w:r>
      <w:r w:rsidR="002B296C">
        <w:rPr>
          <w:rFonts w:ascii="Book Antiqua" w:eastAsia="Book Antiqua" w:hAnsi="Book Antiqua" w:cs="Book Antiqua"/>
          <w:sz w:val="24"/>
          <w:szCs w:val="24"/>
        </w:rPr>
        <w:t xml:space="preserve"> </w:t>
      </w:r>
      <w:r w:rsidR="00564ECA" w:rsidRPr="00564ECA">
        <w:rPr>
          <w:rFonts w:ascii="Book Antiqua" w:eastAsia="Book Antiqua" w:hAnsi="Book Antiqua" w:cs="Book Antiqua"/>
          <w:sz w:val="24"/>
          <w:szCs w:val="24"/>
        </w:rPr>
        <w:t xml:space="preserve">(enseignement, santé, action sociale,…) </w:t>
      </w:r>
      <w:r w:rsidRPr="003A0688">
        <w:rPr>
          <w:rFonts w:ascii="Book Antiqua" w:eastAsia="Book Antiqua" w:hAnsi="Book Antiqua" w:cs="Book Antiqua"/>
          <w:sz w:val="24"/>
          <w:szCs w:val="24"/>
        </w:rPr>
        <w:t xml:space="preserve"> et de 21.000 postes des activités d’hébergement et restauration. En revanche, la perte des emplois a été principalement enregistrée </w:t>
      </w:r>
      <w:r w:rsidRPr="003A0688">
        <w:rPr>
          <w:rFonts w:ascii="Book Antiqua" w:hAnsi="Book Antiqua" w:cs="Times New Roman"/>
          <w:sz w:val="26"/>
          <w:szCs w:val="26"/>
        </w:rPr>
        <w:t xml:space="preserve">au niveau la branche du "commerce" </w:t>
      </w:r>
      <w:r w:rsidRPr="003A0688">
        <w:rPr>
          <w:rFonts w:ascii="Book Antiqua" w:eastAsia="Book Antiqua" w:hAnsi="Book Antiqua" w:cs="Book Antiqua"/>
          <w:sz w:val="24"/>
          <w:szCs w:val="24"/>
        </w:rPr>
        <w:t>(74.000 postes).</w:t>
      </w:r>
    </w:p>
    <w:p w:rsidR="00775F52" w:rsidRPr="003A0688" w:rsidRDefault="00775F52" w:rsidP="0005104E">
      <w:pPr>
        <w:spacing w:before="240" w:after="240" w:line="312" w:lineRule="auto"/>
        <w:jc w:val="both"/>
        <w:rPr>
          <w:rFonts w:ascii="Book Antiqua" w:eastAsia="Book Antiqua" w:hAnsi="Book Antiqua" w:cs="Book Antiqua"/>
          <w:sz w:val="24"/>
          <w:szCs w:val="24"/>
        </w:rPr>
      </w:pPr>
      <w:r w:rsidRPr="003A0688">
        <w:rPr>
          <w:rFonts w:ascii="Book Antiqua" w:eastAsia="Book Antiqua" w:hAnsi="Book Antiqua" w:cs="Book Antiqua"/>
          <w:sz w:val="24"/>
          <w:szCs w:val="24"/>
        </w:rPr>
        <w:t>Le secteur de l’ </w:t>
      </w:r>
      <w:r w:rsidR="00842F44" w:rsidRPr="003A0688">
        <w:rPr>
          <w:rFonts w:ascii="Book Antiqua" w:eastAsia="Book Antiqua" w:hAnsi="Book Antiqua" w:cs="Book Antiqua"/>
          <w:sz w:val="24"/>
          <w:szCs w:val="24"/>
        </w:rPr>
        <w:t>"</w:t>
      </w:r>
      <w:r w:rsidRPr="003A0688">
        <w:rPr>
          <w:rFonts w:ascii="Book Antiqua" w:eastAsia="Book Antiqua" w:hAnsi="Book Antiqua" w:cs="Book Antiqua"/>
          <w:sz w:val="24"/>
          <w:szCs w:val="24"/>
        </w:rPr>
        <w:t>industrie</w:t>
      </w:r>
      <w:r w:rsidR="00842F44" w:rsidRPr="003A0688">
        <w:rPr>
          <w:rFonts w:ascii="Book Antiqua" w:eastAsia="Book Antiqua" w:hAnsi="Book Antiqua" w:cs="Book Antiqua"/>
          <w:sz w:val="24"/>
          <w:szCs w:val="24"/>
        </w:rPr>
        <w:t xml:space="preserve"> y compris l’artisanat"</w:t>
      </w:r>
      <w:r w:rsidRPr="003A0688">
        <w:rPr>
          <w:rFonts w:ascii="Book Antiqua" w:eastAsia="Book Antiqua" w:hAnsi="Book Antiqua" w:cs="Book Antiqua"/>
          <w:sz w:val="24"/>
          <w:szCs w:val="24"/>
        </w:rPr>
        <w:t xml:space="preserve"> a, de son coté, créé 7.000 postes d’emploi au niveau national (4.000 en milieu urbain et 3.000 en milieu rural).</w:t>
      </w:r>
    </w:p>
    <w:p w:rsidR="00775F52" w:rsidRPr="003A0688" w:rsidRDefault="00775F52" w:rsidP="00E739B2">
      <w:pPr>
        <w:spacing w:before="240" w:after="240" w:line="312" w:lineRule="auto"/>
        <w:jc w:val="both"/>
        <w:rPr>
          <w:rFonts w:ascii="Book Antiqua" w:eastAsia="Book Antiqua" w:hAnsi="Book Antiqua" w:cs="Book Antiqua"/>
          <w:sz w:val="24"/>
          <w:szCs w:val="24"/>
        </w:rPr>
      </w:pPr>
      <w:r w:rsidRPr="003A0688">
        <w:rPr>
          <w:rFonts w:ascii="Book Antiqua" w:eastAsia="Book Antiqua" w:hAnsi="Book Antiqua" w:cs="Book Antiqua"/>
          <w:sz w:val="24"/>
          <w:szCs w:val="24"/>
        </w:rPr>
        <w:t xml:space="preserve">Enfin, le secteur l’"agriculture, forêt et pêche" a perdu 202.000 postes d'emploi au niveau national, résultat d’une perte de </w:t>
      </w:r>
      <w:r w:rsidR="00E739B2" w:rsidRPr="003A0688">
        <w:rPr>
          <w:rFonts w:ascii="Book Antiqua" w:eastAsia="Book Antiqua" w:hAnsi="Book Antiqua" w:cs="Book Antiqua"/>
          <w:sz w:val="24"/>
          <w:szCs w:val="24"/>
        </w:rPr>
        <w:t>207</w:t>
      </w:r>
      <w:r w:rsidRPr="003A0688">
        <w:rPr>
          <w:rFonts w:ascii="Book Antiqua" w:eastAsia="Book Antiqua" w:hAnsi="Book Antiqua" w:cs="Book Antiqua"/>
          <w:sz w:val="24"/>
          <w:szCs w:val="24"/>
        </w:rPr>
        <w:t xml:space="preserve">.000 en milieu rural et une création de 5.000 en milieu urbain. </w:t>
      </w:r>
    </w:p>
    <w:p w:rsidR="00775F52" w:rsidRPr="00CF4868" w:rsidRDefault="00775F52" w:rsidP="00775F52">
      <w:pPr>
        <w:spacing w:before="240" w:after="240" w:line="312" w:lineRule="auto"/>
        <w:jc w:val="both"/>
        <w:rPr>
          <w:rFonts w:ascii="Book Antiqua" w:eastAsia="Book Antiqua" w:hAnsi="Book Antiqua" w:cs="Book Antiqua"/>
          <w:b/>
          <w:noProof/>
          <w:color w:val="0070C0"/>
          <w:sz w:val="24"/>
          <w:szCs w:val="24"/>
          <w:shd w:val="clear" w:color="auto" w:fill="4472C4" w:themeFill="accent1"/>
        </w:rPr>
      </w:pPr>
      <w:r w:rsidRPr="003A0688">
        <w:rPr>
          <w:rFonts w:ascii="Book Antiqua" w:eastAsia="Book Antiqua" w:hAnsi="Book Antiqua" w:cs="Book Antiqua"/>
          <w:b/>
          <w:color w:val="000000" w:themeColor="text1"/>
          <w:sz w:val="20"/>
          <w:szCs w:val="20"/>
        </w:rPr>
        <w:t>Graphique 4 : Variation nette du volume de l’emploi entre 2022 et 2023 par secteur d’activité économique et milieu de résidence</w:t>
      </w:r>
      <w:r w:rsidRPr="003A0688">
        <w:rPr>
          <w:rStyle w:val="Appelnotedebasdep"/>
          <w:rFonts w:ascii="Book Antiqua" w:eastAsia="Book Antiqua" w:hAnsi="Book Antiqua" w:cs="Book Antiqua"/>
          <w:b/>
          <w:color w:val="000000" w:themeColor="text1"/>
          <w:sz w:val="20"/>
          <w:szCs w:val="20"/>
        </w:rPr>
        <w:footnoteReference w:id="2"/>
      </w:r>
    </w:p>
    <w:p w:rsidR="00775F52" w:rsidRPr="00CF4868" w:rsidRDefault="00775F52" w:rsidP="00775F52">
      <w:pPr>
        <w:rPr>
          <w:rFonts w:ascii="Book Antiqua" w:eastAsia="Book Antiqua" w:hAnsi="Book Antiqua" w:cs="Book Antiqua"/>
          <w:b/>
          <w:noProof/>
          <w:color w:val="0070C0"/>
          <w:sz w:val="24"/>
          <w:szCs w:val="24"/>
          <w:shd w:val="clear" w:color="auto" w:fill="4472C4" w:themeFill="accent1"/>
        </w:rPr>
      </w:pPr>
    </w:p>
    <w:p w:rsidR="00775F52" w:rsidRPr="00CF4868" w:rsidRDefault="00775F52" w:rsidP="00775F52">
      <w:pPr>
        <w:jc w:val="center"/>
        <w:rPr>
          <w:rFonts w:ascii="Book Antiqua" w:eastAsia="Book Antiqua" w:hAnsi="Book Antiqua" w:cs="Book Antiqua"/>
          <w:b/>
          <w:color w:val="0070C0"/>
          <w:sz w:val="24"/>
          <w:szCs w:val="24"/>
        </w:rPr>
      </w:pPr>
      <w:r w:rsidRPr="00CF4868">
        <w:rPr>
          <w:rFonts w:ascii="Book Antiqua" w:eastAsia="Book Antiqua" w:hAnsi="Book Antiqua" w:cs="Book Antiqua"/>
          <w:b/>
          <w:noProof/>
          <w:color w:val="0070C0"/>
          <w:sz w:val="24"/>
          <w:szCs w:val="24"/>
        </w:rPr>
        <w:drawing>
          <wp:inline distT="0" distB="0" distL="0" distR="0">
            <wp:extent cx="5760720" cy="2326704"/>
            <wp:effectExtent l="0" t="0" r="0" b="0"/>
            <wp:docPr id="14"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5F52" w:rsidRPr="003A0688" w:rsidRDefault="006B1AB2" w:rsidP="00787E7D">
      <w:pPr>
        <w:spacing w:before="240" w:after="240" w:line="312" w:lineRule="auto"/>
        <w:jc w:val="both"/>
        <w:rPr>
          <w:rFonts w:ascii="Book Antiqua" w:eastAsia="Book Antiqua" w:hAnsi="Book Antiqua" w:cs="Book Antiqua"/>
          <w:sz w:val="24"/>
          <w:szCs w:val="24"/>
        </w:rPr>
      </w:pPr>
      <w:r w:rsidRPr="003A0688">
        <w:rPr>
          <w:rFonts w:ascii="Book Antiqua" w:eastAsia="Book Antiqua" w:hAnsi="Book Antiqua" w:cs="Book Antiqua"/>
          <w:sz w:val="24"/>
          <w:szCs w:val="24"/>
        </w:rPr>
        <w:t>Par type d’emploi, le secteur des "services" a créé 30.000 emplois rémunérés et a perdu 15.000 emplois non rémunérés ; celui des BTP a  créé 20.000 emplois rémunérés et a perdu 1.000 emplois non rémunérés. Et celui de l’"industrie y compris l’artisanat, a créé  10.000 emplois rémunérés et a perdu 3.000 emplois non rémunérés</w:t>
      </w:r>
      <w:r w:rsidR="00775F52" w:rsidRPr="003A0688">
        <w:rPr>
          <w:rFonts w:ascii="Book Antiqua" w:eastAsia="Book Antiqua" w:hAnsi="Book Antiqua" w:cs="Book Antiqua"/>
          <w:sz w:val="24"/>
          <w:szCs w:val="24"/>
        </w:rPr>
        <w:t xml:space="preserve">. </w:t>
      </w:r>
    </w:p>
    <w:p w:rsidR="00775F52" w:rsidRDefault="006B1AB2" w:rsidP="00775F52">
      <w:pPr>
        <w:spacing w:before="240" w:after="240" w:line="312" w:lineRule="auto"/>
        <w:jc w:val="both"/>
        <w:rPr>
          <w:rFonts w:ascii="Book Antiqua" w:eastAsia="Book Antiqua" w:hAnsi="Book Antiqua" w:cs="Book Antiqua"/>
          <w:sz w:val="24"/>
          <w:szCs w:val="24"/>
        </w:rPr>
      </w:pPr>
      <w:r w:rsidRPr="003A0688">
        <w:rPr>
          <w:rFonts w:ascii="Book Antiqua" w:eastAsia="Book Antiqua" w:hAnsi="Book Antiqua" w:cs="Book Antiqua"/>
          <w:sz w:val="24"/>
          <w:szCs w:val="24"/>
        </w:rPr>
        <w:lastRenderedPageBreak/>
        <w:t>De son côté le secteur de l’"agriculture, forêt et pêche" a perdu 190.000 emplois non rémunérés et 12.000 rémunérés.</w:t>
      </w:r>
      <w:r w:rsidR="00775F52">
        <w:rPr>
          <w:rFonts w:ascii="Book Antiqua" w:eastAsia="Book Antiqua" w:hAnsi="Book Antiqua" w:cs="Book Antiqua"/>
          <w:sz w:val="24"/>
          <w:szCs w:val="24"/>
        </w:rPr>
        <w:t xml:space="preserve"> </w:t>
      </w:r>
    </w:p>
    <w:p w:rsidR="00775F52" w:rsidRPr="00BD4B64" w:rsidRDefault="00775F52" w:rsidP="00775F52">
      <w:pPr>
        <w:spacing w:before="100" w:beforeAutospacing="1" w:after="100" w:afterAutospacing="1" w:line="312" w:lineRule="auto"/>
        <w:jc w:val="both"/>
        <w:rPr>
          <w:rFonts w:ascii="Book Antiqua" w:hAnsi="Book Antiqua" w:cstheme="majorHAnsi"/>
          <w:b/>
          <w:bCs/>
          <w:color w:val="1F3864" w:themeColor="accent1" w:themeShade="80"/>
          <w:spacing w:val="-10"/>
          <w:kern w:val="28"/>
          <w:sz w:val="28"/>
          <w:szCs w:val="28"/>
        </w:rPr>
      </w:pPr>
      <w:r w:rsidRPr="00BD4B64">
        <w:rPr>
          <w:rFonts w:ascii="Book Antiqua" w:hAnsi="Book Antiqua" w:cstheme="majorHAnsi"/>
          <w:b/>
          <w:bCs/>
          <w:color w:val="1F3864" w:themeColor="accent1" w:themeShade="80"/>
          <w:spacing w:val="-10"/>
          <w:kern w:val="28"/>
          <w:sz w:val="28"/>
          <w:szCs w:val="28"/>
        </w:rPr>
        <w:t>II. Chômage et sous-emploi</w:t>
      </w:r>
    </w:p>
    <w:p w:rsidR="00775F52" w:rsidRPr="00BD4B64" w:rsidRDefault="00775F52" w:rsidP="00775F52">
      <w:pPr>
        <w:spacing w:before="240" w:after="240" w:line="312" w:lineRule="auto"/>
        <w:jc w:val="both"/>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t>Hausse</w:t>
      </w:r>
      <w:r w:rsidRPr="00BD4B64">
        <w:rPr>
          <w:rFonts w:ascii="Book Antiqua" w:eastAsia="Book Antiqua" w:hAnsi="Book Antiqua" w:cs="Book Antiqua"/>
          <w:b/>
          <w:bCs/>
          <w:color w:val="8496B0" w:themeColor="text2" w:themeTint="99"/>
          <w:sz w:val="26"/>
          <w:szCs w:val="26"/>
        </w:rPr>
        <w:t xml:space="preserve"> du chômage</w:t>
      </w:r>
    </w:p>
    <w:p w:rsidR="00775F52" w:rsidRPr="00BD4B64" w:rsidRDefault="00775F52" w:rsidP="00775F52">
      <w:pPr>
        <w:spacing w:before="240" w:after="240" w:line="312" w:lineRule="auto"/>
        <w:jc w:val="both"/>
        <w:rPr>
          <w:rFonts w:ascii="Book Antiqua" w:hAnsi="Book Antiqua" w:cs="Times New Roman"/>
          <w:sz w:val="24"/>
          <w:szCs w:val="24"/>
        </w:rPr>
      </w:pPr>
      <w:r w:rsidRPr="00BD4B64">
        <w:rPr>
          <w:rFonts w:ascii="Book Antiqua" w:hAnsi="Book Antiqua" w:cs="Times New Roman"/>
          <w:sz w:val="24"/>
          <w:szCs w:val="24"/>
        </w:rPr>
        <w:t>Entre 202</w:t>
      </w:r>
      <w:r>
        <w:rPr>
          <w:rFonts w:ascii="Book Antiqua" w:hAnsi="Book Antiqua" w:cs="Times New Roman"/>
          <w:sz w:val="24"/>
          <w:szCs w:val="24"/>
        </w:rPr>
        <w:t>2</w:t>
      </w:r>
      <w:r w:rsidRPr="00BD4B64">
        <w:rPr>
          <w:rFonts w:ascii="Book Antiqua" w:hAnsi="Book Antiqua" w:cs="Times New Roman"/>
          <w:sz w:val="24"/>
          <w:szCs w:val="24"/>
        </w:rPr>
        <w:t xml:space="preserve"> et 202</w:t>
      </w:r>
      <w:r>
        <w:rPr>
          <w:rFonts w:ascii="Book Antiqua" w:hAnsi="Book Antiqua" w:cs="Times New Roman"/>
          <w:sz w:val="24"/>
          <w:szCs w:val="24"/>
        </w:rPr>
        <w:t>3</w:t>
      </w:r>
      <w:r w:rsidRPr="00BD4B64">
        <w:rPr>
          <w:rFonts w:ascii="Book Antiqua" w:hAnsi="Book Antiqua" w:cs="Times New Roman"/>
          <w:sz w:val="24"/>
          <w:szCs w:val="24"/>
        </w:rPr>
        <w:t xml:space="preserve">, le nombre de chômeurs a </w:t>
      </w:r>
      <w:r>
        <w:rPr>
          <w:rFonts w:ascii="Book Antiqua" w:hAnsi="Book Antiqua" w:cs="Times New Roman"/>
          <w:sz w:val="24"/>
          <w:szCs w:val="24"/>
        </w:rPr>
        <w:t>augmenté</w:t>
      </w:r>
      <w:r w:rsidRPr="00BD4B64">
        <w:rPr>
          <w:rFonts w:ascii="Book Antiqua" w:hAnsi="Book Antiqua" w:cs="Times New Roman"/>
          <w:sz w:val="24"/>
          <w:szCs w:val="24"/>
        </w:rPr>
        <w:t xml:space="preserve"> de </w:t>
      </w:r>
      <w:r>
        <w:rPr>
          <w:rFonts w:ascii="Book Antiqua" w:hAnsi="Book Antiqua" w:cs="Times New Roman"/>
          <w:sz w:val="24"/>
          <w:szCs w:val="24"/>
        </w:rPr>
        <w:t>138</w:t>
      </w:r>
      <w:r w:rsidRPr="00BD4B64">
        <w:rPr>
          <w:rFonts w:ascii="Book Antiqua" w:hAnsi="Book Antiqua" w:cs="Times New Roman"/>
          <w:sz w:val="24"/>
          <w:szCs w:val="24"/>
        </w:rPr>
        <w:t>.000 personnes, passant de 1.442.000 à 1.</w:t>
      </w:r>
      <w:r>
        <w:rPr>
          <w:rFonts w:ascii="Book Antiqua" w:hAnsi="Book Antiqua" w:cs="Times New Roman"/>
          <w:sz w:val="24"/>
          <w:szCs w:val="24"/>
        </w:rPr>
        <w:t>580</w:t>
      </w:r>
      <w:r w:rsidRPr="00BD4B64">
        <w:rPr>
          <w:rFonts w:ascii="Book Antiqua" w:hAnsi="Book Antiqua" w:cs="Times New Roman"/>
          <w:sz w:val="24"/>
          <w:szCs w:val="24"/>
        </w:rPr>
        <w:t xml:space="preserve">.000 chômeurs, ce qui correspond à une </w:t>
      </w:r>
      <w:r>
        <w:rPr>
          <w:rFonts w:ascii="Book Antiqua" w:hAnsi="Book Antiqua" w:cs="Times New Roman"/>
          <w:sz w:val="24"/>
          <w:szCs w:val="24"/>
        </w:rPr>
        <w:t>hausse</w:t>
      </w:r>
      <w:r w:rsidRPr="00BD4B64">
        <w:rPr>
          <w:rFonts w:ascii="Book Antiqua" w:hAnsi="Book Antiqua" w:cs="Times New Roman"/>
          <w:sz w:val="24"/>
          <w:szCs w:val="24"/>
        </w:rPr>
        <w:t xml:space="preserve"> de </w:t>
      </w:r>
      <w:r>
        <w:rPr>
          <w:rFonts w:ascii="Book Antiqua" w:hAnsi="Book Antiqua" w:cs="Times New Roman"/>
          <w:sz w:val="24"/>
          <w:szCs w:val="24"/>
        </w:rPr>
        <w:t>10</w:t>
      </w:r>
      <w:r w:rsidRPr="00BD4B64">
        <w:rPr>
          <w:rFonts w:ascii="Book Antiqua" w:hAnsi="Book Antiqua" w:cs="Times New Roman"/>
          <w:sz w:val="24"/>
          <w:szCs w:val="24"/>
        </w:rPr>
        <w:t xml:space="preserve">%. Cette </w:t>
      </w:r>
      <w:r>
        <w:rPr>
          <w:rFonts w:ascii="Book Antiqua" w:hAnsi="Book Antiqua" w:cs="Times New Roman"/>
          <w:sz w:val="24"/>
          <w:szCs w:val="24"/>
        </w:rPr>
        <w:t>hausse est la conséquence d’un accroissement</w:t>
      </w:r>
      <w:r w:rsidRPr="00BD4B64">
        <w:rPr>
          <w:rFonts w:ascii="Book Antiqua" w:hAnsi="Book Antiqua" w:cs="Times New Roman"/>
          <w:sz w:val="24"/>
          <w:szCs w:val="24"/>
        </w:rPr>
        <w:t xml:space="preserve"> de </w:t>
      </w:r>
      <w:r>
        <w:rPr>
          <w:rFonts w:ascii="Book Antiqua" w:hAnsi="Book Antiqua" w:cs="Times New Roman"/>
          <w:sz w:val="24"/>
          <w:szCs w:val="24"/>
        </w:rPr>
        <w:t>98</w:t>
      </w:r>
      <w:r w:rsidRPr="00BD4B64">
        <w:rPr>
          <w:rFonts w:ascii="Book Antiqua" w:hAnsi="Book Antiqua" w:cs="Times New Roman"/>
          <w:sz w:val="24"/>
          <w:szCs w:val="24"/>
        </w:rPr>
        <w:t xml:space="preserve">.000 chômeurs en milieu urbain et </w:t>
      </w:r>
      <w:r w:rsidR="00787E7D">
        <w:rPr>
          <w:rFonts w:ascii="Book Antiqua" w:hAnsi="Book Antiqua" w:cs="Times New Roman"/>
          <w:sz w:val="24"/>
          <w:szCs w:val="24"/>
        </w:rPr>
        <w:t xml:space="preserve">de </w:t>
      </w:r>
      <w:r w:rsidRPr="00BD4B64">
        <w:rPr>
          <w:rFonts w:ascii="Book Antiqua" w:hAnsi="Book Antiqua" w:cs="Times New Roman"/>
          <w:sz w:val="24"/>
          <w:szCs w:val="24"/>
        </w:rPr>
        <w:t>4</w:t>
      </w:r>
      <w:r>
        <w:rPr>
          <w:rFonts w:ascii="Book Antiqua" w:hAnsi="Book Antiqua" w:cs="Times New Roman"/>
          <w:sz w:val="24"/>
          <w:szCs w:val="24"/>
        </w:rPr>
        <w:t>0</w:t>
      </w:r>
      <w:r w:rsidRPr="00BD4B64">
        <w:rPr>
          <w:rFonts w:ascii="Book Antiqua" w:hAnsi="Book Antiqua" w:cs="Times New Roman"/>
          <w:sz w:val="24"/>
          <w:szCs w:val="24"/>
        </w:rPr>
        <w:t xml:space="preserve">.000 en milieu rural </w:t>
      </w:r>
    </w:p>
    <w:p w:rsidR="00775F52" w:rsidRPr="00BD4B64" w:rsidRDefault="00775F52" w:rsidP="003A0688">
      <w:pPr>
        <w:spacing w:before="240" w:after="240" w:line="312" w:lineRule="auto"/>
        <w:jc w:val="both"/>
        <w:rPr>
          <w:rFonts w:ascii="Book Antiqua" w:hAnsi="Book Antiqua" w:cs="Times New Roman"/>
          <w:sz w:val="24"/>
          <w:szCs w:val="24"/>
        </w:rPr>
      </w:pPr>
      <w:r w:rsidRPr="00BD4B64">
        <w:rPr>
          <w:rFonts w:ascii="Book Antiqua" w:hAnsi="Book Antiqua" w:cs="Times New Roman"/>
          <w:sz w:val="24"/>
          <w:szCs w:val="24"/>
        </w:rPr>
        <w:t xml:space="preserve">Le taux de chômage est ainsi passé de </w:t>
      </w:r>
      <w:r>
        <w:rPr>
          <w:rFonts w:ascii="Book Antiqua" w:hAnsi="Book Antiqua" w:cs="Times New Roman"/>
          <w:sz w:val="24"/>
          <w:szCs w:val="24"/>
        </w:rPr>
        <w:t>11</w:t>
      </w:r>
      <w:r w:rsidRPr="00BD4B64">
        <w:rPr>
          <w:rFonts w:ascii="Book Antiqua" w:hAnsi="Book Antiqua" w:cs="Times New Roman"/>
          <w:sz w:val="24"/>
          <w:szCs w:val="24"/>
        </w:rPr>
        <w:t>,</w:t>
      </w:r>
      <w:r>
        <w:rPr>
          <w:rFonts w:ascii="Book Antiqua" w:hAnsi="Book Antiqua" w:cs="Times New Roman"/>
          <w:sz w:val="24"/>
          <w:szCs w:val="24"/>
        </w:rPr>
        <w:t>8</w:t>
      </w:r>
      <w:r w:rsidRPr="00BD4B64">
        <w:rPr>
          <w:rFonts w:ascii="Book Antiqua" w:hAnsi="Book Antiqua" w:cs="Times New Roman"/>
          <w:sz w:val="24"/>
          <w:szCs w:val="24"/>
        </w:rPr>
        <w:t>% à 1</w:t>
      </w:r>
      <w:r>
        <w:rPr>
          <w:rFonts w:ascii="Book Antiqua" w:hAnsi="Book Antiqua" w:cs="Times New Roman"/>
          <w:sz w:val="24"/>
          <w:szCs w:val="24"/>
        </w:rPr>
        <w:t>3</w:t>
      </w:r>
      <w:r w:rsidRPr="00BD4B64">
        <w:rPr>
          <w:rFonts w:ascii="Book Antiqua" w:hAnsi="Book Antiqua" w:cs="Times New Roman"/>
          <w:sz w:val="24"/>
          <w:szCs w:val="24"/>
        </w:rPr>
        <w:t>%</w:t>
      </w:r>
      <w:r w:rsidR="00982BB8">
        <w:rPr>
          <w:rFonts w:ascii="Book Antiqua" w:hAnsi="Book Antiqua" w:cs="Times New Roman"/>
          <w:sz w:val="24"/>
          <w:szCs w:val="24"/>
        </w:rPr>
        <w:t xml:space="preserve"> (+1,2 point)</w:t>
      </w:r>
      <w:r w:rsidRPr="00BD4B64">
        <w:rPr>
          <w:rFonts w:ascii="Book Antiqua" w:hAnsi="Book Antiqua" w:cs="Times New Roman"/>
          <w:sz w:val="24"/>
          <w:szCs w:val="24"/>
        </w:rPr>
        <w:t xml:space="preserve">. </w:t>
      </w:r>
      <w:r>
        <w:rPr>
          <w:rFonts w:ascii="Book Antiqua" w:hAnsi="Book Antiqua" w:cs="Times New Roman"/>
          <w:sz w:val="24"/>
          <w:szCs w:val="24"/>
        </w:rPr>
        <w:t>Il</w:t>
      </w:r>
      <w:r w:rsidRPr="00BD4B64">
        <w:rPr>
          <w:rFonts w:ascii="Book Antiqua" w:hAnsi="Book Antiqua" w:cs="Times New Roman"/>
          <w:sz w:val="24"/>
          <w:szCs w:val="24"/>
        </w:rPr>
        <w:t xml:space="preserve"> est passé de 5,</w:t>
      </w:r>
      <w:r>
        <w:rPr>
          <w:rFonts w:ascii="Book Antiqua" w:hAnsi="Book Antiqua" w:cs="Times New Roman"/>
          <w:sz w:val="24"/>
          <w:szCs w:val="24"/>
        </w:rPr>
        <w:t>2</w:t>
      </w:r>
      <w:r w:rsidRPr="00BD4B64">
        <w:rPr>
          <w:rFonts w:ascii="Book Antiqua" w:hAnsi="Book Antiqua" w:cs="Times New Roman"/>
          <w:sz w:val="24"/>
          <w:szCs w:val="24"/>
        </w:rPr>
        <w:t xml:space="preserve">% à </w:t>
      </w:r>
      <w:r>
        <w:rPr>
          <w:rFonts w:ascii="Book Antiqua" w:hAnsi="Book Antiqua" w:cs="Times New Roman"/>
          <w:sz w:val="24"/>
          <w:szCs w:val="24"/>
        </w:rPr>
        <w:t>6</w:t>
      </w:r>
      <w:r w:rsidRPr="00BD4B64">
        <w:rPr>
          <w:rFonts w:ascii="Book Antiqua" w:hAnsi="Book Antiqua" w:cs="Times New Roman"/>
          <w:sz w:val="24"/>
          <w:szCs w:val="24"/>
        </w:rPr>
        <w:t>,</w:t>
      </w:r>
      <w:r>
        <w:rPr>
          <w:rFonts w:ascii="Book Antiqua" w:hAnsi="Book Antiqua" w:cs="Times New Roman"/>
          <w:sz w:val="24"/>
          <w:szCs w:val="24"/>
        </w:rPr>
        <w:t>3</w:t>
      </w:r>
      <w:r w:rsidRPr="00BD4B64">
        <w:rPr>
          <w:rFonts w:ascii="Book Antiqua" w:hAnsi="Book Antiqua" w:cs="Times New Roman"/>
          <w:sz w:val="24"/>
          <w:szCs w:val="24"/>
        </w:rPr>
        <w:t>% (+</w:t>
      </w:r>
      <w:r>
        <w:rPr>
          <w:rFonts w:ascii="Book Antiqua" w:hAnsi="Book Antiqua" w:cs="Times New Roman"/>
          <w:sz w:val="24"/>
          <w:szCs w:val="24"/>
        </w:rPr>
        <w:t>1</w:t>
      </w:r>
      <w:r w:rsidRPr="00BD4B64">
        <w:rPr>
          <w:rFonts w:ascii="Book Antiqua" w:hAnsi="Book Antiqua" w:cs="Times New Roman"/>
          <w:sz w:val="24"/>
          <w:szCs w:val="24"/>
        </w:rPr>
        <w:t>,</w:t>
      </w:r>
      <w:r w:rsidRPr="00787E7D">
        <w:rPr>
          <w:rFonts w:ascii="Book Antiqua" w:hAnsi="Book Antiqua" w:cs="Times New Roman"/>
          <w:sz w:val="24"/>
          <w:szCs w:val="24"/>
        </w:rPr>
        <w:t>1</w:t>
      </w:r>
      <w:r w:rsidR="005B593F">
        <w:rPr>
          <w:rFonts w:ascii="Book Antiqua" w:hAnsi="Book Antiqua" w:cs="Times New Roman"/>
          <w:sz w:val="24"/>
          <w:szCs w:val="24"/>
        </w:rPr>
        <w:t xml:space="preserve"> </w:t>
      </w:r>
      <w:r w:rsidRPr="00787E7D">
        <w:rPr>
          <w:rFonts w:ascii="Book Antiqua" w:hAnsi="Book Antiqua" w:cs="Times New Roman"/>
          <w:sz w:val="24"/>
          <w:szCs w:val="24"/>
        </w:rPr>
        <w:t>point</w:t>
      </w:r>
      <w:r w:rsidRPr="00BD4B64">
        <w:rPr>
          <w:rFonts w:ascii="Book Antiqua" w:hAnsi="Book Antiqua" w:cs="Times New Roman"/>
          <w:sz w:val="24"/>
          <w:szCs w:val="24"/>
        </w:rPr>
        <w:t>) en milieu rural et de 1</w:t>
      </w:r>
      <w:r>
        <w:rPr>
          <w:rFonts w:ascii="Book Antiqua" w:hAnsi="Book Antiqua" w:cs="Times New Roman"/>
          <w:sz w:val="24"/>
          <w:szCs w:val="24"/>
        </w:rPr>
        <w:t>5</w:t>
      </w:r>
      <w:r w:rsidRPr="00BD4B64">
        <w:rPr>
          <w:rFonts w:ascii="Book Antiqua" w:hAnsi="Book Antiqua" w:cs="Times New Roman"/>
          <w:sz w:val="24"/>
          <w:szCs w:val="24"/>
        </w:rPr>
        <w:t>,</w:t>
      </w:r>
      <w:r>
        <w:rPr>
          <w:rFonts w:ascii="Book Antiqua" w:hAnsi="Book Antiqua" w:cs="Times New Roman"/>
          <w:sz w:val="24"/>
          <w:szCs w:val="24"/>
        </w:rPr>
        <w:t>8</w:t>
      </w:r>
      <w:r w:rsidRPr="00BD4B64">
        <w:rPr>
          <w:rFonts w:ascii="Book Antiqua" w:hAnsi="Book Antiqua" w:cs="Times New Roman"/>
          <w:sz w:val="24"/>
          <w:szCs w:val="24"/>
        </w:rPr>
        <w:t>% à 1</w:t>
      </w:r>
      <w:r>
        <w:rPr>
          <w:rFonts w:ascii="Book Antiqua" w:hAnsi="Book Antiqua" w:cs="Times New Roman"/>
          <w:sz w:val="24"/>
          <w:szCs w:val="24"/>
        </w:rPr>
        <w:t>6,8% en milieu urbain (</w:t>
      </w:r>
      <w:r w:rsidR="003A0688">
        <w:rPr>
          <w:rFonts w:ascii="Book Antiqua" w:hAnsi="Book Antiqua" w:cs="Times New Roman"/>
          <w:sz w:val="24"/>
          <w:szCs w:val="24"/>
        </w:rPr>
        <w:t>+</w:t>
      </w:r>
      <w:r>
        <w:rPr>
          <w:rFonts w:ascii="Book Antiqua" w:hAnsi="Book Antiqua" w:cs="Times New Roman"/>
          <w:sz w:val="24"/>
          <w:szCs w:val="24"/>
        </w:rPr>
        <w:t>1</w:t>
      </w:r>
      <w:r w:rsidRPr="00BD4B64">
        <w:rPr>
          <w:rFonts w:ascii="Book Antiqua" w:hAnsi="Book Antiqua" w:cs="Times New Roman"/>
          <w:sz w:val="24"/>
          <w:szCs w:val="24"/>
        </w:rPr>
        <w:t xml:space="preserve"> point).</w:t>
      </w:r>
      <w:bookmarkStart w:id="2" w:name="_Hlk94175934"/>
    </w:p>
    <w:p w:rsidR="00775F52" w:rsidRPr="00D4247B" w:rsidRDefault="00775F52" w:rsidP="00775F52">
      <w:pPr>
        <w:spacing w:before="240" w:after="240" w:line="312" w:lineRule="auto"/>
        <w:jc w:val="center"/>
        <w:rPr>
          <w:rFonts w:ascii="Book Antiqua" w:eastAsia="Book Antiqua" w:hAnsi="Book Antiqua" w:cs="Book Antiqua"/>
          <w:b/>
          <w:sz w:val="20"/>
          <w:szCs w:val="20"/>
        </w:rPr>
      </w:pPr>
      <w:r w:rsidRPr="00BD4B64">
        <w:rPr>
          <w:rFonts w:ascii="Book Antiqua" w:eastAsia="Book Antiqua" w:hAnsi="Book Antiqua" w:cs="Book Antiqua"/>
          <w:b/>
          <w:sz w:val="20"/>
          <w:szCs w:val="20"/>
        </w:rPr>
        <w:t>Graphique 5 </w:t>
      </w:r>
      <w:r w:rsidRPr="00D4247B">
        <w:rPr>
          <w:rFonts w:ascii="Book Antiqua" w:eastAsia="Book Antiqua" w:hAnsi="Book Antiqua" w:cs="Book Antiqua"/>
          <w:b/>
          <w:sz w:val="20"/>
          <w:szCs w:val="20"/>
        </w:rPr>
        <w:t>: Evolution du taux de chômage depuis l’année 2017 (en %)</w:t>
      </w:r>
    </w:p>
    <w:p w:rsidR="00775F52" w:rsidRPr="00BD4B64" w:rsidRDefault="00D4247B" w:rsidP="00775F52">
      <w:pPr>
        <w:spacing w:before="240" w:after="240" w:line="312" w:lineRule="auto"/>
        <w:jc w:val="center"/>
        <w:rPr>
          <w:rFonts w:ascii="Book Antiqua" w:hAnsi="Book Antiqua" w:cs="Times New Roman"/>
          <w:sz w:val="24"/>
          <w:szCs w:val="24"/>
        </w:rPr>
      </w:pPr>
      <w:r w:rsidRPr="00D16FA7">
        <w:rPr>
          <w:rFonts w:ascii="Book Antiqua" w:hAnsi="Book Antiqua" w:cs="Times New Roman"/>
          <w:noProof/>
        </w:rPr>
        <w:drawing>
          <wp:inline distT="0" distB="0" distL="0" distR="0">
            <wp:extent cx="5161429" cy="1940859"/>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2"/>
    <w:p w:rsidR="00775F52" w:rsidRPr="00BD4B64" w:rsidRDefault="00775F52" w:rsidP="00F86CEA">
      <w:pPr>
        <w:spacing w:before="240" w:after="240" w:line="312" w:lineRule="auto"/>
        <w:jc w:val="both"/>
        <w:rPr>
          <w:rFonts w:ascii="Book Antiqua" w:hAnsi="Book Antiqua" w:cs="Times New Roman"/>
          <w:sz w:val="24"/>
          <w:szCs w:val="24"/>
        </w:rPr>
      </w:pPr>
      <w:r w:rsidRPr="00BD4B64">
        <w:rPr>
          <w:rFonts w:ascii="Book Antiqua" w:hAnsi="Book Antiqua" w:cs="Times New Roman"/>
          <w:sz w:val="24"/>
          <w:szCs w:val="24"/>
        </w:rPr>
        <w:t>Le taux de chô</w:t>
      </w:r>
      <w:r>
        <w:rPr>
          <w:rFonts w:ascii="Book Antiqua" w:hAnsi="Book Antiqua" w:cs="Times New Roman"/>
          <w:sz w:val="24"/>
          <w:szCs w:val="24"/>
        </w:rPr>
        <w:t xml:space="preserve">mage a </w:t>
      </w:r>
      <w:r w:rsidRPr="00BD4B64">
        <w:rPr>
          <w:rFonts w:ascii="Book Antiqua" w:hAnsi="Book Antiqua" w:cs="Times New Roman"/>
          <w:sz w:val="24"/>
          <w:szCs w:val="24"/>
        </w:rPr>
        <w:t xml:space="preserve">augmenté de </w:t>
      </w:r>
      <w:r>
        <w:rPr>
          <w:rFonts w:ascii="Book Antiqua" w:hAnsi="Book Antiqua" w:cs="Times New Roman"/>
          <w:sz w:val="24"/>
          <w:szCs w:val="24"/>
        </w:rPr>
        <w:t>1</w:t>
      </w:r>
      <w:r w:rsidRPr="00BD4B64">
        <w:rPr>
          <w:rFonts w:ascii="Book Antiqua" w:hAnsi="Book Antiqua" w:cs="Times New Roman"/>
          <w:sz w:val="24"/>
          <w:szCs w:val="24"/>
        </w:rPr>
        <w:t>,</w:t>
      </w:r>
      <w:r>
        <w:rPr>
          <w:rFonts w:ascii="Book Antiqua" w:hAnsi="Book Antiqua" w:cs="Times New Roman"/>
          <w:sz w:val="24"/>
          <w:szCs w:val="24"/>
        </w:rPr>
        <w:t>2</w:t>
      </w:r>
      <w:r w:rsidR="00F86CEA">
        <w:rPr>
          <w:rFonts w:ascii="Book Antiqua" w:hAnsi="Book Antiqua" w:cs="Times New Roman"/>
          <w:sz w:val="24"/>
          <w:szCs w:val="24"/>
        </w:rPr>
        <w:t xml:space="preserve"> point parmi</w:t>
      </w:r>
      <w:r w:rsidRPr="00BD4B64">
        <w:rPr>
          <w:rFonts w:ascii="Book Antiqua" w:hAnsi="Book Antiqua" w:cs="Times New Roman"/>
          <w:sz w:val="24"/>
          <w:szCs w:val="24"/>
        </w:rPr>
        <w:t xml:space="preserve"> </w:t>
      </w:r>
      <w:r w:rsidR="00982BB8">
        <w:rPr>
          <w:rFonts w:ascii="Book Antiqua" w:hAnsi="Book Antiqua" w:cs="Times New Roman"/>
          <w:sz w:val="24"/>
          <w:szCs w:val="24"/>
        </w:rPr>
        <w:t xml:space="preserve">les hommes, passant </w:t>
      </w:r>
      <w:r w:rsidR="00982BB8" w:rsidRPr="00BD4B64">
        <w:rPr>
          <w:rFonts w:ascii="Book Antiqua" w:hAnsi="Book Antiqua" w:cs="Times New Roman"/>
          <w:sz w:val="24"/>
          <w:szCs w:val="24"/>
        </w:rPr>
        <w:t>de 10,</w:t>
      </w:r>
      <w:r w:rsidR="00982BB8">
        <w:rPr>
          <w:rFonts w:ascii="Book Antiqua" w:hAnsi="Book Antiqua" w:cs="Times New Roman"/>
          <w:sz w:val="24"/>
          <w:szCs w:val="24"/>
        </w:rPr>
        <w:t>3</w:t>
      </w:r>
      <w:r w:rsidR="00982BB8" w:rsidRPr="00BD4B64">
        <w:rPr>
          <w:rFonts w:ascii="Book Antiqua" w:hAnsi="Book Antiqua" w:cs="Times New Roman"/>
          <w:sz w:val="24"/>
          <w:szCs w:val="24"/>
        </w:rPr>
        <w:t>% à 1</w:t>
      </w:r>
      <w:r w:rsidR="00982BB8">
        <w:rPr>
          <w:rFonts w:ascii="Book Antiqua" w:hAnsi="Book Antiqua" w:cs="Times New Roman"/>
          <w:sz w:val="24"/>
          <w:szCs w:val="24"/>
        </w:rPr>
        <w:t>1</w:t>
      </w:r>
      <w:r w:rsidR="00982BB8" w:rsidRPr="00BD4B64">
        <w:rPr>
          <w:rFonts w:ascii="Book Antiqua" w:hAnsi="Book Antiqua" w:cs="Times New Roman"/>
          <w:sz w:val="24"/>
          <w:szCs w:val="24"/>
        </w:rPr>
        <w:t>,</w:t>
      </w:r>
      <w:r w:rsidR="00982BB8">
        <w:rPr>
          <w:rFonts w:ascii="Book Antiqua" w:hAnsi="Book Antiqua" w:cs="Times New Roman"/>
          <w:sz w:val="24"/>
          <w:szCs w:val="24"/>
        </w:rPr>
        <w:t>5</w:t>
      </w:r>
      <w:r w:rsidR="00982BB8" w:rsidRPr="00BD4B64">
        <w:rPr>
          <w:rFonts w:ascii="Book Antiqua" w:hAnsi="Book Antiqua" w:cs="Times New Roman"/>
          <w:sz w:val="24"/>
          <w:szCs w:val="24"/>
        </w:rPr>
        <w:t>%</w:t>
      </w:r>
      <w:r w:rsidR="00982BB8">
        <w:rPr>
          <w:rFonts w:ascii="Book Antiqua" w:hAnsi="Book Antiqua" w:cs="Times New Roman"/>
          <w:sz w:val="24"/>
          <w:szCs w:val="24"/>
        </w:rPr>
        <w:t xml:space="preserve"> et de 1,1 point </w:t>
      </w:r>
      <w:r w:rsidR="00F86CEA">
        <w:rPr>
          <w:rFonts w:ascii="Book Antiqua" w:hAnsi="Book Antiqua" w:cs="Times New Roman"/>
          <w:sz w:val="24"/>
          <w:szCs w:val="24"/>
        </w:rPr>
        <w:t>parmi</w:t>
      </w:r>
      <w:r w:rsidR="00982BB8">
        <w:rPr>
          <w:rFonts w:ascii="Book Antiqua" w:hAnsi="Book Antiqua" w:cs="Times New Roman"/>
          <w:sz w:val="24"/>
          <w:szCs w:val="24"/>
        </w:rPr>
        <w:t xml:space="preserve"> les femmes, de  </w:t>
      </w:r>
      <w:r w:rsidRPr="00BD4B64">
        <w:rPr>
          <w:rFonts w:ascii="Book Antiqua" w:hAnsi="Book Antiqua" w:cs="Times New Roman"/>
          <w:sz w:val="24"/>
          <w:szCs w:val="24"/>
        </w:rPr>
        <w:t>1</w:t>
      </w:r>
      <w:r>
        <w:rPr>
          <w:rFonts w:ascii="Book Antiqua" w:hAnsi="Book Antiqua" w:cs="Times New Roman"/>
          <w:sz w:val="24"/>
          <w:szCs w:val="24"/>
        </w:rPr>
        <w:t>7</w:t>
      </w:r>
      <w:r w:rsidRPr="00BD4B64">
        <w:rPr>
          <w:rFonts w:ascii="Book Antiqua" w:hAnsi="Book Antiqua" w:cs="Times New Roman"/>
          <w:sz w:val="24"/>
          <w:szCs w:val="24"/>
        </w:rPr>
        <w:t>,</w:t>
      </w:r>
      <w:r>
        <w:rPr>
          <w:rFonts w:ascii="Book Antiqua" w:hAnsi="Book Antiqua" w:cs="Times New Roman"/>
          <w:sz w:val="24"/>
          <w:szCs w:val="24"/>
        </w:rPr>
        <w:t>2</w:t>
      </w:r>
      <w:r w:rsidRPr="00BD4B64">
        <w:rPr>
          <w:rFonts w:ascii="Book Antiqua" w:hAnsi="Book Antiqua" w:cs="Times New Roman"/>
          <w:sz w:val="24"/>
          <w:szCs w:val="24"/>
        </w:rPr>
        <w:t>% à 1</w:t>
      </w:r>
      <w:r>
        <w:rPr>
          <w:rFonts w:ascii="Book Antiqua" w:hAnsi="Book Antiqua" w:cs="Times New Roman"/>
          <w:sz w:val="24"/>
          <w:szCs w:val="24"/>
        </w:rPr>
        <w:t>8</w:t>
      </w:r>
      <w:r w:rsidRPr="00BD4B64">
        <w:rPr>
          <w:rFonts w:ascii="Book Antiqua" w:hAnsi="Book Antiqua" w:cs="Times New Roman"/>
          <w:sz w:val="24"/>
          <w:szCs w:val="24"/>
        </w:rPr>
        <w:t>,</w:t>
      </w:r>
      <w:r>
        <w:rPr>
          <w:rFonts w:ascii="Book Antiqua" w:hAnsi="Book Antiqua" w:cs="Times New Roman"/>
          <w:sz w:val="24"/>
          <w:szCs w:val="24"/>
        </w:rPr>
        <w:t>3</w:t>
      </w:r>
      <w:r w:rsidRPr="00BD4B64">
        <w:rPr>
          <w:rFonts w:ascii="Book Antiqua" w:hAnsi="Book Antiqua" w:cs="Times New Roman"/>
          <w:sz w:val="24"/>
          <w:szCs w:val="24"/>
        </w:rPr>
        <w:t xml:space="preserve">%. Selon le diplôme, le taux de chômage a enregistré une </w:t>
      </w:r>
      <w:r>
        <w:rPr>
          <w:rFonts w:ascii="Book Antiqua" w:hAnsi="Book Antiqua" w:cs="Times New Roman"/>
          <w:sz w:val="24"/>
          <w:szCs w:val="24"/>
        </w:rPr>
        <w:t>hausse</w:t>
      </w:r>
      <w:r w:rsidRPr="00BD4B64">
        <w:rPr>
          <w:rFonts w:ascii="Book Antiqua" w:hAnsi="Book Antiqua" w:cs="Times New Roman"/>
          <w:sz w:val="24"/>
          <w:szCs w:val="24"/>
        </w:rPr>
        <w:t xml:space="preserve"> d</w:t>
      </w:r>
      <w:r>
        <w:rPr>
          <w:rFonts w:ascii="Book Antiqua" w:hAnsi="Book Antiqua" w:cs="Times New Roman"/>
          <w:sz w:val="24"/>
          <w:szCs w:val="24"/>
        </w:rPr>
        <w:t>e 1,1 point</w:t>
      </w:r>
      <w:r w:rsidRPr="00BD4B64">
        <w:rPr>
          <w:rFonts w:ascii="Book Antiqua" w:hAnsi="Book Antiqua" w:cs="Times New Roman"/>
          <w:sz w:val="24"/>
          <w:szCs w:val="24"/>
        </w:rPr>
        <w:t xml:space="preserve"> parmi les diplômés, passant de 1</w:t>
      </w:r>
      <w:r>
        <w:rPr>
          <w:rFonts w:ascii="Book Antiqua" w:hAnsi="Book Antiqua" w:cs="Times New Roman"/>
          <w:sz w:val="24"/>
          <w:szCs w:val="24"/>
        </w:rPr>
        <w:t>8</w:t>
      </w:r>
      <w:r w:rsidRPr="00BD4B64">
        <w:rPr>
          <w:rFonts w:ascii="Book Antiqua" w:hAnsi="Book Antiqua" w:cs="Times New Roman"/>
          <w:sz w:val="24"/>
          <w:szCs w:val="24"/>
        </w:rPr>
        <w:t>,6% à 1</w:t>
      </w:r>
      <w:r>
        <w:rPr>
          <w:rFonts w:ascii="Book Antiqua" w:hAnsi="Book Antiqua" w:cs="Times New Roman"/>
          <w:sz w:val="24"/>
          <w:szCs w:val="24"/>
        </w:rPr>
        <w:t>9</w:t>
      </w:r>
      <w:r w:rsidRPr="00BD4B64">
        <w:rPr>
          <w:rFonts w:ascii="Book Antiqua" w:hAnsi="Book Antiqua" w:cs="Times New Roman"/>
          <w:sz w:val="24"/>
          <w:szCs w:val="24"/>
        </w:rPr>
        <w:t>,</w:t>
      </w:r>
      <w:r>
        <w:rPr>
          <w:rFonts w:ascii="Book Antiqua" w:hAnsi="Book Antiqua" w:cs="Times New Roman"/>
          <w:sz w:val="24"/>
          <w:szCs w:val="24"/>
        </w:rPr>
        <w:t>7</w:t>
      </w:r>
      <w:r w:rsidRPr="00BD4B64">
        <w:rPr>
          <w:rFonts w:ascii="Book Antiqua" w:hAnsi="Book Antiqua" w:cs="Times New Roman"/>
          <w:sz w:val="24"/>
          <w:szCs w:val="24"/>
        </w:rPr>
        <w:t>%, et de 0,</w:t>
      </w:r>
      <w:r>
        <w:rPr>
          <w:rFonts w:ascii="Book Antiqua" w:hAnsi="Book Antiqua" w:cs="Times New Roman"/>
          <w:sz w:val="24"/>
          <w:szCs w:val="24"/>
        </w:rPr>
        <w:t>7</w:t>
      </w:r>
      <w:r w:rsidRPr="00BD4B64">
        <w:rPr>
          <w:rFonts w:ascii="Book Antiqua" w:hAnsi="Book Antiqua" w:cs="Times New Roman"/>
          <w:sz w:val="24"/>
          <w:szCs w:val="24"/>
        </w:rPr>
        <w:t xml:space="preserve"> point parmi les personnes </w:t>
      </w:r>
      <w:r>
        <w:rPr>
          <w:rFonts w:ascii="Book Antiqua" w:hAnsi="Book Antiqua" w:cs="Times New Roman"/>
          <w:sz w:val="24"/>
          <w:szCs w:val="24"/>
        </w:rPr>
        <w:t>n’ayant</w:t>
      </w:r>
      <w:r w:rsidR="00687D38">
        <w:rPr>
          <w:rFonts w:ascii="Book Antiqua" w:hAnsi="Book Antiqua" w:cs="Times New Roman"/>
          <w:sz w:val="24"/>
          <w:szCs w:val="24"/>
        </w:rPr>
        <w:t xml:space="preserve"> </w:t>
      </w:r>
      <w:r w:rsidRPr="00BD4B64">
        <w:rPr>
          <w:rFonts w:ascii="Book Antiqua" w:hAnsi="Book Antiqua" w:cs="Times New Roman"/>
          <w:sz w:val="24"/>
          <w:szCs w:val="24"/>
        </w:rPr>
        <w:t>aucun diplôme, passant de 4,</w:t>
      </w:r>
      <w:r>
        <w:rPr>
          <w:rFonts w:ascii="Book Antiqua" w:hAnsi="Book Antiqua" w:cs="Times New Roman"/>
          <w:sz w:val="24"/>
          <w:szCs w:val="24"/>
        </w:rPr>
        <w:t>2</w:t>
      </w:r>
      <w:r w:rsidRPr="00BD4B64">
        <w:rPr>
          <w:rFonts w:ascii="Book Antiqua" w:hAnsi="Book Antiqua" w:cs="Times New Roman"/>
          <w:sz w:val="24"/>
          <w:szCs w:val="24"/>
        </w:rPr>
        <w:t>% à 4,</w:t>
      </w:r>
      <w:r>
        <w:rPr>
          <w:rFonts w:ascii="Book Antiqua" w:hAnsi="Book Antiqua" w:cs="Times New Roman"/>
          <w:sz w:val="24"/>
          <w:szCs w:val="24"/>
        </w:rPr>
        <w:t>9</w:t>
      </w:r>
      <w:r w:rsidRPr="00BD4B64">
        <w:rPr>
          <w:rFonts w:ascii="Book Antiqua" w:hAnsi="Book Antiqua" w:cs="Times New Roman"/>
          <w:sz w:val="24"/>
          <w:szCs w:val="24"/>
        </w:rPr>
        <w:t xml:space="preserve">%. </w:t>
      </w:r>
    </w:p>
    <w:p w:rsidR="00775F52" w:rsidRDefault="00E84CB0" w:rsidP="00031072">
      <w:pPr>
        <w:spacing w:before="240" w:after="240" w:line="312" w:lineRule="auto"/>
        <w:jc w:val="both"/>
        <w:rPr>
          <w:rFonts w:ascii="Book Antiqua" w:hAnsi="Book Antiqua" w:cs="Times New Roman"/>
          <w:sz w:val="24"/>
          <w:szCs w:val="24"/>
        </w:rPr>
      </w:pPr>
      <w:r>
        <w:rPr>
          <w:rFonts w:ascii="Book Antiqua" w:hAnsi="Book Antiqua" w:cs="Times New Roman"/>
          <w:sz w:val="24"/>
          <w:szCs w:val="24"/>
        </w:rPr>
        <w:t>En outre</w:t>
      </w:r>
      <w:r w:rsidR="00775F52" w:rsidRPr="00BD4B64">
        <w:rPr>
          <w:rFonts w:ascii="Book Antiqua" w:hAnsi="Book Antiqua" w:cs="Times New Roman"/>
          <w:sz w:val="24"/>
          <w:szCs w:val="24"/>
        </w:rPr>
        <w:t xml:space="preserve">, </w:t>
      </w:r>
      <w:r>
        <w:rPr>
          <w:rFonts w:ascii="Book Antiqua" w:hAnsi="Book Antiqua" w:cs="Times New Roman"/>
          <w:sz w:val="24"/>
          <w:szCs w:val="24"/>
        </w:rPr>
        <w:t xml:space="preserve">cette hausse </w:t>
      </w:r>
      <w:r w:rsidRPr="00172EDC">
        <w:rPr>
          <w:rFonts w:ascii="Book Antiqua" w:hAnsi="Book Antiqua" w:cs="Times New Roman"/>
          <w:sz w:val="24"/>
          <w:szCs w:val="24"/>
        </w:rPr>
        <w:t>a concerné l’ensemble</w:t>
      </w:r>
      <w:r>
        <w:rPr>
          <w:rFonts w:ascii="Book Antiqua" w:hAnsi="Book Antiqua" w:cs="Times New Roman"/>
          <w:sz w:val="24"/>
          <w:szCs w:val="24"/>
        </w:rPr>
        <w:t xml:space="preserve"> </w:t>
      </w:r>
      <w:r w:rsidRPr="00172EDC">
        <w:rPr>
          <w:rFonts w:ascii="Book Antiqua" w:hAnsi="Book Antiqua" w:cs="Times New Roman"/>
          <w:sz w:val="24"/>
          <w:szCs w:val="24"/>
        </w:rPr>
        <w:t>de</w:t>
      </w:r>
      <w:r>
        <w:rPr>
          <w:rFonts w:ascii="Book Antiqua" w:hAnsi="Book Antiqua" w:cs="Times New Roman"/>
          <w:sz w:val="24"/>
          <w:szCs w:val="24"/>
        </w:rPr>
        <w:t>s catégories d’âge. Ainsi,</w:t>
      </w:r>
      <w:r w:rsidR="00775F52" w:rsidRPr="00BD4B64">
        <w:rPr>
          <w:rFonts w:ascii="Book Antiqua" w:hAnsi="Book Antiqua" w:cs="Times New Roman"/>
          <w:sz w:val="24"/>
          <w:szCs w:val="24"/>
        </w:rPr>
        <w:t xml:space="preserve"> </w:t>
      </w:r>
      <w:r>
        <w:rPr>
          <w:rFonts w:ascii="Book Antiqua" w:hAnsi="Book Antiqua" w:cs="Times New Roman"/>
          <w:sz w:val="24"/>
          <w:szCs w:val="24"/>
        </w:rPr>
        <w:t xml:space="preserve">le taux de chômage est </w:t>
      </w:r>
      <w:r w:rsidRPr="00BD4B64">
        <w:rPr>
          <w:rFonts w:ascii="Book Antiqua" w:hAnsi="Book Antiqua" w:cs="Times New Roman"/>
          <w:sz w:val="24"/>
          <w:szCs w:val="24"/>
        </w:rPr>
        <w:t>pass</w:t>
      </w:r>
      <w:r>
        <w:rPr>
          <w:rFonts w:ascii="Book Antiqua" w:hAnsi="Book Antiqua" w:cs="Times New Roman"/>
          <w:sz w:val="24"/>
          <w:szCs w:val="24"/>
        </w:rPr>
        <w:t>é</w:t>
      </w:r>
      <w:r w:rsidRPr="00BD4B64">
        <w:rPr>
          <w:rFonts w:ascii="Book Antiqua" w:hAnsi="Book Antiqua" w:cs="Times New Roman"/>
          <w:sz w:val="24"/>
          <w:szCs w:val="24"/>
        </w:rPr>
        <w:t xml:space="preserve"> </w:t>
      </w:r>
      <w:r w:rsidR="00775F52" w:rsidRPr="00BD4B64">
        <w:rPr>
          <w:rFonts w:ascii="Book Antiqua" w:hAnsi="Book Antiqua" w:cs="Times New Roman"/>
          <w:sz w:val="24"/>
          <w:szCs w:val="24"/>
        </w:rPr>
        <w:t xml:space="preserve">de </w:t>
      </w:r>
      <w:r w:rsidR="00775F52">
        <w:rPr>
          <w:rFonts w:ascii="Book Antiqua" w:hAnsi="Book Antiqua" w:cs="Times New Roman"/>
          <w:sz w:val="24"/>
          <w:szCs w:val="24"/>
        </w:rPr>
        <w:t>32</w:t>
      </w:r>
      <w:r w:rsidR="00775F52" w:rsidRPr="00BD4B64">
        <w:rPr>
          <w:rFonts w:ascii="Book Antiqua" w:hAnsi="Book Antiqua" w:cs="Times New Roman"/>
          <w:sz w:val="24"/>
          <w:szCs w:val="24"/>
        </w:rPr>
        <w:t>,</w:t>
      </w:r>
      <w:r w:rsidR="00775F52">
        <w:rPr>
          <w:rFonts w:ascii="Book Antiqua" w:hAnsi="Book Antiqua" w:cs="Times New Roman"/>
          <w:sz w:val="24"/>
          <w:szCs w:val="24"/>
        </w:rPr>
        <w:t>7</w:t>
      </w:r>
      <w:r w:rsidR="00775F52" w:rsidRPr="00BD4B64">
        <w:rPr>
          <w:rFonts w:ascii="Book Antiqua" w:hAnsi="Book Antiqua" w:cs="Times New Roman"/>
          <w:sz w:val="24"/>
          <w:szCs w:val="24"/>
        </w:rPr>
        <w:t>% à 3</w:t>
      </w:r>
      <w:r w:rsidR="00775F52">
        <w:rPr>
          <w:rFonts w:ascii="Book Antiqua" w:hAnsi="Book Antiqua" w:cs="Times New Roman"/>
          <w:sz w:val="24"/>
          <w:szCs w:val="24"/>
        </w:rPr>
        <w:t>5</w:t>
      </w:r>
      <w:r w:rsidR="00775F52" w:rsidRPr="00BD4B64">
        <w:rPr>
          <w:rFonts w:ascii="Book Antiqua" w:hAnsi="Book Antiqua" w:cs="Times New Roman"/>
          <w:sz w:val="24"/>
          <w:szCs w:val="24"/>
        </w:rPr>
        <w:t>,</w:t>
      </w:r>
      <w:r w:rsidR="00775F52">
        <w:rPr>
          <w:rFonts w:ascii="Book Antiqua" w:hAnsi="Book Antiqua" w:cs="Times New Roman"/>
          <w:sz w:val="24"/>
          <w:szCs w:val="24"/>
        </w:rPr>
        <w:t>8</w:t>
      </w:r>
      <w:r w:rsidR="00775F52" w:rsidRPr="00BD4B64">
        <w:rPr>
          <w:rFonts w:ascii="Book Antiqua" w:hAnsi="Book Antiqua" w:cs="Times New Roman"/>
          <w:sz w:val="24"/>
          <w:szCs w:val="24"/>
        </w:rPr>
        <w:t>%</w:t>
      </w:r>
      <w:r w:rsidR="00775F52">
        <w:rPr>
          <w:rFonts w:ascii="Book Antiqua" w:hAnsi="Book Antiqua" w:cs="Times New Roman"/>
          <w:sz w:val="24"/>
          <w:szCs w:val="24"/>
        </w:rPr>
        <w:t xml:space="preserve"> (+3</w:t>
      </w:r>
      <w:r w:rsidR="00775F52" w:rsidRPr="00BD4B64">
        <w:rPr>
          <w:rFonts w:ascii="Book Antiqua" w:hAnsi="Book Antiqua" w:cs="Times New Roman"/>
          <w:sz w:val="24"/>
          <w:szCs w:val="24"/>
        </w:rPr>
        <w:t>,</w:t>
      </w:r>
      <w:r w:rsidR="0005104E">
        <w:rPr>
          <w:rFonts w:ascii="Book Antiqua" w:hAnsi="Book Antiqua" w:cs="Times New Roman"/>
          <w:sz w:val="24"/>
          <w:szCs w:val="24"/>
        </w:rPr>
        <w:t>1</w:t>
      </w:r>
      <w:r w:rsidR="00775F52">
        <w:rPr>
          <w:rFonts w:ascii="Book Antiqua" w:hAnsi="Book Antiqua" w:cs="Times New Roman"/>
          <w:sz w:val="24"/>
          <w:szCs w:val="24"/>
        </w:rPr>
        <w:t xml:space="preserve"> point</w:t>
      </w:r>
      <w:r w:rsidR="0005104E">
        <w:rPr>
          <w:rFonts w:ascii="Book Antiqua" w:hAnsi="Book Antiqua" w:cs="Times New Roman"/>
          <w:sz w:val="24"/>
          <w:szCs w:val="24"/>
        </w:rPr>
        <w:t>s</w:t>
      </w:r>
      <w:r w:rsidR="00775F52">
        <w:rPr>
          <w:rFonts w:ascii="Book Antiqua" w:hAnsi="Book Antiqua" w:cs="Times New Roman"/>
          <w:sz w:val="24"/>
          <w:szCs w:val="24"/>
        </w:rPr>
        <w:t>)</w:t>
      </w:r>
      <w:r>
        <w:rPr>
          <w:rFonts w:ascii="Book Antiqua" w:hAnsi="Book Antiqua" w:cs="Times New Roman"/>
          <w:sz w:val="24"/>
          <w:szCs w:val="24"/>
        </w:rPr>
        <w:t xml:space="preserve"> </w:t>
      </w:r>
      <w:r w:rsidR="00775F52">
        <w:rPr>
          <w:rFonts w:ascii="Book Antiqua" w:hAnsi="Book Antiqua" w:cs="Times New Roman"/>
          <w:sz w:val="24"/>
          <w:szCs w:val="24"/>
        </w:rPr>
        <w:t xml:space="preserve">parmi </w:t>
      </w:r>
      <w:r w:rsidR="00775F52" w:rsidRPr="00BD4B64">
        <w:rPr>
          <w:rFonts w:ascii="Book Antiqua" w:hAnsi="Book Antiqua" w:cs="Times New Roman"/>
          <w:sz w:val="24"/>
          <w:szCs w:val="24"/>
        </w:rPr>
        <w:t>les jeunes âgés de 15 à 24 ans</w:t>
      </w:r>
      <w:r w:rsidR="00775F52">
        <w:rPr>
          <w:rFonts w:ascii="Book Antiqua" w:hAnsi="Book Antiqua" w:cs="Times New Roman"/>
          <w:sz w:val="24"/>
          <w:szCs w:val="24"/>
        </w:rPr>
        <w:t>,</w:t>
      </w:r>
      <w:r w:rsidR="00687D38">
        <w:rPr>
          <w:rFonts w:ascii="Book Antiqua" w:hAnsi="Book Antiqua" w:cs="Times New Roman"/>
          <w:sz w:val="24"/>
          <w:szCs w:val="24"/>
        </w:rPr>
        <w:t xml:space="preserve"> </w:t>
      </w:r>
      <w:r w:rsidR="00775F52">
        <w:rPr>
          <w:rFonts w:ascii="Book Antiqua" w:hAnsi="Book Antiqua" w:cs="Times New Roman"/>
          <w:sz w:val="24"/>
          <w:szCs w:val="24"/>
        </w:rPr>
        <w:t>de</w:t>
      </w:r>
      <w:r w:rsidR="00842F44">
        <w:rPr>
          <w:rFonts w:ascii="Book Antiqua" w:hAnsi="Book Antiqua" w:cs="Times New Roman"/>
          <w:sz w:val="24"/>
          <w:szCs w:val="24"/>
        </w:rPr>
        <w:t xml:space="preserve"> </w:t>
      </w:r>
      <w:r w:rsidR="00775F52" w:rsidRPr="00BD4B64">
        <w:rPr>
          <w:rFonts w:ascii="Book Antiqua" w:hAnsi="Book Antiqua" w:cs="Times New Roman"/>
          <w:sz w:val="24"/>
          <w:szCs w:val="24"/>
        </w:rPr>
        <w:t>19,</w:t>
      </w:r>
      <w:r w:rsidR="00775F52">
        <w:rPr>
          <w:rFonts w:ascii="Book Antiqua" w:hAnsi="Book Antiqua" w:cs="Times New Roman"/>
          <w:sz w:val="24"/>
          <w:szCs w:val="24"/>
        </w:rPr>
        <w:t>2</w:t>
      </w:r>
      <w:r w:rsidR="00775F52" w:rsidRPr="00BD4B64">
        <w:rPr>
          <w:rFonts w:ascii="Book Antiqua" w:hAnsi="Book Antiqua" w:cs="Times New Roman"/>
          <w:sz w:val="24"/>
          <w:szCs w:val="24"/>
        </w:rPr>
        <w:t xml:space="preserve">% à </w:t>
      </w:r>
      <w:r w:rsidR="00775F52">
        <w:rPr>
          <w:rFonts w:ascii="Book Antiqua" w:hAnsi="Book Antiqua" w:cs="Times New Roman"/>
          <w:sz w:val="24"/>
          <w:szCs w:val="24"/>
        </w:rPr>
        <w:t>20</w:t>
      </w:r>
      <w:r w:rsidR="00775F52" w:rsidRPr="00BD4B64">
        <w:rPr>
          <w:rFonts w:ascii="Book Antiqua" w:hAnsi="Book Antiqua" w:cs="Times New Roman"/>
          <w:sz w:val="24"/>
          <w:szCs w:val="24"/>
        </w:rPr>
        <w:t>,</w:t>
      </w:r>
      <w:r w:rsidR="00775F52">
        <w:rPr>
          <w:rFonts w:ascii="Book Antiqua" w:hAnsi="Book Antiqua" w:cs="Times New Roman"/>
          <w:sz w:val="24"/>
          <w:szCs w:val="24"/>
        </w:rPr>
        <w:t>6</w:t>
      </w:r>
      <w:r w:rsidR="00775F52" w:rsidRPr="00BD4B64">
        <w:rPr>
          <w:rFonts w:ascii="Book Antiqua" w:hAnsi="Book Antiqua" w:cs="Times New Roman"/>
          <w:sz w:val="24"/>
          <w:szCs w:val="24"/>
        </w:rPr>
        <w:t>%</w:t>
      </w:r>
      <w:r w:rsidR="004E321B">
        <w:rPr>
          <w:rFonts w:ascii="Book Antiqua" w:hAnsi="Book Antiqua" w:cs="Times New Roman"/>
          <w:sz w:val="24"/>
          <w:szCs w:val="24"/>
        </w:rPr>
        <w:t xml:space="preserve"> </w:t>
      </w:r>
      <w:r w:rsidR="00775F52">
        <w:rPr>
          <w:rFonts w:ascii="Book Antiqua" w:hAnsi="Book Antiqua" w:cs="Times New Roman"/>
          <w:sz w:val="24"/>
          <w:szCs w:val="24"/>
        </w:rPr>
        <w:t>(+1</w:t>
      </w:r>
      <w:r w:rsidR="00775F52" w:rsidRPr="00BD4B64">
        <w:rPr>
          <w:rFonts w:ascii="Book Antiqua" w:hAnsi="Book Antiqua" w:cs="Times New Roman"/>
          <w:sz w:val="24"/>
          <w:szCs w:val="24"/>
        </w:rPr>
        <w:t>,4 point</w:t>
      </w:r>
      <w:r w:rsidR="00775F52">
        <w:rPr>
          <w:rFonts w:ascii="Book Antiqua" w:hAnsi="Book Antiqua" w:cs="Times New Roman"/>
          <w:sz w:val="24"/>
          <w:szCs w:val="24"/>
        </w:rPr>
        <w:t>)</w:t>
      </w:r>
      <w:r w:rsidR="00687D38">
        <w:rPr>
          <w:rFonts w:ascii="Book Antiqua" w:hAnsi="Book Antiqua" w:cs="Times New Roman"/>
          <w:sz w:val="24"/>
          <w:szCs w:val="24"/>
        </w:rPr>
        <w:t xml:space="preserve"> </w:t>
      </w:r>
      <w:r w:rsidR="00775F52" w:rsidRPr="00BD4B64">
        <w:rPr>
          <w:rFonts w:ascii="Book Antiqua" w:hAnsi="Book Antiqua" w:cs="Times New Roman"/>
          <w:sz w:val="24"/>
          <w:szCs w:val="24"/>
        </w:rPr>
        <w:t>pour les personnes âgées de 25 à 34 ans</w:t>
      </w:r>
      <w:r w:rsidR="00775F52">
        <w:rPr>
          <w:rFonts w:ascii="Book Antiqua" w:hAnsi="Book Antiqua" w:cs="Times New Roman"/>
          <w:sz w:val="24"/>
          <w:szCs w:val="24"/>
        </w:rPr>
        <w:t>, de 6,4% à 7,4% (1 point) pour celles de 3</w:t>
      </w:r>
      <w:r w:rsidR="00775F52" w:rsidRPr="00BD4B64">
        <w:rPr>
          <w:rFonts w:ascii="Book Antiqua" w:hAnsi="Book Antiqua" w:cs="Times New Roman"/>
          <w:sz w:val="24"/>
          <w:szCs w:val="24"/>
        </w:rPr>
        <w:t>5 à</w:t>
      </w:r>
      <w:r w:rsidR="00775F52">
        <w:rPr>
          <w:rFonts w:ascii="Book Antiqua" w:hAnsi="Book Antiqua" w:cs="Times New Roman"/>
          <w:sz w:val="24"/>
          <w:szCs w:val="24"/>
        </w:rPr>
        <w:t xml:space="preserve"> 4</w:t>
      </w:r>
      <w:r w:rsidR="00775F52" w:rsidRPr="00BD4B64">
        <w:rPr>
          <w:rFonts w:ascii="Book Antiqua" w:hAnsi="Book Antiqua" w:cs="Times New Roman"/>
          <w:sz w:val="24"/>
          <w:szCs w:val="24"/>
        </w:rPr>
        <w:t>4 ans</w:t>
      </w:r>
      <w:r w:rsidR="00775F52">
        <w:rPr>
          <w:rFonts w:ascii="Book Antiqua" w:hAnsi="Book Antiqua" w:cs="Times New Roman"/>
          <w:sz w:val="24"/>
          <w:szCs w:val="24"/>
        </w:rPr>
        <w:t xml:space="preserve">, et de 3,3% à 3,7% </w:t>
      </w:r>
      <w:r w:rsidR="00775F52" w:rsidRPr="00BD4B64">
        <w:rPr>
          <w:rFonts w:ascii="Book Antiqua" w:hAnsi="Book Antiqua" w:cs="Times New Roman"/>
          <w:sz w:val="24"/>
          <w:szCs w:val="24"/>
        </w:rPr>
        <w:t xml:space="preserve">pour </w:t>
      </w:r>
      <w:r w:rsidR="00775F52">
        <w:rPr>
          <w:rFonts w:ascii="Book Antiqua" w:hAnsi="Book Antiqua" w:cs="Times New Roman"/>
          <w:sz w:val="24"/>
          <w:szCs w:val="24"/>
        </w:rPr>
        <w:t>celles</w:t>
      </w:r>
      <w:r w:rsidR="00775F52" w:rsidRPr="00BD4B64">
        <w:rPr>
          <w:rFonts w:ascii="Book Antiqua" w:hAnsi="Book Antiqua" w:cs="Times New Roman"/>
          <w:sz w:val="24"/>
          <w:szCs w:val="24"/>
        </w:rPr>
        <w:t xml:space="preserve"> de </w:t>
      </w:r>
      <w:r w:rsidR="00775F52">
        <w:rPr>
          <w:rFonts w:ascii="Book Antiqua" w:hAnsi="Book Antiqua" w:cs="Times New Roman"/>
          <w:sz w:val="24"/>
          <w:szCs w:val="24"/>
        </w:rPr>
        <w:t>4</w:t>
      </w:r>
      <w:r w:rsidR="00775F52" w:rsidRPr="00BD4B64">
        <w:rPr>
          <w:rFonts w:ascii="Book Antiqua" w:hAnsi="Book Antiqua" w:cs="Times New Roman"/>
          <w:sz w:val="24"/>
          <w:szCs w:val="24"/>
        </w:rPr>
        <w:t xml:space="preserve">5 </w:t>
      </w:r>
      <w:r w:rsidR="00775F52">
        <w:rPr>
          <w:rFonts w:ascii="Book Antiqua" w:hAnsi="Book Antiqua" w:cs="Times New Roman"/>
          <w:sz w:val="24"/>
          <w:szCs w:val="24"/>
        </w:rPr>
        <w:t>a</w:t>
      </w:r>
      <w:r w:rsidR="00775F52" w:rsidRPr="00BD4B64">
        <w:rPr>
          <w:rFonts w:ascii="Book Antiqua" w:hAnsi="Book Antiqua" w:cs="Times New Roman"/>
          <w:sz w:val="24"/>
          <w:szCs w:val="24"/>
        </w:rPr>
        <w:t>ns</w:t>
      </w:r>
      <w:r w:rsidR="00775F52">
        <w:rPr>
          <w:rFonts w:ascii="Book Antiqua" w:hAnsi="Book Antiqua" w:cs="Times New Roman"/>
          <w:sz w:val="24"/>
          <w:szCs w:val="24"/>
        </w:rPr>
        <w:t xml:space="preserve"> et plus (+0,</w:t>
      </w:r>
      <w:r w:rsidR="00031072">
        <w:rPr>
          <w:rFonts w:ascii="Book Antiqua" w:hAnsi="Book Antiqua" w:cs="Times New Roman"/>
          <w:sz w:val="24"/>
          <w:szCs w:val="24"/>
        </w:rPr>
        <w:t xml:space="preserve">4 </w:t>
      </w:r>
      <w:r w:rsidR="00775F52">
        <w:rPr>
          <w:rFonts w:ascii="Book Antiqua" w:hAnsi="Book Antiqua" w:cs="Times New Roman"/>
          <w:sz w:val="24"/>
          <w:szCs w:val="24"/>
        </w:rPr>
        <w:t>point)</w:t>
      </w:r>
      <w:r w:rsidR="00775F52" w:rsidRPr="00BD4B64">
        <w:rPr>
          <w:rFonts w:ascii="Book Antiqua" w:hAnsi="Book Antiqua" w:cs="Times New Roman"/>
          <w:sz w:val="24"/>
          <w:szCs w:val="24"/>
        </w:rPr>
        <w:t>.</w:t>
      </w:r>
      <w:bookmarkStart w:id="3" w:name="_Hlk94175903"/>
    </w:p>
    <w:p w:rsidR="00842F44" w:rsidRDefault="00842F44">
      <w:pPr>
        <w:spacing w:after="160" w:line="259" w:lineRule="auto"/>
        <w:rPr>
          <w:rFonts w:ascii="Book Antiqua" w:eastAsia="Book Antiqua" w:hAnsi="Book Antiqua" w:cs="Book Antiqua"/>
          <w:b/>
          <w:color w:val="0D0D0D" w:themeColor="text1" w:themeTint="F2"/>
          <w:sz w:val="20"/>
          <w:szCs w:val="20"/>
        </w:rPr>
      </w:pPr>
      <w:r>
        <w:rPr>
          <w:rFonts w:ascii="Book Antiqua" w:eastAsia="Book Antiqua" w:hAnsi="Book Antiqua" w:cs="Book Antiqua"/>
          <w:b/>
          <w:color w:val="0D0D0D" w:themeColor="text1" w:themeTint="F2"/>
          <w:sz w:val="20"/>
          <w:szCs w:val="20"/>
        </w:rPr>
        <w:br w:type="page"/>
      </w:r>
    </w:p>
    <w:p w:rsidR="00775F52" w:rsidRPr="00D16FA7" w:rsidRDefault="00775F52" w:rsidP="0005104E">
      <w:pPr>
        <w:spacing w:before="240" w:after="240" w:line="312" w:lineRule="auto"/>
        <w:jc w:val="center"/>
        <w:rPr>
          <w:rFonts w:ascii="Book Antiqua" w:hAnsi="Book Antiqua" w:cs="Times New Roman"/>
          <w:sz w:val="24"/>
          <w:szCs w:val="24"/>
        </w:rPr>
      </w:pPr>
      <w:r w:rsidRPr="00BD4B64">
        <w:rPr>
          <w:rFonts w:ascii="Book Antiqua" w:eastAsia="Book Antiqua" w:hAnsi="Book Antiqua" w:cs="Book Antiqua"/>
          <w:b/>
          <w:color w:val="0D0D0D" w:themeColor="text1" w:themeTint="F2"/>
          <w:sz w:val="20"/>
          <w:szCs w:val="20"/>
        </w:rPr>
        <w:lastRenderedPageBreak/>
        <w:t>Graphique 6</w:t>
      </w:r>
      <w:r w:rsidR="00000FE3">
        <w:rPr>
          <w:rFonts w:ascii="Book Antiqua" w:eastAsia="Book Antiqua" w:hAnsi="Book Antiqua" w:cs="Book Antiqua"/>
          <w:b/>
          <w:color w:val="0D0D0D" w:themeColor="text1" w:themeTint="F2"/>
          <w:sz w:val="20"/>
          <w:szCs w:val="20"/>
        </w:rPr>
        <w:t xml:space="preserve"> </w:t>
      </w:r>
      <w:r w:rsidRPr="00BD4B64">
        <w:rPr>
          <w:rFonts w:ascii="Book Antiqua" w:eastAsia="Book Antiqua" w:hAnsi="Book Antiqua" w:cs="Book Antiqua"/>
          <w:b/>
          <w:color w:val="0D0D0D" w:themeColor="text1" w:themeTint="F2"/>
          <w:sz w:val="20"/>
          <w:szCs w:val="20"/>
        </w:rPr>
        <w:t>: Evolution du taux de chômage entre 202</w:t>
      </w:r>
      <w:r>
        <w:rPr>
          <w:rFonts w:ascii="Book Antiqua" w:eastAsia="Book Antiqua" w:hAnsi="Book Antiqua" w:cs="Book Antiqua"/>
          <w:b/>
          <w:color w:val="0D0D0D" w:themeColor="text1" w:themeTint="F2"/>
          <w:sz w:val="20"/>
          <w:szCs w:val="20"/>
        </w:rPr>
        <w:t>2</w:t>
      </w:r>
      <w:r w:rsidRPr="00BD4B64">
        <w:rPr>
          <w:rFonts w:ascii="Book Antiqua" w:eastAsia="Book Antiqua" w:hAnsi="Book Antiqua" w:cs="Book Antiqua"/>
          <w:b/>
          <w:color w:val="0D0D0D" w:themeColor="text1" w:themeTint="F2"/>
          <w:sz w:val="20"/>
          <w:szCs w:val="20"/>
        </w:rPr>
        <w:t xml:space="preserve"> et 202</w:t>
      </w:r>
      <w:r>
        <w:rPr>
          <w:rFonts w:ascii="Book Antiqua" w:eastAsia="Book Antiqua" w:hAnsi="Book Antiqua" w:cs="Book Antiqua"/>
          <w:b/>
          <w:color w:val="0D0D0D" w:themeColor="text1" w:themeTint="F2"/>
          <w:sz w:val="20"/>
          <w:szCs w:val="20"/>
        </w:rPr>
        <w:t>3</w:t>
      </w:r>
      <w:r w:rsidRPr="00BD4B64">
        <w:rPr>
          <w:rFonts w:ascii="Book Antiqua" w:eastAsia="Book Antiqua" w:hAnsi="Book Antiqua" w:cs="Book Antiqua"/>
          <w:b/>
          <w:color w:val="0D0D0D" w:themeColor="text1" w:themeTint="F2"/>
          <w:sz w:val="20"/>
          <w:szCs w:val="20"/>
        </w:rPr>
        <w:t xml:space="preserve"> pour certaines catégories de la population (en %)</w:t>
      </w:r>
    </w:p>
    <w:p w:rsidR="00775F52" w:rsidRPr="00BD4B64" w:rsidRDefault="003A0688" w:rsidP="005A7A3C">
      <w:pPr>
        <w:spacing w:before="240" w:after="240" w:line="312" w:lineRule="auto"/>
        <w:jc w:val="center"/>
        <w:rPr>
          <w:rFonts w:ascii="Book Antiqua" w:eastAsia="Book Antiqua" w:hAnsi="Book Antiqua" w:cs="Book Antiqua"/>
          <w:sz w:val="24"/>
          <w:szCs w:val="24"/>
        </w:rPr>
      </w:pPr>
      <w:r w:rsidRPr="0010330E">
        <w:rPr>
          <w:rFonts w:ascii="Book Antiqua" w:hAnsi="Book Antiqua" w:cs="Times New Roman"/>
          <w:noProof/>
          <w:sz w:val="24"/>
          <w:szCs w:val="24"/>
        </w:rPr>
        <w:drawing>
          <wp:inline distT="0" distB="0" distL="0" distR="0">
            <wp:extent cx="5216338" cy="2743200"/>
            <wp:effectExtent l="0" t="0" r="0" b="0"/>
            <wp:docPr id="10"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7D38" w:rsidRDefault="00687D38" w:rsidP="007A431A">
      <w:pPr>
        <w:shd w:val="clear" w:color="auto" w:fill="FFFFFF"/>
        <w:spacing w:line="312" w:lineRule="auto"/>
        <w:jc w:val="both"/>
        <w:rPr>
          <w:rFonts w:ascii="Book Antiqua" w:hAnsi="Book Antiqua" w:cs="Times New Roman"/>
          <w:sz w:val="24"/>
          <w:szCs w:val="24"/>
        </w:rPr>
      </w:pPr>
      <w:r w:rsidRPr="004E321B">
        <w:rPr>
          <w:rFonts w:ascii="Book Antiqua" w:hAnsi="Book Antiqua" w:cs="Times New Roman"/>
          <w:sz w:val="24"/>
          <w:szCs w:val="24"/>
        </w:rPr>
        <w:t>Par ailleurs, au cours de cette période, le chômage a été marqué par la hausse de la proportion des personnes récemment en chômage. La part des personnes en situation de chômage depuis moins d’un an s'est élevée de 31,3% à 33,3%. Ainsi, la durée moyenne de chômage est passée de 33 mois à 32 mois.</w:t>
      </w:r>
      <w:r w:rsidR="004E321B" w:rsidRPr="004E321B">
        <w:rPr>
          <w:rFonts w:ascii="Book Antiqua" w:hAnsi="Book Antiqua" w:cs="Times New Roman"/>
          <w:sz w:val="24"/>
          <w:szCs w:val="24"/>
        </w:rPr>
        <w:t xml:space="preserve"> </w:t>
      </w:r>
    </w:p>
    <w:p w:rsidR="007A431A" w:rsidRPr="004E321B" w:rsidRDefault="007A431A" w:rsidP="007A431A">
      <w:pPr>
        <w:shd w:val="clear" w:color="auto" w:fill="FFFFFF"/>
        <w:spacing w:line="312" w:lineRule="auto"/>
        <w:jc w:val="both"/>
        <w:rPr>
          <w:rFonts w:ascii="Book Antiqua" w:hAnsi="Book Antiqua" w:cs="Times New Roman"/>
          <w:sz w:val="24"/>
          <w:szCs w:val="24"/>
        </w:rPr>
      </w:pPr>
    </w:p>
    <w:p w:rsidR="004E321B" w:rsidRPr="004E321B" w:rsidRDefault="00687D38" w:rsidP="007A431A">
      <w:pPr>
        <w:shd w:val="clear" w:color="auto" w:fill="FFFFFF"/>
        <w:spacing w:line="312" w:lineRule="auto"/>
        <w:jc w:val="both"/>
        <w:rPr>
          <w:rFonts w:ascii="Book Antiqua" w:hAnsi="Book Antiqua" w:cs="Times New Roman"/>
          <w:sz w:val="24"/>
          <w:szCs w:val="24"/>
        </w:rPr>
      </w:pPr>
      <w:r w:rsidRPr="004E321B">
        <w:rPr>
          <w:rFonts w:ascii="Book Antiqua" w:hAnsi="Book Antiqua" w:cs="Times New Roman"/>
          <w:sz w:val="24"/>
          <w:szCs w:val="24"/>
        </w:rPr>
        <w:t xml:space="preserve">D’un autre côté, </w:t>
      </w:r>
      <w:r w:rsidR="0032600B" w:rsidRPr="004E321B">
        <w:rPr>
          <w:rFonts w:ascii="Book Antiqua" w:hAnsi="Book Antiqua" w:cs="Times New Roman"/>
          <w:sz w:val="24"/>
          <w:szCs w:val="24"/>
        </w:rPr>
        <w:t>27,8%</w:t>
      </w:r>
      <w:r w:rsidRPr="004E321B">
        <w:rPr>
          <w:rFonts w:ascii="Book Antiqua" w:hAnsi="Book Antiqua" w:cs="Times New Roman"/>
          <w:sz w:val="24"/>
          <w:szCs w:val="24"/>
        </w:rPr>
        <w:t xml:space="preserve"> des chômeurs se sont retrouvés dans cette situation suite à l’achèvement ou l’arrêt des études </w:t>
      </w:r>
      <w:r w:rsidR="0032600B" w:rsidRPr="004E321B">
        <w:rPr>
          <w:rFonts w:ascii="Book Antiqua" w:hAnsi="Book Antiqua" w:cs="Times New Roman"/>
          <w:sz w:val="24"/>
          <w:szCs w:val="24"/>
        </w:rPr>
        <w:t xml:space="preserve">et 27% suite </w:t>
      </w:r>
      <w:r w:rsidR="0032600B" w:rsidRPr="004E321B">
        <w:rPr>
          <w:rFonts w:ascii="Book Antiqua" w:hAnsi="Book Antiqua"/>
          <w:sz w:val="24"/>
          <w:szCs w:val="24"/>
        </w:rPr>
        <w:t>au licenciement ou à l’arrêt de l’activité de l’établissement</w:t>
      </w:r>
      <w:r w:rsidR="007A431A">
        <w:rPr>
          <w:rFonts w:ascii="Book Antiqua" w:hAnsi="Book Antiqua" w:cs="Times New Roman"/>
          <w:sz w:val="24"/>
          <w:szCs w:val="24"/>
        </w:rPr>
        <w:t>.</w:t>
      </w:r>
    </w:p>
    <w:p w:rsidR="00775F52" w:rsidRPr="00BD4B64" w:rsidRDefault="00775F52" w:rsidP="00775F52">
      <w:pPr>
        <w:spacing w:before="240" w:after="240" w:line="312" w:lineRule="auto"/>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t>Hausse</w:t>
      </w:r>
      <w:r w:rsidRPr="00BD4B64">
        <w:rPr>
          <w:rFonts w:ascii="Book Antiqua" w:eastAsia="Book Antiqua" w:hAnsi="Book Antiqua" w:cs="Book Antiqua"/>
          <w:b/>
          <w:bCs/>
          <w:color w:val="8496B0" w:themeColor="text2" w:themeTint="99"/>
          <w:sz w:val="26"/>
          <w:szCs w:val="26"/>
        </w:rPr>
        <w:t xml:space="preserve"> du sous-emploi</w:t>
      </w:r>
    </w:p>
    <w:bookmarkEnd w:id="3"/>
    <w:p w:rsidR="00775F52" w:rsidRPr="00BD4B64" w:rsidRDefault="00775F52" w:rsidP="00775F52">
      <w:pPr>
        <w:spacing w:before="240" w:after="240" w:line="312" w:lineRule="auto"/>
        <w:jc w:val="both"/>
        <w:rPr>
          <w:rFonts w:ascii="Book Antiqua" w:eastAsia="Book Antiqua" w:hAnsi="Book Antiqua" w:cs="Book Antiqua"/>
          <w:b/>
          <w:color w:val="0D0D0D" w:themeColor="text1" w:themeTint="F2"/>
          <w:sz w:val="20"/>
          <w:szCs w:val="20"/>
        </w:rPr>
      </w:pPr>
      <w:r w:rsidRPr="00BD4B64">
        <w:rPr>
          <w:rFonts w:ascii="Book Antiqua" w:eastAsia="Book Antiqua" w:hAnsi="Book Antiqua" w:cs="Book Antiqua"/>
          <w:sz w:val="24"/>
          <w:szCs w:val="24"/>
        </w:rPr>
        <w:t>Le volume du sous-emploi est passé</w:t>
      </w:r>
      <w:r w:rsidR="00AE64FC">
        <w:rPr>
          <w:rFonts w:ascii="Book Antiqua" w:eastAsia="Book Antiqua" w:hAnsi="Book Antiqua" w:cs="Book Antiqua"/>
          <w:sz w:val="24"/>
          <w:szCs w:val="24"/>
        </w:rPr>
        <w:t xml:space="preserve"> </w:t>
      </w:r>
      <w:r>
        <w:rPr>
          <w:rFonts w:ascii="Book Antiqua" w:eastAsia="Book Antiqua" w:hAnsi="Book Antiqua" w:cs="Book Antiqua"/>
          <w:sz w:val="24"/>
          <w:szCs w:val="24"/>
        </w:rPr>
        <w:t>entre 2022 et 2023</w:t>
      </w:r>
      <w:r w:rsidRPr="00BD4B64">
        <w:rPr>
          <w:rFonts w:ascii="Book Antiqua" w:eastAsia="Book Antiqua" w:hAnsi="Book Antiqua" w:cs="Book Antiqua"/>
          <w:sz w:val="24"/>
          <w:szCs w:val="24"/>
        </w:rPr>
        <w:t xml:space="preserve"> de </w:t>
      </w:r>
      <w:r>
        <w:rPr>
          <w:rFonts w:ascii="Book Antiqua" w:eastAsia="Book Antiqua" w:hAnsi="Book Antiqua" w:cs="Book Antiqua"/>
          <w:sz w:val="24"/>
          <w:szCs w:val="24"/>
        </w:rPr>
        <w:t>972</w:t>
      </w:r>
      <w:r w:rsidRPr="00BD4B64">
        <w:rPr>
          <w:rFonts w:ascii="Book Antiqua" w:eastAsia="Book Antiqua" w:hAnsi="Book Antiqua" w:cs="Book Antiqua"/>
          <w:sz w:val="24"/>
          <w:szCs w:val="24"/>
        </w:rPr>
        <w:t xml:space="preserve">.000 à </w:t>
      </w:r>
      <w:r>
        <w:rPr>
          <w:rFonts w:ascii="Book Antiqua" w:eastAsia="Book Antiqua" w:hAnsi="Book Antiqua" w:cs="Book Antiqua"/>
          <w:sz w:val="24"/>
          <w:szCs w:val="24"/>
        </w:rPr>
        <w:t>1.043</w:t>
      </w:r>
      <w:r w:rsidRPr="00BD4B64">
        <w:rPr>
          <w:rFonts w:ascii="Book Antiqua" w:eastAsia="Book Antiqua" w:hAnsi="Book Antiqua" w:cs="Book Antiqua"/>
          <w:sz w:val="24"/>
          <w:szCs w:val="24"/>
        </w:rPr>
        <w:t>.000 personnes, de 5</w:t>
      </w:r>
      <w:r>
        <w:rPr>
          <w:rFonts w:ascii="Book Antiqua" w:eastAsia="Book Antiqua" w:hAnsi="Book Antiqua" w:cs="Book Antiqua"/>
          <w:sz w:val="24"/>
          <w:szCs w:val="24"/>
        </w:rPr>
        <w:t>2</w:t>
      </w:r>
      <w:r w:rsidRPr="00BD4B64">
        <w:rPr>
          <w:rFonts w:ascii="Book Antiqua" w:eastAsia="Book Antiqua" w:hAnsi="Book Antiqua" w:cs="Book Antiqua"/>
          <w:sz w:val="24"/>
          <w:szCs w:val="24"/>
        </w:rPr>
        <w:t>0.000 à 5</w:t>
      </w:r>
      <w:r>
        <w:rPr>
          <w:rFonts w:ascii="Book Antiqua" w:eastAsia="Book Antiqua" w:hAnsi="Book Antiqua" w:cs="Book Antiqua"/>
          <w:sz w:val="24"/>
          <w:szCs w:val="24"/>
        </w:rPr>
        <w:t>6</w:t>
      </w:r>
      <w:r w:rsidRPr="00BD4B64">
        <w:rPr>
          <w:rFonts w:ascii="Book Antiqua" w:eastAsia="Book Antiqua" w:hAnsi="Book Antiqua" w:cs="Book Antiqua"/>
          <w:sz w:val="24"/>
          <w:szCs w:val="24"/>
        </w:rPr>
        <w:t xml:space="preserve">0.000 </w:t>
      </w:r>
      <w:r>
        <w:rPr>
          <w:rFonts w:ascii="Book Antiqua" w:eastAsia="Book Antiqua" w:hAnsi="Book Antiqua" w:cs="Book Antiqua"/>
          <w:sz w:val="24"/>
          <w:szCs w:val="24"/>
        </w:rPr>
        <w:t>en milieu urbain</w:t>
      </w:r>
      <w:r w:rsidRPr="00BD4B64">
        <w:rPr>
          <w:rFonts w:ascii="Book Antiqua" w:eastAsia="Book Antiqua" w:hAnsi="Book Antiqua" w:cs="Book Antiqua"/>
          <w:sz w:val="24"/>
          <w:szCs w:val="24"/>
        </w:rPr>
        <w:t xml:space="preserve"> et de 45</w:t>
      </w:r>
      <w:r>
        <w:rPr>
          <w:rFonts w:ascii="Book Antiqua" w:eastAsia="Book Antiqua" w:hAnsi="Book Antiqua" w:cs="Book Antiqua"/>
          <w:sz w:val="24"/>
          <w:szCs w:val="24"/>
        </w:rPr>
        <w:t>2</w:t>
      </w:r>
      <w:r w:rsidRPr="00BD4B64">
        <w:rPr>
          <w:rFonts w:ascii="Book Antiqua" w:eastAsia="Book Antiqua" w:hAnsi="Book Antiqua" w:cs="Book Antiqua"/>
          <w:sz w:val="24"/>
          <w:szCs w:val="24"/>
        </w:rPr>
        <w:t>.000 à 4</w:t>
      </w:r>
      <w:r>
        <w:rPr>
          <w:rFonts w:ascii="Book Antiqua" w:eastAsia="Book Antiqua" w:hAnsi="Book Antiqua" w:cs="Book Antiqua"/>
          <w:sz w:val="24"/>
          <w:szCs w:val="24"/>
        </w:rPr>
        <w:t>83</w:t>
      </w:r>
      <w:r w:rsidRPr="00BD4B64">
        <w:rPr>
          <w:rFonts w:ascii="Book Antiqua" w:eastAsia="Book Antiqua" w:hAnsi="Book Antiqua" w:cs="Book Antiqua"/>
          <w:sz w:val="24"/>
          <w:szCs w:val="24"/>
        </w:rPr>
        <w:t>.000</w:t>
      </w:r>
      <w:r>
        <w:rPr>
          <w:rFonts w:ascii="Book Antiqua" w:eastAsia="Book Antiqua" w:hAnsi="Book Antiqua" w:cs="Book Antiqua"/>
          <w:sz w:val="24"/>
          <w:szCs w:val="24"/>
        </w:rPr>
        <w:t xml:space="preserve"> en milieu rural</w:t>
      </w:r>
      <w:r w:rsidRPr="00BD4B64">
        <w:rPr>
          <w:rFonts w:ascii="Book Antiqua" w:eastAsia="Book Antiqua" w:hAnsi="Book Antiqua" w:cs="Book Antiqua"/>
          <w:sz w:val="24"/>
          <w:szCs w:val="24"/>
        </w:rPr>
        <w:t xml:space="preserve">. Le taux de sous-emploi </w:t>
      </w:r>
      <w:r>
        <w:rPr>
          <w:rFonts w:ascii="Book Antiqua" w:eastAsia="Book Antiqua" w:hAnsi="Book Antiqua" w:cs="Book Antiqua"/>
          <w:sz w:val="24"/>
          <w:szCs w:val="24"/>
        </w:rPr>
        <w:t>a</w:t>
      </w:r>
      <w:r w:rsidR="00AE64FC">
        <w:rPr>
          <w:rFonts w:ascii="Book Antiqua" w:eastAsia="Book Antiqua" w:hAnsi="Book Antiqua" w:cs="Book Antiqua"/>
          <w:sz w:val="24"/>
          <w:szCs w:val="24"/>
        </w:rPr>
        <w:t xml:space="preserve"> </w:t>
      </w:r>
      <w:r w:rsidRPr="00BD4B64">
        <w:rPr>
          <w:rFonts w:ascii="Book Antiqua" w:eastAsia="Book Antiqua" w:hAnsi="Book Antiqua" w:cs="Book Antiqua"/>
          <w:sz w:val="24"/>
          <w:szCs w:val="24"/>
        </w:rPr>
        <w:t xml:space="preserve">ainsi </w:t>
      </w:r>
      <w:r>
        <w:rPr>
          <w:rFonts w:ascii="Book Antiqua" w:eastAsia="Book Antiqua" w:hAnsi="Book Antiqua" w:cs="Book Antiqua"/>
          <w:sz w:val="24"/>
          <w:szCs w:val="24"/>
        </w:rPr>
        <w:t>augmenté</w:t>
      </w:r>
      <w:r w:rsidRPr="00BD4B64">
        <w:rPr>
          <w:rFonts w:ascii="Book Antiqua" w:eastAsia="Book Antiqua" w:hAnsi="Book Antiqua" w:cs="Book Antiqua"/>
          <w:sz w:val="24"/>
          <w:szCs w:val="24"/>
        </w:rPr>
        <w:t xml:space="preserve"> de 9,</w:t>
      </w:r>
      <w:r>
        <w:rPr>
          <w:rFonts w:ascii="Book Antiqua" w:eastAsia="Book Antiqua" w:hAnsi="Book Antiqua" w:cs="Book Antiqua"/>
          <w:sz w:val="24"/>
          <w:szCs w:val="24"/>
        </w:rPr>
        <w:t>0</w:t>
      </w:r>
      <w:r w:rsidRPr="00BD4B64">
        <w:rPr>
          <w:rFonts w:ascii="Book Antiqua" w:eastAsia="Book Antiqua" w:hAnsi="Book Antiqua" w:cs="Book Antiqua"/>
          <w:sz w:val="24"/>
          <w:szCs w:val="24"/>
        </w:rPr>
        <w:t>% à 9,</w:t>
      </w:r>
      <w:r>
        <w:rPr>
          <w:rFonts w:ascii="Book Antiqua" w:eastAsia="Book Antiqua" w:hAnsi="Book Antiqua" w:cs="Book Antiqua"/>
          <w:sz w:val="24"/>
          <w:szCs w:val="24"/>
        </w:rPr>
        <w:t>8</w:t>
      </w:r>
      <w:r w:rsidRPr="00BD4B64">
        <w:rPr>
          <w:rFonts w:ascii="Book Antiqua" w:eastAsia="Book Antiqua" w:hAnsi="Book Antiqua" w:cs="Book Antiqua"/>
          <w:sz w:val="24"/>
          <w:szCs w:val="24"/>
        </w:rPr>
        <w:t>% au niveau national, de 8,</w:t>
      </w:r>
      <w:r>
        <w:rPr>
          <w:rFonts w:ascii="Book Antiqua" w:eastAsia="Book Antiqua" w:hAnsi="Book Antiqua" w:cs="Book Antiqua"/>
          <w:sz w:val="24"/>
          <w:szCs w:val="24"/>
        </w:rPr>
        <w:t>1</w:t>
      </w:r>
      <w:r w:rsidRPr="00BD4B64">
        <w:rPr>
          <w:rFonts w:ascii="Book Antiqua" w:eastAsia="Book Antiqua" w:hAnsi="Book Antiqua" w:cs="Book Antiqua"/>
          <w:sz w:val="24"/>
          <w:szCs w:val="24"/>
        </w:rPr>
        <w:t>% à 8,</w:t>
      </w:r>
      <w:r>
        <w:rPr>
          <w:rFonts w:ascii="Book Antiqua" w:eastAsia="Book Antiqua" w:hAnsi="Book Antiqua" w:cs="Book Antiqua"/>
          <w:sz w:val="24"/>
          <w:szCs w:val="24"/>
        </w:rPr>
        <w:t>7</w:t>
      </w:r>
      <w:r w:rsidRPr="00BD4B64">
        <w:rPr>
          <w:rFonts w:ascii="Book Antiqua" w:eastAsia="Book Antiqua" w:hAnsi="Book Antiqua" w:cs="Book Antiqua"/>
          <w:sz w:val="24"/>
          <w:szCs w:val="24"/>
        </w:rPr>
        <w:t>% en milieu urbain et de 10,</w:t>
      </w:r>
      <w:r>
        <w:rPr>
          <w:rFonts w:ascii="Book Antiqua" w:eastAsia="Book Antiqua" w:hAnsi="Book Antiqua" w:cs="Book Antiqua"/>
          <w:sz w:val="24"/>
          <w:szCs w:val="24"/>
        </w:rPr>
        <w:t>4</w:t>
      </w:r>
      <w:r w:rsidRPr="00BD4B64">
        <w:rPr>
          <w:rFonts w:ascii="Book Antiqua" w:eastAsia="Book Antiqua" w:hAnsi="Book Antiqua" w:cs="Book Antiqua"/>
          <w:sz w:val="24"/>
          <w:szCs w:val="24"/>
        </w:rPr>
        <w:t>% à 1</w:t>
      </w:r>
      <w:r>
        <w:rPr>
          <w:rFonts w:ascii="Book Antiqua" w:eastAsia="Book Antiqua" w:hAnsi="Book Antiqua" w:cs="Book Antiqua"/>
          <w:sz w:val="24"/>
          <w:szCs w:val="24"/>
        </w:rPr>
        <w:t>1</w:t>
      </w:r>
      <w:r w:rsidRPr="00BD4B64">
        <w:rPr>
          <w:rFonts w:ascii="Book Antiqua" w:eastAsia="Book Antiqua" w:hAnsi="Book Antiqua" w:cs="Book Antiqua"/>
          <w:sz w:val="24"/>
          <w:szCs w:val="24"/>
        </w:rPr>
        <w:t>,</w:t>
      </w:r>
      <w:r>
        <w:rPr>
          <w:rFonts w:ascii="Book Antiqua" w:eastAsia="Book Antiqua" w:hAnsi="Book Antiqua" w:cs="Book Antiqua"/>
          <w:sz w:val="24"/>
          <w:szCs w:val="24"/>
        </w:rPr>
        <w:t>6</w:t>
      </w:r>
      <w:r w:rsidRPr="00BD4B64">
        <w:rPr>
          <w:rFonts w:ascii="Book Antiqua" w:eastAsia="Book Antiqua" w:hAnsi="Book Antiqua" w:cs="Book Antiqua"/>
          <w:sz w:val="24"/>
          <w:szCs w:val="24"/>
        </w:rPr>
        <w:t>% en milieu rural</w:t>
      </w:r>
      <w:r w:rsidRPr="00BD4B64">
        <w:rPr>
          <w:rFonts w:ascii="Book Antiqua" w:eastAsia="Book Antiqua" w:hAnsi="Book Antiqua" w:cs="Book Antiqua"/>
          <w:b/>
          <w:color w:val="0D0D0D" w:themeColor="text1" w:themeTint="F2"/>
          <w:sz w:val="20"/>
          <w:szCs w:val="20"/>
        </w:rPr>
        <w:t>.</w:t>
      </w:r>
    </w:p>
    <w:p w:rsidR="00775F52" w:rsidRPr="00647465" w:rsidRDefault="00775F52" w:rsidP="0005104E">
      <w:pPr>
        <w:spacing w:after="160" w:line="259" w:lineRule="auto"/>
        <w:jc w:val="center"/>
        <w:rPr>
          <w:rFonts w:ascii="Book Antiqua" w:eastAsia="Book Antiqua" w:hAnsi="Book Antiqua" w:cs="Book Antiqua"/>
          <w:b/>
          <w:color w:val="0D0D0D" w:themeColor="text1" w:themeTint="F2"/>
          <w:sz w:val="20"/>
          <w:szCs w:val="20"/>
        </w:rPr>
      </w:pPr>
      <w:r w:rsidRPr="00BD4B64">
        <w:rPr>
          <w:rFonts w:ascii="Book Antiqua" w:eastAsia="Book Antiqua" w:hAnsi="Book Antiqua" w:cs="Book Antiqua"/>
          <w:b/>
          <w:color w:val="0D0D0D" w:themeColor="text1" w:themeTint="F2"/>
          <w:sz w:val="20"/>
          <w:szCs w:val="20"/>
        </w:rPr>
        <w:t>Graphique 7 : Evolution du taux de sous-emploi entre 202</w:t>
      </w:r>
      <w:r>
        <w:rPr>
          <w:rFonts w:ascii="Book Antiqua" w:eastAsia="Book Antiqua" w:hAnsi="Book Antiqua" w:cs="Book Antiqua"/>
          <w:b/>
          <w:color w:val="0D0D0D" w:themeColor="text1" w:themeTint="F2"/>
          <w:sz w:val="20"/>
          <w:szCs w:val="20"/>
        </w:rPr>
        <w:t>2</w:t>
      </w:r>
      <w:r w:rsidRPr="00BD4B64">
        <w:rPr>
          <w:rFonts w:ascii="Book Antiqua" w:eastAsia="Book Antiqua" w:hAnsi="Book Antiqua" w:cs="Book Antiqua"/>
          <w:b/>
          <w:color w:val="0D0D0D" w:themeColor="text1" w:themeTint="F2"/>
          <w:sz w:val="20"/>
          <w:szCs w:val="20"/>
        </w:rPr>
        <w:t xml:space="preserve"> et 202</w:t>
      </w:r>
      <w:r>
        <w:rPr>
          <w:rFonts w:ascii="Book Antiqua" w:eastAsia="Book Antiqua" w:hAnsi="Book Antiqua" w:cs="Book Antiqua"/>
          <w:b/>
          <w:color w:val="0D0D0D" w:themeColor="text1" w:themeTint="F2"/>
          <w:sz w:val="20"/>
          <w:szCs w:val="20"/>
        </w:rPr>
        <w:t>3</w:t>
      </w:r>
      <w:r w:rsidRPr="00BD4B64">
        <w:rPr>
          <w:rFonts w:ascii="Book Antiqua" w:eastAsia="Book Antiqua" w:hAnsi="Book Antiqua" w:cs="Book Antiqua"/>
          <w:b/>
          <w:color w:val="0D0D0D" w:themeColor="text1" w:themeTint="F2"/>
          <w:sz w:val="20"/>
          <w:szCs w:val="20"/>
        </w:rPr>
        <w:t xml:space="preserve"> par milieu de résidence (en %)</w:t>
      </w:r>
    </w:p>
    <w:p w:rsidR="00775F52" w:rsidRPr="00BD4B64" w:rsidRDefault="00647465" w:rsidP="00775F52">
      <w:pPr>
        <w:jc w:val="center"/>
        <w:rPr>
          <w:rFonts w:ascii="Book Antiqua" w:eastAsia="Book Antiqua" w:hAnsi="Book Antiqua" w:cs="Book Antiqua"/>
          <w:b/>
          <w:color w:val="0D0D0D" w:themeColor="text1" w:themeTint="F2"/>
          <w:sz w:val="20"/>
          <w:szCs w:val="20"/>
        </w:rPr>
      </w:pPr>
      <w:r w:rsidRPr="00647465">
        <w:rPr>
          <w:rFonts w:ascii="Book Antiqua" w:eastAsia="Book Antiqua" w:hAnsi="Book Antiqua" w:cs="Book Antiqua"/>
          <w:b/>
          <w:noProof/>
          <w:color w:val="0D0D0D" w:themeColor="text1" w:themeTint="F2"/>
          <w:sz w:val="20"/>
          <w:szCs w:val="20"/>
        </w:rPr>
        <w:drawing>
          <wp:inline distT="0" distB="0" distL="0" distR="0">
            <wp:extent cx="4666466" cy="1595718"/>
            <wp:effectExtent l="0" t="0" r="0"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19A1" w:rsidRPr="00BD4B64" w:rsidRDefault="006B1AB2" w:rsidP="001119A1">
      <w:pPr>
        <w:pStyle w:val="MMTopic2"/>
        <w:numPr>
          <w:ilvl w:val="0"/>
          <w:numId w:val="0"/>
        </w:numPr>
        <w:spacing w:line="360" w:lineRule="auto"/>
        <w:jc w:val="both"/>
        <w:rPr>
          <w:rFonts w:ascii="Book Antiqua" w:hAnsi="Book Antiqua" w:cstheme="majorHAnsi"/>
          <w:b/>
          <w:bCs/>
          <w:color w:val="1F3864" w:themeColor="accent1" w:themeShade="80"/>
          <w:spacing w:val="-10"/>
          <w:kern w:val="28"/>
          <w:sz w:val="28"/>
          <w:szCs w:val="28"/>
          <w:lang w:val="fr-FR"/>
        </w:rPr>
      </w:pPr>
      <w:r w:rsidRPr="003A0688">
        <w:rPr>
          <w:rFonts w:ascii="Book Antiqua" w:hAnsi="Book Antiqua" w:cstheme="majorHAnsi"/>
          <w:b/>
          <w:bCs/>
          <w:color w:val="1F3864" w:themeColor="accent1" w:themeShade="80"/>
          <w:spacing w:val="-10"/>
          <w:kern w:val="28"/>
          <w:sz w:val="28"/>
          <w:szCs w:val="28"/>
          <w:lang w:val="fr-FR"/>
        </w:rPr>
        <w:lastRenderedPageBreak/>
        <w:t>III. Situation régionale du marché du travail</w:t>
      </w:r>
      <w:r w:rsidR="007A431A">
        <w:rPr>
          <w:rFonts w:ascii="Book Antiqua" w:hAnsi="Book Antiqua" w:cstheme="majorHAnsi"/>
          <w:b/>
          <w:bCs/>
          <w:color w:val="1F3864" w:themeColor="accent1" w:themeShade="80"/>
          <w:spacing w:val="-10"/>
          <w:kern w:val="28"/>
          <w:sz w:val="28"/>
          <w:szCs w:val="28"/>
          <w:lang w:val="fr-FR"/>
        </w:rPr>
        <w:t xml:space="preserve"> en 2023</w:t>
      </w:r>
    </w:p>
    <w:p w:rsidR="004E2812" w:rsidRPr="00904E5B" w:rsidRDefault="001B348C" w:rsidP="00842F44">
      <w:pPr>
        <w:spacing w:before="240" w:line="360" w:lineRule="auto"/>
        <w:jc w:val="both"/>
        <w:rPr>
          <w:rFonts w:ascii="Book Antiqua" w:eastAsiaTheme="minorEastAsia" w:hAnsi="Book Antiqua" w:cs="Times New Roman"/>
          <w:sz w:val="24"/>
          <w:szCs w:val="24"/>
        </w:rPr>
      </w:pPr>
      <w:bookmarkStart w:id="4" w:name="_GoBack"/>
      <w:bookmarkEnd w:id="4"/>
      <w:r w:rsidRPr="00904E5B">
        <w:rPr>
          <w:rFonts w:ascii="Book Antiqua" w:hAnsi="Book Antiqua" w:cs="Times New Roman"/>
          <w:sz w:val="24"/>
          <w:szCs w:val="24"/>
        </w:rPr>
        <w:t>E</w:t>
      </w:r>
      <w:r w:rsidR="003D5DFD" w:rsidRPr="00904E5B">
        <w:rPr>
          <w:rFonts w:ascii="Book Antiqua" w:hAnsi="Book Antiqua" w:cs="Times New Roman"/>
          <w:sz w:val="24"/>
          <w:szCs w:val="24"/>
        </w:rPr>
        <w:t>n 2023</w:t>
      </w:r>
      <w:r w:rsidRPr="00904E5B">
        <w:rPr>
          <w:rFonts w:ascii="Book Antiqua" w:hAnsi="Book Antiqua" w:cs="Times New Roman"/>
          <w:sz w:val="24"/>
          <w:szCs w:val="24"/>
        </w:rPr>
        <w:t xml:space="preserve">, </w:t>
      </w:r>
      <w:r w:rsidR="00842F44">
        <w:rPr>
          <w:rFonts w:ascii="Book Antiqua" w:hAnsi="Book Antiqua" w:cs="Times New Roman"/>
          <w:sz w:val="24"/>
          <w:szCs w:val="24"/>
        </w:rPr>
        <w:t>cinq</w:t>
      </w:r>
      <w:r w:rsidR="004E2812" w:rsidRPr="00904E5B">
        <w:rPr>
          <w:rFonts w:ascii="Book Antiqua" w:hAnsi="Book Antiqua" w:cs="Times New Roman"/>
          <w:sz w:val="24"/>
          <w:szCs w:val="24"/>
        </w:rPr>
        <w:t xml:space="preserve"> régions abritent 72</w:t>
      </w:r>
      <w:r w:rsidR="00354DEB" w:rsidRPr="00904E5B">
        <w:rPr>
          <w:rFonts w:ascii="Book Antiqua" w:hAnsi="Book Antiqua" w:cs="Times New Roman"/>
          <w:sz w:val="24"/>
          <w:szCs w:val="24"/>
        </w:rPr>
        <w:t>,6</w:t>
      </w:r>
      <w:r w:rsidR="004E2812" w:rsidRPr="00904E5B">
        <w:rPr>
          <w:rFonts w:ascii="Book Antiqua" w:hAnsi="Book Antiqua" w:cs="Times New Roman"/>
          <w:sz w:val="24"/>
          <w:szCs w:val="24"/>
        </w:rPr>
        <w:t>% de l’ensemble des actifs âgés de 15 ans et plus. La région de Casablanca-Settat vient en première position avec 22,</w:t>
      </w:r>
      <w:r w:rsidR="007C2335" w:rsidRPr="00904E5B">
        <w:rPr>
          <w:rFonts w:ascii="Book Antiqua" w:hAnsi="Book Antiqua" w:cs="Times New Roman"/>
          <w:sz w:val="24"/>
          <w:szCs w:val="24"/>
        </w:rPr>
        <w:t>4</w:t>
      </w:r>
      <w:r w:rsidR="004E2812" w:rsidRPr="00904E5B">
        <w:rPr>
          <w:rFonts w:ascii="Book Antiqua" w:hAnsi="Book Antiqua" w:cs="Times New Roman"/>
          <w:sz w:val="24"/>
          <w:szCs w:val="24"/>
        </w:rPr>
        <w:t>%, suivie de Rabat-Salé-Kénitra (13,</w:t>
      </w:r>
      <w:r w:rsidR="007C2335" w:rsidRPr="00904E5B">
        <w:rPr>
          <w:rFonts w:ascii="Book Antiqua" w:hAnsi="Book Antiqua" w:cs="Times New Roman"/>
          <w:sz w:val="24"/>
          <w:szCs w:val="24"/>
        </w:rPr>
        <w:t>8%), de Marrakech-Safi (13</w:t>
      </w:r>
      <w:r w:rsidR="004E2812" w:rsidRPr="00904E5B">
        <w:rPr>
          <w:rFonts w:ascii="Book Antiqua" w:hAnsi="Book Antiqua" w:cs="Times New Roman"/>
          <w:sz w:val="24"/>
          <w:szCs w:val="24"/>
        </w:rPr>
        <w:t>%), de Tanger-Tétouan-Al Hoceima (1</w:t>
      </w:r>
      <w:r w:rsidR="007C2335" w:rsidRPr="00904E5B">
        <w:rPr>
          <w:rFonts w:ascii="Book Antiqua" w:hAnsi="Book Antiqua" w:cs="Times New Roman"/>
          <w:sz w:val="24"/>
          <w:szCs w:val="24"/>
        </w:rPr>
        <w:t>1,8</w:t>
      </w:r>
      <w:r w:rsidR="004E2812" w:rsidRPr="00904E5B">
        <w:rPr>
          <w:rFonts w:ascii="Book Antiqua" w:hAnsi="Book Antiqua" w:cs="Times New Roman"/>
          <w:sz w:val="24"/>
          <w:szCs w:val="24"/>
        </w:rPr>
        <w:t>%) et de Fès-Meknès (11,</w:t>
      </w:r>
      <w:r w:rsidR="00354DEB" w:rsidRPr="00904E5B">
        <w:rPr>
          <w:rFonts w:ascii="Book Antiqua" w:hAnsi="Book Antiqua" w:cs="Times New Roman"/>
          <w:sz w:val="24"/>
          <w:szCs w:val="24"/>
        </w:rPr>
        <w:t>6</w:t>
      </w:r>
      <w:r w:rsidR="004E2812" w:rsidRPr="00904E5B">
        <w:rPr>
          <w:rFonts w:ascii="Book Antiqua" w:hAnsi="Book Antiqua" w:cs="Times New Roman"/>
          <w:sz w:val="24"/>
          <w:szCs w:val="24"/>
        </w:rPr>
        <w:t>%).</w:t>
      </w:r>
    </w:p>
    <w:p w:rsidR="004E2812" w:rsidRPr="00BD4B64" w:rsidRDefault="00C31661" w:rsidP="004903AF">
      <w:pPr>
        <w:spacing w:line="360" w:lineRule="auto"/>
        <w:jc w:val="both"/>
        <w:rPr>
          <w:rFonts w:ascii="Book Antiqua" w:hAnsi="Book Antiqua" w:cs="Times New Roman"/>
          <w:sz w:val="24"/>
          <w:szCs w:val="24"/>
        </w:rPr>
      </w:pPr>
      <w:r w:rsidRPr="00904E5B">
        <w:rPr>
          <w:rFonts w:ascii="Book Antiqua" w:hAnsi="Book Antiqua" w:cs="Times New Roman"/>
          <w:sz w:val="24"/>
          <w:szCs w:val="24"/>
        </w:rPr>
        <w:t>Cinq</w:t>
      </w:r>
      <w:r w:rsidR="004E2812" w:rsidRPr="00904E5B">
        <w:rPr>
          <w:rFonts w:ascii="Book Antiqua" w:hAnsi="Book Antiqua" w:cs="Times New Roman"/>
          <w:sz w:val="24"/>
          <w:szCs w:val="24"/>
        </w:rPr>
        <w:t xml:space="preserve"> régions enregistrent des taux d’activité supérieurs à la moyenne nationale (43</w:t>
      </w:r>
      <w:r w:rsidR="00EF2D0E" w:rsidRPr="00904E5B">
        <w:rPr>
          <w:rFonts w:ascii="Book Antiqua" w:hAnsi="Book Antiqua" w:cs="Times New Roman"/>
          <w:sz w:val="24"/>
          <w:szCs w:val="24"/>
        </w:rPr>
        <w:t>,6</w:t>
      </w:r>
      <w:r w:rsidR="004E2812" w:rsidRPr="00904E5B">
        <w:rPr>
          <w:rFonts w:ascii="Book Antiqua" w:hAnsi="Book Antiqua" w:cs="Times New Roman"/>
          <w:sz w:val="24"/>
          <w:szCs w:val="24"/>
        </w:rPr>
        <w:t xml:space="preserve">%). Il s’agit </w:t>
      </w:r>
      <w:r w:rsidR="00BF58E1" w:rsidRPr="00904E5B">
        <w:rPr>
          <w:rFonts w:ascii="Book Antiqua" w:hAnsi="Book Antiqua" w:cs="Times New Roman"/>
          <w:sz w:val="24"/>
          <w:szCs w:val="24"/>
        </w:rPr>
        <w:t>des</w:t>
      </w:r>
      <w:r w:rsidR="007D2FFA" w:rsidRPr="00904E5B">
        <w:rPr>
          <w:rFonts w:ascii="Book Antiqua" w:hAnsi="Book Antiqua" w:cs="Times New Roman"/>
          <w:sz w:val="24"/>
          <w:szCs w:val="24"/>
        </w:rPr>
        <w:t xml:space="preserve"> régions de </w:t>
      </w:r>
      <w:r w:rsidR="004E2812" w:rsidRPr="00904E5B">
        <w:rPr>
          <w:rFonts w:ascii="Book Antiqua" w:hAnsi="Book Antiqua" w:cs="Times New Roman"/>
          <w:sz w:val="24"/>
          <w:szCs w:val="24"/>
        </w:rPr>
        <w:t>Tanger-Tétouan-Al Hoceima (</w:t>
      </w:r>
      <w:r w:rsidRPr="00904E5B">
        <w:rPr>
          <w:rFonts w:ascii="Book Antiqua" w:hAnsi="Book Antiqua" w:cs="Times New Roman"/>
          <w:sz w:val="24"/>
          <w:szCs w:val="24"/>
        </w:rPr>
        <w:t>48,7</w:t>
      </w:r>
      <w:r w:rsidR="004E2812" w:rsidRPr="00904E5B">
        <w:rPr>
          <w:rFonts w:ascii="Book Antiqua" w:hAnsi="Book Antiqua" w:cs="Times New Roman"/>
          <w:sz w:val="24"/>
          <w:szCs w:val="24"/>
        </w:rPr>
        <w:t>%),</w:t>
      </w:r>
      <w:r w:rsidR="00BF58E1" w:rsidRPr="00904E5B">
        <w:rPr>
          <w:rFonts w:ascii="Book Antiqua" w:hAnsi="Book Antiqua" w:cs="Times New Roman"/>
          <w:sz w:val="24"/>
          <w:szCs w:val="24"/>
        </w:rPr>
        <w:t>de</w:t>
      </w:r>
      <w:r w:rsidR="004E2812" w:rsidRPr="00904E5B">
        <w:rPr>
          <w:rFonts w:ascii="Book Antiqua" w:hAnsi="Book Antiqua" w:cs="Times New Roman"/>
          <w:sz w:val="24"/>
          <w:szCs w:val="24"/>
        </w:rPr>
        <w:t>Casablanca-Settat (4</w:t>
      </w:r>
      <w:r w:rsidR="004370EE" w:rsidRPr="00904E5B">
        <w:rPr>
          <w:rFonts w:ascii="Book Antiqua" w:hAnsi="Book Antiqua" w:cs="Times New Roman"/>
          <w:sz w:val="24"/>
          <w:szCs w:val="24"/>
        </w:rPr>
        <w:t>6</w:t>
      </w:r>
      <w:r w:rsidRPr="00904E5B">
        <w:rPr>
          <w:rFonts w:ascii="Book Antiqua" w:hAnsi="Book Antiqua" w:cs="Times New Roman"/>
          <w:sz w:val="24"/>
          <w:szCs w:val="24"/>
        </w:rPr>
        <w:t>,1</w:t>
      </w:r>
      <w:r w:rsidR="004E2812" w:rsidRPr="00904E5B">
        <w:rPr>
          <w:rFonts w:ascii="Book Antiqua" w:hAnsi="Book Antiqua" w:cs="Times New Roman"/>
          <w:sz w:val="24"/>
          <w:szCs w:val="24"/>
        </w:rPr>
        <w:t>%)</w:t>
      </w:r>
      <w:r w:rsidRPr="00904E5B">
        <w:rPr>
          <w:rFonts w:ascii="Book Antiqua" w:hAnsi="Book Antiqua" w:cs="Times New Roman"/>
          <w:sz w:val="24"/>
          <w:szCs w:val="24"/>
        </w:rPr>
        <w:t>, des régions de sud (45,3%)</w:t>
      </w:r>
      <w:r w:rsidR="004E2812" w:rsidRPr="00904E5B">
        <w:rPr>
          <w:rFonts w:ascii="Book Antiqua" w:hAnsi="Book Antiqua" w:cs="Times New Roman"/>
          <w:sz w:val="24"/>
          <w:szCs w:val="24"/>
        </w:rPr>
        <w:t xml:space="preserve"> et </w:t>
      </w:r>
      <w:r w:rsidR="00BF58E1" w:rsidRPr="00904E5B">
        <w:rPr>
          <w:rFonts w:ascii="Book Antiqua" w:hAnsi="Book Antiqua" w:cs="Times New Roman"/>
          <w:sz w:val="24"/>
          <w:szCs w:val="24"/>
        </w:rPr>
        <w:t>de Marrakech</w:t>
      </w:r>
      <w:r w:rsidR="004E2812" w:rsidRPr="00904E5B">
        <w:rPr>
          <w:rFonts w:ascii="Book Antiqua" w:hAnsi="Book Antiqua" w:cs="Times New Roman"/>
          <w:sz w:val="24"/>
          <w:szCs w:val="24"/>
        </w:rPr>
        <w:t>-Safi</w:t>
      </w:r>
      <w:r w:rsidRPr="00904E5B">
        <w:rPr>
          <w:rFonts w:ascii="Book Antiqua" w:hAnsi="Book Antiqua" w:cs="Times New Roman"/>
          <w:sz w:val="24"/>
          <w:szCs w:val="24"/>
        </w:rPr>
        <w:t xml:space="preserve"> et de Rabat-Salé-Kenitra</w:t>
      </w:r>
      <w:r w:rsidR="004E2812" w:rsidRPr="00904E5B">
        <w:rPr>
          <w:rFonts w:ascii="Book Antiqua" w:hAnsi="Book Antiqua" w:cs="Times New Roman"/>
          <w:sz w:val="24"/>
          <w:szCs w:val="24"/>
        </w:rPr>
        <w:t xml:space="preserve"> (4</w:t>
      </w:r>
      <w:r w:rsidRPr="00904E5B">
        <w:rPr>
          <w:rFonts w:ascii="Book Antiqua" w:hAnsi="Book Antiqua" w:cs="Times New Roman"/>
          <w:sz w:val="24"/>
          <w:szCs w:val="24"/>
        </w:rPr>
        <w:t>4</w:t>
      </w:r>
      <w:r w:rsidR="004E2812" w:rsidRPr="00904E5B">
        <w:rPr>
          <w:rFonts w:ascii="Book Antiqua" w:hAnsi="Book Antiqua" w:cs="Times New Roman"/>
          <w:sz w:val="24"/>
          <w:szCs w:val="24"/>
        </w:rPr>
        <w:t>,</w:t>
      </w:r>
      <w:r w:rsidR="004370EE" w:rsidRPr="00904E5B">
        <w:rPr>
          <w:rFonts w:ascii="Book Antiqua" w:hAnsi="Book Antiqua" w:cs="Times New Roman"/>
          <w:sz w:val="24"/>
          <w:szCs w:val="24"/>
        </w:rPr>
        <w:t>0</w:t>
      </w:r>
      <w:r w:rsidR="004E2812" w:rsidRPr="00904E5B">
        <w:rPr>
          <w:rFonts w:ascii="Book Antiqua" w:hAnsi="Book Antiqua" w:cs="Times New Roman"/>
          <w:sz w:val="24"/>
          <w:szCs w:val="24"/>
        </w:rPr>
        <w:t xml:space="preserve">%). En revanche, les taux les plus bas sont enregistrés dans les régions </w:t>
      </w:r>
      <w:r w:rsidR="004903AF" w:rsidRPr="00904E5B">
        <w:rPr>
          <w:rFonts w:ascii="Book Antiqua" w:hAnsi="Book Antiqua" w:cs="Times New Roman"/>
          <w:sz w:val="24"/>
          <w:szCs w:val="24"/>
        </w:rPr>
        <w:t>de l’Oriental (40,1%)</w:t>
      </w:r>
      <w:r w:rsidR="00714E23" w:rsidRPr="00904E5B">
        <w:rPr>
          <w:rFonts w:ascii="Book Antiqua" w:hAnsi="Book Antiqua" w:cs="Times New Roman"/>
          <w:sz w:val="24"/>
          <w:szCs w:val="24"/>
        </w:rPr>
        <w:t>,</w:t>
      </w:r>
      <w:r w:rsidR="004903AF" w:rsidRPr="00904E5B">
        <w:rPr>
          <w:rFonts w:ascii="Book Antiqua" w:hAnsi="Book Antiqua" w:cs="Times New Roman"/>
          <w:sz w:val="24"/>
          <w:szCs w:val="24"/>
        </w:rPr>
        <w:t xml:space="preserve"> de Beni Mellal-Khénifra (40%)</w:t>
      </w:r>
      <w:r w:rsidR="00714E23" w:rsidRPr="00904E5B">
        <w:rPr>
          <w:rFonts w:ascii="Book Antiqua" w:hAnsi="Book Antiqua" w:cs="Times New Roman"/>
          <w:sz w:val="24"/>
          <w:szCs w:val="24"/>
        </w:rPr>
        <w:t xml:space="preserve"> et </w:t>
      </w:r>
      <w:r w:rsidR="004903AF" w:rsidRPr="00904E5B">
        <w:rPr>
          <w:rFonts w:ascii="Book Antiqua" w:hAnsi="Book Antiqua" w:cs="Times New Roman"/>
          <w:sz w:val="24"/>
          <w:szCs w:val="24"/>
        </w:rPr>
        <w:t>de Souss-Massa (39%)</w:t>
      </w:r>
      <w:r w:rsidR="00B547AE" w:rsidRPr="00904E5B">
        <w:rPr>
          <w:rFonts w:ascii="Book Antiqua" w:hAnsi="Book Antiqua" w:cs="Times New Roman"/>
          <w:sz w:val="24"/>
          <w:szCs w:val="24"/>
        </w:rPr>
        <w:t>.</w:t>
      </w:r>
    </w:p>
    <w:p w:rsidR="00BF58E1" w:rsidRPr="00BD4B64" w:rsidRDefault="00BF58E1" w:rsidP="004E2812">
      <w:pPr>
        <w:rPr>
          <w:rFonts w:ascii="Book Antiqua" w:hAnsi="Book Antiqua" w:cs="Times New Roman"/>
          <w:b/>
          <w:bCs/>
          <w:sz w:val="20"/>
          <w:szCs w:val="20"/>
        </w:rPr>
      </w:pPr>
    </w:p>
    <w:p w:rsidR="004E2812" w:rsidRPr="00BD4B64" w:rsidRDefault="004E2812" w:rsidP="0005104E">
      <w:pPr>
        <w:jc w:val="center"/>
        <w:rPr>
          <w:rFonts w:ascii="Book Antiqua" w:hAnsi="Book Antiqua" w:cs="Times New Roman"/>
          <w:b/>
          <w:bCs/>
          <w:sz w:val="24"/>
          <w:szCs w:val="24"/>
        </w:rPr>
      </w:pPr>
      <w:r w:rsidRPr="00BD4B64">
        <w:rPr>
          <w:rFonts w:ascii="Book Antiqua" w:hAnsi="Book Antiqua" w:cs="Times New Roman"/>
          <w:b/>
          <w:bCs/>
          <w:sz w:val="20"/>
          <w:szCs w:val="20"/>
        </w:rPr>
        <w:t xml:space="preserve">Graphique </w:t>
      </w:r>
      <w:r w:rsidR="008C0DEC" w:rsidRPr="00BD4B64">
        <w:rPr>
          <w:rFonts w:ascii="Book Antiqua" w:hAnsi="Book Antiqua" w:cs="Times New Roman"/>
          <w:b/>
          <w:bCs/>
          <w:sz w:val="20"/>
          <w:szCs w:val="20"/>
        </w:rPr>
        <w:t>8 :</w:t>
      </w:r>
      <w:r w:rsidR="00000FE3">
        <w:rPr>
          <w:rFonts w:ascii="Book Antiqua" w:hAnsi="Book Antiqua" w:cs="Times New Roman"/>
          <w:b/>
          <w:bCs/>
          <w:sz w:val="20"/>
          <w:szCs w:val="20"/>
        </w:rPr>
        <w:t xml:space="preserve"> Ta</w:t>
      </w:r>
      <w:r w:rsidRPr="00BD4B64">
        <w:rPr>
          <w:rFonts w:ascii="Book Antiqua" w:hAnsi="Book Antiqua" w:cs="Times New Roman"/>
          <w:b/>
          <w:bCs/>
          <w:sz w:val="20"/>
          <w:szCs w:val="20"/>
        </w:rPr>
        <w:t xml:space="preserve">ux d’activité selon les régions et le milieu de résidence en </w:t>
      </w:r>
      <w:r w:rsidR="00475C7A">
        <w:rPr>
          <w:rFonts w:ascii="Book Antiqua" w:hAnsi="Book Antiqua" w:cs="Times New Roman"/>
          <w:b/>
          <w:bCs/>
          <w:sz w:val="20"/>
          <w:szCs w:val="20"/>
        </w:rPr>
        <w:t>2023</w:t>
      </w:r>
      <w:r w:rsidRPr="00BD4B64">
        <w:rPr>
          <w:rFonts w:ascii="Book Antiqua" w:hAnsi="Book Antiqua" w:cs="Times New Roman"/>
          <w:b/>
          <w:bCs/>
          <w:sz w:val="20"/>
          <w:szCs w:val="20"/>
        </w:rPr>
        <w:t xml:space="preserve"> (en%)</w:t>
      </w:r>
    </w:p>
    <w:p w:rsidR="004E2812" w:rsidRPr="00BD4B64" w:rsidRDefault="00475C7A" w:rsidP="00475C7A">
      <w:pPr>
        <w:jc w:val="center"/>
        <w:rPr>
          <w:rFonts w:ascii="Book Antiqua" w:hAnsi="Book Antiqua" w:cs="Times New Roman"/>
          <w:sz w:val="24"/>
          <w:szCs w:val="24"/>
        </w:rPr>
      </w:pPr>
      <w:r>
        <w:rPr>
          <w:noProof/>
        </w:rPr>
        <w:drawing>
          <wp:inline distT="0" distB="0" distL="0" distR="0">
            <wp:extent cx="5769224" cy="3119057"/>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E2812" w:rsidRPr="00BD4B64" w:rsidRDefault="004E2812" w:rsidP="004E2812">
      <w:pPr>
        <w:rPr>
          <w:rFonts w:ascii="Book Antiqua" w:hAnsi="Book Antiqua" w:cs="Times New Roman"/>
          <w:sz w:val="24"/>
          <w:szCs w:val="24"/>
        </w:rPr>
      </w:pPr>
    </w:p>
    <w:p w:rsidR="004E2812" w:rsidRPr="00904E5B" w:rsidRDefault="004E2812" w:rsidP="00842F44">
      <w:pPr>
        <w:spacing w:line="360" w:lineRule="auto"/>
        <w:jc w:val="both"/>
        <w:rPr>
          <w:rFonts w:ascii="Book Antiqua" w:hAnsi="Book Antiqua" w:cs="Times New Roman"/>
          <w:sz w:val="24"/>
          <w:szCs w:val="24"/>
        </w:rPr>
      </w:pPr>
      <w:r w:rsidRPr="00904E5B">
        <w:rPr>
          <w:rFonts w:ascii="Book Antiqua" w:hAnsi="Book Antiqua" w:cs="Times New Roman"/>
          <w:sz w:val="24"/>
          <w:szCs w:val="24"/>
        </w:rPr>
        <w:t xml:space="preserve">Par ailleurs, </w:t>
      </w:r>
      <w:r w:rsidR="00842F44">
        <w:rPr>
          <w:rFonts w:ascii="Book Antiqua" w:hAnsi="Book Antiqua" w:cs="Times New Roman"/>
          <w:sz w:val="24"/>
          <w:szCs w:val="24"/>
        </w:rPr>
        <w:t xml:space="preserve">cinq </w:t>
      </w:r>
      <w:r w:rsidRPr="00904E5B">
        <w:rPr>
          <w:rFonts w:ascii="Book Antiqua" w:hAnsi="Book Antiqua" w:cs="Times New Roman"/>
          <w:sz w:val="24"/>
          <w:szCs w:val="24"/>
        </w:rPr>
        <w:t xml:space="preserve">régions concentrent </w:t>
      </w:r>
      <w:r w:rsidR="00A12169" w:rsidRPr="00904E5B">
        <w:rPr>
          <w:rFonts w:ascii="Book Antiqua" w:hAnsi="Book Antiqua" w:cs="Times New Roman"/>
          <w:sz w:val="24"/>
          <w:szCs w:val="24"/>
        </w:rPr>
        <w:t>69,8</w:t>
      </w:r>
      <w:r w:rsidR="00B547AE" w:rsidRPr="00904E5B">
        <w:rPr>
          <w:rFonts w:ascii="Book Antiqua" w:hAnsi="Book Antiqua" w:cs="Times New Roman"/>
          <w:sz w:val="24"/>
          <w:szCs w:val="24"/>
        </w:rPr>
        <w:t xml:space="preserve">% des chômeurs, </w:t>
      </w:r>
      <w:r w:rsidRPr="00904E5B">
        <w:rPr>
          <w:rFonts w:ascii="Book Antiqua" w:hAnsi="Book Antiqua" w:cs="Times New Roman"/>
          <w:sz w:val="24"/>
          <w:szCs w:val="24"/>
        </w:rPr>
        <w:t>au niveau national. La région de Casablanca-Settat vient en première position avec 2</w:t>
      </w:r>
      <w:r w:rsidR="00261D65" w:rsidRPr="00904E5B">
        <w:rPr>
          <w:rFonts w:ascii="Book Antiqua" w:hAnsi="Book Antiqua" w:cs="Times New Roman"/>
          <w:sz w:val="24"/>
          <w:szCs w:val="24"/>
        </w:rPr>
        <w:t>5</w:t>
      </w:r>
      <w:r w:rsidRPr="00904E5B">
        <w:rPr>
          <w:rFonts w:ascii="Book Antiqua" w:hAnsi="Book Antiqua" w:cs="Times New Roman"/>
          <w:sz w:val="24"/>
          <w:szCs w:val="24"/>
        </w:rPr>
        <w:t>,</w:t>
      </w:r>
      <w:r w:rsidR="001F6497" w:rsidRPr="00904E5B">
        <w:rPr>
          <w:rFonts w:ascii="Book Antiqua" w:hAnsi="Book Antiqua" w:cs="Times New Roman"/>
          <w:sz w:val="24"/>
          <w:szCs w:val="24"/>
        </w:rPr>
        <w:t>8</w:t>
      </w:r>
      <w:r w:rsidRPr="00904E5B">
        <w:rPr>
          <w:rFonts w:ascii="Book Antiqua" w:hAnsi="Book Antiqua" w:cs="Times New Roman"/>
          <w:sz w:val="24"/>
          <w:szCs w:val="24"/>
        </w:rPr>
        <w:t xml:space="preserve">%, suivie de </w:t>
      </w:r>
      <w:r w:rsidR="001F6497" w:rsidRPr="00904E5B">
        <w:rPr>
          <w:rFonts w:ascii="Book Antiqua" w:hAnsi="Book Antiqua" w:cs="Times New Roman"/>
          <w:sz w:val="24"/>
          <w:szCs w:val="24"/>
        </w:rPr>
        <w:t>Fès-Meknès (12,7</w:t>
      </w:r>
      <w:r w:rsidR="00261D65" w:rsidRPr="00904E5B">
        <w:rPr>
          <w:rFonts w:ascii="Book Antiqua" w:hAnsi="Book Antiqua" w:cs="Times New Roman"/>
          <w:sz w:val="24"/>
          <w:szCs w:val="24"/>
        </w:rPr>
        <w:t xml:space="preserve">%), de </w:t>
      </w:r>
      <w:r w:rsidRPr="00904E5B">
        <w:rPr>
          <w:rFonts w:ascii="Book Antiqua" w:hAnsi="Book Antiqua" w:cs="Times New Roman"/>
          <w:sz w:val="24"/>
          <w:szCs w:val="24"/>
        </w:rPr>
        <w:t>Rabat-Salé-Kénitra (1</w:t>
      </w:r>
      <w:r w:rsidR="00261D65" w:rsidRPr="00904E5B">
        <w:rPr>
          <w:rFonts w:ascii="Book Antiqua" w:hAnsi="Book Antiqua" w:cs="Times New Roman"/>
          <w:sz w:val="24"/>
          <w:szCs w:val="24"/>
        </w:rPr>
        <w:t>2</w:t>
      </w:r>
      <w:r w:rsidRPr="00904E5B">
        <w:rPr>
          <w:rFonts w:ascii="Book Antiqua" w:hAnsi="Book Antiqua" w:cs="Times New Roman"/>
          <w:sz w:val="24"/>
          <w:szCs w:val="24"/>
        </w:rPr>
        <w:t>,</w:t>
      </w:r>
      <w:r w:rsidR="001909D6" w:rsidRPr="00904E5B">
        <w:rPr>
          <w:rFonts w:ascii="Book Antiqua" w:hAnsi="Book Antiqua" w:cs="Times New Roman"/>
          <w:sz w:val="24"/>
          <w:szCs w:val="24"/>
        </w:rPr>
        <w:t>3</w:t>
      </w:r>
      <w:r w:rsidRPr="00904E5B">
        <w:rPr>
          <w:rFonts w:ascii="Book Antiqua" w:hAnsi="Book Antiqua" w:cs="Times New Roman"/>
          <w:sz w:val="24"/>
          <w:szCs w:val="24"/>
        </w:rPr>
        <w:t xml:space="preserve">%), de </w:t>
      </w:r>
      <w:r w:rsidR="001909D6" w:rsidRPr="00904E5B">
        <w:rPr>
          <w:rFonts w:ascii="Book Antiqua" w:hAnsi="Book Antiqua" w:cs="Times New Roman"/>
          <w:sz w:val="24"/>
          <w:szCs w:val="24"/>
        </w:rPr>
        <w:t>l’Oriental (9,7</w:t>
      </w:r>
      <w:r w:rsidRPr="00904E5B">
        <w:rPr>
          <w:rFonts w:ascii="Book Antiqua" w:hAnsi="Book Antiqua" w:cs="Times New Roman"/>
          <w:sz w:val="24"/>
          <w:szCs w:val="24"/>
        </w:rPr>
        <w:t xml:space="preserve">%) et </w:t>
      </w:r>
      <w:r w:rsidR="001909D6" w:rsidRPr="00904E5B">
        <w:rPr>
          <w:rFonts w:ascii="Book Antiqua" w:hAnsi="Book Antiqua" w:cs="Times New Roman"/>
          <w:sz w:val="24"/>
          <w:szCs w:val="24"/>
        </w:rPr>
        <w:t xml:space="preserve">de Tanger-Tétouan-Al Hoceima </w:t>
      </w:r>
      <w:r w:rsidRPr="00904E5B">
        <w:rPr>
          <w:rFonts w:ascii="Book Antiqua" w:hAnsi="Book Antiqua" w:cs="Times New Roman"/>
          <w:sz w:val="24"/>
          <w:szCs w:val="24"/>
        </w:rPr>
        <w:t>(9,</w:t>
      </w:r>
      <w:r w:rsidR="001909D6" w:rsidRPr="00904E5B">
        <w:rPr>
          <w:rFonts w:ascii="Book Antiqua" w:hAnsi="Book Antiqua" w:cs="Times New Roman"/>
          <w:sz w:val="24"/>
          <w:szCs w:val="24"/>
        </w:rPr>
        <w:t>2</w:t>
      </w:r>
      <w:r w:rsidRPr="00904E5B">
        <w:rPr>
          <w:rFonts w:ascii="Book Antiqua" w:hAnsi="Book Antiqua" w:cs="Times New Roman"/>
          <w:sz w:val="24"/>
          <w:szCs w:val="24"/>
        </w:rPr>
        <w:t xml:space="preserve">%). </w:t>
      </w:r>
    </w:p>
    <w:p w:rsidR="0033732A" w:rsidRPr="00904E5B" w:rsidRDefault="0033732A" w:rsidP="004E2812">
      <w:pPr>
        <w:spacing w:line="360" w:lineRule="auto"/>
        <w:jc w:val="lowKashida"/>
        <w:rPr>
          <w:rFonts w:ascii="Book Antiqua" w:hAnsi="Book Antiqua" w:cs="Times New Roman"/>
          <w:sz w:val="24"/>
          <w:szCs w:val="24"/>
        </w:rPr>
      </w:pPr>
    </w:p>
    <w:p w:rsidR="004E2812" w:rsidRDefault="004E2812" w:rsidP="007A431A">
      <w:pPr>
        <w:spacing w:line="360" w:lineRule="auto"/>
        <w:jc w:val="lowKashida"/>
        <w:rPr>
          <w:rFonts w:ascii="Book Antiqua" w:hAnsi="Book Antiqua" w:cs="Times New Roman"/>
          <w:sz w:val="24"/>
          <w:szCs w:val="24"/>
        </w:rPr>
      </w:pPr>
      <w:r w:rsidRPr="00904E5B">
        <w:rPr>
          <w:rFonts w:ascii="Book Antiqua" w:hAnsi="Book Antiqua" w:cs="Times New Roman"/>
          <w:sz w:val="24"/>
          <w:szCs w:val="24"/>
        </w:rPr>
        <w:t>Les taux de chômage les plus élevés sont observés dans les</w:t>
      </w:r>
      <w:r w:rsidR="007A431A">
        <w:rPr>
          <w:rFonts w:ascii="Book Antiqua" w:hAnsi="Book Antiqua" w:cs="Times New Roman" w:hint="cs"/>
          <w:sz w:val="24"/>
          <w:szCs w:val="24"/>
          <w:rtl/>
          <w:lang w:bidi="tzm-Arab-MA"/>
        </w:rPr>
        <w:t xml:space="preserve"> </w:t>
      </w:r>
      <w:r w:rsidR="00260E49" w:rsidRPr="00904E5B">
        <w:rPr>
          <w:rFonts w:ascii="Book Antiqua" w:hAnsi="Book Antiqua" w:cs="Times New Roman"/>
          <w:sz w:val="24"/>
          <w:szCs w:val="24"/>
        </w:rPr>
        <w:t>régions du Sud (20,3</w:t>
      </w:r>
      <w:r w:rsidRPr="00904E5B">
        <w:rPr>
          <w:rFonts w:ascii="Book Antiqua" w:hAnsi="Book Antiqua" w:cs="Times New Roman"/>
          <w:sz w:val="24"/>
          <w:szCs w:val="24"/>
        </w:rPr>
        <w:t xml:space="preserve">%) et </w:t>
      </w:r>
      <w:r w:rsidR="00BF58E1" w:rsidRPr="00904E5B">
        <w:rPr>
          <w:rFonts w:ascii="Book Antiqua" w:hAnsi="Book Antiqua" w:cs="Times New Roman"/>
          <w:sz w:val="24"/>
          <w:szCs w:val="24"/>
        </w:rPr>
        <w:t>dans la</w:t>
      </w:r>
      <w:r w:rsidRPr="00904E5B">
        <w:rPr>
          <w:rFonts w:ascii="Book Antiqua" w:hAnsi="Book Antiqua" w:cs="Times New Roman"/>
          <w:sz w:val="24"/>
          <w:szCs w:val="24"/>
        </w:rPr>
        <w:t xml:space="preserve"> région de l’Oriental (1</w:t>
      </w:r>
      <w:r w:rsidR="00260E49" w:rsidRPr="00904E5B">
        <w:rPr>
          <w:rFonts w:ascii="Book Antiqua" w:hAnsi="Book Antiqua" w:cs="Times New Roman"/>
          <w:sz w:val="24"/>
          <w:szCs w:val="24"/>
        </w:rPr>
        <w:t>9</w:t>
      </w:r>
      <w:r w:rsidRPr="00904E5B">
        <w:rPr>
          <w:rFonts w:ascii="Book Antiqua" w:hAnsi="Book Antiqua" w:cs="Times New Roman"/>
          <w:sz w:val="24"/>
          <w:szCs w:val="24"/>
        </w:rPr>
        <w:t>,</w:t>
      </w:r>
      <w:r w:rsidR="00260E49" w:rsidRPr="00904E5B">
        <w:rPr>
          <w:rFonts w:ascii="Book Antiqua" w:hAnsi="Book Antiqua" w:cs="Times New Roman"/>
          <w:sz w:val="24"/>
          <w:szCs w:val="24"/>
        </w:rPr>
        <w:t>6</w:t>
      </w:r>
      <w:r w:rsidRPr="00904E5B">
        <w:rPr>
          <w:rFonts w:ascii="Book Antiqua" w:hAnsi="Book Antiqua" w:cs="Times New Roman"/>
          <w:sz w:val="24"/>
          <w:szCs w:val="24"/>
        </w:rPr>
        <w:t xml:space="preserve">%). Avec une acuité moindre, deux autres régions dépassent la moyenne nationale </w:t>
      </w:r>
      <w:r w:rsidR="00B547AE" w:rsidRPr="00904E5B">
        <w:rPr>
          <w:rFonts w:ascii="Book Antiqua" w:hAnsi="Book Antiqua" w:cs="Times New Roman"/>
          <w:sz w:val="24"/>
          <w:szCs w:val="24"/>
        </w:rPr>
        <w:t xml:space="preserve">de </w:t>
      </w:r>
      <w:r w:rsidR="007F5B1A" w:rsidRPr="00904E5B">
        <w:rPr>
          <w:rFonts w:ascii="Book Antiqua" w:hAnsi="Book Antiqua" w:cs="Times New Roman"/>
          <w:sz w:val="24"/>
          <w:szCs w:val="24"/>
        </w:rPr>
        <w:t>13%, à</w:t>
      </w:r>
      <w:r w:rsidRPr="00904E5B">
        <w:rPr>
          <w:rFonts w:ascii="Book Antiqua" w:hAnsi="Book Antiqua" w:cs="Times New Roman"/>
          <w:sz w:val="24"/>
          <w:szCs w:val="24"/>
        </w:rPr>
        <w:t xml:space="preserve"> savoir Casablanca-Settat (1</w:t>
      </w:r>
      <w:r w:rsidR="007F5B1A" w:rsidRPr="00904E5B">
        <w:rPr>
          <w:rFonts w:ascii="Book Antiqua" w:hAnsi="Book Antiqua" w:cs="Times New Roman"/>
          <w:sz w:val="24"/>
          <w:szCs w:val="24"/>
        </w:rPr>
        <w:t>5%) et Fès-</w:t>
      </w:r>
      <w:r w:rsidR="007F5B1A" w:rsidRPr="00904E5B">
        <w:rPr>
          <w:rFonts w:ascii="Book Antiqua" w:hAnsi="Book Antiqua" w:cs="Times New Roman"/>
          <w:sz w:val="24"/>
          <w:szCs w:val="24"/>
        </w:rPr>
        <w:lastRenderedPageBreak/>
        <w:t>Meknès (14</w:t>
      </w:r>
      <w:r w:rsidRPr="00904E5B">
        <w:rPr>
          <w:rFonts w:ascii="Book Antiqua" w:hAnsi="Book Antiqua" w:cs="Times New Roman"/>
          <w:sz w:val="24"/>
          <w:szCs w:val="24"/>
        </w:rPr>
        <w:t>,</w:t>
      </w:r>
      <w:r w:rsidR="007F5B1A" w:rsidRPr="00904E5B">
        <w:rPr>
          <w:rFonts w:ascii="Book Antiqua" w:hAnsi="Book Antiqua" w:cs="Times New Roman"/>
          <w:sz w:val="24"/>
          <w:szCs w:val="24"/>
        </w:rPr>
        <w:t>2</w:t>
      </w:r>
      <w:r w:rsidRPr="00904E5B">
        <w:rPr>
          <w:rFonts w:ascii="Book Antiqua" w:hAnsi="Book Antiqua" w:cs="Times New Roman"/>
          <w:sz w:val="24"/>
          <w:szCs w:val="24"/>
        </w:rPr>
        <w:t>%). En revanche</w:t>
      </w:r>
      <w:r w:rsidR="006A7E3D" w:rsidRPr="00904E5B">
        <w:rPr>
          <w:rFonts w:ascii="Book Antiqua" w:hAnsi="Book Antiqua" w:cs="Times New Roman"/>
          <w:sz w:val="24"/>
          <w:szCs w:val="24"/>
        </w:rPr>
        <w:t>, les régions de Marrakech-Safi et</w:t>
      </w:r>
      <w:r w:rsidR="00287D21" w:rsidRPr="00904E5B">
        <w:rPr>
          <w:rFonts w:ascii="Book Antiqua" w:hAnsi="Book Antiqua" w:cs="Times New Roman"/>
          <w:sz w:val="24"/>
          <w:szCs w:val="24"/>
        </w:rPr>
        <w:t xml:space="preserve">de Tanger-Tétouan-Al Hoceïma </w:t>
      </w:r>
      <w:r w:rsidRPr="00904E5B">
        <w:rPr>
          <w:rFonts w:ascii="Book Antiqua" w:hAnsi="Book Antiqua" w:cs="Times New Roman"/>
          <w:sz w:val="24"/>
          <w:szCs w:val="24"/>
        </w:rPr>
        <w:t xml:space="preserve">enregistrent les taux les plus bas, respectivement </w:t>
      </w:r>
      <w:r w:rsidR="006616D1" w:rsidRPr="00904E5B">
        <w:rPr>
          <w:rFonts w:ascii="Book Antiqua" w:hAnsi="Book Antiqua" w:cs="Times New Roman"/>
          <w:sz w:val="24"/>
          <w:szCs w:val="24"/>
        </w:rPr>
        <w:t>7,7</w:t>
      </w:r>
      <w:r w:rsidRPr="00904E5B">
        <w:rPr>
          <w:rFonts w:ascii="Book Antiqua" w:hAnsi="Book Antiqua" w:cs="Times New Roman"/>
          <w:sz w:val="24"/>
          <w:szCs w:val="24"/>
        </w:rPr>
        <w:t xml:space="preserve">%, </w:t>
      </w:r>
      <w:r w:rsidR="006616D1" w:rsidRPr="00904E5B">
        <w:rPr>
          <w:rFonts w:ascii="Book Antiqua" w:hAnsi="Book Antiqua" w:cs="Times New Roman"/>
          <w:sz w:val="24"/>
          <w:szCs w:val="24"/>
        </w:rPr>
        <w:t>10,1</w:t>
      </w:r>
      <w:r w:rsidRPr="00904E5B">
        <w:rPr>
          <w:rFonts w:ascii="Book Antiqua" w:hAnsi="Book Antiqua" w:cs="Times New Roman"/>
          <w:sz w:val="24"/>
          <w:szCs w:val="24"/>
        </w:rPr>
        <w:t>%.</w:t>
      </w:r>
    </w:p>
    <w:p w:rsidR="00842F44" w:rsidRPr="00BD4B64" w:rsidRDefault="00842F44" w:rsidP="006616D1">
      <w:pPr>
        <w:spacing w:line="360" w:lineRule="auto"/>
        <w:jc w:val="lowKashida"/>
        <w:rPr>
          <w:rFonts w:ascii="Book Antiqua" w:hAnsi="Book Antiqua" w:cs="Times New Roman"/>
          <w:sz w:val="24"/>
          <w:szCs w:val="24"/>
        </w:rPr>
      </w:pPr>
    </w:p>
    <w:p w:rsidR="004E2812" w:rsidRPr="00BD4B64" w:rsidRDefault="004E2812" w:rsidP="00B84A96">
      <w:pPr>
        <w:spacing w:line="360" w:lineRule="auto"/>
        <w:jc w:val="center"/>
        <w:rPr>
          <w:rFonts w:ascii="Book Antiqua" w:hAnsi="Book Antiqua" w:cs="Times New Roman"/>
          <w:b/>
          <w:bCs/>
          <w:sz w:val="20"/>
          <w:szCs w:val="20"/>
        </w:rPr>
      </w:pPr>
      <w:r w:rsidRPr="00BD4B64">
        <w:rPr>
          <w:rFonts w:ascii="Book Antiqua" w:hAnsi="Book Antiqua" w:cs="Times New Roman"/>
          <w:b/>
          <w:bCs/>
          <w:sz w:val="20"/>
          <w:szCs w:val="20"/>
        </w:rPr>
        <w:t xml:space="preserve">Graphique </w:t>
      </w:r>
      <w:r w:rsidR="001A5A8D" w:rsidRPr="00BD4B64">
        <w:rPr>
          <w:rFonts w:ascii="Book Antiqua" w:hAnsi="Book Antiqua" w:cs="Times New Roman"/>
          <w:b/>
          <w:bCs/>
          <w:sz w:val="20"/>
          <w:szCs w:val="20"/>
        </w:rPr>
        <w:t>9</w:t>
      </w:r>
      <w:r w:rsidRPr="00BD4B64">
        <w:rPr>
          <w:rFonts w:ascii="Book Antiqua" w:hAnsi="Book Antiqua" w:cs="Times New Roman"/>
          <w:b/>
          <w:bCs/>
          <w:sz w:val="20"/>
          <w:szCs w:val="20"/>
        </w:rPr>
        <w:t xml:space="preserve"> : Taux de chômage selon les régions et le milieu de résidence en </w:t>
      </w:r>
      <w:r w:rsidR="00475C7A">
        <w:rPr>
          <w:rFonts w:ascii="Book Antiqua" w:hAnsi="Book Antiqua" w:cs="Times New Roman"/>
          <w:b/>
          <w:bCs/>
          <w:sz w:val="20"/>
          <w:szCs w:val="20"/>
        </w:rPr>
        <w:t>2023</w:t>
      </w:r>
      <w:r w:rsidRPr="00BD4B64">
        <w:rPr>
          <w:rFonts w:ascii="Book Antiqua" w:hAnsi="Book Antiqua" w:cs="Times New Roman"/>
          <w:b/>
          <w:bCs/>
          <w:sz w:val="20"/>
          <w:szCs w:val="20"/>
        </w:rPr>
        <w:t xml:space="preserve"> (en%)</w:t>
      </w:r>
    </w:p>
    <w:p w:rsidR="004E2812" w:rsidRPr="00BD4B64" w:rsidRDefault="008C0DEC" w:rsidP="008C0DEC">
      <w:pPr>
        <w:jc w:val="center"/>
        <w:rPr>
          <w:rFonts w:ascii="Book Antiqua" w:hAnsi="Book Antiqua" w:cs="Times New Roman"/>
          <w:sz w:val="24"/>
          <w:szCs w:val="24"/>
        </w:rPr>
      </w:pPr>
      <w:r>
        <w:rPr>
          <w:noProof/>
        </w:rPr>
        <w:drawing>
          <wp:inline distT="0" distB="0" distL="0" distR="0">
            <wp:extent cx="5880100" cy="424815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2812" w:rsidRPr="00BD4B64" w:rsidRDefault="004E2812" w:rsidP="004E2812">
      <w:pPr>
        <w:rPr>
          <w:rFonts w:ascii="Book Antiqua" w:hAnsi="Book Antiqua" w:cs="Times New Roman"/>
          <w:sz w:val="24"/>
          <w:szCs w:val="24"/>
        </w:rPr>
      </w:pPr>
    </w:p>
    <w:p w:rsidR="004E2812" w:rsidRPr="00BD4B64" w:rsidRDefault="004E2812" w:rsidP="004E2812">
      <w:pPr>
        <w:rPr>
          <w:rFonts w:ascii="Book Antiqua" w:hAnsi="Book Antiqua" w:cs="Times New Roman"/>
          <w:sz w:val="24"/>
          <w:szCs w:val="24"/>
        </w:rPr>
      </w:pPr>
    </w:p>
    <w:p w:rsidR="004E2812" w:rsidRPr="00BD4B64" w:rsidRDefault="004E2812" w:rsidP="004E2812">
      <w:pPr>
        <w:rPr>
          <w:rFonts w:ascii="Book Antiqua" w:hAnsi="Book Antiqua" w:cs="Times New Roman"/>
          <w:sz w:val="24"/>
          <w:szCs w:val="24"/>
        </w:rPr>
      </w:pPr>
    </w:p>
    <w:p w:rsidR="004E2812" w:rsidRPr="00BD4B64" w:rsidRDefault="004E2812" w:rsidP="004E2812">
      <w:pPr>
        <w:rPr>
          <w:rFonts w:ascii="Book Antiqua" w:eastAsia="Times New Roman" w:hAnsi="Book Antiqua" w:cs="Browallia New"/>
          <w:b/>
          <w:bCs/>
        </w:rPr>
      </w:pPr>
      <w:r w:rsidRPr="00BD4B64">
        <w:rPr>
          <w:rFonts w:ascii="Book Antiqua" w:hAnsi="Book Antiqua" w:cs="Times New Roman"/>
          <w:sz w:val="24"/>
          <w:szCs w:val="24"/>
        </w:rPr>
        <w:br w:type="page"/>
      </w:r>
      <w:r w:rsidRPr="00BD4B64">
        <w:rPr>
          <w:rFonts w:ascii="Book Antiqua" w:eastAsia="Times New Roman" w:hAnsi="Book Antiqua" w:cs="Browallia New"/>
          <w:b/>
          <w:bCs/>
        </w:rPr>
        <w:lastRenderedPageBreak/>
        <w:t>Tableau1 : Indicateurs annuels d’activité, d’emploi et de chômage par milieu de résidence</w:t>
      </w:r>
    </w:p>
    <w:p w:rsidR="00FF0E14" w:rsidRPr="00BD4B64" w:rsidRDefault="00FF0E14" w:rsidP="00FF0E14">
      <w:pPr>
        <w:jc w:val="right"/>
        <w:rPr>
          <w:rFonts w:ascii="Book Antiqua" w:hAnsi="Book Antiqua" w:cs="Times New Roman"/>
          <w:sz w:val="24"/>
          <w:szCs w:val="24"/>
          <w:vertAlign w:val="superscript"/>
        </w:rPr>
      </w:pPr>
      <w:r w:rsidRPr="00BD4B64">
        <w:rPr>
          <w:rFonts w:ascii="Book Antiqua" w:hAnsi="Book Antiqua" w:cs="Times New Roman"/>
          <w:sz w:val="24"/>
          <w:szCs w:val="24"/>
          <w:vertAlign w:val="superscript"/>
        </w:rPr>
        <w:t>(Effectifs en milliers ; Taux en %)</w:t>
      </w:r>
    </w:p>
    <w:tbl>
      <w:tblPr>
        <w:tblW w:w="5000" w:type="pct"/>
        <w:tblCellMar>
          <w:left w:w="70" w:type="dxa"/>
          <w:right w:w="70" w:type="dxa"/>
        </w:tblCellMar>
        <w:tblLook w:val="04A0"/>
      </w:tblPr>
      <w:tblGrid>
        <w:gridCol w:w="4110"/>
        <w:gridCol w:w="777"/>
        <w:gridCol w:w="776"/>
        <w:gridCol w:w="1010"/>
        <w:gridCol w:w="765"/>
        <w:gridCol w:w="761"/>
        <w:gridCol w:w="1013"/>
      </w:tblGrid>
      <w:tr w:rsidR="00647465" w:rsidRPr="00BD4B64" w:rsidTr="00842F44">
        <w:trPr>
          <w:trHeight w:val="315"/>
        </w:trPr>
        <w:tc>
          <w:tcPr>
            <w:tcW w:w="22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bidi/>
              <w:spacing w:line="240" w:lineRule="auto"/>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tl/>
              </w:rPr>
              <w:t> </w:t>
            </w:r>
          </w:p>
        </w:tc>
        <w:tc>
          <w:tcPr>
            <w:tcW w:w="1391" w:type="pct"/>
            <w:gridSpan w:val="3"/>
            <w:tcBorders>
              <w:top w:val="single" w:sz="4" w:space="0" w:color="auto"/>
              <w:left w:val="nil"/>
              <w:bottom w:val="single" w:sz="4" w:space="0" w:color="auto"/>
              <w:right w:val="single" w:sz="4" w:space="0" w:color="auto"/>
            </w:tcBorders>
            <w:shd w:val="clear" w:color="auto" w:fill="auto"/>
            <w:noWrap/>
            <w:hideMark/>
          </w:tcPr>
          <w:p w:rsidR="00647465" w:rsidRPr="00BD4B64" w:rsidRDefault="00647465" w:rsidP="00842F44">
            <w:pPr>
              <w:spacing w:line="240" w:lineRule="auto"/>
              <w:jc w:val="center"/>
              <w:rPr>
                <w:rFonts w:ascii="Garamond" w:eastAsia="Times New Roman" w:hAnsi="Garamond" w:cs="Calibri"/>
                <w:b/>
                <w:bCs/>
                <w:color w:val="000000"/>
                <w:sz w:val="18"/>
                <w:szCs w:val="18"/>
              </w:rPr>
            </w:pPr>
            <w:r>
              <w:rPr>
                <w:rFonts w:ascii="Garamond" w:eastAsia="Times New Roman" w:hAnsi="Garamond" w:cs="Calibri"/>
                <w:b/>
                <w:bCs/>
                <w:color w:val="000000"/>
                <w:sz w:val="18"/>
                <w:szCs w:val="18"/>
              </w:rPr>
              <w:t>2022</w:t>
            </w:r>
          </w:p>
        </w:tc>
        <w:tc>
          <w:tcPr>
            <w:tcW w:w="1378" w:type="pct"/>
            <w:gridSpan w:val="3"/>
            <w:tcBorders>
              <w:top w:val="single" w:sz="4" w:space="0" w:color="auto"/>
              <w:left w:val="nil"/>
              <w:bottom w:val="single" w:sz="4" w:space="0" w:color="auto"/>
              <w:right w:val="single" w:sz="4" w:space="0" w:color="auto"/>
            </w:tcBorders>
            <w:shd w:val="clear" w:color="auto" w:fill="auto"/>
            <w:noWrap/>
            <w:hideMark/>
          </w:tcPr>
          <w:p w:rsidR="00647465" w:rsidRPr="00BD4B64" w:rsidRDefault="00647465" w:rsidP="00842F44">
            <w:pPr>
              <w:spacing w:line="240" w:lineRule="auto"/>
              <w:jc w:val="center"/>
              <w:rPr>
                <w:rFonts w:ascii="Garamond" w:eastAsia="Times New Roman" w:hAnsi="Garamond" w:cs="Calibri"/>
                <w:b/>
                <w:bCs/>
                <w:color w:val="000000"/>
                <w:sz w:val="18"/>
                <w:szCs w:val="18"/>
              </w:rPr>
            </w:pPr>
            <w:r>
              <w:rPr>
                <w:rFonts w:ascii="Garamond" w:eastAsia="Times New Roman" w:hAnsi="Garamond" w:cs="Calibri"/>
                <w:b/>
                <w:bCs/>
                <w:color w:val="000000"/>
                <w:sz w:val="18"/>
                <w:szCs w:val="18"/>
              </w:rPr>
              <w:t>2023</w:t>
            </w:r>
          </w:p>
        </w:tc>
      </w:tr>
      <w:tr w:rsidR="00647465" w:rsidRPr="00BD4B64" w:rsidTr="00842F44">
        <w:trPr>
          <w:trHeight w:val="231"/>
        </w:trPr>
        <w:tc>
          <w:tcPr>
            <w:tcW w:w="22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7465" w:rsidRPr="00BD4B64" w:rsidRDefault="00647465" w:rsidP="00842F44">
            <w:pPr>
              <w:spacing w:line="240" w:lineRule="auto"/>
              <w:rPr>
                <w:rFonts w:ascii="Garamond" w:eastAsia="Times New Roman" w:hAnsi="Garamond" w:cs="Calibri"/>
                <w:b/>
                <w:bCs/>
                <w:color w:val="000000"/>
                <w:sz w:val="18"/>
                <w:szCs w:val="18"/>
              </w:rPr>
            </w:pPr>
          </w:p>
        </w:tc>
        <w:tc>
          <w:tcPr>
            <w:tcW w:w="422" w:type="pct"/>
            <w:tcBorders>
              <w:top w:val="nil"/>
              <w:left w:val="nil"/>
              <w:bottom w:val="single" w:sz="4" w:space="0" w:color="auto"/>
              <w:right w:val="single" w:sz="4" w:space="0" w:color="auto"/>
            </w:tcBorders>
            <w:shd w:val="clear" w:color="auto" w:fill="auto"/>
            <w:hideMark/>
          </w:tcPr>
          <w:p w:rsidR="00647465" w:rsidRPr="00BD4B64" w:rsidRDefault="00647465" w:rsidP="00842F4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Urbain</w:t>
            </w:r>
          </w:p>
        </w:tc>
        <w:tc>
          <w:tcPr>
            <w:tcW w:w="421" w:type="pct"/>
            <w:tcBorders>
              <w:top w:val="nil"/>
              <w:left w:val="nil"/>
              <w:bottom w:val="single" w:sz="4" w:space="0" w:color="auto"/>
              <w:right w:val="single" w:sz="4" w:space="0" w:color="auto"/>
            </w:tcBorders>
            <w:shd w:val="clear" w:color="auto" w:fill="auto"/>
            <w:hideMark/>
          </w:tcPr>
          <w:p w:rsidR="00647465" w:rsidRPr="00BD4B64" w:rsidRDefault="00647465" w:rsidP="00842F4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Rural</w:t>
            </w:r>
          </w:p>
        </w:tc>
        <w:tc>
          <w:tcPr>
            <w:tcW w:w="548" w:type="pct"/>
            <w:tcBorders>
              <w:top w:val="nil"/>
              <w:left w:val="nil"/>
              <w:bottom w:val="single" w:sz="4" w:space="0" w:color="auto"/>
              <w:right w:val="single" w:sz="4" w:space="0" w:color="auto"/>
            </w:tcBorders>
            <w:shd w:val="clear" w:color="auto" w:fill="auto"/>
            <w:hideMark/>
          </w:tcPr>
          <w:p w:rsidR="00647465" w:rsidRPr="00BD4B64" w:rsidRDefault="00647465" w:rsidP="00842F4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Ensemble</w:t>
            </w:r>
          </w:p>
        </w:tc>
        <w:tc>
          <w:tcPr>
            <w:tcW w:w="415" w:type="pct"/>
            <w:tcBorders>
              <w:top w:val="nil"/>
              <w:left w:val="nil"/>
              <w:bottom w:val="single" w:sz="4" w:space="0" w:color="auto"/>
              <w:right w:val="single" w:sz="4" w:space="0" w:color="auto"/>
            </w:tcBorders>
            <w:shd w:val="clear" w:color="auto" w:fill="auto"/>
            <w:hideMark/>
          </w:tcPr>
          <w:p w:rsidR="00647465" w:rsidRPr="00BD4B64" w:rsidRDefault="00647465" w:rsidP="00842F4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Urbain</w:t>
            </w:r>
          </w:p>
        </w:tc>
        <w:tc>
          <w:tcPr>
            <w:tcW w:w="413" w:type="pct"/>
            <w:tcBorders>
              <w:top w:val="nil"/>
              <w:left w:val="nil"/>
              <w:bottom w:val="single" w:sz="4" w:space="0" w:color="auto"/>
              <w:right w:val="single" w:sz="4" w:space="0" w:color="auto"/>
            </w:tcBorders>
            <w:shd w:val="clear" w:color="auto" w:fill="auto"/>
            <w:hideMark/>
          </w:tcPr>
          <w:p w:rsidR="00647465" w:rsidRPr="00BD4B64" w:rsidRDefault="00647465" w:rsidP="00842F4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Rural</w:t>
            </w:r>
          </w:p>
        </w:tc>
        <w:tc>
          <w:tcPr>
            <w:tcW w:w="550" w:type="pct"/>
            <w:tcBorders>
              <w:top w:val="nil"/>
              <w:left w:val="nil"/>
              <w:bottom w:val="single" w:sz="4" w:space="0" w:color="auto"/>
              <w:right w:val="single" w:sz="4" w:space="0" w:color="auto"/>
            </w:tcBorders>
            <w:shd w:val="clear" w:color="auto" w:fill="auto"/>
            <w:hideMark/>
          </w:tcPr>
          <w:p w:rsidR="00647465" w:rsidRPr="00BD4B64" w:rsidRDefault="00647465" w:rsidP="00842F4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Ensemble</w:t>
            </w:r>
          </w:p>
        </w:tc>
      </w:tr>
      <w:tr w:rsidR="00647465" w:rsidRPr="00BD4B64" w:rsidTr="00842F4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rPr>
                <w:rFonts w:ascii="Garamond" w:eastAsia="Times New Roman" w:hAnsi="Garamond" w:cs="Calibri"/>
                <w:b/>
                <w:bCs/>
                <w:color w:val="1F497D"/>
                <w:sz w:val="18"/>
                <w:szCs w:val="18"/>
              </w:rPr>
            </w:pPr>
            <w:r w:rsidRPr="00BD4B64">
              <w:rPr>
                <w:rFonts w:ascii="Garamond" w:eastAsia="Times New Roman" w:hAnsi="Garamond" w:cs="Calibri"/>
                <w:b/>
                <w:bCs/>
                <w:color w:val="1F497D"/>
                <w:sz w:val="18"/>
                <w:szCs w:val="18"/>
              </w:rPr>
              <w:t>Activité (des 15 ans et plus)</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100" w:firstLine="181"/>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Population active</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Pr="00842F44" w:rsidRDefault="00647465" w:rsidP="00842F44">
            <w:pPr>
              <w:spacing w:line="240" w:lineRule="auto"/>
              <w:jc w:val="center"/>
              <w:rPr>
                <w:rFonts w:ascii="Garamond" w:eastAsia="Times New Roman" w:hAnsi="Garamond" w:cs="Calibri"/>
                <w:b/>
                <w:bCs/>
                <w:color w:val="010205"/>
                <w:sz w:val="18"/>
                <w:szCs w:val="18"/>
              </w:rPr>
            </w:pPr>
            <w:r w:rsidRPr="00842F44">
              <w:rPr>
                <w:rFonts w:ascii="Garamond" w:eastAsia="Times New Roman" w:hAnsi="Garamond" w:cs="Calibri"/>
                <w:b/>
                <w:bCs/>
                <w:color w:val="010205"/>
                <w:sz w:val="18"/>
                <w:szCs w:val="18"/>
              </w:rPr>
              <w:t>7 591</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Pr="00842F44" w:rsidRDefault="00647465" w:rsidP="00842F44">
            <w:pPr>
              <w:spacing w:line="240" w:lineRule="auto"/>
              <w:jc w:val="center"/>
              <w:rPr>
                <w:rFonts w:ascii="Garamond" w:eastAsia="Times New Roman" w:hAnsi="Garamond" w:cs="Calibri"/>
                <w:b/>
                <w:bCs/>
                <w:color w:val="010205"/>
                <w:sz w:val="18"/>
                <w:szCs w:val="18"/>
              </w:rPr>
            </w:pPr>
            <w:r w:rsidRPr="00842F44">
              <w:rPr>
                <w:rFonts w:ascii="Garamond" w:eastAsia="Times New Roman" w:hAnsi="Garamond" w:cs="Calibri"/>
                <w:b/>
                <w:bCs/>
                <w:color w:val="010205"/>
                <w:sz w:val="18"/>
                <w:szCs w:val="18"/>
              </w:rPr>
              <w:t>4 599</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Pr="00842F44" w:rsidRDefault="00647465" w:rsidP="00842F44">
            <w:pPr>
              <w:spacing w:line="240" w:lineRule="auto"/>
              <w:ind w:firstLineChars="100" w:firstLine="181"/>
              <w:jc w:val="center"/>
              <w:rPr>
                <w:rFonts w:ascii="Garamond" w:eastAsia="Times New Roman" w:hAnsi="Garamond" w:cs="Calibri"/>
                <w:b/>
                <w:bCs/>
                <w:color w:val="010205"/>
                <w:sz w:val="18"/>
                <w:szCs w:val="18"/>
              </w:rPr>
            </w:pPr>
            <w:r w:rsidRPr="00842F44">
              <w:rPr>
                <w:rFonts w:ascii="Garamond" w:eastAsia="Times New Roman" w:hAnsi="Garamond" w:cs="Calibri"/>
                <w:b/>
                <w:bCs/>
                <w:color w:val="010205"/>
                <w:sz w:val="18"/>
                <w:szCs w:val="18"/>
              </w:rPr>
              <w:t>12 191</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Pr="00842F44" w:rsidRDefault="00647465" w:rsidP="00842F44">
            <w:pPr>
              <w:spacing w:line="240" w:lineRule="auto"/>
              <w:jc w:val="center"/>
              <w:rPr>
                <w:rFonts w:ascii="Garamond" w:eastAsia="Times New Roman" w:hAnsi="Garamond" w:cs="Calibri"/>
                <w:b/>
                <w:bCs/>
                <w:color w:val="010205"/>
                <w:sz w:val="18"/>
                <w:szCs w:val="18"/>
              </w:rPr>
            </w:pPr>
            <w:r w:rsidRPr="00842F44">
              <w:rPr>
                <w:rFonts w:ascii="Garamond" w:eastAsia="Times New Roman" w:hAnsi="Garamond" w:cs="Calibri"/>
                <w:b/>
                <w:bCs/>
                <w:color w:val="010205"/>
                <w:sz w:val="18"/>
                <w:szCs w:val="18"/>
              </w:rPr>
              <w:t>7 731</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Pr="00842F44" w:rsidRDefault="00647465" w:rsidP="00842F44">
            <w:pPr>
              <w:spacing w:line="240" w:lineRule="auto"/>
              <w:jc w:val="center"/>
              <w:rPr>
                <w:rFonts w:ascii="Garamond" w:eastAsia="Times New Roman" w:hAnsi="Garamond" w:cs="Calibri"/>
                <w:b/>
                <w:bCs/>
                <w:color w:val="010205"/>
                <w:sz w:val="18"/>
                <w:szCs w:val="18"/>
              </w:rPr>
            </w:pPr>
            <w:r w:rsidRPr="00842F44">
              <w:rPr>
                <w:rFonts w:ascii="Garamond" w:eastAsia="Times New Roman" w:hAnsi="Garamond" w:cs="Calibri"/>
                <w:b/>
                <w:bCs/>
                <w:color w:val="010205"/>
                <w:sz w:val="18"/>
                <w:szCs w:val="18"/>
              </w:rPr>
              <w:t>4 441</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Pr="00842F44" w:rsidRDefault="00647465" w:rsidP="00842F44">
            <w:pPr>
              <w:spacing w:line="240" w:lineRule="auto"/>
              <w:jc w:val="center"/>
              <w:rPr>
                <w:rFonts w:ascii="Garamond" w:eastAsia="Times New Roman" w:hAnsi="Garamond" w:cs="Calibri"/>
                <w:b/>
                <w:bCs/>
                <w:color w:val="010205"/>
                <w:sz w:val="18"/>
                <w:szCs w:val="18"/>
              </w:rPr>
            </w:pPr>
            <w:r w:rsidRPr="00842F44">
              <w:rPr>
                <w:rFonts w:ascii="Garamond" w:eastAsia="Times New Roman" w:hAnsi="Garamond" w:cs="Calibri"/>
                <w:b/>
                <w:bCs/>
                <w:color w:val="010205"/>
                <w:sz w:val="18"/>
                <w:szCs w:val="18"/>
              </w:rPr>
              <w:t>12 171</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Taux de féminisation de la population active</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spacing w:line="240" w:lineRule="auto"/>
              <w:ind w:firstLineChars="100" w:firstLine="180"/>
              <w:jc w:val="center"/>
              <w:rPr>
                <w:rFonts w:ascii="Garamond" w:eastAsia="Times New Roman" w:hAnsi="Garamond" w:cs="Calibri"/>
                <w:color w:val="000000"/>
                <w:sz w:val="18"/>
                <w:szCs w:val="18"/>
              </w:rPr>
            </w:pPr>
            <w:r w:rsidRPr="00042B0D">
              <w:rPr>
                <w:rFonts w:ascii="Garamond" w:eastAsia="Times New Roman" w:hAnsi="Garamond" w:cs="Calibri"/>
                <w:color w:val="000000"/>
                <w:sz w:val="18"/>
                <w:szCs w:val="18"/>
              </w:rPr>
              <w:t>22,5</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Pr="00042B0D" w:rsidRDefault="00647465" w:rsidP="00842F44">
            <w:pPr>
              <w:ind w:firstLineChars="100" w:firstLine="180"/>
              <w:jc w:val="center"/>
              <w:rPr>
                <w:rFonts w:ascii="Garamond" w:eastAsia="Times New Roman" w:hAnsi="Garamond" w:cs="Calibri"/>
                <w:color w:val="000000"/>
                <w:sz w:val="18"/>
                <w:szCs w:val="18"/>
              </w:rPr>
            </w:pPr>
            <w:r w:rsidRPr="00042B0D">
              <w:rPr>
                <w:rFonts w:ascii="Garamond" w:eastAsia="Times New Roman" w:hAnsi="Garamond" w:cs="Calibri"/>
                <w:color w:val="000000"/>
                <w:sz w:val="18"/>
                <w:szCs w:val="18"/>
              </w:rPr>
              <w:t>22,9</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Pr="00042B0D" w:rsidRDefault="00647465" w:rsidP="00842F44">
            <w:pPr>
              <w:ind w:firstLineChars="100" w:firstLine="180"/>
              <w:jc w:val="center"/>
              <w:rPr>
                <w:rFonts w:ascii="Garamond" w:eastAsia="Times New Roman" w:hAnsi="Garamond" w:cs="Calibri"/>
                <w:color w:val="000000"/>
                <w:sz w:val="18"/>
                <w:szCs w:val="18"/>
              </w:rPr>
            </w:pPr>
            <w:r w:rsidRPr="00042B0D">
              <w:rPr>
                <w:rFonts w:ascii="Garamond" w:eastAsia="Times New Roman" w:hAnsi="Garamond" w:cs="Calibri"/>
                <w:color w:val="000000"/>
                <w:sz w:val="18"/>
                <w:szCs w:val="18"/>
              </w:rPr>
              <w:t>22,6</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Pr="00042B0D" w:rsidRDefault="00647465" w:rsidP="00842F44">
            <w:pPr>
              <w:ind w:firstLineChars="100" w:firstLine="180"/>
              <w:jc w:val="center"/>
              <w:rPr>
                <w:rFonts w:ascii="Garamond" w:eastAsia="Times New Roman" w:hAnsi="Garamond" w:cs="Calibri"/>
                <w:color w:val="000000"/>
                <w:sz w:val="18"/>
                <w:szCs w:val="18"/>
              </w:rPr>
            </w:pPr>
            <w:r w:rsidRPr="00042B0D">
              <w:rPr>
                <w:rFonts w:ascii="Garamond" w:eastAsia="Times New Roman" w:hAnsi="Garamond" w:cs="Calibri"/>
                <w:color w:val="000000"/>
                <w:sz w:val="18"/>
                <w:szCs w:val="18"/>
              </w:rPr>
              <w:t>22,9</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Pr="00042B0D" w:rsidRDefault="00647465" w:rsidP="00842F44">
            <w:pPr>
              <w:ind w:firstLineChars="100" w:firstLine="180"/>
              <w:jc w:val="center"/>
              <w:rPr>
                <w:rFonts w:ascii="Garamond" w:eastAsia="Times New Roman" w:hAnsi="Garamond" w:cs="Calibri"/>
                <w:color w:val="000000"/>
                <w:sz w:val="18"/>
                <w:szCs w:val="18"/>
              </w:rPr>
            </w:pPr>
            <w:r w:rsidRPr="00042B0D">
              <w:rPr>
                <w:rFonts w:ascii="Garamond" w:eastAsia="Times New Roman" w:hAnsi="Garamond" w:cs="Calibri"/>
                <w:color w:val="000000"/>
                <w:sz w:val="18"/>
                <w:szCs w:val="18"/>
              </w:rPr>
              <w:t>20,7</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Pr="00042B0D" w:rsidRDefault="00647465" w:rsidP="00842F44">
            <w:pPr>
              <w:ind w:firstLineChars="100" w:firstLine="180"/>
              <w:jc w:val="center"/>
              <w:rPr>
                <w:rFonts w:ascii="Garamond" w:eastAsia="Times New Roman" w:hAnsi="Garamond" w:cs="Calibri"/>
                <w:color w:val="000000"/>
                <w:sz w:val="18"/>
                <w:szCs w:val="18"/>
              </w:rPr>
            </w:pPr>
            <w:r w:rsidRPr="00042B0D">
              <w:rPr>
                <w:rFonts w:ascii="Garamond" w:eastAsia="Times New Roman" w:hAnsi="Garamond" w:cs="Calibri"/>
                <w:color w:val="000000"/>
                <w:sz w:val="18"/>
                <w:szCs w:val="18"/>
              </w:rPr>
              <w:t>22,1</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100" w:firstLine="181"/>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Taux d'activité</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Pr="006D147C" w:rsidRDefault="00647465" w:rsidP="00842F44">
            <w:pPr>
              <w:spacing w:line="240" w:lineRule="auto"/>
              <w:ind w:firstLineChars="100" w:firstLine="181"/>
              <w:jc w:val="center"/>
              <w:rPr>
                <w:rFonts w:ascii="Garamond" w:eastAsia="Times New Roman" w:hAnsi="Garamond" w:cs="Calibri"/>
                <w:b/>
                <w:bCs/>
                <w:color w:val="000000"/>
                <w:sz w:val="18"/>
                <w:szCs w:val="18"/>
              </w:rPr>
            </w:pPr>
            <w:r w:rsidRPr="006D147C">
              <w:rPr>
                <w:rFonts w:ascii="Garamond" w:eastAsia="Times New Roman" w:hAnsi="Garamond" w:cs="Calibri"/>
                <w:b/>
                <w:bCs/>
                <w:color w:val="000000"/>
                <w:sz w:val="18"/>
                <w:szCs w:val="18"/>
              </w:rPr>
              <w:t>41,9</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Pr="006D147C" w:rsidRDefault="00647465" w:rsidP="00842F44">
            <w:pPr>
              <w:spacing w:line="240" w:lineRule="auto"/>
              <w:ind w:firstLineChars="100" w:firstLine="181"/>
              <w:jc w:val="center"/>
              <w:rPr>
                <w:rFonts w:ascii="Garamond" w:eastAsia="Times New Roman" w:hAnsi="Garamond" w:cs="Calibri"/>
                <w:b/>
                <w:bCs/>
                <w:color w:val="000000"/>
                <w:sz w:val="18"/>
                <w:szCs w:val="18"/>
              </w:rPr>
            </w:pPr>
            <w:r w:rsidRPr="006D147C">
              <w:rPr>
                <w:rFonts w:ascii="Garamond" w:eastAsia="Times New Roman" w:hAnsi="Garamond" w:cs="Calibri"/>
                <w:b/>
                <w:bCs/>
                <w:color w:val="000000"/>
                <w:sz w:val="18"/>
                <w:szCs w:val="18"/>
              </w:rPr>
              <w:t>49,1</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Pr="006D147C" w:rsidRDefault="00647465" w:rsidP="00842F44">
            <w:pPr>
              <w:spacing w:line="240" w:lineRule="auto"/>
              <w:ind w:firstLineChars="100" w:firstLine="181"/>
              <w:jc w:val="center"/>
              <w:rPr>
                <w:rFonts w:ascii="Garamond" w:eastAsia="Times New Roman" w:hAnsi="Garamond" w:cs="Calibri"/>
                <w:b/>
                <w:bCs/>
                <w:color w:val="000000"/>
                <w:sz w:val="18"/>
                <w:szCs w:val="18"/>
              </w:rPr>
            </w:pPr>
            <w:r w:rsidRPr="006D147C">
              <w:rPr>
                <w:rFonts w:ascii="Garamond" w:eastAsia="Times New Roman" w:hAnsi="Garamond" w:cs="Calibri"/>
                <w:b/>
                <w:bCs/>
                <w:color w:val="000000"/>
                <w:sz w:val="18"/>
                <w:szCs w:val="18"/>
              </w:rPr>
              <w:t>44,3</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Pr="006D147C" w:rsidRDefault="00647465" w:rsidP="00842F44">
            <w:pPr>
              <w:spacing w:line="240" w:lineRule="auto"/>
              <w:ind w:firstLineChars="100" w:firstLine="181"/>
              <w:jc w:val="center"/>
              <w:rPr>
                <w:rFonts w:ascii="Garamond" w:eastAsia="Times New Roman" w:hAnsi="Garamond" w:cs="Calibri"/>
                <w:b/>
                <w:bCs/>
                <w:color w:val="000000"/>
                <w:sz w:val="18"/>
                <w:szCs w:val="18"/>
              </w:rPr>
            </w:pPr>
            <w:r w:rsidRPr="006D147C">
              <w:rPr>
                <w:rFonts w:ascii="Garamond" w:eastAsia="Times New Roman" w:hAnsi="Garamond" w:cs="Calibri"/>
                <w:b/>
                <w:bCs/>
                <w:color w:val="000000"/>
                <w:sz w:val="18"/>
                <w:szCs w:val="18"/>
              </w:rPr>
              <w:t>41,8</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Pr="006D147C" w:rsidRDefault="00647465" w:rsidP="00842F44">
            <w:pPr>
              <w:spacing w:line="240" w:lineRule="auto"/>
              <w:ind w:firstLineChars="100" w:firstLine="181"/>
              <w:jc w:val="center"/>
              <w:rPr>
                <w:rFonts w:ascii="Garamond" w:eastAsia="Times New Roman" w:hAnsi="Garamond" w:cs="Calibri"/>
                <w:b/>
                <w:bCs/>
                <w:color w:val="000000"/>
                <w:sz w:val="18"/>
                <w:szCs w:val="18"/>
              </w:rPr>
            </w:pPr>
            <w:r w:rsidRPr="006D147C">
              <w:rPr>
                <w:rFonts w:ascii="Garamond" w:eastAsia="Times New Roman" w:hAnsi="Garamond" w:cs="Calibri"/>
                <w:b/>
                <w:bCs/>
                <w:color w:val="000000"/>
                <w:sz w:val="18"/>
                <w:szCs w:val="18"/>
              </w:rPr>
              <w:t>47,3</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Pr="006D147C" w:rsidRDefault="00647465" w:rsidP="00842F44">
            <w:pPr>
              <w:spacing w:line="240" w:lineRule="auto"/>
              <w:ind w:firstLineChars="100" w:firstLine="181"/>
              <w:jc w:val="center"/>
              <w:rPr>
                <w:rFonts w:ascii="Garamond" w:eastAsia="Times New Roman" w:hAnsi="Garamond" w:cs="Calibri"/>
                <w:b/>
                <w:bCs/>
                <w:color w:val="000000"/>
                <w:sz w:val="18"/>
                <w:szCs w:val="18"/>
              </w:rPr>
            </w:pPr>
            <w:r w:rsidRPr="006D147C">
              <w:rPr>
                <w:rFonts w:ascii="Garamond" w:eastAsia="Times New Roman" w:hAnsi="Garamond" w:cs="Calibri"/>
                <w:b/>
                <w:bCs/>
                <w:color w:val="000000"/>
                <w:sz w:val="18"/>
                <w:szCs w:val="18"/>
              </w:rPr>
              <w:t>43,6</w:t>
            </w:r>
          </w:p>
        </w:tc>
      </w:tr>
      <w:tr w:rsidR="00647465" w:rsidRPr="00BD4B64" w:rsidTr="00842F44">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i/>
                <w:iCs/>
                <w:color w:val="000000"/>
                <w:sz w:val="18"/>
                <w:szCs w:val="18"/>
              </w:rPr>
            </w:pPr>
            <w:r w:rsidRPr="00BD4B64">
              <w:rPr>
                <w:rFonts w:ascii="Garamond" w:eastAsia="Times New Roman" w:hAnsi="Garamond" w:cs="Calibri"/>
                <w:i/>
                <w:iCs/>
                <w:color w:val="000000"/>
                <w:sz w:val="18"/>
                <w:szCs w:val="18"/>
              </w:rPr>
              <w:t>• Selon le sexe</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Hommes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67,0</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74,4</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69,6</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66,5</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73,6</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69,0</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Femmes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18,3</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22,8</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19,8</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18,5</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19,9</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19,0</w:t>
            </w:r>
          </w:p>
        </w:tc>
      </w:tr>
      <w:tr w:rsidR="00647465" w:rsidRPr="00BD4B64" w:rsidTr="00842F44">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i/>
                <w:iCs/>
                <w:color w:val="000000"/>
                <w:sz w:val="18"/>
                <w:szCs w:val="18"/>
              </w:rPr>
            </w:pPr>
            <w:r w:rsidRPr="00BD4B64">
              <w:rPr>
                <w:rFonts w:ascii="Garamond" w:eastAsia="Times New Roman" w:hAnsi="Garamond" w:cs="Calibri"/>
                <w:i/>
                <w:iCs/>
                <w:color w:val="000000"/>
                <w:sz w:val="18"/>
                <w:szCs w:val="18"/>
              </w:rPr>
              <w:t>• Selon l'âge</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15-24 ans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20,3</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26,5</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22,8</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20,7</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25,5</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22,6</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25-34 ans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59,6</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60,7</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59,9</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60,1</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59,7</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60,0</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35-44 ans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57,1</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64,3</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59,4</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56,3</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62,1</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58,1</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45 ans et plus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35,3</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51,0</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40,5</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35,1</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48,6</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39,5</w:t>
            </w:r>
          </w:p>
        </w:tc>
      </w:tr>
      <w:tr w:rsidR="00647465" w:rsidRPr="00BD4B64" w:rsidTr="00842F44">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i/>
                <w:iCs/>
                <w:color w:val="000000"/>
                <w:sz w:val="18"/>
                <w:szCs w:val="18"/>
              </w:rPr>
            </w:pPr>
            <w:r w:rsidRPr="00BD4B64">
              <w:rPr>
                <w:rFonts w:ascii="Garamond" w:eastAsia="Times New Roman" w:hAnsi="Garamond" w:cs="Calibri"/>
                <w:i/>
                <w:iCs/>
                <w:color w:val="000000"/>
                <w:sz w:val="18"/>
                <w:szCs w:val="18"/>
              </w:rPr>
              <w:t>• Selon le diplôme</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Non diplômés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34,6</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51,5</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42,3</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34,0</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49,3</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40,9</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Diplômés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46,8</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44,2</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46,2</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47,0</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43,3</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46,2</w:t>
            </w:r>
          </w:p>
        </w:tc>
      </w:tr>
      <w:tr w:rsidR="00647465" w:rsidRPr="00BD4B64" w:rsidTr="00842F44">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47465" w:rsidRPr="00BD4B64" w:rsidRDefault="00647465" w:rsidP="00842F44">
            <w:pPr>
              <w:spacing w:line="240" w:lineRule="auto"/>
              <w:rPr>
                <w:rFonts w:ascii="Garamond" w:eastAsia="Times New Roman" w:hAnsi="Garamond" w:cs="Calibri"/>
                <w:b/>
                <w:bCs/>
                <w:color w:val="1F497D"/>
                <w:sz w:val="18"/>
                <w:szCs w:val="18"/>
              </w:rPr>
            </w:pPr>
            <w:r w:rsidRPr="00BD4B64">
              <w:rPr>
                <w:rFonts w:ascii="Garamond" w:eastAsia="Times New Roman" w:hAnsi="Garamond" w:cs="Calibri"/>
                <w:b/>
                <w:bCs/>
                <w:color w:val="1F497D"/>
                <w:sz w:val="18"/>
                <w:szCs w:val="18"/>
              </w:rPr>
              <w:t>Emploi (des 15 ans et plus)</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Population active occupée</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spacing w:line="240" w:lineRule="auto"/>
              <w:ind w:firstLineChars="100" w:firstLine="181"/>
              <w:jc w:val="center"/>
              <w:rPr>
                <w:rFonts w:ascii="Garamond" w:eastAsia="Times New Roman" w:hAnsi="Garamond" w:cs="Calibri"/>
                <w:b/>
                <w:bCs/>
                <w:color w:val="010205"/>
                <w:sz w:val="18"/>
                <w:szCs w:val="18"/>
              </w:rPr>
            </w:pPr>
            <w:r w:rsidRPr="00AD5CDC">
              <w:rPr>
                <w:rFonts w:ascii="Garamond" w:hAnsi="Garamond" w:cs="Calibri"/>
                <w:b/>
                <w:bCs/>
                <w:color w:val="010205"/>
                <w:sz w:val="18"/>
                <w:szCs w:val="18"/>
              </w:rPr>
              <w:t>6 390</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10205"/>
                <w:sz w:val="18"/>
                <w:szCs w:val="18"/>
              </w:rPr>
            </w:pPr>
            <w:r w:rsidRPr="00AD5CDC">
              <w:rPr>
                <w:rFonts w:ascii="Garamond" w:hAnsi="Garamond" w:cs="Calibri"/>
                <w:b/>
                <w:bCs/>
                <w:color w:val="010205"/>
                <w:sz w:val="18"/>
                <w:szCs w:val="18"/>
              </w:rPr>
              <w:t>4 359</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10205"/>
                <w:sz w:val="18"/>
                <w:szCs w:val="18"/>
              </w:rPr>
            </w:pPr>
            <w:r w:rsidRPr="00AD5CDC">
              <w:rPr>
                <w:rFonts w:ascii="Garamond" w:hAnsi="Garamond" w:cs="Calibri"/>
                <w:b/>
                <w:bCs/>
                <w:color w:val="010205"/>
                <w:sz w:val="18"/>
                <w:szCs w:val="18"/>
              </w:rPr>
              <w:t>10 749</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10205"/>
                <w:sz w:val="18"/>
                <w:szCs w:val="18"/>
              </w:rPr>
            </w:pPr>
            <w:r w:rsidRPr="00AD5CDC">
              <w:rPr>
                <w:rFonts w:ascii="Garamond" w:hAnsi="Garamond" w:cs="Calibri"/>
                <w:b/>
                <w:bCs/>
                <w:color w:val="010205"/>
                <w:sz w:val="18"/>
                <w:szCs w:val="18"/>
              </w:rPr>
              <w:t>6 431</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10205"/>
                <w:sz w:val="18"/>
                <w:szCs w:val="18"/>
              </w:rPr>
            </w:pPr>
            <w:r w:rsidRPr="00AD5CDC">
              <w:rPr>
                <w:rFonts w:ascii="Garamond" w:hAnsi="Garamond" w:cs="Calibri"/>
                <w:b/>
                <w:bCs/>
                <w:color w:val="010205"/>
                <w:sz w:val="18"/>
                <w:szCs w:val="18"/>
              </w:rPr>
              <w:t>4 160</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10205"/>
                <w:sz w:val="18"/>
                <w:szCs w:val="18"/>
              </w:rPr>
            </w:pPr>
            <w:r w:rsidRPr="00AD5CDC">
              <w:rPr>
                <w:rFonts w:ascii="Garamond" w:hAnsi="Garamond" w:cs="Calibri"/>
                <w:b/>
                <w:bCs/>
                <w:color w:val="010205"/>
                <w:sz w:val="18"/>
                <w:szCs w:val="18"/>
              </w:rPr>
              <w:t>10 591</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Taux d'emploi</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35,3</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46,5</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39,1</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34,8</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44,3</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38,0</w:t>
            </w:r>
          </w:p>
        </w:tc>
      </w:tr>
      <w:tr w:rsidR="00647465" w:rsidRPr="00BD4B64" w:rsidTr="00842F44">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i/>
                <w:iCs/>
                <w:color w:val="000000"/>
                <w:sz w:val="18"/>
                <w:szCs w:val="18"/>
              </w:rPr>
            </w:pPr>
            <w:r w:rsidRPr="00BD4B64">
              <w:rPr>
                <w:rFonts w:ascii="Garamond" w:eastAsia="Times New Roman" w:hAnsi="Garamond" w:cs="Calibri"/>
                <w:i/>
                <w:iCs/>
                <w:color w:val="000000"/>
                <w:sz w:val="18"/>
                <w:szCs w:val="18"/>
              </w:rPr>
              <w:t>• Selon le sexe</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Hommes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58,2</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70,3</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62,4</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56,9</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68,8</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61,1</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Femmes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13,7</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21,9</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16,4</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13,9</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18,8</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15,5</w:t>
            </w:r>
          </w:p>
        </w:tc>
      </w:tr>
      <w:tr w:rsidR="00647465" w:rsidRPr="00BD4B64" w:rsidTr="00842F44">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47465" w:rsidRPr="00BD4B64" w:rsidRDefault="00647465" w:rsidP="00842F44">
            <w:pPr>
              <w:spacing w:line="240" w:lineRule="auto"/>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Structure de l'emploi selon les secteurs d'activité économique</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Agriculture, forêt et pêche</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4,4</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65,8</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29,3</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4,4</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64,0</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27,8</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color w:val="000000"/>
                <w:sz w:val="18"/>
                <w:szCs w:val="18"/>
              </w:rPr>
            </w:pPr>
            <w:r w:rsidRPr="001F5B45">
              <w:rPr>
                <w:rFonts w:ascii="Garamond" w:eastAsia="Times New Roman" w:hAnsi="Garamond" w:cs="Calibri"/>
                <w:color w:val="000000"/>
                <w:sz w:val="18"/>
                <w:szCs w:val="18"/>
              </w:rPr>
              <w:t>Industrie y compris l’artisanat</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16,9</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4,9</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12,0</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16,8</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5,2</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12,2</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BTP</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12,3</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9,7</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11,2</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12,2</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10,7</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11,6</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Services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66,4</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19,6</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47,4</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66,5</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20,2</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48,3</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Part de l'emploi rémunéré dans l'emploi total, dont :</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97,5</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72,2</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87,2</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97,8</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75,4</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89,0</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Salariés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67,2</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46,8</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60,3</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72,7</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53,0</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66,2</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Auto-employés</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32,8</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53,2</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39,7</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27,3</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47,0</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33,8</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Population active occupée en sous-emploi</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spacing w:line="240" w:lineRule="auto"/>
              <w:ind w:firstLineChars="100" w:firstLine="181"/>
              <w:jc w:val="center"/>
              <w:rPr>
                <w:rFonts w:ascii="Garamond" w:eastAsia="Times New Roman" w:hAnsi="Garamond" w:cs="Calibri"/>
                <w:b/>
                <w:bCs/>
                <w:color w:val="010205"/>
                <w:sz w:val="18"/>
                <w:szCs w:val="18"/>
              </w:rPr>
            </w:pPr>
            <w:r w:rsidRPr="00AD5CDC">
              <w:rPr>
                <w:rFonts w:ascii="Garamond" w:hAnsi="Garamond" w:cs="Calibri"/>
                <w:b/>
                <w:bCs/>
                <w:color w:val="010205"/>
                <w:sz w:val="18"/>
                <w:szCs w:val="18"/>
              </w:rPr>
              <w:t>520</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10205"/>
                <w:sz w:val="18"/>
                <w:szCs w:val="18"/>
              </w:rPr>
            </w:pPr>
            <w:r w:rsidRPr="00AD5CDC">
              <w:rPr>
                <w:rFonts w:ascii="Garamond" w:hAnsi="Garamond" w:cs="Calibri"/>
                <w:b/>
                <w:bCs/>
                <w:color w:val="010205"/>
                <w:sz w:val="18"/>
                <w:szCs w:val="18"/>
              </w:rPr>
              <w:t>452</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10205"/>
                <w:sz w:val="18"/>
                <w:szCs w:val="18"/>
              </w:rPr>
            </w:pPr>
            <w:r w:rsidRPr="00AD5CDC">
              <w:rPr>
                <w:rFonts w:ascii="Garamond" w:hAnsi="Garamond" w:cs="Calibri"/>
                <w:b/>
                <w:bCs/>
                <w:color w:val="010205"/>
                <w:sz w:val="18"/>
                <w:szCs w:val="18"/>
              </w:rPr>
              <w:t>972</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10205"/>
                <w:sz w:val="18"/>
                <w:szCs w:val="18"/>
              </w:rPr>
            </w:pPr>
            <w:r w:rsidRPr="00AD5CDC">
              <w:rPr>
                <w:rFonts w:ascii="Garamond" w:hAnsi="Garamond" w:cs="Calibri"/>
                <w:b/>
                <w:bCs/>
                <w:color w:val="010205"/>
                <w:sz w:val="18"/>
                <w:szCs w:val="18"/>
              </w:rPr>
              <w:t>560</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10205"/>
                <w:sz w:val="18"/>
                <w:szCs w:val="18"/>
              </w:rPr>
            </w:pPr>
            <w:r w:rsidRPr="00AD5CDC">
              <w:rPr>
                <w:rFonts w:ascii="Garamond" w:hAnsi="Garamond" w:cs="Calibri"/>
                <w:b/>
                <w:bCs/>
                <w:color w:val="010205"/>
                <w:sz w:val="18"/>
                <w:szCs w:val="18"/>
              </w:rPr>
              <w:t>483</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10205"/>
                <w:sz w:val="18"/>
                <w:szCs w:val="18"/>
              </w:rPr>
            </w:pPr>
            <w:r w:rsidRPr="00AD5CDC">
              <w:rPr>
                <w:rFonts w:ascii="Garamond" w:hAnsi="Garamond" w:cs="Calibri"/>
                <w:b/>
                <w:bCs/>
                <w:color w:val="010205"/>
                <w:sz w:val="18"/>
                <w:szCs w:val="18"/>
              </w:rPr>
              <w:t>1 043</w:t>
            </w:r>
          </w:p>
        </w:tc>
      </w:tr>
      <w:tr w:rsidR="00647465" w:rsidRPr="00BD4B64" w:rsidTr="00842F44">
        <w:trPr>
          <w:trHeight w:val="315"/>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Taux de sous-emploi</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spacing w:line="240" w:lineRule="auto"/>
              <w:ind w:firstLineChars="100" w:firstLine="181"/>
              <w:jc w:val="center"/>
              <w:rPr>
                <w:rFonts w:ascii="Garamond" w:eastAsia="Times New Roman" w:hAnsi="Garamond" w:cs="Calibri"/>
                <w:b/>
                <w:bCs/>
                <w:color w:val="000000"/>
                <w:sz w:val="18"/>
                <w:szCs w:val="18"/>
              </w:rPr>
            </w:pPr>
            <w:r w:rsidRPr="00AD5CDC">
              <w:rPr>
                <w:rFonts w:ascii="Garamond" w:hAnsi="Garamond" w:cs="Calibri"/>
                <w:b/>
                <w:bCs/>
                <w:color w:val="000000"/>
                <w:sz w:val="18"/>
                <w:szCs w:val="18"/>
              </w:rPr>
              <w:t>8,1</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10,4</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9,0</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8,7</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11,6</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Pr="00AD5CDC" w:rsidRDefault="00647465" w:rsidP="00842F44">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9,8</w:t>
            </w:r>
          </w:p>
        </w:tc>
      </w:tr>
      <w:tr w:rsidR="00647465" w:rsidRPr="00BD4B64" w:rsidTr="00842F44">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47465" w:rsidRPr="00BD4B64" w:rsidRDefault="00647465" w:rsidP="00842F44">
            <w:pPr>
              <w:spacing w:line="240" w:lineRule="auto"/>
              <w:ind w:firstLineChars="200" w:firstLine="360"/>
              <w:rPr>
                <w:rFonts w:ascii="Garamond" w:eastAsia="Times New Roman" w:hAnsi="Garamond" w:cs="Calibri"/>
                <w:i/>
                <w:iCs/>
                <w:color w:val="000000"/>
                <w:sz w:val="18"/>
                <w:szCs w:val="18"/>
              </w:rPr>
            </w:pPr>
            <w:r w:rsidRPr="00BD4B64">
              <w:rPr>
                <w:rFonts w:ascii="Garamond" w:eastAsia="Times New Roman" w:hAnsi="Garamond" w:cs="Calibri"/>
                <w:i/>
                <w:iCs/>
                <w:color w:val="000000"/>
                <w:sz w:val="18"/>
                <w:szCs w:val="18"/>
              </w:rPr>
              <w:t>• Selon la forme de sous-emploi</w:t>
            </w:r>
          </w:p>
        </w:tc>
      </w:tr>
      <w:tr w:rsidR="00647465" w:rsidRPr="00BD4B64" w:rsidTr="00842F44">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Sous-emploi visible (lié à la durée de travail)</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3,3</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5,1</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4,1</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4,0</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6,2</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00000"/>
                <w:sz w:val="18"/>
                <w:szCs w:val="18"/>
              </w:rPr>
            </w:pPr>
            <w:r>
              <w:rPr>
                <w:rFonts w:ascii="Garamond" w:hAnsi="Garamond" w:cs="Calibri"/>
                <w:color w:val="000000"/>
                <w:sz w:val="18"/>
                <w:szCs w:val="18"/>
              </w:rPr>
              <w:t>4,8</w:t>
            </w:r>
          </w:p>
        </w:tc>
      </w:tr>
      <w:tr w:rsidR="00647465" w:rsidRPr="00BD4B64" w:rsidTr="00842F44">
        <w:trPr>
          <w:trHeight w:val="284"/>
        </w:trPr>
        <w:tc>
          <w:tcPr>
            <w:tcW w:w="2231" w:type="pct"/>
            <w:tcBorders>
              <w:top w:val="nil"/>
              <w:left w:val="single" w:sz="4" w:space="0" w:color="auto"/>
              <w:bottom w:val="single" w:sz="4" w:space="0" w:color="auto"/>
              <w:right w:val="single" w:sz="4" w:space="0" w:color="auto"/>
            </w:tcBorders>
            <w:shd w:val="clear" w:color="auto" w:fill="auto"/>
            <w:vAlign w:val="center"/>
            <w:hideMark/>
          </w:tcPr>
          <w:p w:rsidR="00647465" w:rsidRPr="00BD4B64" w:rsidRDefault="00647465" w:rsidP="00842F44">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Sous-emploi invisible (lié aux revenus d'activité et à l'adéquation formation-emploi)</w:t>
            </w:r>
          </w:p>
        </w:tc>
        <w:tc>
          <w:tcPr>
            <w:tcW w:w="422"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10205"/>
                <w:sz w:val="18"/>
                <w:szCs w:val="18"/>
              </w:rPr>
            </w:pPr>
            <w:r>
              <w:rPr>
                <w:rFonts w:ascii="Garamond" w:hAnsi="Garamond" w:cs="Calibri"/>
                <w:color w:val="010205"/>
                <w:sz w:val="18"/>
                <w:szCs w:val="18"/>
              </w:rPr>
              <w:t>4,8</w:t>
            </w:r>
          </w:p>
        </w:tc>
        <w:tc>
          <w:tcPr>
            <w:tcW w:w="421"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10205"/>
                <w:sz w:val="18"/>
                <w:szCs w:val="18"/>
              </w:rPr>
            </w:pPr>
            <w:r>
              <w:rPr>
                <w:rFonts w:ascii="Garamond" w:hAnsi="Garamond" w:cs="Calibri"/>
                <w:color w:val="010205"/>
                <w:sz w:val="18"/>
                <w:szCs w:val="18"/>
              </w:rPr>
              <w:t>5,2</w:t>
            </w:r>
          </w:p>
        </w:tc>
        <w:tc>
          <w:tcPr>
            <w:tcW w:w="548"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10205"/>
                <w:sz w:val="18"/>
                <w:szCs w:val="18"/>
              </w:rPr>
            </w:pPr>
            <w:r>
              <w:rPr>
                <w:rFonts w:ascii="Garamond" w:hAnsi="Garamond" w:cs="Calibri"/>
                <w:color w:val="010205"/>
                <w:sz w:val="18"/>
                <w:szCs w:val="18"/>
              </w:rPr>
              <w:t>5,0</w:t>
            </w:r>
          </w:p>
        </w:tc>
        <w:tc>
          <w:tcPr>
            <w:tcW w:w="415"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10205"/>
                <w:sz w:val="18"/>
                <w:szCs w:val="18"/>
              </w:rPr>
            </w:pPr>
            <w:r>
              <w:rPr>
                <w:rFonts w:ascii="Garamond" w:hAnsi="Garamond" w:cs="Calibri"/>
                <w:color w:val="010205"/>
                <w:sz w:val="18"/>
                <w:szCs w:val="18"/>
              </w:rPr>
              <w:t>4,8</w:t>
            </w:r>
          </w:p>
        </w:tc>
        <w:tc>
          <w:tcPr>
            <w:tcW w:w="413"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10205"/>
                <w:sz w:val="18"/>
                <w:szCs w:val="18"/>
              </w:rPr>
            </w:pPr>
            <w:r>
              <w:rPr>
                <w:rFonts w:ascii="Garamond" w:hAnsi="Garamond" w:cs="Calibri"/>
                <w:color w:val="010205"/>
                <w:sz w:val="18"/>
                <w:szCs w:val="18"/>
              </w:rPr>
              <w:t>5,4</w:t>
            </w:r>
          </w:p>
        </w:tc>
        <w:tc>
          <w:tcPr>
            <w:tcW w:w="550" w:type="pct"/>
            <w:tcBorders>
              <w:top w:val="nil"/>
              <w:left w:val="nil"/>
              <w:bottom w:val="single" w:sz="4" w:space="0" w:color="auto"/>
              <w:right w:val="single" w:sz="4" w:space="0" w:color="auto"/>
            </w:tcBorders>
            <w:shd w:val="clear" w:color="auto" w:fill="auto"/>
            <w:noWrap/>
            <w:vAlign w:val="center"/>
            <w:hideMark/>
          </w:tcPr>
          <w:p w:rsidR="00647465" w:rsidRDefault="00647465" w:rsidP="00842F44">
            <w:pPr>
              <w:ind w:firstLineChars="100" w:firstLine="180"/>
              <w:jc w:val="center"/>
              <w:rPr>
                <w:rFonts w:ascii="Garamond" w:hAnsi="Garamond" w:cs="Calibri"/>
                <w:color w:val="010205"/>
                <w:sz w:val="18"/>
                <w:szCs w:val="18"/>
              </w:rPr>
            </w:pPr>
            <w:r>
              <w:rPr>
                <w:rFonts w:ascii="Garamond" w:hAnsi="Garamond" w:cs="Calibri"/>
                <w:color w:val="010205"/>
                <w:sz w:val="18"/>
                <w:szCs w:val="18"/>
              </w:rPr>
              <w:t>5,0</w:t>
            </w:r>
          </w:p>
        </w:tc>
      </w:tr>
    </w:tbl>
    <w:p w:rsidR="004E2812" w:rsidRPr="00BD4B64" w:rsidRDefault="004E2812" w:rsidP="004E2812">
      <w:pPr>
        <w:rPr>
          <w:rFonts w:ascii="Book Antiqua" w:eastAsia="Times New Roman" w:hAnsi="Book Antiqua" w:cs="Browallia New"/>
          <w:b/>
          <w:bCs/>
        </w:rPr>
      </w:pPr>
    </w:p>
    <w:p w:rsidR="004E2812" w:rsidRPr="00BD4B64" w:rsidRDefault="004E2812" w:rsidP="004E2812">
      <w:pPr>
        <w:rPr>
          <w:rFonts w:ascii="Book Antiqua" w:eastAsia="Times New Roman" w:hAnsi="Book Antiqua" w:cs="Browallia New"/>
          <w:b/>
          <w:bCs/>
        </w:rPr>
      </w:pPr>
      <w:r w:rsidRPr="00BD4B64">
        <w:rPr>
          <w:rFonts w:ascii="Book Antiqua" w:eastAsia="Times New Roman" w:hAnsi="Book Antiqua" w:cs="Browallia New"/>
          <w:b/>
          <w:bCs/>
        </w:rPr>
        <w:br w:type="page"/>
      </w:r>
    </w:p>
    <w:p w:rsidR="004E2812" w:rsidRPr="00BD4B64" w:rsidRDefault="004E2812" w:rsidP="004E2812">
      <w:pPr>
        <w:rPr>
          <w:rFonts w:ascii="Book Antiqua" w:eastAsia="Times New Roman" w:hAnsi="Book Antiqua" w:cs="Browallia New"/>
          <w:b/>
          <w:bCs/>
        </w:rPr>
      </w:pPr>
      <w:r w:rsidRPr="00BD4B64">
        <w:rPr>
          <w:rFonts w:ascii="Book Antiqua" w:eastAsia="Times New Roman" w:hAnsi="Book Antiqua" w:cs="Browallia New"/>
          <w:b/>
          <w:bCs/>
        </w:rPr>
        <w:lastRenderedPageBreak/>
        <w:t>Tableau1 (Suite) : Indicateurs annuels d’activité, d’emploi et de chômage par milieu de résidence</w:t>
      </w:r>
    </w:p>
    <w:tbl>
      <w:tblPr>
        <w:tblW w:w="5000" w:type="pct"/>
        <w:tblCellMar>
          <w:left w:w="70" w:type="dxa"/>
          <w:right w:w="70" w:type="dxa"/>
        </w:tblCellMar>
        <w:tblLook w:val="04A0"/>
      </w:tblPr>
      <w:tblGrid>
        <w:gridCol w:w="4111"/>
        <w:gridCol w:w="775"/>
        <w:gridCol w:w="775"/>
        <w:gridCol w:w="1010"/>
        <w:gridCol w:w="765"/>
        <w:gridCol w:w="761"/>
        <w:gridCol w:w="1015"/>
      </w:tblGrid>
      <w:tr w:rsidR="00FF0E14" w:rsidRPr="00BD4B64" w:rsidTr="00CA5CF1">
        <w:trPr>
          <w:trHeight w:val="315"/>
        </w:trPr>
        <w:tc>
          <w:tcPr>
            <w:tcW w:w="2231" w:type="pct"/>
            <w:vMerge w:val="restart"/>
            <w:tcBorders>
              <w:top w:val="single" w:sz="4" w:space="0" w:color="auto"/>
              <w:left w:val="single" w:sz="4" w:space="0" w:color="auto"/>
              <w:right w:val="single" w:sz="4" w:space="0" w:color="auto"/>
            </w:tcBorders>
            <w:shd w:val="clear" w:color="auto" w:fill="auto"/>
            <w:vAlign w:val="center"/>
            <w:hideMark/>
          </w:tcPr>
          <w:p w:rsidR="00FF0E14" w:rsidRPr="00BD4B64" w:rsidRDefault="00FF0E14" w:rsidP="00CA5CF1">
            <w:pPr>
              <w:spacing w:line="240" w:lineRule="auto"/>
              <w:ind w:firstLineChars="100" w:firstLine="180"/>
              <w:rPr>
                <w:rFonts w:ascii="Garamond" w:eastAsia="Times New Roman" w:hAnsi="Garamond" w:cs="Calibri"/>
                <w:color w:val="000000"/>
                <w:sz w:val="18"/>
                <w:szCs w:val="18"/>
              </w:rPr>
            </w:pPr>
          </w:p>
        </w:tc>
        <w:tc>
          <w:tcPr>
            <w:tcW w:w="1389" w:type="pct"/>
            <w:gridSpan w:val="3"/>
            <w:tcBorders>
              <w:top w:val="single" w:sz="4" w:space="0" w:color="auto"/>
              <w:left w:val="nil"/>
              <w:bottom w:val="single" w:sz="4" w:space="0" w:color="auto"/>
              <w:right w:val="single" w:sz="4" w:space="0" w:color="auto"/>
            </w:tcBorders>
            <w:shd w:val="clear" w:color="auto" w:fill="auto"/>
            <w:noWrap/>
            <w:hideMark/>
          </w:tcPr>
          <w:p w:rsidR="00FF0E14" w:rsidRPr="00BD4B64" w:rsidRDefault="00B84A96" w:rsidP="00FF0E14">
            <w:pPr>
              <w:spacing w:line="240" w:lineRule="auto"/>
              <w:jc w:val="center"/>
              <w:rPr>
                <w:rFonts w:ascii="Garamond" w:eastAsia="Times New Roman" w:hAnsi="Garamond" w:cs="Calibri"/>
                <w:b/>
                <w:bCs/>
                <w:color w:val="000000"/>
                <w:sz w:val="18"/>
                <w:szCs w:val="18"/>
              </w:rPr>
            </w:pPr>
            <w:r>
              <w:rPr>
                <w:rFonts w:ascii="Garamond" w:eastAsia="Times New Roman" w:hAnsi="Garamond" w:cs="Calibri"/>
                <w:b/>
                <w:bCs/>
                <w:color w:val="000000"/>
                <w:sz w:val="18"/>
                <w:szCs w:val="18"/>
              </w:rPr>
              <w:t>2022</w:t>
            </w:r>
          </w:p>
        </w:tc>
        <w:tc>
          <w:tcPr>
            <w:tcW w:w="1379" w:type="pct"/>
            <w:gridSpan w:val="3"/>
            <w:tcBorders>
              <w:top w:val="single" w:sz="4" w:space="0" w:color="auto"/>
              <w:left w:val="nil"/>
              <w:bottom w:val="single" w:sz="4" w:space="0" w:color="auto"/>
              <w:right w:val="single" w:sz="4" w:space="0" w:color="auto"/>
            </w:tcBorders>
            <w:shd w:val="clear" w:color="auto" w:fill="auto"/>
            <w:noWrap/>
            <w:hideMark/>
          </w:tcPr>
          <w:p w:rsidR="00FF0E14" w:rsidRPr="00BD4B64" w:rsidRDefault="00B84A96" w:rsidP="00FF0E14">
            <w:pPr>
              <w:spacing w:line="240" w:lineRule="auto"/>
              <w:jc w:val="center"/>
              <w:rPr>
                <w:rFonts w:ascii="Garamond" w:eastAsia="Times New Roman" w:hAnsi="Garamond" w:cs="Calibri"/>
                <w:b/>
                <w:bCs/>
                <w:color w:val="000000"/>
                <w:sz w:val="18"/>
                <w:szCs w:val="18"/>
              </w:rPr>
            </w:pPr>
            <w:r>
              <w:rPr>
                <w:rFonts w:ascii="Garamond" w:eastAsia="Times New Roman" w:hAnsi="Garamond" w:cs="Calibri"/>
                <w:b/>
                <w:bCs/>
                <w:color w:val="000000"/>
                <w:sz w:val="18"/>
                <w:szCs w:val="18"/>
              </w:rPr>
              <w:t>2023</w:t>
            </w:r>
          </w:p>
        </w:tc>
      </w:tr>
      <w:tr w:rsidR="00FF0E14" w:rsidRPr="00BD4B64" w:rsidTr="00CA5CF1">
        <w:trPr>
          <w:trHeight w:val="315"/>
        </w:trPr>
        <w:tc>
          <w:tcPr>
            <w:tcW w:w="2231" w:type="pct"/>
            <w:vMerge/>
            <w:tcBorders>
              <w:left w:val="single" w:sz="4" w:space="0" w:color="auto"/>
              <w:bottom w:val="single" w:sz="4" w:space="0" w:color="auto"/>
              <w:right w:val="single" w:sz="4" w:space="0" w:color="auto"/>
            </w:tcBorders>
            <w:shd w:val="clear" w:color="auto" w:fill="auto"/>
            <w:vAlign w:val="center"/>
            <w:hideMark/>
          </w:tcPr>
          <w:p w:rsidR="00FF0E14" w:rsidRPr="00BD4B64" w:rsidRDefault="00FF0E14" w:rsidP="00CA5CF1">
            <w:pPr>
              <w:spacing w:line="240" w:lineRule="auto"/>
              <w:ind w:firstLineChars="100" w:firstLine="180"/>
              <w:rPr>
                <w:rFonts w:ascii="Garamond" w:eastAsia="Times New Roman" w:hAnsi="Garamond" w:cs="Calibri"/>
                <w:color w:val="000000"/>
                <w:sz w:val="18"/>
                <w:szCs w:val="18"/>
              </w:rPr>
            </w:pPr>
          </w:p>
        </w:tc>
        <w:tc>
          <w:tcPr>
            <w:tcW w:w="421" w:type="pct"/>
            <w:tcBorders>
              <w:top w:val="nil"/>
              <w:left w:val="nil"/>
              <w:bottom w:val="single" w:sz="4" w:space="0" w:color="auto"/>
              <w:right w:val="single" w:sz="4" w:space="0" w:color="auto"/>
            </w:tcBorders>
            <w:shd w:val="clear" w:color="auto" w:fill="auto"/>
            <w:noWrap/>
            <w:hideMark/>
          </w:tcPr>
          <w:p w:rsidR="00FF0E14" w:rsidRPr="00BD4B64" w:rsidRDefault="00FF0E14" w:rsidP="00FF0E1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Urbain</w:t>
            </w:r>
          </w:p>
        </w:tc>
        <w:tc>
          <w:tcPr>
            <w:tcW w:w="421" w:type="pct"/>
            <w:tcBorders>
              <w:top w:val="nil"/>
              <w:left w:val="nil"/>
              <w:bottom w:val="single" w:sz="4" w:space="0" w:color="auto"/>
              <w:right w:val="single" w:sz="4" w:space="0" w:color="auto"/>
            </w:tcBorders>
            <w:shd w:val="clear" w:color="auto" w:fill="auto"/>
            <w:noWrap/>
            <w:hideMark/>
          </w:tcPr>
          <w:p w:rsidR="00FF0E14" w:rsidRPr="00BD4B64" w:rsidRDefault="00FF0E14" w:rsidP="00FF0E1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Rural</w:t>
            </w:r>
          </w:p>
        </w:tc>
        <w:tc>
          <w:tcPr>
            <w:tcW w:w="548" w:type="pct"/>
            <w:tcBorders>
              <w:top w:val="nil"/>
              <w:left w:val="nil"/>
              <w:bottom w:val="single" w:sz="4" w:space="0" w:color="auto"/>
              <w:right w:val="single" w:sz="4" w:space="0" w:color="auto"/>
            </w:tcBorders>
            <w:shd w:val="clear" w:color="auto" w:fill="auto"/>
            <w:noWrap/>
            <w:hideMark/>
          </w:tcPr>
          <w:p w:rsidR="00FF0E14" w:rsidRPr="00BD4B64" w:rsidRDefault="00FF0E14" w:rsidP="00FF0E1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Ensemble</w:t>
            </w:r>
          </w:p>
        </w:tc>
        <w:tc>
          <w:tcPr>
            <w:tcW w:w="415" w:type="pct"/>
            <w:tcBorders>
              <w:top w:val="nil"/>
              <w:left w:val="nil"/>
              <w:bottom w:val="single" w:sz="4" w:space="0" w:color="auto"/>
              <w:right w:val="single" w:sz="4" w:space="0" w:color="auto"/>
            </w:tcBorders>
            <w:shd w:val="clear" w:color="auto" w:fill="auto"/>
            <w:noWrap/>
            <w:hideMark/>
          </w:tcPr>
          <w:p w:rsidR="00FF0E14" w:rsidRPr="00BD4B64" w:rsidRDefault="00FF0E14" w:rsidP="00FF0E1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Urbain</w:t>
            </w:r>
          </w:p>
        </w:tc>
        <w:tc>
          <w:tcPr>
            <w:tcW w:w="413" w:type="pct"/>
            <w:tcBorders>
              <w:top w:val="nil"/>
              <w:left w:val="nil"/>
              <w:bottom w:val="single" w:sz="4" w:space="0" w:color="auto"/>
              <w:right w:val="single" w:sz="4" w:space="0" w:color="auto"/>
            </w:tcBorders>
            <w:shd w:val="clear" w:color="auto" w:fill="auto"/>
            <w:noWrap/>
            <w:hideMark/>
          </w:tcPr>
          <w:p w:rsidR="00FF0E14" w:rsidRPr="00BD4B64" w:rsidRDefault="00FF0E14" w:rsidP="00FF0E1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Rural</w:t>
            </w:r>
          </w:p>
        </w:tc>
        <w:tc>
          <w:tcPr>
            <w:tcW w:w="551" w:type="pct"/>
            <w:tcBorders>
              <w:top w:val="nil"/>
              <w:left w:val="nil"/>
              <w:bottom w:val="single" w:sz="4" w:space="0" w:color="auto"/>
              <w:right w:val="single" w:sz="4" w:space="0" w:color="auto"/>
            </w:tcBorders>
            <w:shd w:val="clear" w:color="auto" w:fill="auto"/>
            <w:noWrap/>
            <w:hideMark/>
          </w:tcPr>
          <w:p w:rsidR="00FF0E14" w:rsidRPr="00BD4B64" w:rsidRDefault="00FF0E14" w:rsidP="00FF0E14">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Ensemble</w:t>
            </w:r>
          </w:p>
        </w:tc>
      </w:tr>
      <w:tr w:rsidR="00FF0E14" w:rsidRPr="00BD4B64" w:rsidTr="00CA5CF1">
        <w:trPr>
          <w:trHeight w:val="284"/>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0E14" w:rsidRPr="00BD4B64" w:rsidRDefault="00FF0E14" w:rsidP="00CA5CF1">
            <w:pPr>
              <w:spacing w:line="240" w:lineRule="auto"/>
              <w:rPr>
                <w:rFonts w:ascii="Garamond" w:eastAsia="Times New Roman" w:hAnsi="Garamond" w:cs="Calibri"/>
                <w:b/>
                <w:bCs/>
                <w:color w:val="1F497D"/>
                <w:sz w:val="18"/>
                <w:szCs w:val="18"/>
              </w:rPr>
            </w:pPr>
            <w:r w:rsidRPr="00BD4B64">
              <w:rPr>
                <w:rFonts w:ascii="Garamond" w:eastAsia="Times New Roman" w:hAnsi="Garamond" w:cs="Calibri"/>
                <w:b/>
                <w:bCs/>
                <w:color w:val="1F497D"/>
                <w:sz w:val="18"/>
                <w:szCs w:val="18"/>
              </w:rPr>
              <w:t>Chômage</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Population active en chômage</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B84A96">
            <w:pPr>
              <w:spacing w:line="240" w:lineRule="auto"/>
              <w:ind w:firstLineChars="100" w:firstLine="181"/>
              <w:jc w:val="center"/>
              <w:rPr>
                <w:rFonts w:ascii="Garamond" w:eastAsia="Times New Roman" w:hAnsi="Garamond" w:cs="Calibri"/>
                <w:b/>
                <w:bCs/>
                <w:color w:val="010205"/>
                <w:sz w:val="18"/>
                <w:szCs w:val="18"/>
              </w:rPr>
            </w:pPr>
            <w:r>
              <w:rPr>
                <w:rFonts w:ascii="Garamond" w:hAnsi="Garamond" w:cs="Calibri"/>
                <w:b/>
                <w:bCs/>
                <w:color w:val="010205"/>
                <w:sz w:val="18"/>
                <w:szCs w:val="18"/>
              </w:rPr>
              <w:t>1 201</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B84A96">
            <w:pPr>
              <w:ind w:firstLineChars="100" w:firstLine="181"/>
              <w:jc w:val="center"/>
              <w:rPr>
                <w:rFonts w:ascii="Garamond" w:hAnsi="Garamond" w:cs="Calibri"/>
                <w:b/>
                <w:bCs/>
                <w:color w:val="010205"/>
                <w:sz w:val="18"/>
                <w:szCs w:val="18"/>
              </w:rPr>
            </w:pPr>
            <w:r>
              <w:rPr>
                <w:rFonts w:ascii="Garamond" w:hAnsi="Garamond" w:cs="Calibri"/>
                <w:b/>
                <w:bCs/>
                <w:color w:val="010205"/>
                <w:sz w:val="18"/>
                <w:szCs w:val="18"/>
              </w:rPr>
              <w:t>241</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Default="00533A52" w:rsidP="00B84A96">
            <w:pPr>
              <w:ind w:firstLineChars="100" w:firstLine="181"/>
              <w:jc w:val="center"/>
              <w:rPr>
                <w:rFonts w:ascii="Garamond" w:hAnsi="Garamond" w:cs="Calibri"/>
                <w:b/>
                <w:bCs/>
                <w:color w:val="010205"/>
                <w:sz w:val="18"/>
                <w:szCs w:val="18"/>
              </w:rPr>
            </w:pPr>
            <w:r>
              <w:rPr>
                <w:rFonts w:ascii="Garamond" w:hAnsi="Garamond" w:cs="Calibri"/>
                <w:b/>
                <w:bCs/>
                <w:color w:val="010205"/>
                <w:sz w:val="18"/>
                <w:szCs w:val="18"/>
              </w:rPr>
              <w:t>1 442</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Default="00533A52" w:rsidP="00B84A96">
            <w:pPr>
              <w:jc w:val="center"/>
              <w:rPr>
                <w:rFonts w:ascii="Garamond" w:hAnsi="Garamond" w:cs="Calibri"/>
                <w:b/>
                <w:bCs/>
                <w:color w:val="010205"/>
                <w:sz w:val="18"/>
                <w:szCs w:val="18"/>
              </w:rPr>
            </w:pPr>
            <w:r>
              <w:rPr>
                <w:rFonts w:ascii="Garamond" w:hAnsi="Garamond" w:cs="Calibri"/>
                <w:b/>
                <w:bCs/>
                <w:color w:val="010205"/>
                <w:sz w:val="18"/>
                <w:szCs w:val="18"/>
              </w:rPr>
              <w:t>1 300</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Default="00533A52" w:rsidP="00B84A96">
            <w:pPr>
              <w:ind w:firstLineChars="100" w:firstLine="181"/>
              <w:jc w:val="center"/>
              <w:rPr>
                <w:rFonts w:ascii="Garamond" w:hAnsi="Garamond" w:cs="Calibri"/>
                <w:b/>
                <w:bCs/>
                <w:color w:val="010205"/>
                <w:sz w:val="18"/>
                <w:szCs w:val="18"/>
              </w:rPr>
            </w:pPr>
            <w:r>
              <w:rPr>
                <w:rFonts w:ascii="Garamond" w:hAnsi="Garamond" w:cs="Calibri"/>
                <w:b/>
                <w:bCs/>
                <w:color w:val="010205"/>
                <w:sz w:val="18"/>
                <w:szCs w:val="18"/>
              </w:rPr>
              <w:t>280</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Default="00533A52" w:rsidP="00B84A96">
            <w:pPr>
              <w:ind w:firstLineChars="100" w:firstLine="181"/>
              <w:jc w:val="center"/>
              <w:rPr>
                <w:rFonts w:ascii="Garamond" w:hAnsi="Garamond" w:cs="Calibri"/>
                <w:b/>
                <w:bCs/>
                <w:color w:val="010205"/>
                <w:sz w:val="18"/>
                <w:szCs w:val="18"/>
              </w:rPr>
            </w:pPr>
            <w:r>
              <w:rPr>
                <w:rFonts w:ascii="Garamond" w:hAnsi="Garamond" w:cs="Calibri"/>
                <w:b/>
                <w:bCs/>
                <w:color w:val="010205"/>
                <w:sz w:val="18"/>
                <w:szCs w:val="18"/>
              </w:rPr>
              <w:t>1 580</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Taux de féminisation de la population active en chômage</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35,9</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17,9</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32,9</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34,0</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18,1</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31,1</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Taux de chômage</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Pr="00AD5CDC" w:rsidRDefault="00533A52" w:rsidP="0086376D">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15,8</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Pr="00AD5CDC" w:rsidRDefault="00533A52" w:rsidP="0086376D">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5,2</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Pr="00AD5CDC" w:rsidRDefault="00533A52" w:rsidP="0086376D">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11,8</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Pr="00AD5CDC" w:rsidRDefault="00533A52" w:rsidP="0086376D">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16,8</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Pr="00AD5CDC" w:rsidRDefault="00533A52" w:rsidP="0086376D">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6,3</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Pr="00AD5CDC" w:rsidRDefault="00533A52" w:rsidP="0086376D">
            <w:pPr>
              <w:ind w:firstLineChars="100" w:firstLine="181"/>
              <w:jc w:val="center"/>
              <w:rPr>
                <w:rFonts w:ascii="Garamond" w:hAnsi="Garamond" w:cs="Calibri"/>
                <w:b/>
                <w:bCs/>
                <w:color w:val="000000"/>
                <w:sz w:val="18"/>
                <w:szCs w:val="18"/>
              </w:rPr>
            </w:pPr>
            <w:r w:rsidRPr="00AD5CDC">
              <w:rPr>
                <w:rFonts w:ascii="Garamond" w:hAnsi="Garamond" w:cs="Calibri"/>
                <w:b/>
                <w:bCs/>
                <w:color w:val="000000"/>
                <w:sz w:val="18"/>
                <w:szCs w:val="18"/>
              </w:rPr>
              <w:t>13,0</w:t>
            </w:r>
          </w:p>
        </w:tc>
      </w:tr>
      <w:tr w:rsidR="00FF0E14" w:rsidRPr="00BD4B64" w:rsidTr="00CA5CF1">
        <w:trPr>
          <w:trHeight w:val="284"/>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0E14" w:rsidRPr="00BD4B64" w:rsidRDefault="00FF0E14" w:rsidP="00CA5CF1">
            <w:pPr>
              <w:spacing w:line="240" w:lineRule="auto"/>
              <w:ind w:firstLineChars="200" w:firstLine="360"/>
              <w:rPr>
                <w:rFonts w:ascii="Garamond" w:eastAsia="Times New Roman" w:hAnsi="Garamond" w:cs="Calibri"/>
                <w:i/>
                <w:iCs/>
                <w:color w:val="000000"/>
                <w:sz w:val="18"/>
                <w:szCs w:val="18"/>
              </w:rPr>
            </w:pPr>
            <w:r w:rsidRPr="00BD4B64">
              <w:rPr>
                <w:rFonts w:ascii="Garamond" w:eastAsia="Times New Roman" w:hAnsi="Garamond" w:cs="Calibri"/>
                <w:i/>
                <w:iCs/>
                <w:color w:val="000000"/>
                <w:sz w:val="18"/>
                <w:szCs w:val="18"/>
              </w:rPr>
              <w:t>• Selon le sexe</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Hommes</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13,1</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5,6</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10,3</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14,4</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6,5</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11,5</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Femmes</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25,2</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4,1</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17,2</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25,0</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5,5</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18,3</w:t>
            </w:r>
          </w:p>
        </w:tc>
      </w:tr>
      <w:tr w:rsidR="00FF0E14" w:rsidRPr="00BD4B64" w:rsidTr="00CA5CF1">
        <w:trPr>
          <w:trHeight w:val="284"/>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0E14" w:rsidRPr="00BD4B64" w:rsidRDefault="00FF0E14" w:rsidP="00CA5CF1">
            <w:pPr>
              <w:spacing w:line="240" w:lineRule="auto"/>
              <w:ind w:firstLineChars="200" w:firstLine="360"/>
              <w:rPr>
                <w:rFonts w:ascii="Garamond" w:eastAsia="Times New Roman" w:hAnsi="Garamond" w:cs="Calibri"/>
                <w:i/>
                <w:iCs/>
                <w:color w:val="000000"/>
                <w:sz w:val="18"/>
                <w:szCs w:val="18"/>
              </w:rPr>
            </w:pPr>
            <w:r w:rsidRPr="00BD4B64">
              <w:rPr>
                <w:rFonts w:ascii="Garamond" w:eastAsia="Times New Roman" w:hAnsi="Garamond" w:cs="Calibri"/>
                <w:i/>
                <w:iCs/>
                <w:color w:val="000000"/>
                <w:sz w:val="18"/>
                <w:szCs w:val="18"/>
              </w:rPr>
              <w:t>• Selon l'âge</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15-24 ans</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46,7</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16,5</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32,7</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48,3</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20,6</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35,8</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25-34 ans</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24,8</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7,5</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19,2</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26,1</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8,4</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20,6</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35-44 ans</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8,4</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2,5</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6,4</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9,5</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3,1</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7,4</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45 ans et plus</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4,6</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1,5</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3,3</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5,0</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1,9</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3,7</w:t>
            </w:r>
          </w:p>
        </w:tc>
      </w:tr>
      <w:tr w:rsidR="00FF0E14" w:rsidRPr="00BD4B64" w:rsidTr="00CA5CF1">
        <w:trPr>
          <w:trHeight w:val="284"/>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0E14" w:rsidRPr="00BD4B64" w:rsidRDefault="00FF0E14" w:rsidP="00CA5CF1">
            <w:pPr>
              <w:spacing w:line="240" w:lineRule="auto"/>
              <w:ind w:firstLineChars="200" w:firstLine="360"/>
              <w:rPr>
                <w:rFonts w:ascii="Garamond" w:eastAsia="Times New Roman" w:hAnsi="Garamond" w:cs="Calibri"/>
                <w:i/>
                <w:iCs/>
                <w:color w:val="000000"/>
                <w:sz w:val="18"/>
                <w:szCs w:val="18"/>
              </w:rPr>
            </w:pPr>
            <w:r w:rsidRPr="00BD4B64">
              <w:rPr>
                <w:rFonts w:ascii="Garamond" w:eastAsia="Times New Roman" w:hAnsi="Garamond" w:cs="Calibri"/>
                <w:i/>
                <w:iCs/>
                <w:color w:val="000000"/>
                <w:sz w:val="18"/>
                <w:szCs w:val="18"/>
              </w:rPr>
              <w:t>• Selon le diplôme</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Non diplômés</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6,8</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2,2</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4,2</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7,6</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2,7</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4,9</w:t>
            </w:r>
          </w:p>
        </w:tc>
      </w:tr>
      <w:tr w:rsidR="00533A52" w:rsidRPr="00BD4B64" w:rsidTr="0086376D">
        <w:trPr>
          <w:trHeight w:val="284"/>
        </w:trPr>
        <w:tc>
          <w:tcPr>
            <w:tcW w:w="2231" w:type="pct"/>
            <w:tcBorders>
              <w:top w:val="nil"/>
              <w:left w:val="single" w:sz="4" w:space="0" w:color="auto"/>
              <w:bottom w:val="single" w:sz="4" w:space="0" w:color="auto"/>
              <w:right w:val="single" w:sz="4" w:space="0" w:color="auto"/>
            </w:tcBorders>
            <w:shd w:val="clear" w:color="auto" w:fill="auto"/>
            <w:noWrap/>
            <w:vAlign w:val="center"/>
            <w:hideMark/>
          </w:tcPr>
          <w:p w:rsidR="00533A52" w:rsidRPr="00BD4B64" w:rsidRDefault="00533A52" w:rsidP="00533A52">
            <w:pPr>
              <w:spacing w:line="240" w:lineRule="auto"/>
              <w:ind w:firstLineChars="400" w:firstLine="72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Diplômés</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20,4</w:t>
            </w:r>
          </w:p>
        </w:tc>
        <w:tc>
          <w:tcPr>
            <w:tcW w:w="42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12,2</w:t>
            </w:r>
          </w:p>
        </w:tc>
        <w:tc>
          <w:tcPr>
            <w:tcW w:w="548"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18,6</w:t>
            </w:r>
          </w:p>
        </w:tc>
        <w:tc>
          <w:tcPr>
            <w:tcW w:w="415"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21,2</w:t>
            </w:r>
          </w:p>
        </w:tc>
        <w:tc>
          <w:tcPr>
            <w:tcW w:w="413"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14,2</w:t>
            </w:r>
          </w:p>
        </w:tc>
        <w:tc>
          <w:tcPr>
            <w:tcW w:w="551" w:type="pct"/>
            <w:tcBorders>
              <w:top w:val="nil"/>
              <w:left w:val="nil"/>
              <w:bottom w:val="single" w:sz="4" w:space="0" w:color="auto"/>
              <w:right w:val="single" w:sz="4" w:space="0" w:color="auto"/>
            </w:tcBorders>
            <w:shd w:val="clear" w:color="auto" w:fill="auto"/>
            <w:noWrap/>
            <w:vAlign w:val="center"/>
            <w:hideMark/>
          </w:tcPr>
          <w:p w:rsidR="00533A52" w:rsidRDefault="00533A52"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19,7</w:t>
            </w:r>
          </w:p>
        </w:tc>
      </w:tr>
    </w:tbl>
    <w:p w:rsidR="004E2812" w:rsidRPr="00BD4B64" w:rsidRDefault="004E2812" w:rsidP="004E2812">
      <w:pPr>
        <w:numPr>
          <w:ilvl w:val="0"/>
          <w:numId w:val="4"/>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sidRPr="00BD4B64">
        <w:rPr>
          <w:rFonts w:ascii="Times New Roman" w:eastAsia="Calibri" w:hAnsi="Times New Roman" w:cs="Times New Roman"/>
          <w:color w:val="222222"/>
          <w:sz w:val="20"/>
          <w:szCs w:val="20"/>
          <w:shd w:val="clear" w:color="auto" w:fill="FFFFFF"/>
          <w:lang w:eastAsia="en-US"/>
        </w:rPr>
        <w:t xml:space="preserve">Source : Enquête nationale sur l'emploi, Haut-Commissariat au Plan </w:t>
      </w:r>
    </w:p>
    <w:p w:rsidR="004E2812" w:rsidRPr="00BD4B64" w:rsidRDefault="004E2812" w:rsidP="004E2812">
      <w:pPr>
        <w:numPr>
          <w:ilvl w:val="0"/>
          <w:numId w:val="4"/>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sidRPr="00BD4B64">
        <w:rPr>
          <w:rFonts w:ascii="Times New Roman" w:eastAsia="Calibri" w:hAnsi="Times New Roman" w:cs="Times New Roman"/>
          <w:color w:val="222222"/>
          <w:sz w:val="20"/>
          <w:szCs w:val="20"/>
          <w:shd w:val="clear" w:color="auto" w:fill="FFFFFF"/>
          <w:lang w:eastAsia="en-US"/>
        </w:rPr>
        <w:t>Pour les définitions des concepts et indicateurs utilisés, se référer au glossaire disponible sur le site web du HCP </w:t>
      </w:r>
      <w:r w:rsidRPr="00BD4B64">
        <w:rPr>
          <w:rFonts w:ascii="Times New Roman" w:eastAsia="Calibri" w:hAnsi="Times New Roman" w:cs="Times New Roman"/>
          <w:b/>
          <w:bCs/>
          <w:color w:val="222222"/>
          <w:sz w:val="20"/>
          <w:szCs w:val="20"/>
          <w:shd w:val="clear" w:color="auto" w:fill="FFFFFF"/>
          <w:lang w:eastAsia="en-US"/>
        </w:rPr>
        <w:t xml:space="preserve">: </w:t>
      </w:r>
      <w:hyperlink r:id="rId17" w:history="1">
        <w:r w:rsidRPr="00BD4B64">
          <w:rPr>
            <w:rStyle w:val="Lienhypertexte"/>
            <w:rFonts w:ascii="Times New Roman" w:eastAsia="Calibri" w:hAnsi="Times New Roman" w:cs="Times New Roman"/>
            <w:b/>
            <w:bCs/>
            <w:color w:val="222222"/>
            <w:sz w:val="20"/>
            <w:szCs w:val="20"/>
            <w:shd w:val="clear" w:color="auto" w:fill="FFFFFF"/>
            <w:lang w:eastAsia="en-US"/>
          </w:rPr>
          <w:t>http://www.hcp.ma</w:t>
        </w:r>
      </w:hyperlink>
      <w:r w:rsidRPr="00BD4B64">
        <w:rPr>
          <w:rFonts w:ascii="Times New Roman" w:eastAsia="Calibri" w:hAnsi="Times New Roman" w:cs="Times New Roman"/>
          <w:color w:val="222222"/>
          <w:sz w:val="20"/>
          <w:szCs w:val="20"/>
          <w:shd w:val="clear" w:color="auto" w:fill="FFFFFF"/>
          <w:lang w:eastAsia="en-US"/>
        </w:rPr>
        <w:t>.</w:t>
      </w:r>
    </w:p>
    <w:p w:rsidR="004E2812" w:rsidRPr="00BD4B64" w:rsidRDefault="004E2812" w:rsidP="004E2812">
      <w:pPr>
        <w:numPr>
          <w:ilvl w:val="0"/>
          <w:numId w:val="4"/>
        </w:numPr>
        <w:tabs>
          <w:tab w:val="left" w:pos="-720"/>
        </w:tabs>
        <w:suppressAutoHyphens/>
        <w:spacing w:line="256" w:lineRule="auto"/>
        <w:contextualSpacing/>
        <w:jc w:val="both"/>
        <w:rPr>
          <w:rFonts w:ascii="Book Antiqua" w:hAnsi="Book Antiqua" w:cs="Times New Roman"/>
        </w:rPr>
      </w:pPr>
      <w:r w:rsidRPr="00BD4B64">
        <w:rPr>
          <w:rFonts w:ascii="Times New Roman" w:eastAsia="Calibri" w:hAnsi="Times New Roman" w:cs="Times New Roman"/>
          <w:color w:val="222222"/>
          <w:sz w:val="20"/>
          <w:szCs w:val="20"/>
          <w:shd w:val="clear" w:color="auto" w:fill="FFFFFF"/>
          <w:lang w:eastAsia="en-US"/>
        </w:rPr>
        <w:t>Les données chiffrées sont arrondies. Le résultat arrondi d’une combinaison de données chiffrées (qui fait intervenir leurs valeurs réelles) peut se trouver légèrement différent de celui que donnerait la combinaison de leurs valeurs arrondies.</w:t>
      </w:r>
    </w:p>
    <w:p w:rsidR="004E2812" w:rsidRPr="00BD4B64" w:rsidRDefault="004E2812" w:rsidP="004E2812">
      <w:pPr>
        <w:pStyle w:val="Titre1"/>
        <w:keepLines w:val="0"/>
        <w:spacing w:before="240" w:after="0" w:line="240" w:lineRule="auto"/>
        <w:jc w:val="center"/>
        <w:rPr>
          <w:rFonts w:ascii="Book Antiqua" w:eastAsia="Times New Roman" w:hAnsi="Book Antiqua" w:cs="Browallia New"/>
          <w:b/>
          <w:bCs/>
          <w:sz w:val="22"/>
          <w:szCs w:val="22"/>
        </w:rPr>
      </w:pPr>
      <w:r w:rsidRPr="00BD4B64">
        <w:rPr>
          <w:rFonts w:ascii="Book Antiqua" w:hAnsi="Book Antiqua" w:cs="Times New Roman"/>
        </w:rPr>
        <w:br w:type="page"/>
      </w:r>
      <w:r w:rsidRPr="00BD4B64">
        <w:rPr>
          <w:rFonts w:ascii="Book Antiqua" w:eastAsia="Times New Roman" w:hAnsi="Book Antiqua" w:cs="Browallia New"/>
          <w:b/>
          <w:bCs/>
          <w:sz w:val="22"/>
          <w:szCs w:val="22"/>
        </w:rPr>
        <w:lastRenderedPageBreak/>
        <w:t>Tableau 2: Taux d'activité, d’emploi et de chômage par région et milieu de résidence (en%)</w:t>
      </w:r>
    </w:p>
    <w:p w:rsidR="00CA5CF1" w:rsidRPr="00BD4B64" w:rsidRDefault="00CA5CF1" w:rsidP="00CA5CF1">
      <w:pPr>
        <w:rPr>
          <w:sz w:val="8"/>
          <w:szCs w:val="8"/>
        </w:rPr>
      </w:pPr>
    </w:p>
    <w:tbl>
      <w:tblPr>
        <w:tblW w:w="5000" w:type="pct"/>
        <w:tblCellMar>
          <w:left w:w="70" w:type="dxa"/>
          <w:right w:w="70" w:type="dxa"/>
        </w:tblCellMar>
        <w:tblLook w:val="04A0"/>
      </w:tblPr>
      <w:tblGrid>
        <w:gridCol w:w="2588"/>
        <w:gridCol w:w="1103"/>
        <w:gridCol w:w="1104"/>
        <w:gridCol w:w="1104"/>
        <w:gridCol w:w="1104"/>
        <w:gridCol w:w="1104"/>
        <w:gridCol w:w="1105"/>
      </w:tblGrid>
      <w:tr w:rsidR="00CA5CF1" w:rsidRPr="00BD4B64" w:rsidTr="0086376D">
        <w:trPr>
          <w:trHeight w:val="284"/>
        </w:trPr>
        <w:tc>
          <w:tcPr>
            <w:tcW w:w="14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CF1" w:rsidRPr="00BD4B64" w:rsidRDefault="00CA5CF1" w:rsidP="00477D56">
            <w:pPr>
              <w:spacing w:line="240" w:lineRule="auto"/>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 </w:t>
            </w:r>
          </w:p>
        </w:tc>
        <w:tc>
          <w:tcPr>
            <w:tcW w:w="1797" w:type="pct"/>
            <w:gridSpan w:val="3"/>
            <w:tcBorders>
              <w:top w:val="single" w:sz="4" w:space="0" w:color="auto"/>
              <w:left w:val="nil"/>
              <w:bottom w:val="single" w:sz="4" w:space="0" w:color="auto"/>
              <w:right w:val="single" w:sz="4" w:space="0" w:color="auto"/>
            </w:tcBorders>
            <w:shd w:val="clear" w:color="auto" w:fill="auto"/>
            <w:noWrap/>
            <w:hideMark/>
          </w:tcPr>
          <w:p w:rsidR="00CA5CF1" w:rsidRPr="00BD4B64" w:rsidRDefault="00533A52" w:rsidP="00477D56">
            <w:pPr>
              <w:spacing w:line="240" w:lineRule="auto"/>
              <w:jc w:val="center"/>
              <w:rPr>
                <w:rFonts w:ascii="Garamond" w:eastAsia="Times New Roman" w:hAnsi="Garamond" w:cs="Calibri"/>
                <w:b/>
                <w:bCs/>
                <w:color w:val="000000"/>
                <w:sz w:val="18"/>
                <w:szCs w:val="18"/>
              </w:rPr>
            </w:pPr>
            <w:r>
              <w:rPr>
                <w:rFonts w:ascii="Garamond" w:eastAsia="Times New Roman" w:hAnsi="Garamond" w:cs="Calibri"/>
                <w:b/>
                <w:bCs/>
                <w:color w:val="000000"/>
                <w:sz w:val="18"/>
                <w:szCs w:val="18"/>
              </w:rPr>
              <w:t>2022</w:t>
            </w:r>
          </w:p>
        </w:tc>
        <w:tc>
          <w:tcPr>
            <w:tcW w:w="1798" w:type="pct"/>
            <w:gridSpan w:val="3"/>
            <w:tcBorders>
              <w:top w:val="single" w:sz="4" w:space="0" w:color="auto"/>
              <w:left w:val="nil"/>
              <w:bottom w:val="single" w:sz="4" w:space="0" w:color="auto"/>
              <w:right w:val="single" w:sz="4" w:space="0" w:color="auto"/>
            </w:tcBorders>
            <w:shd w:val="clear" w:color="auto" w:fill="auto"/>
            <w:noWrap/>
            <w:hideMark/>
          </w:tcPr>
          <w:p w:rsidR="00CA5CF1" w:rsidRPr="00BD4B64" w:rsidRDefault="00533A52" w:rsidP="00477D56">
            <w:pPr>
              <w:spacing w:line="240" w:lineRule="auto"/>
              <w:jc w:val="center"/>
              <w:rPr>
                <w:rFonts w:ascii="Garamond" w:eastAsia="Times New Roman" w:hAnsi="Garamond" w:cs="Calibri"/>
                <w:b/>
                <w:bCs/>
                <w:color w:val="000000"/>
                <w:sz w:val="18"/>
                <w:szCs w:val="18"/>
              </w:rPr>
            </w:pPr>
            <w:r>
              <w:rPr>
                <w:rFonts w:ascii="Garamond" w:eastAsia="Times New Roman" w:hAnsi="Garamond" w:cs="Calibri"/>
                <w:b/>
                <w:bCs/>
                <w:color w:val="000000"/>
                <w:sz w:val="18"/>
                <w:szCs w:val="18"/>
              </w:rPr>
              <w:t>2023</w:t>
            </w:r>
          </w:p>
        </w:tc>
      </w:tr>
      <w:tr w:rsidR="00CA5CF1" w:rsidRPr="00BD4B64" w:rsidTr="0086376D">
        <w:trPr>
          <w:trHeight w:val="284"/>
        </w:trPr>
        <w:tc>
          <w:tcPr>
            <w:tcW w:w="1405" w:type="pct"/>
            <w:vMerge/>
            <w:tcBorders>
              <w:top w:val="single" w:sz="4" w:space="0" w:color="auto"/>
              <w:left w:val="single" w:sz="4" w:space="0" w:color="auto"/>
              <w:bottom w:val="single" w:sz="4" w:space="0" w:color="auto"/>
              <w:right w:val="single" w:sz="4" w:space="0" w:color="auto"/>
            </w:tcBorders>
            <w:vAlign w:val="center"/>
            <w:hideMark/>
          </w:tcPr>
          <w:p w:rsidR="00CA5CF1" w:rsidRPr="00BD4B64" w:rsidRDefault="00CA5CF1" w:rsidP="00477D56">
            <w:pPr>
              <w:spacing w:line="240" w:lineRule="auto"/>
              <w:rPr>
                <w:rFonts w:ascii="Garamond" w:eastAsia="Times New Roman" w:hAnsi="Garamond" w:cs="Calibri"/>
                <w:color w:val="000000"/>
                <w:sz w:val="18"/>
                <w:szCs w:val="18"/>
              </w:rPr>
            </w:pPr>
          </w:p>
        </w:tc>
        <w:tc>
          <w:tcPr>
            <w:tcW w:w="599" w:type="pct"/>
            <w:tcBorders>
              <w:top w:val="single" w:sz="4" w:space="0" w:color="auto"/>
              <w:left w:val="nil"/>
              <w:bottom w:val="single" w:sz="4" w:space="0" w:color="auto"/>
              <w:right w:val="single" w:sz="4" w:space="0" w:color="auto"/>
            </w:tcBorders>
            <w:shd w:val="clear" w:color="auto" w:fill="auto"/>
            <w:hideMark/>
          </w:tcPr>
          <w:p w:rsidR="00CA5CF1" w:rsidRPr="00BD4B64" w:rsidRDefault="00CA5CF1" w:rsidP="00477D56">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Urbain</w:t>
            </w:r>
          </w:p>
        </w:tc>
        <w:tc>
          <w:tcPr>
            <w:tcW w:w="599" w:type="pct"/>
            <w:tcBorders>
              <w:top w:val="single" w:sz="4" w:space="0" w:color="auto"/>
              <w:left w:val="nil"/>
              <w:bottom w:val="single" w:sz="4" w:space="0" w:color="auto"/>
              <w:right w:val="single" w:sz="4" w:space="0" w:color="auto"/>
            </w:tcBorders>
            <w:shd w:val="clear" w:color="auto" w:fill="auto"/>
            <w:hideMark/>
          </w:tcPr>
          <w:p w:rsidR="00CA5CF1" w:rsidRPr="00BD4B64" w:rsidRDefault="00CA5CF1" w:rsidP="00477D56">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Rural</w:t>
            </w:r>
          </w:p>
        </w:tc>
        <w:tc>
          <w:tcPr>
            <w:tcW w:w="599" w:type="pct"/>
            <w:tcBorders>
              <w:top w:val="single" w:sz="4" w:space="0" w:color="auto"/>
              <w:left w:val="nil"/>
              <w:bottom w:val="single" w:sz="4" w:space="0" w:color="auto"/>
              <w:right w:val="single" w:sz="4" w:space="0" w:color="auto"/>
            </w:tcBorders>
            <w:shd w:val="clear" w:color="auto" w:fill="auto"/>
            <w:hideMark/>
          </w:tcPr>
          <w:p w:rsidR="00CA5CF1" w:rsidRPr="00BD4B64" w:rsidRDefault="00CA5CF1" w:rsidP="00477D56">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Ensemble</w:t>
            </w:r>
          </w:p>
        </w:tc>
        <w:tc>
          <w:tcPr>
            <w:tcW w:w="599" w:type="pct"/>
            <w:tcBorders>
              <w:top w:val="single" w:sz="4" w:space="0" w:color="auto"/>
              <w:left w:val="nil"/>
              <w:bottom w:val="single" w:sz="4" w:space="0" w:color="auto"/>
              <w:right w:val="single" w:sz="4" w:space="0" w:color="auto"/>
            </w:tcBorders>
            <w:shd w:val="clear" w:color="auto" w:fill="auto"/>
            <w:hideMark/>
          </w:tcPr>
          <w:p w:rsidR="00CA5CF1" w:rsidRPr="00BD4B64" w:rsidRDefault="00CA5CF1" w:rsidP="00477D56">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Urbain</w:t>
            </w:r>
          </w:p>
        </w:tc>
        <w:tc>
          <w:tcPr>
            <w:tcW w:w="599" w:type="pct"/>
            <w:tcBorders>
              <w:top w:val="single" w:sz="4" w:space="0" w:color="auto"/>
              <w:left w:val="nil"/>
              <w:bottom w:val="single" w:sz="4" w:space="0" w:color="auto"/>
              <w:right w:val="single" w:sz="4" w:space="0" w:color="auto"/>
            </w:tcBorders>
            <w:shd w:val="clear" w:color="auto" w:fill="auto"/>
            <w:hideMark/>
          </w:tcPr>
          <w:p w:rsidR="00CA5CF1" w:rsidRPr="00BD4B64" w:rsidRDefault="00CA5CF1" w:rsidP="00477D56">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Rural</w:t>
            </w:r>
          </w:p>
        </w:tc>
        <w:tc>
          <w:tcPr>
            <w:tcW w:w="599" w:type="pct"/>
            <w:tcBorders>
              <w:top w:val="single" w:sz="4" w:space="0" w:color="auto"/>
              <w:left w:val="nil"/>
              <w:bottom w:val="single" w:sz="4" w:space="0" w:color="auto"/>
              <w:right w:val="single" w:sz="4" w:space="0" w:color="auto"/>
            </w:tcBorders>
            <w:shd w:val="clear" w:color="auto" w:fill="auto"/>
            <w:hideMark/>
          </w:tcPr>
          <w:p w:rsidR="00CA5CF1" w:rsidRPr="00BD4B64" w:rsidRDefault="00CA5CF1" w:rsidP="00477D56">
            <w:pPr>
              <w:bidi/>
              <w:spacing w:line="240" w:lineRule="auto"/>
              <w:jc w:val="center"/>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Ensemble</w:t>
            </w:r>
          </w:p>
        </w:tc>
      </w:tr>
      <w:tr w:rsidR="00CA5CF1" w:rsidRPr="00BD4B64" w:rsidTr="00477D56">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CF1" w:rsidRPr="00BD4B64" w:rsidRDefault="00CA5CF1" w:rsidP="00477D56">
            <w:pPr>
              <w:spacing w:line="240" w:lineRule="auto"/>
              <w:rPr>
                <w:rFonts w:ascii="Garamond" w:eastAsia="Times New Roman" w:hAnsi="Garamond" w:cs="Calibri"/>
                <w:b/>
                <w:bCs/>
                <w:color w:val="1F497D"/>
                <w:sz w:val="18"/>
                <w:szCs w:val="18"/>
              </w:rPr>
            </w:pPr>
            <w:r w:rsidRPr="00BD4B64">
              <w:rPr>
                <w:rFonts w:ascii="Garamond" w:eastAsia="Times New Roman" w:hAnsi="Garamond" w:cs="Calibri"/>
                <w:b/>
                <w:bCs/>
                <w:color w:val="1F497D"/>
                <w:sz w:val="18"/>
                <w:szCs w:val="18"/>
              </w:rPr>
              <w:t>Taux d'activité (des 15 ans et plus)</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Tanger-Tétouan-Al Hoceïma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45,6</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58,2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50,1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44,8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55,7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48,7</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Oriental</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40,8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45,4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42,0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38,9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43,5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40,1</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Fès-Meknès</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39,1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48,3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42,2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39,4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46,5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41,8</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Rabat-Salé-Kénitra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42,2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50,6</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44,3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42,1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49,9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44,0</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Béni Mellal-Khénifra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48,6</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42,2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35,5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45,4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40,0</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Casablanca-Settat</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44,2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56,2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46,7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44,3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52,9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46,1</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Marrakech-Safi</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41,4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48,2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45,0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41,7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46,0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44,0</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Drâa-Tafilalet</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37,6</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43,1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41,0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38,7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43,5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41,7</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Souss-Massa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39,7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35,9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38,3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40,7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35,8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39,0</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Régions du Sud</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42,8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51,6</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44,5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43,4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53,8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45,3</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1"/>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Ensemble</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41,9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49,1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44,3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41,8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47,3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43,6</w:t>
            </w:r>
          </w:p>
        </w:tc>
      </w:tr>
      <w:tr w:rsidR="00CA5CF1" w:rsidRPr="00BD4B64" w:rsidTr="00477D56">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CF1" w:rsidRPr="00BD4B64" w:rsidRDefault="00CA5CF1" w:rsidP="00477D56">
            <w:pPr>
              <w:spacing w:line="240" w:lineRule="auto"/>
              <w:rPr>
                <w:rFonts w:ascii="Garamond" w:eastAsia="Times New Roman" w:hAnsi="Garamond" w:cs="Calibri"/>
                <w:b/>
                <w:bCs/>
                <w:color w:val="1F497D"/>
                <w:sz w:val="18"/>
                <w:szCs w:val="18"/>
              </w:rPr>
            </w:pPr>
            <w:r w:rsidRPr="00BD4B64">
              <w:rPr>
                <w:rFonts w:ascii="Garamond" w:eastAsia="Times New Roman" w:hAnsi="Garamond" w:cs="Calibri"/>
                <w:b/>
                <w:bCs/>
                <w:color w:val="1F497D"/>
                <w:sz w:val="18"/>
                <w:szCs w:val="18"/>
              </w:rPr>
              <w:t>Taux d'emploi (des 15 ans et plus)</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Tanger-Tétouan-Al Hoceïma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39,1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56,2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45,2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38,5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53,3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43,7</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Oriental</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32,9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39,8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34,7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30,6</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32,2</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Fès-Meknès</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31,8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45,7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31,8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43,9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35,8</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Rabat-Salé-Kénitra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48,5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39,5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47,8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38,9</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Béni Mellal-Khénifra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31,2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45,5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37,8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29,2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41,7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34,9</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Casablanca-Settat</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53,4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40,3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49,7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39,2</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Marrakech-Safi</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46,7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41,9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36,6</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44,1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40,6</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Drâa-Tafilalet</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32,4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39,8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37,0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31,7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39,8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36,7</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Souss-Massa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34,2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33,5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34,0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34,4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32,5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33,7</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Régions du Sud</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33,0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46,3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35,5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33,5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47,9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36,1</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1"/>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Ensemble</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35,3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46,5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39,1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34,8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44,3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38,0</w:t>
            </w:r>
          </w:p>
        </w:tc>
      </w:tr>
      <w:tr w:rsidR="00CA5CF1" w:rsidRPr="00BD4B64" w:rsidTr="00477D56">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CF1" w:rsidRPr="00BD4B64" w:rsidRDefault="00CA5CF1" w:rsidP="00477D56">
            <w:pPr>
              <w:spacing w:line="240" w:lineRule="auto"/>
              <w:rPr>
                <w:rFonts w:ascii="Garamond" w:eastAsia="Times New Roman" w:hAnsi="Garamond" w:cs="Calibri"/>
                <w:b/>
                <w:bCs/>
                <w:color w:val="1F497D"/>
                <w:sz w:val="18"/>
                <w:szCs w:val="18"/>
              </w:rPr>
            </w:pPr>
            <w:r w:rsidRPr="00BD4B64">
              <w:rPr>
                <w:rFonts w:ascii="Garamond" w:eastAsia="Times New Roman" w:hAnsi="Garamond" w:cs="Calibri"/>
                <w:b/>
                <w:bCs/>
                <w:color w:val="1F497D"/>
                <w:sz w:val="18"/>
                <w:szCs w:val="18"/>
              </w:rPr>
              <w:t>Taux de chômage</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Tanger-Tétouan-Al Hoceïma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spacing w:line="240" w:lineRule="auto"/>
              <w:ind w:firstLineChars="100" w:firstLine="180"/>
              <w:jc w:val="center"/>
              <w:rPr>
                <w:rFonts w:ascii="Garamond" w:eastAsia="Times New Roman" w:hAnsi="Garamond" w:cs="Calibri"/>
                <w:color w:val="000000"/>
                <w:sz w:val="18"/>
                <w:szCs w:val="18"/>
              </w:rPr>
            </w:pPr>
            <w:r>
              <w:rPr>
                <w:rFonts w:ascii="Garamond" w:hAnsi="Garamond" w:cs="Calibri"/>
                <w:color w:val="000000"/>
                <w:sz w:val="18"/>
                <w:szCs w:val="18"/>
              </w:rPr>
              <w:t>14,1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9,7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14,1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10,1</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Oriental</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19,4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12,4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17,4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21,3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15,2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19,6</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Fès-Meknès</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18,7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13,5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19,3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14,2</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Rabat-Salé-Kénitra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13,8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11,0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14,5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11,6</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Béni Mellal-Khénifra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15,3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6,3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10,5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17,7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8,2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12,8</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Casablanca-Settat</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16,7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5,0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13,8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17,8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6,1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15,0</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Marrakech-Safi</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11,8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3,2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6,9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12,2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4,1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7,7</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Drâa-Tafilalet</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13,8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7,6</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9,7</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18,0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8,6</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11,9</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Souss-Massa</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13,9</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6,6</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11,4</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15,5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9,5</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13,5</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0"/>
              <w:rPr>
                <w:rFonts w:ascii="Garamond" w:eastAsia="Times New Roman" w:hAnsi="Garamond" w:cs="Calibri"/>
                <w:color w:val="000000"/>
                <w:sz w:val="18"/>
                <w:szCs w:val="18"/>
              </w:rPr>
            </w:pPr>
            <w:r w:rsidRPr="00BD4B64">
              <w:rPr>
                <w:rFonts w:ascii="Garamond" w:eastAsia="Times New Roman" w:hAnsi="Garamond" w:cs="Calibri"/>
                <w:color w:val="000000"/>
                <w:sz w:val="18"/>
                <w:szCs w:val="18"/>
              </w:rPr>
              <w:t>Régions du Sud</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22,9</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10,3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20,1</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22,8</w:t>
            </w:r>
          </w:p>
        </w:tc>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11,0</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0"/>
              <w:jc w:val="center"/>
              <w:rPr>
                <w:rFonts w:ascii="Garamond" w:hAnsi="Garamond" w:cs="Calibri"/>
                <w:color w:val="000000"/>
                <w:sz w:val="18"/>
                <w:szCs w:val="18"/>
              </w:rPr>
            </w:pPr>
            <w:r>
              <w:rPr>
                <w:rFonts w:ascii="Garamond" w:hAnsi="Garamond" w:cs="Calibri"/>
                <w:color w:val="000000"/>
                <w:sz w:val="18"/>
                <w:szCs w:val="18"/>
              </w:rPr>
              <w:t>20,3</w:t>
            </w:r>
          </w:p>
        </w:tc>
      </w:tr>
      <w:tr w:rsidR="0086376D" w:rsidRPr="00BD4B64" w:rsidTr="0086376D">
        <w:trPr>
          <w:trHeight w:val="284"/>
        </w:trPr>
        <w:tc>
          <w:tcPr>
            <w:tcW w:w="1405" w:type="pct"/>
            <w:tcBorders>
              <w:top w:val="nil"/>
              <w:left w:val="single" w:sz="4" w:space="0" w:color="auto"/>
              <w:bottom w:val="single" w:sz="4" w:space="0" w:color="auto"/>
              <w:right w:val="single" w:sz="4" w:space="0" w:color="auto"/>
            </w:tcBorders>
            <w:shd w:val="clear" w:color="auto" w:fill="auto"/>
            <w:noWrap/>
            <w:vAlign w:val="center"/>
            <w:hideMark/>
          </w:tcPr>
          <w:p w:rsidR="0086376D" w:rsidRPr="00BD4B64" w:rsidRDefault="0086376D" w:rsidP="0086376D">
            <w:pPr>
              <w:spacing w:line="240" w:lineRule="auto"/>
              <w:ind w:firstLineChars="100" w:firstLine="181"/>
              <w:rPr>
                <w:rFonts w:ascii="Garamond" w:eastAsia="Times New Roman" w:hAnsi="Garamond" w:cs="Calibri"/>
                <w:b/>
                <w:bCs/>
                <w:color w:val="000000"/>
                <w:sz w:val="18"/>
                <w:szCs w:val="18"/>
              </w:rPr>
            </w:pPr>
            <w:r w:rsidRPr="00BD4B64">
              <w:rPr>
                <w:rFonts w:ascii="Garamond" w:eastAsia="Times New Roman" w:hAnsi="Garamond" w:cs="Calibri"/>
                <w:b/>
                <w:bCs/>
                <w:color w:val="000000"/>
                <w:sz w:val="18"/>
                <w:szCs w:val="18"/>
              </w:rPr>
              <w:t>Ensemble</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15,8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5,2</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11,8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16,8</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6,3</w:t>
            </w:r>
          </w:p>
        </w:tc>
        <w:tc>
          <w:tcPr>
            <w:tcW w:w="599" w:type="pct"/>
            <w:tcBorders>
              <w:top w:val="nil"/>
              <w:left w:val="nil"/>
              <w:bottom w:val="single" w:sz="4" w:space="0" w:color="auto"/>
              <w:right w:val="single" w:sz="4" w:space="0" w:color="auto"/>
            </w:tcBorders>
            <w:shd w:val="clear" w:color="auto" w:fill="auto"/>
            <w:noWrap/>
            <w:vAlign w:val="center"/>
            <w:hideMark/>
          </w:tcPr>
          <w:p w:rsidR="0086376D" w:rsidRDefault="0086376D" w:rsidP="0086376D">
            <w:pPr>
              <w:ind w:firstLineChars="100" w:firstLine="181"/>
              <w:jc w:val="center"/>
              <w:rPr>
                <w:rFonts w:ascii="Garamond" w:hAnsi="Garamond" w:cs="Calibri"/>
                <w:b/>
                <w:bCs/>
                <w:color w:val="000000"/>
                <w:sz w:val="18"/>
                <w:szCs w:val="18"/>
              </w:rPr>
            </w:pPr>
            <w:r>
              <w:rPr>
                <w:rFonts w:ascii="Garamond" w:hAnsi="Garamond" w:cs="Calibri"/>
                <w:b/>
                <w:bCs/>
                <w:color w:val="000000"/>
                <w:sz w:val="18"/>
                <w:szCs w:val="18"/>
              </w:rPr>
              <w:t>13,0</w:t>
            </w:r>
          </w:p>
        </w:tc>
      </w:tr>
    </w:tbl>
    <w:p w:rsidR="004E2812" w:rsidRPr="0005104E" w:rsidRDefault="004E2812" w:rsidP="004E2812">
      <w:pPr>
        <w:rPr>
          <w:rFonts w:ascii="Book Antiqua" w:eastAsia="Book Antiqua" w:hAnsi="Book Antiqua" w:cs="Book Antiqua"/>
          <w:i/>
          <w:iCs/>
          <w:color w:val="0070C0"/>
          <w:sz w:val="26"/>
          <w:szCs w:val="26"/>
        </w:rPr>
      </w:pPr>
      <w:r w:rsidRPr="0005104E">
        <w:rPr>
          <w:rFonts w:ascii="Times New Roman" w:eastAsia="Calibri" w:hAnsi="Times New Roman" w:cs="Times New Roman"/>
          <w:color w:val="222222"/>
          <w:sz w:val="20"/>
          <w:szCs w:val="20"/>
          <w:shd w:val="clear" w:color="auto" w:fill="FFFFFF"/>
          <w:lang w:eastAsia="en-US"/>
        </w:rPr>
        <w:t>Source : Enquête nationale sur l'emploi, Haut-Commissariat au Plan</w:t>
      </w:r>
    </w:p>
    <w:p w:rsidR="004E2812" w:rsidRDefault="004E2812" w:rsidP="004E2812">
      <w:pPr>
        <w:rPr>
          <w:rFonts w:asciiTheme="minorHAnsi" w:eastAsiaTheme="minorEastAsia" w:hAnsiTheme="minorHAnsi" w:cstheme="minorBidi"/>
        </w:rPr>
      </w:pPr>
    </w:p>
    <w:p w:rsidR="00134746" w:rsidRPr="00CE7366" w:rsidRDefault="00134746" w:rsidP="004E2812">
      <w:pPr>
        <w:spacing w:before="240" w:after="240" w:line="312" w:lineRule="auto"/>
        <w:jc w:val="both"/>
        <w:rPr>
          <w:rFonts w:ascii="Book Antiqua" w:eastAsia="Book Antiqua" w:hAnsi="Book Antiqua" w:cs="Book Antiqua"/>
          <w:b/>
          <w:bCs/>
          <w:color w:val="2E74B5" w:themeColor="accent5" w:themeShade="BF"/>
          <w:sz w:val="26"/>
          <w:szCs w:val="26"/>
        </w:rPr>
      </w:pPr>
    </w:p>
    <w:sectPr w:rsidR="00134746" w:rsidRPr="00CE7366" w:rsidSect="00F11B57">
      <w:headerReference w:type="default" r:id="rId18"/>
      <w:footerReference w:type="default" r:id="rId19"/>
      <w:headerReference w:type="first" r:id="rId20"/>
      <w:pgSz w:w="11906" w:h="16838"/>
      <w:pgMar w:top="993" w:right="1417" w:bottom="1417" w:left="1417"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43A" w:rsidRDefault="0029643A" w:rsidP="000D15FF">
      <w:pPr>
        <w:spacing w:line="240" w:lineRule="auto"/>
      </w:pPr>
      <w:r>
        <w:separator/>
      </w:r>
    </w:p>
  </w:endnote>
  <w:endnote w:type="continuationSeparator" w:id="1">
    <w:p w:rsidR="0029643A" w:rsidRDefault="0029643A" w:rsidP="000D15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owallia New">
    <w:altName w:val="Microsoft Sans Serif"/>
    <w:panose1 w:val="020B06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721692"/>
      <w:docPartObj>
        <w:docPartGallery w:val="Page Numbers (Bottom of Page)"/>
        <w:docPartUnique/>
      </w:docPartObj>
    </w:sdtPr>
    <w:sdtEndPr>
      <w:rPr>
        <w:sz w:val="16"/>
        <w:szCs w:val="16"/>
      </w:rPr>
    </w:sdtEndPr>
    <w:sdtContent>
      <w:p w:rsidR="004E321B" w:rsidRPr="00E84CB0" w:rsidRDefault="004B4A6C">
        <w:pPr>
          <w:pStyle w:val="Pieddepage"/>
          <w:jc w:val="center"/>
          <w:rPr>
            <w:sz w:val="16"/>
            <w:szCs w:val="16"/>
          </w:rPr>
        </w:pPr>
        <w:r w:rsidRPr="00E84CB0">
          <w:rPr>
            <w:sz w:val="16"/>
            <w:szCs w:val="16"/>
          </w:rPr>
          <w:fldChar w:fldCharType="begin"/>
        </w:r>
        <w:r w:rsidR="004E321B" w:rsidRPr="00E84CB0">
          <w:rPr>
            <w:sz w:val="16"/>
            <w:szCs w:val="16"/>
          </w:rPr>
          <w:instrText>PAGE   \* MERGEFORMAT</w:instrText>
        </w:r>
        <w:r w:rsidRPr="00E84CB0">
          <w:rPr>
            <w:sz w:val="16"/>
            <w:szCs w:val="16"/>
          </w:rPr>
          <w:fldChar w:fldCharType="separate"/>
        </w:r>
        <w:r w:rsidR="00BB0160">
          <w:rPr>
            <w:noProof/>
            <w:sz w:val="16"/>
            <w:szCs w:val="16"/>
          </w:rPr>
          <w:t>11</w:t>
        </w:r>
        <w:r w:rsidRPr="00E84CB0">
          <w:rPr>
            <w:sz w:val="16"/>
            <w:szCs w:val="16"/>
          </w:rPr>
          <w:fldChar w:fldCharType="end"/>
        </w:r>
      </w:p>
    </w:sdtContent>
  </w:sdt>
  <w:p w:rsidR="004E321B" w:rsidRDefault="004E32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43A" w:rsidRDefault="0029643A" w:rsidP="000D15FF">
      <w:pPr>
        <w:spacing w:line="240" w:lineRule="auto"/>
      </w:pPr>
      <w:r>
        <w:separator/>
      </w:r>
    </w:p>
  </w:footnote>
  <w:footnote w:type="continuationSeparator" w:id="1">
    <w:p w:rsidR="0029643A" w:rsidRDefault="0029643A" w:rsidP="000D15FF">
      <w:pPr>
        <w:spacing w:line="240" w:lineRule="auto"/>
      </w:pPr>
      <w:r>
        <w:continuationSeparator/>
      </w:r>
    </w:p>
  </w:footnote>
  <w:footnote w:id="2">
    <w:p w:rsidR="004E321B" w:rsidRPr="00C343C6" w:rsidRDefault="004E321B" w:rsidP="00775F52">
      <w:pPr>
        <w:pStyle w:val="Notedebasdepage"/>
        <w:rPr>
          <w:rFonts w:ascii="Book Antiqua" w:eastAsia="Book Antiqua" w:hAnsi="Book Antiqua" w:cs="Book Antiqua"/>
          <w:sz w:val="14"/>
          <w:szCs w:val="14"/>
        </w:rPr>
      </w:pPr>
      <w:r w:rsidRPr="00C343C6">
        <w:rPr>
          <w:rFonts w:ascii="Book Antiqua" w:eastAsia="Book Antiqua" w:hAnsi="Book Antiqua" w:cs="Book Antiqua"/>
          <w:sz w:val="16"/>
          <w:szCs w:val="16"/>
          <w:vertAlign w:val="superscript"/>
        </w:rPr>
        <w:footnoteRef/>
      </w:r>
      <w:r w:rsidRPr="00C343C6">
        <w:rPr>
          <w:rFonts w:ascii="Book Antiqua" w:eastAsia="Book Antiqua" w:hAnsi="Book Antiqua" w:cs="Book Antiqua"/>
          <w:sz w:val="14"/>
          <w:szCs w:val="14"/>
        </w:rPr>
        <w:t>L’écart entre la variation de l’emploi au niveau global et par secteurs concerne les activités mal ou non désignées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1B" w:rsidRDefault="004E321B" w:rsidP="00F11B57">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21B" w:rsidRDefault="004E321B" w:rsidP="001A6E97">
    <w:pPr>
      <w:pStyle w:val="En-tte"/>
      <w:jc w:val="center"/>
    </w:pPr>
    <w:r w:rsidRPr="00F11B57">
      <w:rPr>
        <w:noProof/>
      </w:rPr>
      <w:drawing>
        <wp:inline distT="0" distB="0" distL="0" distR="0">
          <wp:extent cx="1358900" cy="1053546"/>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9753" cy="105420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7B4F"/>
    <w:multiLevelType w:val="hybridMultilevel"/>
    <w:tmpl w:val="0B02A664"/>
    <w:lvl w:ilvl="0" w:tplc="1A1C14B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5F8383A"/>
    <w:multiLevelType w:val="hybridMultilevel"/>
    <w:tmpl w:val="CE065B3C"/>
    <w:lvl w:ilvl="0" w:tplc="5B52F470">
      <w:start w:val="1"/>
      <w:numFmt w:val="upperRoman"/>
      <w:lvlText w:val="%1."/>
      <w:lvlJc w:val="right"/>
      <w:pPr>
        <w:ind w:left="644" w:hanging="360"/>
      </w:pPr>
      <w:rPr>
        <w:color w:val="4472C4" w:themeColor="accent1"/>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425C17CE"/>
    <w:multiLevelType w:val="hybridMultilevel"/>
    <w:tmpl w:val="E9E23E7C"/>
    <w:lvl w:ilvl="0" w:tplc="5B52F470">
      <w:start w:val="1"/>
      <w:numFmt w:val="upperRoman"/>
      <w:lvlText w:val="%1."/>
      <w:lvlJc w:val="right"/>
      <w:pPr>
        <w:ind w:left="720" w:hanging="360"/>
      </w:pPr>
      <w:rPr>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71883"/>
    <w:multiLevelType w:val="hybridMultilevel"/>
    <w:tmpl w:val="3AF2B0D4"/>
    <w:lvl w:ilvl="0" w:tplc="FFFFFFFF">
      <w:start w:val="1"/>
      <w:numFmt w:val="upperRoman"/>
      <w:lvlText w:val="%1."/>
      <w:lvlJc w:val="righ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77DD2408"/>
    <w:multiLevelType w:val="hybridMultilevel"/>
    <w:tmpl w:val="3AF2B0D4"/>
    <w:lvl w:ilvl="0" w:tplc="FFFFFFFF">
      <w:start w:val="1"/>
      <w:numFmt w:val="upperRoman"/>
      <w:lvlText w:val="%1."/>
      <w:lvlJc w:val="righ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F51F24"/>
    <w:rsid w:val="00000FE3"/>
    <w:rsid w:val="00003E0E"/>
    <w:rsid w:val="00005241"/>
    <w:rsid w:val="000131E6"/>
    <w:rsid w:val="00014435"/>
    <w:rsid w:val="00014F00"/>
    <w:rsid w:val="00031072"/>
    <w:rsid w:val="0003112E"/>
    <w:rsid w:val="00035D37"/>
    <w:rsid w:val="00042B0D"/>
    <w:rsid w:val="000445F0"/>
    <w:rsid w:val="00044754"/>
    <w:rsid w:val="0005104E"/>
    <w:rsid w:val="00057912"/>
    <w:rsid w:val="00060A8D"/>
    <w:rsid w:val="00061543"/>
    <w:rsid w:val="00066D50"/>
    <w:rsid w:val="0007187A"/>
    <w:rsid w:val="000806D6"/>
    <w:rsid w:val="00082582"/>
    <w:rsid w:val="000828B8"/>
    <w:rsid w:val="00084176"/>
    <w:rsid w:val="0008730C"/>
    <w:rsid w:val="000A0E50"/>
    <w:rsid w:val="000B0D5C"/>
    <w:rsid w:val="000B2262"/>
    <w:rsid w:val="000C22AC"/>
    <w:rsid w:val="000C5453"/>
    <w:rsid w:val="000D15FF"/>
    <w:rsid w:val="000D4577"/>
    <w:rsid w:val="000E1598"/>
    <w:rsid w:val="000E2CF0"/>
    <w:rsid w:val="000E2E0C"/>
    <w:rsid w:val="000F4999"/>
    <w:rsid w:val="00100D48"/>
    <w:rsid w:val="0010330E"/>
    <w:rsid w:val="001119A1"/>
    <w:rsid w:val="00112C9D"/>
    <w:rsid w:val="00114EB1"/>
    <w:rsid w:val="00116999"/>
    <w:rsid w:val="001179F0"/>
    <w:rsid w:val="00134746"/>
    <w:rsid w:val="00142207"/>
    <w:rsid w:val="00143102"/>
    <w:rsid w:val="00155A28"/>
    <w:rsid w:val="00157DEC"/>
    <w:rsid w:val="001722C9"/>
    <w:rsid w:val="0017244B"/>
    <w:rsid w:val="0017792B"/>
    <w:rsid w:val="00182BF6"/>
    <w:rsid w:val="001909D6"/>
    <w:rsid w:val="00193F45"/>
    <w:rsid w:val="001A3DDE"/>
    <w:rsid w:val="001A5A8D"/>
    <w:rsid w:val="001A6E97"/>
    <w:rsid w:val="001B348C"/>
    <w:rsid w:val="001B5767"/>
    <w:rsid w:val="001B6005"/>
    <w:rsid w:val="001B75BA"/>
    <w:rsid w:val="001C0BAE"/>
    <w:rsid w:val="001C0FAE"/>
    <w:rsid w:val="001D0613"/>
    <w:rsid w:val="001D2AA5"/>
    <w:rsid w:val="001D5F3B"/>
    <w:rsid w:val="001F5B45"/>
    <w:rsid w:val="001F6497"/>
    <w:rsid w:val="002011F7"/>
    <w:rsid w:val="002049EA"/>
    <w:rsid w:val="00205082"/>
    <w:rsid w:val="002176E3"/>
    <w:rsid w:val="00217908"/>
    <w:rsid w:val="00225147"/>
    <w:rsid w:val="00225F76"/>
    <w:rsid w:val="00230D5B"/>
    <w:rsid w:val="0023300C"/>
    <w:rsid w:val="00242641"/>
    <w:rsid w:val="00260E49"/>
    <w:rsid w:val="00261D65"/>
    <w:rsid w:val="00273E3A"/>
    <w:rsid w:val="00283D70"/>
    <w:rsid w:val="002858AE"/>
    <w:rsid w:val="00287D21"/>
    <w:rsid w:val="0029643A"/>
    <w:rsid w:val="002A0A2B"/>
    <w:rsid w:val="002A7001"/>
    <w:rsid w:val="002B0766"/>
    <w:rsid w:val="002B296C"/>
    <w:rsid w:val="002B5B52"/>
    <w:rsid w:val="002C30C0"/>
    <w:rsid w:val="002C3822"/>
    <w:rsid w:val="002C4484"/>
    <w:rsid w:val="002C5905"/>
    <w:rsid w:val="002E0932"/>
    <w:rsid w:val="002F4D68"/>
    <w:rsid w:val="003003EE"/>
    <w:rsid w:val="003049D0"/>
    <w:rsid w:val="00312B1C"/>
    <w:rsid w:val="00320DA2"/>
    <w:rsid w:val="0032600B"/>
    <w:rsid w:val="0033732A"/>
    <w:rsid w:val="00350C33"/>
    <w:rsid w:val="00352305"/>
    <w:rsid w:val="00354DEB"/>
    <w:rsid w:val="00354FC7"/>
    <w:rsid w:val="003566AF"/>
    <w:rsid w:val="0036600E"/>
    <w:rsid w:val="0036629F"/>
    <w:rsid w:val="0037777D"/>
    <w:rsid w:val="00384ADB"/>
    <w:rsid w:val="00397253"/>
    <w:rsid w:val="003A0688"/>
    <w:rsid w:val="003A173D"/>
    <w:rsid w:val="003A75D9"/>
    <w:rsid w:val="003B674A"/>
    <w:rsid w:val="003C7266"/>
    <w:rsid w:val="003D16EA"/>
    <w:rsid w:val="003D57ED"/>
    <w:rsid w:val="003D5DFD"/>
    <w:rsid w:val="003E2305"/>
    <w:rsid w:val="003E2B34"/>
    <w:rsid w:val="003E4C73"/>
    <w:rsid w:val="003F51AA"/>
    <w:rsid w:val="003F5612"/>
    <w:rsid w:val="00401909"/>
    <w:rsid w:val="00406295"/>
    <w:rsid w:val="004133A1"/>
    <w:rsid w:val="004141EC"/>
    <w:rsid w:val="004176A1"/>
    <w:rsid w:val="004208A4"/>
    <w:rsid w:val="0042181C"/>
    <w:rsid w:val="004370EE"/>
    <w:rsid w:val="00440315"/>
    <w:rsid w:val="00442023"/>
    <w:rsid w:val="00446633"/>
    <w:rsid w:val="004474D2"/>
    <w:rsid w:val="00456121"/>
    <w:rsid w:val="00456738"/>
    <w:rsid w:val="00460C47"/>
    <w:rsid w:val="00465CCE"/>
    <w:rsid w:val="004742CE"/>
    <w:rsid w:val="00475C7A"/>
    <w:rsid w:val="00477D56"/>
    <w:rsid w:val="004827D6"/>
    <w:rsid w:val="004903AF"/>
    <w:rsid w:val="004A13F2"/>
    <w:rsid w:val="004B4A6C"/>
    <w:rsid w:val="004C0C16"/>
    <w:rsid w:val="004C6552"/>
    <w:rsid w:val="004E2812"/>
    <w:rsid w:val="004E321B"/>
    <w:rsid w:val="00500151"/>
    <w:rsid w:val="0050796F"/>
    <w:rsid w:val="005154A3"/>
    <w:rsid w:val="00532AEB"/>
    <w:rsid w:val="00533A52"/>
    <w:rsid w:val="00537A06"/>
    <w:rsid w:val="005600F5"/>
    <w:rsid w:val="00563BB3"/>
    <w:rsid w:val="00564ECA"/>
    <w:rsid w:val="005840E3"/>
    <w:rsid w:val="00591080"/>
    <w:rsid w:val="00591954"/>
    <w:rsid w:val="00594F9D"/>
    <w:rsid w:val="00595B5A"/>
    <w:rsid w:val="005A5B53"/>
    <w:rsid w:val="005A73B4"/>
    <w:rsid w:val="005A7A3C"/>
    <w:rsid w:val="005B2A65"/>
    <w:rsid w:val="005B4AC8"/>
    <w:rsid w:val="005B593F"/>
    <w:rsid w:val="005B5E5A"/>
    <w:rsid w:val="005D7D58"/>
    <w:rsid w:val="005F4E2E"/>
    <w:rsid w:val="005F50A5"/>
    <w:rsid w:val="005F50C4"/>
    <w:rsid w:val="005F59B5"/>
    <w:rsid w:val="00603F2D"/>
    <w:rsid w:val="00604726"/>
    <w:rsid w:val="00616F78"/>
    <w:rsid w:val="006352E6"/>
    <w:rsid w:val="006452ED"/>
    <w:rsid w:val="00647465"/>
    <w:rsid w:val="006503DF"/>
    <w:rsid w:val="00651D1E"/>
    <w:rsid w:val="006616D1"/>
    <w:rsid w:val="00667263"/>
    <w:rsid w:val="00673039"/>
    <w:rsid w:val="00675F61"/>
    <w:rsid w:val="00687D38"/>
    <w:rsid w:val="00690BF0"/>
    <w:rsid w:val="006A1AEF"/>
    <w:rsid w:val="006A7E3D"/>
    <w:rsid w:val="006B1AB2"/>
    <w:rsid w:val="006B43CB"/>
    <w:rsid w:val="006B5F09"/>
    <w:rsid w:val="006C6704"/>
    <w:rsid w:val="006D147C"/>
    <w:rsid w:val="006D22D2"/>
    <w:rsid w:val="006E542F"/>
    <w:rsid w:val="006F1426"/>
    <w:rsid w:val="006F444D"/>
    <w:rsid w:val="006F619D"/>
    <w:rsid w:val="00701DCF"/>
    <w:rsid w:val="00710E69"/>
    <w:rsid w:val="007147C6"/>
    <w:rsid w:val="00714E23"/>
    <w:rsid w:val="00721C8A"/>
    <w:rsid w:val="007241D8"/>
    <w:rsid w:val="0073362B"/>
    <w:rsid w:val="007379F9"/>
    <w:rsid w:val="00741D8D"/>
    <w:rsid w:val="00744261"/>
    <w:rsid w:val="007543DE"/>
    <w:rsid w:val="00756185"/>
    <w:rsid w:val="00757469"/>
    <w:rsid w:val="007577BE"/>
    <w:rsid w:val="007719CB"/>
    <w:rsid w:val="00772FE9"/>
    <w:rsid w:val="007745DE"/>
    <w:rsid w:val="00775F52"/>
    <w:rsid w:val="00781313"/>
    <w:rsid w:val="00782306"/>
    <w:rsid w:val="00787E7D"/>
    <w:rsid w:val="00794143"/>
    <w:rsid w:val="00794B22"/>
    <w:rsid w:val="007979A7"/>
    <w:rsid w:val="007A3580"/>
    <w:rsid w:val="007A431A"/>
    <w:rsid w:val="007B36C6"/>
    <w:rsid w:val="007C2335"/>
    <w:rsid w:val="007D170B"/>
    <w:rsid w:val="007D2FFA"/>
    <w:rsid w:val="007D3669"/>
    <w:rsid w:val="007D73CE"/>
    <w:rsid w:val="007D7E59"/>
    <w:rsid w:val="007F0FCC"/>
    <w:rsid w:val="007F23F4"/>
    <w:rsid w:val="007F5B1A"/>
    <w:rsid w:val="008026AA"/>
    <w:rsid w:val="00812370"/>
    <w:rsid w:val="008203BF"/>
    <w:rsid w:val="00821DB4"/>
    <w:rsid w:val="00824A64"/>
    <w:rsid w:val="00825B8A"/>
    <w:rsid w:val="00830E76"/>
    <w:rsid w:val="00833D9B"/>
    <w:rsid w:val="008349FD"/>
    <w:rsid w:val="00835A1D"/>
    <w:rsid w:val="00840838"/>
    <w:rsid w:val="00840D94"/>
    <w:rsid w:val="00842E5A"/>
    <w:rsid w:val="00842F44"/>
    <w:rsid w:val="008503D4"/>
    <w:rsid w:val="00850E2C"/>
    <w:rsid w:val="008518BA"/>
    <w:rsid w:val="0086376D"/>
    <w:rsid w:val="00866791"/>
    <w:rsid w:val="00875BCC"/>
    <w:rsid w:val="008766F3"/>
    <w:rsid w:val="00876E36"/>
    <w:rsid w:val="00877C55"/>
    <w:rsid w:val="008865DA"/>
    <w:rsid w:val="0089499C"/>
    <w:rsid w:val="008970A7"/>
    <w:rsid w:val="008A7F45"/>
    <w:rsid w:val="008C0DEC"/>
    <w:rsid w:val="008E492B"/>
    <w:rsid w:val="008F7029"/>
    <w:rsid w:val="0090310B"/>
    <w:rsid w:val="00904E5B"/>
    <w:rsid w:val="0090530A"/>
    <w:rsid w:val="0090682D"/>
    <w:rsid w:val="009107AD"/>
    <w:rsid w:val="00912B9D"/>
    <w:rsid w:val="00916062"/>
    <w:rsid w:val="00916E18"/>
    <w:rsid w:val="009208B9"/>
    <w:rsid w:val="009232A8"/>
    <w:rsid w:val="00947423"/>
    <w:rsid w:val="009548A8"/>
    <w:rsid w:val="00954AB3"/>
    <w:rsid w:val="00960906"/>
    <w:rsid w:val="00967D39"/>
    <w:rsid w:val="009706B4"/>
    <w:rsid w:val="00971DFF"/>
    <w:rsid w:val="0098143C"/>
    <w:rsid w:val="00982BB8"/>
    <w:rsid w:val="009911C5"/>
    <w:rsid w:val="00992729"/>
    <w:rsid w:val="009927D2"/>
    <w:rsid w:val="00994B05"/>
    <w:rsid w:val="009A3EA7"/>
    <w:rsid w:val="009A681D"/>
    <w:rsid w:val="009B74F1"/>
    <w:rsid w:val="009C1F60"/>
    <w:rsid w:val="009C274B"/>
    <w:rsid w:val="009C5858"/>
    <w:rsid w:val="009C74FC"/>
    <w:rsid w:val="009D1DC1"/>
    <w:rsid w:val="009D4D4F"/>
    <w:rsid w:val="009D6CEE"/>
    <w:rsid w:val="009F6A19"/>
    <w:rsid w:val="00A03705"/>
    <w:rsid w:val="00A12169"/>
    <w:rsid w:val="00A12D8E"/>
    <w:rsid w:val="00A15D58"/>
    <w:rsid w:val="00A41CDD"/>
    <w:rsid w:val="00A45AB0"/>
    <w:rsid w:val="00A5341D"/>
    <w:rsid w:val="00A726E0"/>
    <w:rsid w:val="00A90492"/>
    <w:rsid w:val="00AC140C"/>
    <w:rsid w:val="00AC2D21"/>
    <w:rsid w:val="00AD1865"/>
    <w:rsid w:val="00AD1F1A"/>
    <w:rsid w:val="00AD4631"/>
    <w:rsid w:val="00AD5CDC"/>
    <w:rsid w:val="00AD7C2F"/>
    <w:rsid w:val="00AE64FC"/>
    <w:rsid w:val="00AF0662"/>
    <w:rsid w:val="00AF24B1"/>
    <w:rsid w:val="00AF28E5"/>
    <w:rsid w:val="00B065B9"/>
    <w:rsid w:val="00B2007E"/>
    <w:rsid w:val="00B2239E"/>
    <w:rsid w:val="00B26D0E"/>
    <w:rsid w:val="00B33F18"/>
    <w:rsid w:val="00B432F9"/>
    <w:rsid w:val="00B46097"/>
    <w:rsid w:val="00B46FC5"/>
    <w:rsid w:val="00B547AE"/>
    <w:rsid w:val="00B57677"/>
    <w:rsid w:val="00B73E57"/>
    <w:rsid w:val="00B777D0"/>
    <w:rsid w:val="00B8236C"/>
    <w:rsid w:val="00B82867"/>
    <w:rsid w:val="00B84A96"/>
    <w:rsid w:val="00B95F61"/>
    <w:rsid w:val="00BA2C39"/>
    <w:rsid w:val="00BB0160"/>
    <w:rsid w:val="00BB1A38"/>
    <w:rsid w:val="00BB745B"/>
    <w:rsid w:val="00BD001E"/>
    <w:rsid w:val="00BD4B64"/>
    <w:rsid w:val="00BD509F"/>
    <w:rsid w:val="00BD71D9"/>
    <w:rsid w:val="00BD746B"/>
    <w:rsid w:val="00BE06A4"/>
    <w:rsid w:val="00BF1812"/>
    <w:rsid w:val="00BF456F"/>
    <w:rsid w:val="00BF58E1"/>
    <w:rsid w:val="00C061F4"/>
    <w:rsid w:val="00C11080"/>
    <w:rsid w:val="00C13AC5"/>
    <w:rsid w:val="00C156AE"/>
    <w:rsid w:val="00C16D6A"/>
    <w:rsid w:val="00C24A63"/>
    <w:rsid w:val="00C264DA"/>
    <w:rsid w:val="00C26F61"/>
    <w:rsid w:val="00C31661"/>
    <w:rsid w:val="00C31BDC"/>
    <w:rsid w:val="00C343C6"/>
    <w:rsid w:val="00C411B2"/>
    <w:rsid w:val="00C420E3"/>
    <w:rsid w:val="00C434B7"/>
    <w:rsid w:val="00C52B00"/>
    <w:rsid w:val="00C53762"/>
    <w:rsid w:val="00C54174"/>
    <w:rsid w:val="00C610FD"/>
    <w:rsid w:val="00C70C52"/>
    <w:rsid w:val="00C95867"/>
    <w:rsid w:val="00CA2838"/>
    <w:rsid w:val="00CA3923"/>
    <w:rsid w:val="00CA5CF1"/>
    <w:rsid w:val="00CC1288"/>
    <w:rsid w:val="00CC42C8"/>
    <w:rsid w:val="00CD0581"/>
    <w:rsid w:val="00CD4BD7"/>
    <w:rsid w:val="00CE37DF"/>
    <w:rsid w:val="00CE5EE6"/>
    <w:rsid w:val="00CE7366"/>
    <w:rsid w:val="00CF2475"/>
    <w:rsid w:val="00CF7E2A"/>
    <w:rsid w:val="00D075E4"/>
    <w:rsid w:val="00D117E6"/>
    <w:rsid w:val="00D149CE"/>
    <w:rsid w:val="00D16FA7"/>
    <w:rsid w:val="00D2434F"/>
    <w:rsid w:val="00D3722B"/>
    <w:rsid w:val="00D419D5"/>
    <w:rsid w:val="00D41AD1"/>
    <w:rsid w:val="00D41EAD"/>
    <w:rsid w:val="00D4247B"/>
    <w:rsid w:val="00D44735"/>
    <w:rsid w:val="00D52033"/>
    <w:rsid w:val="00D52906"/>
    <w:rsid w:val="00D61DE8"/>
    <w:rsid w:val="00D71B4A"/>
    <w:rsid w:val="00D71BCF"/>
    <w:rsid w:val="00D73191"/>
    <w:rsid w:val="00D75181"/>
    <w:rsid w:val="00D75269"/>
    <w:rsid w:val="00D7746A"/>
    <w:rsid w:val="00D810C7"/>
    <w:rsid w:val="00D81B51"/>
    <w:rsid w:val="00DA1513"/>
    <w:rsid w:val="00DB1A94"/>
    <w:rsid w:val="00DC3F51"/>
    <w:rsid w:val="00DC6FDB"/>
    <w:rsid w:val="00DD4B13"/>
    <w:rsid w:val="00DD5608"/>
    <w:rsid w:val="00DE167A"/>
    <w:rsid w:val="00DF6E6B"/>
    <w:rsid w:val="00E06FE5"/>
    <w:rsid w:val="00E307AA"/>
    <w:rsid w:val="00E42E1C"/>
    <w:rsid w:val="00E45A13"/>
    <w:rsid w:val="00E47CFD"/>
    <w:rsid w:val="00E7159C"/>
    <w:rsid w:val="00E73063"/>
    <w:rsid w:val="00E739B2"/>
    <w:rsid w:val="00E83464"/>
    <w:rsid w:val="00E840C6"/>
    <w:rsid w:val="00E84CB0"/>
    <w:rsid w:val="00E92724"/>
    <w:rsid w:val="00E945AB"/>
    <w:rsid w:val="00E977BD"/>
    <w:rsid w:val="00EA6737"/>
    <w:rsid w:val="00EB0B34"/>
    <w:rsid w:val="00EB4427"/>
    <w:rsid w:val="00EC2952"/>
    <w:rsid w:val="00ED42FD"/>
    <w:rsid w:val="00EE17CE"/>
    <w:rsid w:val="00EE5284"/>
    <w:rsid w:val="00EF2D0E"/>
    <w:rsid w:val="00EF51DD"/>
    <w:rsid w:val="00F00485"/>
    <w:rsid w:val="00F11B57"/>
    <w:rsid w:val="00F1215D"/>
    <w:rsid w:val="00F15342"/>
    <w:rsid w:val="00F1697D"/>
    <w:rsid w:val="00F22565"/>
    <w:rsid w:val="00F26F34"/>
    <w:rsid w:val="00F30A7E"/>
    <w:rsid w:val="00F32246"/>
    <w:rsid w:val="00F40FAF"/>
    <w:rsid w:val="00F47144"/>
    <w:rsid w:val="00F51F24"/>
    <w:rsid w:val="00F65F53"/>
    <w:rsid w:val="00F86CEA"/>
    <w:rsid w:val="00F873FC"/>
    <w:rsid w:val="00F904B8"/>
    <w:rsid w:val="00F95402"/>
    <w:rsid w:val="00F955FD"/>
    <w:rsid w:val="00FC1E13"/>
    <w:rsid w:val="00FC204D"/>
    <w:rsid w:val="00FC6349"/>
    <w:rsid w:val="00FD36D0"/>
    <w:rsid w:val="00FD61C1"/>
    <w:rsid w:val="00FF0E14"/>
    <w:rsid w:val="00FF3ED9"/>
    <w:rsid w:val="00FF54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24"/>
    <w:pPr>
      <w:spacing w:after="0" w:line="276" w:lineRule="auto"/>
    </w:pPr>
    <w:rPr>
      <w:rFonts w:ascii="Arial" w:eastAsia="Arial" w:hAnsi="Arial" w:cs="Arial"/>
      <w:lang w:val="fr-FR" w:eastAsia="fr-FR"/>
    </w:rPr>
  </w:style>
  <w:style w:type="paragraph" w:styleId="Titre1">
    <w:name w:val="heading 1"/>
    <w:basedOn w:val="Normal"/>
    <w:next w:val="Normal"/>
    <w:link w:val="Titre1Car"/>
    <w:uiPriority w:val="99"/>
    <w:qFormat/>
    <w:rsid w:val="004E2812"/>
    <w:pPr>
      <w:keepNext/>
      <w:keepLines/>
      <w:spacing w:before="400" w:after="120"/>
      <w:outlineLvl w:val="0"/>
    </w:pPr>
    <w:rPr>
      <w:sz w:val="40"/>
      <w:szCs w:val="40"/>
    </w:rPr>
  </w:style>
  <w:style w:type="paragraph" w:styleId="Titre2">
    <w:name w:val="heading 2"/>
    <w:basedOn w:val="Normal"/>
    <w:next w:val="Normal"/>
    <w:link w:val="Titre2Car"/>
    <w:uiPriority w:val="9"/>
    <w:semiHidden/>
    <w:unhideWhenUsed/>
    <w:qFormat/>
    <w:rsid w:val="00905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F7E2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0530A"/>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530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D15FF"/>
    <w:pPr>
      <w:spacing w:line="240" w:lineRule="auto"/>
    </w:pPr>
    <w:rPr>
      <w:sz w:val="20"/>
      <w:szCs w:val="20"/>
    </w:rPr>
  </w:style>
  <w:style w:type="character" w:customStyle="1" w:styleId="NotedebasdepageCar">
    <w:name w:val="Note de bas de page Car"/>
    <w:basedOn w:val="Policepardfaut"/>
    <w:link w:val="Notedebasdepage"/>
    <w:uiPriority w:val="99"/>
    <w:semiHidden/>
    <w:rsid w:val="000D15FF"/>
    <w:rPr>
      <w:rFonts w:ascii="Arial" w:eastAsia="Arial" w:hAnsi="Arial" w:cs="Arial"/>
      <w:sz w:val="20"/>
      <w:szCs w:val="20"/>
      <w:lang w:val="fr-FR" w:eastAsia="fr-FR"/>
    </w:rPr>
  </w:style>
  <w:style w:type="character" w:styleId="Appelnotedebasdep">
    <w:name w:val="footnote reference"/>
    <w:basedOn w:val="Policepardfaut"/>
    <w:uiPriority w:val="99"/>
    <w:semiHidden/>
    <w:unhideWhenUsed/>
    <w:rsid w:val="000D15FF"/>
    <w:rPr>
      <w:vertAlign w:val="superscript"/>
    </w:rPr>
  </w:style>
  <w:style w:type="paragraph" w:styleId="Paragraphedeliste">
    <w:name w:val="List Paragraph"/>
    <w:basedOn w:val="Normal"/>
    <w:uiPriority w:val="34"/>
    <w:qFormat/>
    <w:rsid w:val="004E2812"/>
    <w:pPr>
      <w:ind w:left="720"/>
      <w:contextualSpacing/>
    </w:pPr>
  </w:style>
  <w:style w:type="paragraph" w:styleId="En-tte">
    <w:name w:val="header"/>
    <w:basedOn w:val="Normal"/>
    <w:link w:val="En-tteCar"/>
    <w:uiPriority w:val="99"/>
    <w:unhideWhenUsed/>
    <w:rsid w:val="004E2812"/>
    <w:pPr>
      <w:tabs>
        <w:tab w:val="center" w:pos="4536"/>
        <w:tab w:val="right" w:pos="9072"/>
      </w:tabs>
      <w:spacing w:line="240" w:lineRule="auto"/>
    </w:pPr>
  </w:style>
  <w:style w:type="character" w:customStyle="1" w:styleId="En-tteCar">
    <w:name w:val="En-tête Car"/>
    <w:basedOn w:val="Policepardfaut"/>
    <w:link w:val="En-tte"/>
    <w:uiPriority w:val="99"/>
    <w:rsid w:val="004E2812"/>
    <w:rPr>
      <w:rFonts w:ascii="Arial" w:eastAsia="Arial" w:hAnsi="Arial" w:cs="Arial"/>
      <w:lang w:val="fr-FR" w:eastAsia="fr-FR"/>
    </w:rPr>
  </w:style>
  <w:style w:type="paragraph" w:styleId="Pieddepage">
    <w:name w:val="footer"/>
    <w:basedOn w:val="Normal"/>
    <w:link w:val="PieddepageCar"/>
    <w:uiPriority w:val="99"/>
    <w:unhideWhenUsed/>
    <w:rsid w:val="004E2812"/>
    <w:pPr>
      <w:tabs>
        <w:tab w:val="center" w:pos="4536"/>
        <w:tab w:val="right" w:pos="9072"/>
      </w:tabs>
      <w:spacing w:line="240" w:lineRule="auto"/>
    </w:pPr>
  </w:style>
  <w:style w:type="character" w:customStyle="1" w:styleId="PieddepageCar">
    <w:name w:val="Pied de page Car"/>
    <w:basedOn w:val="Policepardfaut"/>
    <w:link w:val="Pieddepage"/>
    <w:uiPriority w:val="99"/>
    <w:rsid w:val="004E2812"/>
    <w:rPr>
      <w:rFonts w:ascii="Arial" w:eastAsia="Arial" w:hAnsi="Arial" w:cs="Arial"/>
      <w:lang w:val="fr-FR" w:eastAsia="fr-FR"/>
    </w:rPr>
  </w:style>
  <w:style w:type="character" w:customStyle="1" w:styleId="Titre1Car">
    <w:name w:val="Titre 1 Car"/>
    <w:basedOn w:val="Policepardfaut"/>
    <w:link w:val="Titre1"/>
    <w:uiPriority w:val="99"/>
    <w:rsid w:val="004E2812"/>
    <w:rPr>
      <w:rFonts w:ascii="Arial" w:eastAsia="Arial" w:hAnsi="Arial" w:cs="Arial"/>
      <w:sz w:val="40"/>
      <w:szCs w:val="40"/>
      <w:lang w:val="fr-FR" w:eastAsia="fr-FR"/>
    </w:rPr>
  </w:style>
  <w:style w:type="table" w:styleId="Grilledutableau">
    <w:name w:val="Table Grid"/>
    <w:basedOn w:val="TableauNormal"/>
    <w:uiPriority w:val="59"/>
    <w:rsid w:val="004E2812"/>
    <w:pPr>
      <w:spacing w:after="0" w:line="240" w:lineRule="auto"/>
    </w:pPr>
    <w:rPr>
      <w:rFonts w:eastAsiaTheme="minorEastAsia"/>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4E2812"/>
    <w:rPr>
      <w:color w:val="0000FF"/>
      <w:u w:val="single"/>
    </w:rPr>
  </w:style>
  <w:style w:type="character" w:customStyle="1" w:styleId="Titre3Car">
    <w:name w:val="Titre 3 Car"/>
    <w:basedOn w:val="Policepardfaut"/>
    <w:link w:val="Titre3"/>
    <w:uiPriority w:val="9"/>
    <w:rsid w:val="00CF7E2A"/>
    <w:rPr>
      <w:rFonts w:asciiTheme="majorHAnsi" w:eastAsiaTheme="majorEastAsia" w:hAnsiTheme="majorHAnsi" w:cstheme="majorBidi"/>
      <w:color w:val="1F3763" w:themeColor="accent1" w:themeShade="7F"/>
      <w:sz w:val="24"/>
      <w:szCs w:val="24"/>
      <w:lang w:val="fr-FR" w:eastAsia="fr-FR"/>
    </w:rPr>
  </w:style>
  <w:style w:type="paragraph" w:customStyle="1" w:styleId="MMTopic1">
    <w:name w:val="MM Topic 1"/>
    <w:basedOn w:val="Titre1"/>
    <w:rsid w:val="0090530A"/>
    <w:pPr>
      <w:numPr>
        <w:numId w:val="6"/>
      </w:numPr>
      <w:tabs>
        <w:tab w:val="num" w:pos="360"/>
      </w:tabs>
      <w:spacing w:before="240" w:after="0" w:line="254" w:lineRule="auto"/>
    </w:pPr>
    <w:rPr>
      <w:rFonts w:asciiTheme="majorHAnsi" w:eastAsiaTheme="majorEastAsia" w:hAnsiTheme="majorHAnsi" w:cstheme="majorBidi"/>
      <w:color w:val="2F5496" w:themeColor="accent1" w:themeShade="BF"/>
      <w:sz w:val="32"/>
      <w:szCs w:val="32"/>
      <w:lang w:eastAsia="en-US"/>
    </w:rPr>
  </w:style>
  <w:style w:type="character" w:customStyle="1" w:styleId="MMTopic2Car">
    <w:name w:val="MM Topic 2 Car"/>
    <w:basedOn w:val="Policepardfaut"/>
    <w:link w:val="MMTopic2"/>
    <w:locked/>
    <w:rsid w:val="0090530A"/>
    <w:rPr>
      <w:rFonts w:asciiTheme="majorHAnsi" w:eastAsiaTheme="majorEastAsia" w:hAnsiTheme="majorHAnsi" w:cs="Calibri Light"/>
      <w:color w:val="2F5496" w:themeColor="accent1" w:themeShade="BF"/>
      <w:sz w:val="26"/>
      <w:szCs w:val="26"/>
    </w:rPr>
  </w:style>
  <w:style w:type="paragraph" w:customStyle="1" w:styleId="MMTopic2">
    <w:name w:val="MM Topic 2"/>
    <w:basedOn w:val="Titre2"/>
    <w:link w:val="MMTopic2Car"/>
    <w:rsid w:val="0090530A"/>
    <w:pPr>
      <w:numPr>
        <w:ilvl w:val="1"/>
        <w:numId w:val="6"/>
      </w:numPr>
      <w:spacing w:line="254" w:lineRule="auto"/>
    </w:pPr>
    <w:rPr>
      <w:rFonts w:cs="Calibri Light"/>
      <w:lang w:val="en-US" w:eastAsia="en-US"/>
    </w:rPr>
  </w:style>
  <w:style w:type="paragraph" w:customStyle="1" w:styleId="MMTopic3">
    <w:name w:val="MM Topic 3"/>
    <w:basedOn w:val="Titre3"/>
    <w:rsid w:val="0090530A"/>
    <w:pPr>
      <w:numPr>
        <w:ilvl w:val="2"/>
        <w:numId w:val="6"/>
      </w:numPr>
      <w:tabs>
        <w:tab w:val="num" w:pos="360"/>
      </w:tabs>
      <w:spacing w:line="254" w:lineRule="auto"/>
      <w:ind w:left="360"/>
    </w:pPr>
    <w:rPr>
      <w:lang w:eastAsia="en-US"/>
    </w:rPr>
  </w:style>
  <w:style w:type="paragraph" w:customStyle="1" w:styleId="MMTopic4">
    <w:name w:val="MM Topic 4"/>
    <w:basedOn w:val="Titre4"/>
    <w:rsid w:val="0090530A"/>
    <w:pPr>
      <w:numPr>
        <w:ilvl w:val="3"/>
        <w:numId w:val="6"/>
      </w:numPr>
      <w:tabs>
        <w:tab w:val="num" w:pos="360"/>
      </w:tabs>
      <w:spacing w:line="254" w:lineRule="auto"/>
      <w:ind w:left="540" w:hanging="360"/>
    </w:pPr>
    <w:rPr>
      <w:sz w:val="28"/>
      <w:szCs w:val="28"/>
      <w:lang w:eastAsia="en-US"/>
    </w:rPr>
  </w:style>
  <w:style w:type="paragraph" w:customStyle="1" w:styleId="MMTopic5">
    <w:name w:val="MM Topic 5"/>
    <w:basedOn w:val="Titre5"/>
    <w:rsid w:val="0090530A"/>
    <w:pPr>
      <w:numPr>
        <w:ilvl w:val="4"/>
        <w:numId w:val="6"/>
      </w:numPr>
      <w:tabs>
        <w:tab w:val="num" w:pos="360"/>
      </w:tabs>
      <w:spacing w:line="254" w:lineRule="auto"/>
      <w:ind w:left="720" w:hanging="360"/>
    </w:pPr>
    <w:rPr>
      <w:sz w:val="28"/>
      <w:szCs w:val="28"/>
      <w:lang w:eastAsia="en-US"/>
    </w:rPr>
  </w:style>
  <w:style w:type="character" w:customStyle="1" w:styleId="Titre2Car">
    <w:name w:val="Titre 2 Car"/>
    <w:basedOn w:val="Policepardfaut"/>
    <w:link w:val="Titre2"/>
    <w:uiPriority w:val="9"/>
    <w:semiHidden/>
    <w:rsid w:val="0090530A"/>
    <w:rPr>
      <w:rFonts w:asciiTheme="majorHAnsi" w:eastAsiaTheme="majorEastAsia" w:hAnsiTheme="majorHAnsi" w:cstheme="majorBidi"/>
      <w:color w:val="2F5496" w:themeColor="accent1" w:themeShade="BF"/>
      <w:sz w:val="26"/>
      <w:szCs w:val="26"/>
      <w:lang w:val="fr-FR" w:eastAsia="fr-FR"/>
    </w:rPr>
  </w:style>
  <w:style w:type="character" w:customStyle="1" w:styleId="Titre4Car">
    <w:name w:val="Titre 4 Car"/>
    <w:basedOn w:val="Policepardfaut"/>
    <w:link w:val="Titre4"/>
    <w:uiPriority w:val="9"/>
    <w:semiHidden/>
    <w:rsid w:val="0090530A"/>
    <w:rPr>
      <w:rFonts w:asciiTheme="majorHAnsi" w:eastAsiaTheme="majorEastAsia" w:hAnsiTheme="majorHAnsi" w:cstheme="majorBidi"/>
      <w:i/>
      <w:iCs/>
      <w:color w:val="2F5496" w:themeColor="accent1" w:themeShade="BF"/>
      <w:lang w:val="fr-FR" w:eastAsia="fr-FR"/>
    </w:rPr>
  </w:style>
  <w:style w:type="character" w:customStyle="1" w:styleId="Titre5Car">
    <w:name w:val="Titre 5 Car"/>
    <w:basedOn w:val="Policepardfaut"/>
    <w:link w:val="Titre5"/>
    <w:uiPriority w:val="9"/>
    <w:semiHidden/>
    <w:rsid w:val="0090530A"/>
    <w:rPr>
      <w:rFonts w:asciiTheme="majorHAnsi" w:eastAsiaTheme="majorEastAsia" w:hAnsiTheme="majorHAnsi" w:cstheme="majorBidi"/>
      <w:color w:val="2F5496" w:themeColor="accent1" w:themeShade="BF"/>
      <w:lang w:val="fr-FR" w:eastAsia="fr-FR"/>
    </w:rPr>
  </w:style>
  <w:style w:type="paragraph" w:styleId="Textedebulles">
    <w:name w:val="Balloon Text"/>
    <w:basedOn w:val="Normal"/>
    <w:link w:val="TextedebullesCar"/>
    <w:uiPriority w:val="99"/>
    <w:semiHidden/>
    <w:unhideWhenUsed/>
    <w:rsid w:val="00F11B5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B57"/>
    <w:rPr>
      <w:rFonts w:ascii="Tahoma" w:eastAsia="Arial" w:hAnsi="Tahoma" w:cs="Tahoma"/>
      <w:sz w:val="16"/>
      <w:szCs w:val="16"/>
      <w:lang w:val="fr-FR" w:eastAsia="fr-FR"/>
    </w:rPr>
  </w:style>
  <w:style w:type="character" w:styleId="Marquedecommentaire">
    <w:name w:val="annotation reference"/>
    <w:basedOn w:val="Policepardfaut"/>
    <w:uiPriority w:val="99"/>
    <w:semiHidden/>
    <w:unhideWhenUsed/>
    <w:rsid w:val="008865DA"/>
    <w:rPr>
      <w:sz w:val="16"/>
      <w:szCs w:val="16"/>
    </w:rPr>
  </w:style>
  <w:style w:type="paragraph" w:styleId="Commentaire">
    <w:name w:val="annotation text"/>
    <w:basedOn w:val="Normal"/>
    <w:link w:val="CommentaireCar"/>
    <w:uiPriority w:val="99"/>
    <w:semiHidden/>
    <w:unhideWhenUsed/>
    <w:rsid w:val="008865DA"/>
    <w:pPr>
      <w:spacing w:line="240" w:lineRule="auto"/>
    </w:pPr>
    <w:rPr>
      <w:sz w:val="20"/>
      <w:szCs w:val="20"/>
    </w:rPr>
  </w:style>
  <w:style w:type="character" w:customStyle="1" w:styleId="CommentaireCar">
    <w:name w:val="Commentaire Car"/>
    <w:basedOn w:val="Policepardfaut"/>
    <w:link w:val="Commentaire"/>
    <w:uiPriority w:val="99"/>
    <w:semiHidden/>
    <w:rsid w:val="008865DA"/>
    <w:rPr>
      <w:rFonts w:ascii="Arial" w:eastAsia="Arial" w:hAnsi="Arial" w:cs="Arial"/>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C70C52"/>
    <w:rPr>
      <w:b/>
      <w:bCs/>
    </w:rPr>
  </w:style>
  <w:style w:type="character" w:customStyle="1" w:styleId="ObjetducommentaireCar">
    <w:name w:val="Objet du commentaire Car"/>
    <w:basedOn w:val="CommentaireCar"/>
    <w:link w:val="Objetducommentaire"/>
    <w:uiPriority w:val="99"/>
    <w:semiHidden/>
    <w:rsid w:val="00C70C52"/>
    <w:rPr>
      <w:rFonts w:ascii="Arial" w:eastAsia="Arial" w:hAnsi="Arial" w:cs="Arial"/>
      <w:b/>
      <w:bCs/>
      <w:sz w:val="20"/>
      <w:szCs w:val="20"/>
      <w:lang w:val="fr-FR" w:eastAsia="fr-FR"/>
    </w:rPr>
  </w:style>
  <w:style w:type="paragraph" w:styleId="Lgende">
    <w:name w:val="caption"/>
    <w:basedOn w:val="Normal"/>
    <w:next w:val="Normal"/>
    <w:uiPriority w:val="35"/>
    <w:semiHidden/>
    <w:unhideWhenUsed/>
    <w:qFormat/>
    <w:rsid w:val="006B5F09"/>
    <w:pPr>
      <w:spacing w:after="200"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175655880">
      <w:bodyDiv w:val="1"/>
      <w:marLeft w:val="0"/>
      <w:marRight w:val="0"/>
      <w:marTop w:val="0"/>
      <w:marBottom w:val="0"/>
      <w:divBdr>
        <w:top w:val="none" w:sz="0" w:space="0" w:color="auto"/>
        <w:left w:val="none" w:sz="0" w:space="0" w:color="auto"/>
        <w:bottom w:val="none" w:sz="0" w:space="0" w:color="auto"/>
        <w:right w:val="none" w:sz="0" w:space="0" w:color="auto"/>
      </w:divBdr>
    </w:div>
    <w:div w:id="419178185">
      <w:bodyDiv w:val="1"/>
      <w:marLeft w:val="0"/>
      <w:marRight w:val="0"/>
      <w:marTop w:val="0"/>
      <w:marBottom w:val="0"/>
      <w:divBdr>
        <w:top w:val="none" w:sz="0" w:space="0" w:color="auto"/>
        <w:left w:val="none" w:sz="0" w:space="0" w:color="auto"/>
        <w:bottom w:val="none" w:sz="0" w:space="0" w:color="auto"/>
        <w:right w:val="none" w:sz="0" w:space="0" w:color="auto"/>
      </w:divBdr>
    </w:div>
    <w:div w:id="426734901">
      <w:bodyDiv w:val="1"/>
      <w:marLeft w:val="0"/>
      <w:marRight w:val="0"/>
      <w:marTop w:val="0"/>
      <w:marBottom w:val="0"/>
      <w:divBdr>
        <w:top w:val="none" w:sz="0" w:space="0" w:color="auto"/>
        <w:left w:val="none" w:sz="0" w:space="0" w:color="auto"/>
        <w:bottom w:val="none" w:sz="0" w:space="0" w:color="auto"/>
        <w:right w:val="none" w:sz="0" w:space="0" w:color="auto"/>
      </w:divBdr>
    </w:div>
    <w:div w:id="445737129">
      <w:bodyDiv w:val="1"/>
      <w:marLeft w:val="0"/>
      <w:marRight w:val="0"/>
      <w:marTop w:val="0"/>
      <w:marBottom w:val="0"/>
      <w:divBdr>
        <w:top w:val="none" w:sz="0" w:space="0" w:color="auto"/>
        <w:left w:val="none" w:sz="0" w:space="0" w:color="auto"/>
        <w:bottom w:val="none" w:sz="0" w:space="0" w:color="auto"/>
        <w:right w:val="none" w:sz="0" w:space="0" w:color="auto"/>
      </w:divBdr>
    </w:div>
    <w:div w:id="452749831">
      <w:bodyDiv w:val="1"/>
      <w:marLeft w:val="0"/>
      <w:marRight w:val="0"/>
      <w:marTop w:val="0"/>
      <w:marBottom w:val="0"/>
      <w:divBdr>
        <w:top w:val="none" w:sz="0" w:space="0" w:color="auto"/>
        <w:left w:val="none" w:sz="0" w:space="0" w:color="auto"/>
        <w:bottom w:val="none" w:sz="0" w:space="0" w:color="auto"/>
        <w:right w:val="none" w:sz="0" w:space="0" w:color="auto"/>
      </w:divBdr>
    </w:div>
    <w:div w:id="496729548">
      <w:bodyDiv w:val="1"/>
      <w:marLeft w:val="0"/>
      <w:marRight w:val="0"/>
      <w:marTop w:val="0"/>
      <w:marBottom w:val="0"/>
      <w:divBdr>
        <w:top w:val="none" w:sz="0" w:space="0" w:color="auto"/>
        <w:left w:val="none" w:sz="0" w:space="0" w:color="auto"/>
        <w:bottom w:val="none" w:sz="0" w:space="0" w:color="auto"/>
        <w:right w:val="none" w:sz="0" w:space="0" w:color="auto"/>
      </w:divBdr>
    </w:div>
    <w:div w:id="568853221">
      <w:bodyDiv w:val="1"/>
      <w:marLeft w:val="0"/>
      <w:marRight w:val="0"/>
      <w:marTop w:val="0"/>
      <w:marBottom w:val="0"/>
      <w:divBdr>
        <w:top w:val="none" w:sz="0" w:space="0" w:color="auto"/>
        <w:left w:val="none" w:sz="0" w:space="0" w:color="auto"/>
        <w:bottom w:val="none" w:sz="0" w:space="0" w:color="auto"/>
        <w:right w:val="none" w:sz="0" w:space="0" w:color="auto"/>
      </w:divBdr>
    </w:div>
    <w:div w:id="600844955">
      <w:bodyDiv w:val="1"/>
      <w:marLeft w:val="0"/>
      <w:marRight w:val="0"/>
      <w:marTop w:val="0"/>
      <w:marBottom w:val="0"/>
      <w:divBdr>
        <w:top w:val="none" w:sz="0" w:space="0" w:color="auto"/>
        <w:left w:val="none" w:sz="0" w:space="0" w:color="auto"/>
        <w:bottom w:val="none" w:sz="0" w:space="0" w:color="auto"/>
        <w:right w:val="none" w:sz="0" w:space="0" w:color="auto"/>
      </w:divBdr>
    </w:div>
    <w:div w:id="1022979259">
      <w:bodyDiv w:val="1"/>
      <w:marLeft w:val="0"/>
      <w:marRight w:val="0"/>
      <w:marTop w:val="0"/>
      <w:marBottom w:val="0"/>
      <w:divBdr>
        <w:top w:val="none" w:sz="0" w:space="0" w:color="auto"/>
        <w:left w:val="none" w:sz="0" w:space="0" w:color="auto"/>
        <w:bottom w:val="none" w:sz="0" w:space="0" w:color="auto"/>
        <w:right w:val="none" w:sz="0" w:space="0" w:color="auto"/>
      </w:divBdr>
    </w:div>
    <w:div w:id="1057434266">
      <w:bodyDiv w:val="1"/>
      <w:marLeft w:val="0"/>
      <w:marRight w:val="0"/>
      <w:marTop w:val="0"/>
      <w:marBottom w:val="0"/>
      <w:divBdr>
        <w:top w:val="none" w:sz="0" w:space="0" w:color="auto"/>
        <w:left w:val="none" w:sz="0" w:space="0" w:color="auto"/>
        <w:bottom w:val="none" w:sz="0" w:space="0" w:color="auto"/>
        <w:right w:val="none" w:sz="0" w:space="0" w:color="auto"/>
      </w:divBdr>
    </w:div>
    <w:div w:id="1089472897">
      <w:bodyDiv w:val="1"/>
      <w:marLeft w:val="0"/>
      <w:marRight w:val="0"/>
      <w:marTop w:val="0"/>
      <w:marBottom w:val="0"/>
      <w:divBdr>
        <w:top w:val="none" w:sz="0" w:space="0" w:color="auto"/>
        <w:left w:val="none" w:sz="0" w:space="0" w:color="auto"/>
        <w:bottom w:val="none" w:sz="0" w:space="0" w:color="auto"/>
        <w:right w:val="none" w:sz="0" w:space="0" w:color="auto"/>
      </w:divBdr>
    </w:div>
    <w:div w:id="1127894692">
      <w:bodyDiv w:val="1"/>
      <w:marLeft w:val="0"/>
      <w:marRight w:val="0"/>
      <w:marTop w:val="0"/>
      <w:marBottom w:val="0"/>
      <w:divBdr>
        <w:top w:val="none" w:sz="0" w:space="0" w:color="auto"/>
        <w:left w:val="none" w:sz="0" w:space="0" w:color="auto"/>
        <w:bottom w:val="none" w:sz="0" w:space="0" w:color="auto"/>
        <w:right w:val="none" w:sz="0" w:space="0" w:color="auto"/>
      </w:divBdr>
    </w:div>
    <w:div w:id="1129588669">
      <w:bodyDiv w:val="1"/>
      <w:marLeft w:val="0"/>
      <w:marRight w:val="0"/>
      <w:marTop w:val="0"/>
      <w:marBottom w:val="0"/>
      <w:divBdr>
        <w:top w:val="none" w:sz="0" w:space="0" w:color="auto"/>
        <w:left w:val="none" w:sz="0" w:space="0" w:color="auto"/>
        <w:bottom w:val="none" w:sz="0" w:space="0" w:color="auto"/>
        <w:right w:val="none" w:sz="0" w:space="0" w:color="auto"/>
      </w:divBdr>
    </w:div>
    <w:div w:id="1145273748">
      <w:bodyDiv w:val="1"/>
      <w:marLeft w:val="0"/>
      <w:marRight w:val="0"/>
      <w:marTop w:val="0"/>
      <w:marBottom w:val="0"/>
      <w:divBdr>
        <w:top w:val="none" w:sz="0" w:space="0" w:color="auto"/>
        <w:left w:val="none" w:sz="0" w:space="0" w:color="auto"/>
        <w:bottom w:val="none" w:sz="0" w:space="0" w:color="auto"/>
        <w:right w:val="none" w:sz="0" w:space="0" w:color="auto"/>
      </w:divBdr>
    </w:div>
    <w:div w:id="1356805870">
      <w:bodyDiv w:val="1"/>
      <w:marLeft w:val="0"/>
      <w:marRight w:val="0"/>
      <w:marTop w:val="0"/>
      <w:marBottom w:val="0"/>
      <w:divBdr>
        <w:top w:val="none" w:sz="0" w:space="0" w:color="auto"/>
        <w:left w:val="none" w:sz="0" w:space="0" w:color="auto"/>
        <w:bottom w:val="none" w:sz="0" w:space="0" w:color="auto"/>
        <w:right w:val="none" w:sz="0" w:space="0" w:color="auto"/>
      </w:divBdr>
    </w:div>
    <w:div w:id="1767460827">
      <w:bodyDiv w:val="1"/>
      <w:marLeft w:val="0"/>
      <w:marRight w:val="0"/>
      <w:marTop w:val="0"/>
      <w:marBottom w:val="0"/>
      <w:divBdr>
        <w:top w:val="none" w:sz="0" w:space="0" w:color="auto"/>
        <w:left w:val="none" w:sz="0" w:space="0" w:color="auto"/>
        <w:bottom w:val="none" w:sz="0" w:space="0" w:color="auto"/>
        <w:right w:val="none" w:sz="0" w:space="0" w:color="auto"/>
      </w:divBdr>
    </w:div>
    <w:div w:id="1894535529">
      <w:bodyDiv w:val="1"/>
      <w:marLeft w:val="0"/>
      <w:marRight w:val="0"/>
      <w:marTop w:val="0"/>
      <w:marBottom w:val="0"/>
      <w:divBdr>
        <w:top w:val="none" w:sz="0" w:space="0" w:color="auto"/>
        <w:left w:val="none" w:sz="0" w:space="0" w:color="auto"/>
        <w:bottom w:val="none" w:sz="0" w:space="0" w:color="auto"/>
        <w:right w:val="none" w:sz="0" w:space="0" w:color="auto"/>
      </w:divBdr>
    </w:div>
    <w:div w:id="1935433043">
      <w:bodyDiv w:val="1"/>
      <w:marLeft w:val="0"/>
      <w:marRight w:val="0"/>
      <w:marTop w:val="0"/>
      <w:marBottom w:val="0"/>
      <w:divBdr>
        <w:top w:val="none" w:sz="0" w:space="0" w:color="auto"/>
        <w:left w:val="none" w:sz="0" w:space="0" w:color="auto"/>
        <w:bottom w:val="none" w:sz="0" w:space="0" w:color="auto"/>
        <w:right w:val="none" w:sz="0" w:space="0" w:color="auto"/>
      </w:divBdr>
    </w:div>
    <w:div w:id="21471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hcp.ma"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kelkachach\Downloads\2023%20-%20Note%20sur%20les%20chiffres%20cl&#233;s%20-%20Tabulation%20%231%20-DEE18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elkachach\Downloads\2023%20-%20Note%20sur%20les%20chiffres%20cl&#233;s%20-%20Tabulation%20%231%20-DEE18024.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kelkachach\Downloads\2023%20-%20Note%20sur%20les%20chiffres%20cl&#233;s%20-%20Tabulation%20%231%20-DEE18024.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kelkachach\Downloads\2023%20-%20Note%20sur%20les%20chiffres%20cl&#233;s%20-%20Tabulation%20%231%20-DEE18024.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zouazzani\Downloads\2023%20-%20Note%20sur%20les%20chiffres%20cl&#233;s%20-%20Annexe%20-DEE1801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amel\ENE\NoteMarcheTravail\2022\Annuelle\Graphique_Chomage_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ouazzani\Downloads\2023%20-%20Note%20sur%20les%20chiffres%20cl&#233;s%20-%20Annexe%20-DEE1801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Taches%20DEE\Publications%20DEE\Publications%20Annuelles\Notes%20Annuelles\Notes%202023\Note%20sur%20la%20situation%20MT%20en%202023\Tableaux\2023%20-%20Note%20sur%20les%20chiffres%20cl&#233;s%20-%20Annexe%20-DEE1801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Taches%20DEE\Publications%20DEE\Publications%20Annuelles\Notes%20Annuelles\Notes%202023\Note%20sur%20la%20situation%20MT%20en%202023\Tableaux\2023%20-%20Note%20sur%20les%20chiffres%20cl&#233;s%20-%20Annexe%20-DEE1801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Feuil1!$M$5</c:f>
              <c:strCache>
                <c:ptCount val="1"/>
                <c:pt idx="0">
                  <c:v>Urbain</c:v>
                </c:pt>
              </c:strCache>
            </c:strRef>
          </c:tx>
          <c:marker>
            <c:symbol val="none"/>
          </c:marker>
          <c:dLbls>
            <c:dLbl>
              <c:idx val="0"/>
              <c:layout>
                <c:manualLayout>
                  <c:x val="0"/>
                  <c:y val="2.9173019551091646E-2"/>
                </c:manualLayout>
              </c:layout>
              <c:dLblPos val="t"/>
              <c:showVal val="1"/>
            </c:dLbl>
            <c:dLbl>
              <c:idx val="1"/>
              <c:layout>
                <c:manualLayout>
                  <c:x val="2.3081244344413786E-3"/>
                  <c:y val="5.1052784214410701E-2"/>
                </c:manualLayout>
              </c:layout>
              <c:dLblPos val="t"/>
              <c:showVal val="1"/>
            </c:dLbl>
            <c:dLbl>
              <c:idx val="2"/>
              <c:layout>
                <c:manualLayout>
                  <c:x val="2.3081244344414216E-3"/>
                  <c:y val="4.3759529326637334E-2"/>
                </c:manualLayout>
              </c:layout>
              <c:dLblPos val="t"/>
              <c:showVal val="1"/>
            </c:dLbl>
            <c:dLbl>
              <c:idx val="3"/>
              <c:layout>
                <c:manualLayout>
                  <c:x val="0"/>
                  <c:y val="5.1052784214410701E-2"/>
                </c:manualLayout>
              </c:layout>
              <c:dLblPos val="t"/>
              <c:showVal val="1"/>
            </c:dLbl>
            <c:dLbl>
              <c:idx val="4"/>
              <c:layout>
                <c:manualLayout>
                  <c:x val="2.3081244344413786E-3"/>
                  <c:y val="3.6466274438864694E-2"/>
                </c:manualLayout>
              </c:layout>
              <c:dLblPos val="t"/>
              <c:showVal val="1"/>
            </c:dLbl>
            <c:dLbl>
              <c:idx val="5"/>
              <c:layout>
                <c:manualLayout>
                  <c:x val="4.616248868882661E-3"/>
                  <c:y val="5.1052784214410701E-2"/>
                </c:manualLayout>
              </c:layout>
              <c:dLblPos val="t"/>
              <c:showVal val="1"/>
            </c:dLbl>
            <c:dLbl>
              <c:idx val="6"/>
              <c:layout>
                <c:manualLayout>
                  <c:x val="0"/>
                  <c:y val="5.1052784214410701E-2"/>
                </c:manualLayout>
              </c:layout>
              <c:dLblPos val="t"/>
              <c:showVal val="1"/>
            </c:dLbl>
            <c:txPr>
              <a:bodyPr/>
              <a:lstStyle/>
              <a:p>
                <a:pPr>
                  <a:defRPr sz="800" b="1"/>
                </a:pPr>
                <a:endParaRPr lang="fr-FR"/>
              </a:p>
            </c:txPr>
            <c:dLblPos val="t"/>
            <c:showVal val="1"/>
          </c:dLbls>
          <c:cat>
            <c:numRef>
              <c:f>Feuil1!$N$4:$T$4</c:f>
              <c:numCache>
                <c:formatCode>General</c:formatCode>
                <c:ptCount val="7"/>
                <c:pt idx="0">
                  <c:v>2017</c:v>
                </c:pt>
                <c:pt idx="1">
                  <c:v>2018</c:v>
                </c:pt>
                <c:pt idx="2">
                  <c:v>2019</c:v>
                </c:pt>
                <c:pt idx="3">
                  <c:v>2020</c:v>
                </c:pt>
                <c:pt idx="4">
                  <c:v>2021</c:v>
                </c:pt>
                <c:pt idx="5">
                  <c:v>2022</c:v>
                </c:pt>
                <c:pt idx="6">
                  <c:v>2023</c:v>
                </c:pt>
              </c:numCache>
            </c:numRef>
          </c:cat>
          <c:val>
            <c:numRef>
              <c:f>Feuil1!$N$5:$T$5</c:f>
              <c:numCache>
                <c:formatCode>General</c:formatCode>
                <c:ptCount val="7"/>
                <c:pt idx="0">
                  <c:v>42.4</c:v>
                </c:pt>
                <c:pt idx="1">
                  <c:v>42</c:v>
                </c:pt>
                <c:pt idx="2">
                  <c:v>42.3</c:v>
                </c:pt>
                <c:pt idx="3">
                  <c:v>41.9</c:v>
                </c:pt>
                <c:pt idx="4">
                  <c:v>42.3</c:v>
                </c:pt>
                <c:pt idx="5">
                  <c:v>41.9</c:v>
                </c:pt>
                <c:pt idx="6">
                  <c:v>41.8</c:v>
                </c:pt>
              </c:numCache>
            </c:numRef>
          </c:val>
        </c:ser>
        <c:ser>
          <c:idx val="1"/>
          <c:order val="1"/>
          <c:tx>
            <c:strRef>
              <c:f>Feuil1!$M$6</c:f>
              <c:strCache>
                <c:ptCount val="1"/>
                <c:pt idx="0">
                  <c:v>Rural</c:v>
                </c:pt>
              </c:strCache>
            </c:strRef>
          </c:tx>
          <c:marker>
            <c:symbol val="none"/>
          </c:marker>
          <c:dLbls>
            <c:txPr>
              <a:bodyPr/>
              <a:lstStyle/>
              <a:p>
                <a:pPr>
                  <a:defRPr sz="800" b="1"/>
                </a:pPr>
                <a:endParaRPr lang="fr-FR"/>
              </a:p>
            </c:txPr>
            <c:dLblPos val="t"/>
            <c:showVal val="1"/>
          </c:dLbls>
          <c:cat>
            <c:numRef>
              <c:f>Feuil1!$N$4:$T$4</c:f>
              <c:numCache>
                <c:formatCode>General</c:formatCode>
                <c:ptCount val="7"/>
                <c:pt idx="0">
                  <c:v>2017</c:v>
                </c:pt>
                <c:pt idx="1">
                  <c:v>2018</c:v>
                </c:pt>
                <c:pt idx="2">
                  <c:v>2019</c:v>
                </c:pt>
                <c:pt idx="3">
                  <c:v>2020</c:v>
                </c:pt>
                <c:pt idx="4">
                  <c:v>2021</c:v>
                </c:pt>
                <c:pt idx="5">
                  <c:v>2022</c:v>
                </c:pt>
                <c:pt idx="6">
                  <c:v>2023</c:v>
                </c:pt>
              </c:numCache>
            </c:numRef>
          </c:cat>
          <c:val>
            <c:numRef>
              <c:f>Feuil1!$N$6:$T$6</c:f>
              <c:numCache>
                <c:formatCode>General</c:formatCode>
                <c:ptCount val="7"/>
                <c:pt idx="0">
                  <c:v>54.1</c:v>
                </c:pt>
                <c:pt idx="1">
                  <c:v>53.2</c:v>
                </c:pt>
                <c:pt idx="2">
                  <c:v>52.2</c:v>
                </c:pt>
                <c:pt idx="3">
                  <c:v>50</c:v>
                </c:pt>
                <c:pt idx="4">
                  <c:v>50.9</c:v>
                </c:pt>
                <c:pt idx="5">
                  <c:v>49.1</c:v>
                </c:pt>
                <c:pt idx="6">
                  <c:v>47.3</c:v>
                </c:pt>
              </c:numCache>
            </c:numRef>
          </c:val>
        </c:ser>
        <c:ser>
          <c:idx val="2"/>
          <c:order val="2"/>
          <c:tx>
            <c:strRef>
              <c:f>Feuil1!$M$7</c:f>
              <c:strCache>
                <c:ptCount val="1"/>
                <c:pt idx="0">
                  <c:v>Ensemble</c:v>
                </c:pt>
              </c:strCache>
            </c:strRef>
          </c:tx>
          <c:marker>
            <c:symbol val="none"/>
          </c:marker>
          <c:dLbls>
            <c:txPr>
              <a:bodyPr/>
              <a:lstStyle/>
              <a:p>
                <a:pPr>
                  <a:defRPr sz="800" b="1"/>
                </a:pPr>
                <a:endParaRPr lang="fr-FR"/>
              </a:p>
            </c:txPr>
            <c:dLblPos val="t"/>
            <c:showVal val="1"/>
          </c:dLbls>
          <c:cat>
            <c:numRef>
              <c:f>Feuil1!$N$4:$T$4</c:f>
              <c:numCache>
                <c:formatCode>General</c:formatCode>
                <c:ptCount val="7"/>
                <c:pt idx="0">
                  <c:v>2017</c:v>
                </c:pt>
                <c:pt idx="1">
                  <c:v>2018</c:v>
                </c:pt>
                <c:pt idx="2">
                  <c:v>2019</c:v>
                </c:pt>
                <c:pt idx="3">
                  <c:v>2020</c:v>
                </c:pt>
                <c:pt idx="4">
                  <c:v>2021</c:v>
                </c:pt>
                <c:pt idx="5">
                  <c:v>2022</c:v>
                </c:pt>
                <c:pt idx="6">
                  <c:v>2023</c:v>
                </c:pt>
              </c:numCache>
            </c:numRef>
          </c:cat>
          <c:val>
            <c:numRef>
              <c:f>Feuil1!$N$7:$T$7</c:f>
              <c:numCache>
                <c:formatCode>General</c:formatCode>
                <c:ptCount val="7"/>
                <c:pt idx="0">
                  <c:v>46.7</c:v>
                </c:pt>
                <c:pt idx="1">
                  <c:v>46</c:v>
                </c:pt>
                <c:pt idx="2">
                  <c:v>45.8</c:v>
                </c:pt>
                <c:pt idx="3">
                  <c:v>44.8</c:v>
                </c:pt>
                <c:pt idx="4">
                  <c:v>45.3</c:v>
                </c:pt>
                <c:pt idx="5">
                  <c:v>44.3</c:v>
                </c:pt>
                <c:pt idx="6">
                  <c:v>43.6</c:v>
                </c:pt>
              </c:numCache>
            </c:numRef>
          </c:val>
        </c:ser>
        <c:dLbls>
          <c:showVal val="1"/>
        </c:dLbls>
        <c:marker val="1"/>
        <c:axId val="50487680"/>
        <c:axId val="50520832"/>
      </c:lineChart>
      <c:catAx>
        <c:axId val="50487680"/>
        <c:scaling>
          <c:orientation val="minMax"/>
        </c:scaling>
        <c:axPos val="b"/>
        <c:numFmt formatCode="General" sourceLinked="1"/>
        <c:tickLblPos val="nextTo"/>
        <c:txPr>
          <a:bodyPr/>
          <a:lstStyle/>
          <a:p>
            <a:pPr>
              <a:defRPr b="1"/>
            </a:pPr>
            <a:endParaRPr lang="fr-FR"/>
          </a:p>
        </c:txPr>
        <c:crossAx val="50520832"/>
        <c:crosses val="autoZero"/>
        <c:auto val="1"/>
        <c:lblAlgn val="ctr"/>
        <c:lblOffset val="100"/>
      </c:catAx>
      <c:valAx>
        <c:axId val="50520832"/>
        <c:scaling>
          <c:orientation val="minMax"/>
          <c:min val="40"/>
        </c:scaling>
        <c:delete val="1"/>
        <c:axPos val="l"/>
        <c:numFmt formatCode="General" sourceLinked="1"/>
        <c:tickLblPos val="nextTo"/>
        <c:crossAx val="50487680"/>
        <c:crosses val="autoZero"/>
        <c:crossBetween val="between"/>
      </c:valAx>
      <c:spPr>
        <a:noFill/>
        <a:ln>
          <a:noFill/>
        </a:ln>
      </c:spPr>
    </c:plotArea>
    <c:legend>
      <c:legendPos val="b"/>
    </c:legend>
    <c:plotVisOnly val="1"/>
  </c:chart>
  <c:spPr>
    <a:noFill/>
    <a:ln>
      <a:noFill/>
    </a:ln>
  </c:spPr>
  <c:txPr>
    <a:bodyPr/>
    <a:lstStyle/>
    <a:p>
      <a:pPr>
        <a:defRPr sz="900"/>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Feuil1!$M$11</c:f>
              <c:strCache>
                <c:ptCount val="1"/>
                <c:pt idx="0">
                  <c:v>Urbain</c:v>
                </c:pt>
              </c:strCache>
            </c:strRef>
          </c:tx>
          <c:marker>
            <c:symbol val="none"/>
          </c:marker>
          <c:dLbls>
            <c:dLbl>
              <c:idx val="0"/>
              <c:layout>
                <c:manualLayout>
                  <c:x val="0"/>
                  <c:y val="1.7276427833277482E-2"/>
                </c:manualLayout>
              </c:layout>
              <c:dLblPos val="t"/>
              <c:showVal val="1"/>
            </c:dLbl>
            <c:dLbl>
              <c:idx val="1"/>
              <c:layout>
                <c:manualLayout>
                  <c:x val="0"/>
                  <c:y val="2.3035237111036652E-2"/>
                </c:manualLayout>
              </c:layout>
              <c:dLblPos val="t"/>
              <c:showVal val="1"/>
            </c:dLbl>
            <c:dLbl>
              <c:idx val="2"/>
              <c:layout>
                <c:manualLayout>
                  <c:x val="0"/>
                  <c:y val="4.0311664944314873E-2"/>
                </c:manualLayout>
              </c:layout>
              <c:dLblPos val="t"/>
              <c:showVal val="1"/>
            </c:dLbl>
            <c:dLbl>
              <c:idx val="3"/>
              <c:layout>
                <c:manualLayout>
                  <c:x val="0"/>
                  <c:y val="2.3035237111036652E-2"/>
                </c:manualLayout>
              </c:layout>
              <c:dLblPos val="t"/>
              <c:showVal val="1"/>
            </c:dLbl>
            <c:dLbl>
              <c:idx val="4"/>
              <c:layout>
                <c:manualLayout>
                  <c:x val="-8.3110138799894684E-17"/>
                  <c:y val="4.0311664944314873E-2"/>
                </c:manualLayout>
              </c:layout>
              <c:dLblPos val="t"/>
              <c:showVal val="1"/>
            </c:dLbl>
            <c:dLbl>
              <c:idx val="5"/>
              <c:layout>
                <c:manualLayout>
                  <c:x val="0"/>
                  <c:y val="2.8794046388795798E-2"/>
                </c:manualLayout>
              </c:layout>
              <c:dLblPos val="t"/>
              <c:showVal val="1"/>
            </c:dLbl>
            <c:dLbl>
              <c:idx val="6"/>
              <c:layout>
                <c:manualLayout>
                  <c:x val="0"/>
                  <c:y val="4.0311664944314873E-2"/>
                </c:manualLayout>
              </c:layout>
              <c:dLblPos val="t"/>
              <c:showVal val="1"/>
            </c:dLbl>
            <c:txPr>
              <a:bodyPr/>
              <a:lstStyle/>
              <a:p>
                <a:pPr>
                  <a:defRPr sz="800" b="1"/>
                </a:pPr>
                <a:endParaRPr lang="fr-FR"/>
              </a:p>
            </c:txPr>
            <c:dLblPos val="t"/>
            <c:showVal val="1"/>
          </c:dLbls>
          <c:cat>
            <c:numRef>
              <c:f>Feuil1!$N$10:$T$10</c:f>
              <c:numCache>
                <c:formatCode>General</c:formatCode>
                <c:ptCount val="7"/>
                <c:pt idx="0">
                  <c:v>2017</c:v>
                </c:pt>
                <c:pt idx="1">
                  <c:v>2018</c:v>
                </c:pt>
                <c:pt idx="2">
                  <c:v>2019</c:v>
                </c:pt>
                <c:pt idx="3">
                  <c:v>2020</c:v>
                </c:pt>
                <c:pt idx="4">
                  <c:v>2021</c:v>
                </c:pt>
                <c:pt idx="5">
                  <c:v>2022</c:v>
                </c:pt>
                <c:pt idx="6">
                  <c:v>2023</c:v>
                </c:pt>
              </c:numCache>
            </c:numRef>
          </c:cat>
          <c:val>
            <c:numRef>
              <c:f>Feuil1!$N$11:$T$11</c:f>
              <c:numCache>
                <c:formatCode>General</c:formatCode>
                <c:ptCount val="7"/>
                <c:pt idx="0">
                  <c:v>36.1</c:v>
                </c:pt>
                <c:pt idx="1">
                  <c:v>36.200000000000003</c:v>
                </c:pt>
                <c:pt idx="2">
                  <c:v>36.9</c:v>
                </c:pt>
                <c:pt idx="3">
                  <c:v>35.300000000000004</c:v>
                </c:pt>
                <c:pt idx="4">
                  <c:v>35.1</c:v>
                </c:pt>
                <c:pt idx="5">
                  <c:v>35.300000000000004</c:v>
                </c:pt>
                <c:pt idx="6">
                  <c:v>34.800000000000004</c:v>
                </c:pt>
              </c:numCache>
            </c:numRef>
          </c:val>
        </c:ser>
        <c:ser>
          <c:idx val="1"/>
          <c:order val="1"/>
          <c:tx>
            <c:strRef>
              <c:f>Feuil1!$M$12</c:f>
              <c:strCache>
                <c:ptCount val="1"/>
                <c:pt idx="0">
                  <c:v>Rural</c:v>
                </c:pt>
              </c:strCache>
            </c:strRef>
          </c:tx>
          <c:marker>
            <c:symbol val="none"/>
          </c:marker>
          <c:dLbls>
            <c:txPr>
              <a:bodyPr/>
              <a:lstStyle/>
              <a:p>
                <a:pPr>
                  <a:defRPr sz="800" b="1"/>
                </a:pPr>
                <a:endParaRPr lang="fr-FR"/>
              </a:p>
            </c:txPr>
            <c:dLblPos val="t"/>
            <c:showVal val="1"/>
          </c:dLbls>
          <c:cat>
            <c:numRef>
              <c:f>Feuil1!$N$10:$T$10</c:f>
              <c:numCache>
                <c:formatCode>General</c:formatCode>
                <c:ptCount val="7"/>
                <c:pt idx="0">
                  <c:v>2017</c:v>
                </c:pt>
                <c:pt idx="1">
                  <c:v>2018</c:v>
                </c:pt>
                <c:pt idx="2">
                  <c:v>2019</c:v>
                </c:pt>
                <c:pt idx="3">
                  <c:v>2020</c:v>
                </c:pt>
                <c:pt idx="4">
                  <c:v>2021</c:v>
                </c:pt>
                <c:pt idx="5">
                  <c:v>2022</c:v>
                </c:pt>
                <c:pt idx="6">
                  <c:v>2023</c:v>
                </c:pt>
              </c:numCache>
            </c:numRef>
          </c:cat>
          <c:val>
            <c:numRef>
              <c:f>Feuil1!$N$12:$T$12</c:f>
              <c:numCache>
                <c:formatCode>General</c:formatCode>
                <c:ptCount val="7"/>
                <c:pt idx="0">
                  <c:v>52</c:v>
                </c:pt>
                <c:pt idx="1">
                  <c:v>51.3</c:v>
                </c:pt>
                <c:pt idx="2">
                  <c:v>50.3</c:v>
                </c:pt>
                <c:pt idx="3">
                  <c:v>47</c:v>
                </c:pt>
                <c:pt idx="4">
                  <c:v>48.4</c:v>
                </c:pt>
                <c:pt idx="5">
                  <c:v>46.5</c:v>
                </c:pt>
                <c:pt idx="6">
                  <c:v>44.3</c:v>
                </c:pt>
              </c:numCache>
            </c:numRef>
          </c:val>
        </c:ser>
        <c:ser>
          <c:idx val="2"/>
          <c:order val="2"/>
          <c:tx>
            <c:strRef>
              <c:f>Feuil1!$M$13</c:f>
              <c:strCache>
                <c:ptCount val="1"/>
                <c:pt idx="0">
                  <c:v>Ensemble</c:v>
                </c:pt>
              </c:strCache>
            </c:strRef>
          </c:tx>
          <c:marker>
            <c:symbol val="none"/>
          </c:marker>
          <c:dLbls>
            <c:txPr>
              <a:bodyPr/>
              <a:lstStyle/>
              <a:p>
                <a:pPr>
                  <a:defRPr sz="800" b="1"/>
                </a:pPr>
                <a:endParaRPr lang="fr-FR"/>
              </a:p>
            </c:txPr>
            <c:dLblPos val="t"/>
            <c:showVal val="1"/>
          </c:dLbls>
          <c:cat>
            <c:numRef>
              <c:f>Feuil1!$N$10:$T$10</c:f>
              <c:numCache>
                <c:formatCode>General</c:formatCode>
                <c:ptCount val="7"/>
                <c:pt idx="0">
                  <c:v>2017</c:v>
                </c:pt>
                <c:pt idx="1">
                  <c:v>2018</c:v>
                </c:pt>
                <c:pt idx="2">
                  <c:v>2019</c:v>
                </c:pt>
                <c:pt idx="3">
                  <c:v>2020</c:v>
                </c:pt>
                <c:pt idx="4">
                  <c:v>2021</c:v>
                </c:pt>
                <c:pt idx="5">
                  <c:v>2022</c:v>
                </c:pt>
                <c:pt idx="6">
                  <c:v>2023</c:v>
                </c:pt>
              </c:numCache>
            </c:numRef>
          </c:cat>
          <c:val>
            <c:numRef>
              <c:f>Feuil1!$N$13:$T$13</c:f>
              <c:numCache>
                <c:formatCode>General</c:formatCode>
                <c:ptCount val="7"/>
                <c:pt idx="0">
                  <c:v>41.4</c:v>
                </c:pt>
                <c:pt idx="1">
                  <c:v>41.7</c:v>
                </c:pt>
                <c:pt idx="2">
                  <c:v>41.6</c:v>
                </c:pt>
                <c:pt idx="3">
                  <c:v>39.4</c:v>
                </c:pt>
                <c:pt idx="4">
                  <c:v>39.700000000000003</c:v>
                </c:pt>
                <c:pt idx="5">
                  <c:v>39.1</c:v>
                </c:pt>
                <c:pt idx="6">
                  <c:v>38</c:v>
                </c:pt>
              </c:numCache>
            </c:numRef>
          </c:val>
        </c:ser>
        <c:dLbls>
          <c:showVal val="1"/>
        </c:dLbls>
        <c:marker val="1"/>
        <c:axId val="51105152"/>
        <c:axId val="51516544"/>
      </c:lineChart>
      <c:catAx>
        <c:axId val="51105152"/>
        <c:scaling>
          <c:orientation val="minMax"/>
        </c:scaling>
        <c:axPos val="b"/>
        <c:numFmt formatCode="General" sourceLinked="1"/>
        <c:tickLblPos val="nextTo"/>
        <c:txPr>
          <a:bodyPr/>
          <a:lstStyle/>
          <a:p>
            <a:pPr>
              <a:defRPr b="1"/>
            </a:pPr>
            <a:endParaRPr lang="fr-FR"/>
          </a:p>
        </c:txPr>
        <c:crossAx val="51516544"/>
        <c:crosses val="autoZero"/>
        <c:auto val="1"/>
        <c:lblAlgn val="ctr"/>
        <c:lblOffset val="100"/>
      </c:catAx>
      <c:valAx>
        <c:axId val="51516544"/>
        <c:scaling>
          <c:orientation val="minMax"/>
          <c:min val="30"/>
        </c:scaling>
        <c:delete val="1"/>
        <c:axPos val="l"/>
        <c:numFmt formatCode="General" sourceLinked="1"/>
        <c:tickLblPos val="nextTo"/>
        <c:crossAx val="51105152"/>
        <c:crosses val="autoZero"/>
        <c:crossBetween val="between"/>
      </c:valAx>
      <c:spPr>
        <a:noFill/>
        <a:ln>
          <a:noFill/>
        </a:ln>
      </c:spPr>
    </c:plotArea>
    <c:legend>
      <c:legendPos val="b"/>
      <c:txPr>
        <a:bodyPr/>
        <a:lstStyle/>
        <a:p>
          <a:pPr>
            <a:defRPr b="1"/>
          </a:pPr>
          <a:endParaRPr lang="fr-FR"/>
        </a:p>
      </c:txPr>
    </c:legend>
    <c:plotVisOnly val="1"/>
  </c:chart>
  <c:spPr>
    <a:noFill/>
    <a:ln>
      <a:noFill/>
    </a:ln>
  </c:spPr>
  <c:txPr>
    <a:bodyPr/>
    <a:lstStyle/>
    <a:p>
      <a:pPr>
        <a:defRPr sz="900"/>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manualLayout>
          <c:layoutTarget val="inner"/>
          <c:xMode val="edge"/>
          <c:yMode val="edge"/>
          <c:x val="1.7718715393134001E-2"/>
          <c:y val="0.13072323542347139"/>
          <c:w val="0.95127353266889136"/>
          <c:h val="0.55155988284503166"/>
        </c:manualLayout>
      </c:layout>
      <c:barChart>
        <c:barDir val="col"/>
        <c:grouping val="clustered"/>
        <c:ser>
          <c:idx val="0"/>
          <c:order val="0"/>
          <c:tx>
            <c:strRef>
              <c:f>'Graphiques Note 2023'!$G$58</c:f>
              <c:strCache>
                <c:ptCount val="1"/>
                <c:pt idx="0">
                  <c:v>Emploi rémunéré</c:v>
                </c:pt>
              </c:strCache>
            </c:strRef>
          </c:tx>
          <c:spPr>
            <a:solidFill>
              <a:schemeClr val="accent6">
                <a:lumMod val="75000"/>
              </a:schemeClr>
            </a:solidFill>
            <a:ln>
              <a:noFill/>
            </a:ln>
          </c:spPr>
          <c:dLbls>
            <c:txPr>
              <a:bodyPr/>
              <a:lstStyle/>
              <a:p>
                <a:pPr>
                  <a:defRPr sz="900"/>
                </a:pPr>
                <a:endParaRPr lang="fr-FR"/>
              </a:p>
            </c:txPr>
            <c:dLblPos val="outEnd"/>
            <c:showVal val="1"/>
          </c:dLbls>
          <c:cat>
            <c:strRef>
              <c:f>'Graphiques Note 2023'!$F$59:$F$61</c:f>
              <c:strCache>
                <c:ptCount val="3"/>
                <c:pt idx="0">
                  <c:v>Urbain</c:v>
                </c:pt>
                <c:pt idx="1">
                  <c:v>Rural</c:v>
                </c:pt>
                <c:pt idx="2">
                  <c:v>Ensemble</c:v>
                </c:pt>
              </c:strCache>
            </c:strRef>
          </c:cat>
          <c:val>
            <c:numRef>
              <c:f>'Graphiques Note 2023'!$G$59:$G$61</c:f>
              <c:numCache>
                <c:formatCode>_-* #,##0\ _€_-;\-* #,##0\ _€_-;_-* "-"??\ _€_-;_-@_-</c:formatCode>
                <c:ptCount val="3"/>
                <c:pt idx="0">
                  <c:v>59000</c:v>
                </c:pt>
                <c:pt idx="1">
                  <c:v>-9000</c:v>
                </c:pt>
                <c:pt idx="2">
                  <c:v>50000</c:v>
                </c:pt>
              </c:numCache>
            </c:numRef>
          </c:val>
        </c:ser>
        <c:ser>
          <c:idx val="1"/>
          <c:order val="1"/>
          <c:tx>
            <c:strRef>
              <c:f>'Graphiques Note 2023'!$H$58</c:f>
              <c:strCache>
                <c:ptCount val="1"/>
                <c:pt idx="0">
                  <c:v>Emploi non rémunéré</c:v>
                </c:pt>
              </c:strCache>
            </c:strRef>
          </c:tx>
          <c:spPr>
            <a:solidFill>
              <a:srgbClr val="CC6600"/>
            </a:solidFill>
          </c:spPr>
          <c:dLbls>
            <c:txPr>
              <a:bodyPr/>
              <a:lstStyle/>
              <a:p>
                <a:pPr>
                  <a:defRPr sz="900"/>
                </a:pPr>
                <a:endParaRPr lang="fr-FR"/>
              </a:p>
            </c:txPr>
            <c:dLblPos val="outEnd"/>
            <c:showVal val="1"/>
          </c:dLbls>
          <c:cat>
            <c:strRef>
              <c:f>'Graphiques Note 2023'!$F$59:$F$61</c:f>
              <c:strCache>
                <c:ptCount val="3"/>
                <c:pt idx="0">
                  <c:v>Urbain</c:v>
                </c:pt>
                <c:pt idx="1">
                  <c:v>Rural</c:v>
                </c:pt>
                <c:pt idx="2">
                  <c:v>Ensemble</c:v>
                </c:pt>
              </c:strCache>
            </c:strRef>
          </c:cat>
          <c:val>
            <c:numRef>
              <c:f>'Graphiques Note 2023'!$H$59:$H$61</c:f>
              <c:numCache>
                <c:formatCode>_-* #,##0\ _€_-;\-* #,##0\ _€_-;_-* "-"??\ _€_-;_-@_-</c:formatCode>
                <c:ptCount val="3"/>
                <c:pt idx="0">
                  <c:v>-19000</c:v>
                </c:pt>
                <c:pt idx="1">
                  <c:v>-190000</c:v>
                </c:pt>
                <c:pt idx="2">
                  <c:v>-209000</c:v>
                </c:pt>
              </c:numCache>
            </c:numRef>
          </c:val>
        </c:ser>
        <c:ser>
          <c:idx val="2"/>
          <c:order val="2"/>
          <c:tx>
            <c:strRef>
              <c:f>'Graphiques Note 2023'!$I$58</c:f>
              <c:strCache>
                <c:ptCount val="1"/>
                <c:pt idx="0">
                  <c:v>Ensemble</c:v>
                </c:pt>
              </c:strCache>
            </c:strRef>
          </c:tx>
          <c:spPr>
            <a:solidFill>
              <a:srgbClr val="1F497D">
                <a:lumMod val="60000"/>
                <a:lumOff val="40000"/>
              </a:srgbClr>
            </a:solidFill>
          </c:spPr>
          <c:dLbls>
            <c:txPr>
              <a:bodyPr/>
              <a:lstStyle/>
              <a:p>
                <a:pPr>
                  <a:defRPr sz="900"/>
                </a:pPr>
                <a:endParaRPr lang="fr-FR"/>
              </a:p>
            </c:txPr>
            <c:dLblPos val="outEnd"/>
            <c:showVal val="1"/>
          </c:dLbls>
          <c:cat>
            <c:strRef>
              <c:f>'Graphiques Note 2023'!$F$59:$F$61</c:f>
              <c:strCache>
                <c:ptCount val="3"/>
                <c:pt idx="0">
                  <c:v>Urbain</c:v>
                </c:pt>
                <c:pt idx="1">
                  <c:v>Rural</c:v>
                </c:pt>
                <c:pt idx="2">
                  <c:v>Ensemble</c:v>
                </c:pt>
              </c:strCache>
            </c:strRef>
          </c:cat>
          <c:val>
            <c:numRef>
              <c:f>'Graphiques Note 2023'!$I$59:$I$61</c:f>
              <c:numCache>
                <c:formatCode>_-* #,##0\ _€_-;\-* #,##0\ _€_-;_-* "-"??\ _€_-;_-@_-</c:formatCode>
                <c:ptCount val="3"/>
                <c:pt idx="0">
                  <c:v>41000</c:v>
                </c:pt>
                <c:pt idx="1">
                  <c:v>-198000</c:v>
                </c:pt>
                <c:pt idx="2">
                  <c:v>-157000</c:v>
                </c:pt>
              </c:numCache>
            </c:numRef>
          </c:val>
        </c:ser>
        <c:dLbls>
          <c:showVal val="1"/>
        </c:dLbls>
        <c:overlap val="-9"/>
        <c:axId val="51580928"/>
        <c:axId val="51582848"/>
      </c:barChart>
      <c:catAx>
        <c:axId val="51580928"/>
        <c:scaling>
          <c:orientation val="minMax"/>
        </c:scaling>
        <c:axPos val="b"/>
        <c:tickLblPos val="low"/>
        <c:crossAx val="51582848"/>
        <c:crosses val="autoZero"/>
        <c:auto val="1"/>
        <c:lblAlgn val="ctr"/>
        <c:lblOffset val="1000"/>
      </c:catAx>
      <c:valAx>
        <c:axId val="51582848"/>
        <c:scaling>
          <c:orientation val="minMax"/>
          <c:max val="200000"/>
          <c:min val="-400000"/>
        </c:scaling>
        <c:delete val="1"/>
        <c:axPos val="l"/>
        <c:numFmt formatCode="_-* #,##0\ _€_-;\-* #,##0\ _€_-;_-* &quot;-&quot;??\ _€_-;_-@_-" sourceLinked="1"/>
        <c:tickLblPos val="nextTo"/>
        <c:crossAx val="51580928"/>
        <c:crosses val="autoZero"/>
        <c:crossBetween val="between"/>
        <c:majorUnit val="50000"/>
        <c:minorUnit val="10000"/>
      </c:valAx>
      <c:spPr>
        <a:noFill/>
        <a:ln>
          <a:noFill/>
        </a:ln>
      </c:spPr>
    </c:plotArea>
    <c:legend>
      <c:legendPos val="t"/>
    </c:legend>
    <c:plotVisOnly val="1"/>
  </c:chart>
  <c:spPr>
    <a:noFill/>
    <a:ln>
      <a:noFill/>
    </a:ln>
  </c:spPr>
  <c:txPr>
    <a:bodyPr/>
    <a:lstStyle/>
    <a:p>
      <a:pPr>
        <a:defRPr sz="1000">
          <a:latin typeface="Times New Roman" pitchFamily="18" charset="0"/>
          <a:cs typeface="Times New Roman" pitchFamily="18" charset="0"/>
        </a:defRPr>
      </a:pPr>
      <a:endParaRPr lang="fr-FR"/>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barChart>
        <c:barDir val="col"/>
        <c:grouping val="clustered"/>
        <c:ser>
          <c:idx val="0"/>
          <c:order val="0"/>
          <c:tx>
            <c:strRef>
              <c:f>'Graphiques Note 2023'!$B$110</c:f>
              <c:strCache>
                <c:ptCount val="1"/>
                <c:pt idx="0">
                  <c:v>Ensemble</c:v>
                </c:pt>
              </c:strCache>
            </c:strRef>
          </c:tx>
          <c:spPr>
            <a:solidFill>
              <a:schemeClr val="accent6">
                <a:lumMod val="75000"/>
              </a:schemeClr>
            </a:solidFill>
            <a:ln>
              <a:noFill/>
            </a:ln>
          </c:spPr>
          <c:dLbls>
            <c:txPr>
              <a:bodyPr/>
              <a:lstStyle/>
              <a:p>
                <a:pPr>
                  <a:defRPr sz="700">
                    <a:latin typeface="Times New Roman" pitchFamily="18" charset="0"/>
                    <a:cs typeface="Times New Roman" pitchFamily="18" charset="0"/>
                  </a:defRPr>
                </a:pPr>
                <a:endParaRPr lang="fr-FR"/>
              </a:p>
            </c:txPr>
            <c:dLblPos val="outEnd"/>
            <c:showVal val="1"/>
          </c:dLbls>
          <c:cat>
            <c:strRef>
              <c:f>'Graphiques Note 2023'!$A$111:$A$115</c:f>
              <c:strCache>
                <c:ptCount val="5"/>
                <c:pt idx="0">
                  <c:v>Agriculture,forêt et pêche</c:v>
                </c:pt>
                <c:pt idx="1">
                  <c:v>Industrie (y compris artisanat)</c:v>
                </c:pt>
                <c:pt idx="2">
                  <c:v>BTP</c:v>
                </c:pt>
                <c:pt idx="3">
                  <c:v>Services</c:v>
                </c:pt>
                <c:pt idx="4">
                  <c:v>Ensemble</c:v>
                </c:pt>
              </c:strCache>
            </c:strRef>
          </c:cat>
          <c:val>
            <c:numRef>
              <c:f>'Graphiques Note 2023'!$B$111:$B$115</c:f>
              <c:numCache>
                <c:formatCode>_-* #,##0\ _€_-;\-* #,##0\ _€_-;_-* "-"??\ _€_-;_-@_-</c:formatCode>
                <c:ptCount val="5"/>
                <c:pt idx="0">
                  <c:v>-202000</c:v>
                </c:pt>
                <c:pt idx="1">
                  <c:v>7000</c:v>
                </c:pt>
                <c:pt idx="2">
                  <c:v>19000</c:v>
                </c:pt>
                <c:pt idx="3">
                  <c:v>15000</c:v>
                </c:pt>
                <c:pt idx="4">
                  <c:v>-157000</c:v>
                </c:pt>
              </c:numCache>
            </c:numRef>
          </c:val>
        </c:ser>
        <c:ser>
          <c:idx val="1"/>
          <c:order val="1"/>
          <c:tx>
            <c:strRef>
              <c:f>'Graphiques Note 2023'!$C$110</c:f>
              <c:strCache>
                <c:ptCount val="1"/>
                <c:pt idx="0">
                  <c:v>Urbain</c:v>
                </c:pt>
              </c:strCache>
            </c:strRef>
          </c:tx>
          <c:dLbls>
            <c:txPr>
              <a:bodyPr/>
              <a:lstStyle/>
              <a:p>
                <a:pPr>
                  <a:defRPr sz="700">
                    <a:latin typeface="Times New Roman" pitchFamily="18" charset="0"/>
                    <a:cs typeface="Times New Roman" pitchFamily="18" charset="0"/>
                  </a:defRPr>
                </a:pPr>
                <a:endParaRPr lang="fr-FR"/>
              </a:p>
            </c:txPr>
            <c:dLblPos val="outEnd"/>
            <c:showVal val="1"/>
          </c:dLbls>
          <c:cat>
            <c:strRef>
              <c:f>'Graphiques Note 2023'!$A$111:$A$115</c:f>
              <c:strCache>
                <c:ptCount val="5"/>
                <c:pt idx="0">
                  <c:v>Agriculture,forêt et pêche</c:v>
                </c:pt>
                <c:pt idx="1">
                  <c:v>Industrie (y compris artisanat)</c:v>
                </c:pt>
                <c:pt idx="2">
                  <c:v>BTP</c:v>
                </c:pt>
                <c:pt idx="3">
                  <c:v>Services</c:v>
                </c:pt>
                <c:pt idx="4">
                  <c:v>Ensemble</c:v>
                </c:pt>
              </c:strCache>
            </c:strRef>
          </c:cat>
          <c:val>
            <c:numRef>
              <c:f>'Graphiques Note 2023'!$C$111:$C$115</c:f>
              <c:numCache>
                <c:formatCode>_-* #,##0\ _€_-;\-* #,##0\ _€_-;_-* "-"??\ _€_-;_-@_-</c:formatCode>
                <c:ptCount val="5"/>
                <c:pt idx="0">
                  <c:v>5000</c:v>
                </c:pt>
                <c:pt idx="1">
                  <c:v>4000</c:v>
                </c:pt>
                <c:pt idx="2">
                  <c:v>-5000</c:v>
                </c:pt>
                <c:pt idx="3">
                  <c:v>33000</c:v>
                </c:pt>
                <c:pt idx="4">
                  <c:v>41000</c:v>
                </c:pt>
              </c:numCache>
            </c:numRef>
          </c:val>
        </c:ser>
        <c:ser>
          <c:idx val="2"/>
          <c:order val="2"/>
          <c:tx>
            <c:strRef>
              <c:f>'Graphiques Note 2023'!$D$110</c:f>
              <c:strCache>
                <c:ptCount val="1"/>
                <c:pt idx="0">
                  <c:v>Rural</c:v>
                </c:pt>
              </c:strCache>
            </c:strRef>
          </c:tx>
          <c:spPr>
            <a:solidFill>
              <a:srgbClr val="1F497D">
                <a:lumMod val="60000"/>
                <a:lumOff val="40000"/>
              </a:srgbClr>
            </a:solidFill>
          </c:spPr>
          <c:dLbls>
            <c:txPr>
              <a:bodyPr/>
              <a:lstStyle/>
              <a:p>
                <a:pPr>
                  <a:defRPr sz="700">
                    <a:latin typeface="Times New Roman" pitchFamily="18" charset="0"/>
                    <a:cs typeface="Times New Roman" pitchFamily="18" charset="0"/>
                  </a:defRPr>
                </a:pPr>
                <a:endParaRPr lang="fr-FR"/>
              </a:p>
            </c:txPr>
            <c:dLblPos val="outEnd"/>
            <c:showVal val="1"/>
          </c:dLbls>
          <c:cat>
            <c:strRef>
              <c:f>'Graphiques Note 2023'!$A$111:$A$115</c:f>
              <c:strCache>
                <c:ptCount val="5"/>
                <c:pt idx="0">
                  <c:v>Agriculture,forêt et pêche</c:v>
                </c:pt>
                <c:pt idx="1">
                  <c:v>Industrie (y compris artisanat)</c:v>
                </c:pt>
                <c:pt idx="2">
                  <c:v>BTP</c:v>
                </c:pt>
                <c:pt idx="3">
                  <c:v>Services</c:v>
                </c:pt>
                <c:pt idx="4">
                  <c:v>Ensemble</c:v>
                </c:pt>
              </c:strCache>
            </c:strRef>
          </c:cat>
          <c:val>
            <c:numRef>
              <c:f>'Graphiques Note 2023'!$D$111:$D$115</c:f>
              <c:numCache>
                <c:formatCode>_-* #,##0\ _€_-;\-* #,##0\ _€_-;_-* "-"??\ _€_-;_-@_-</c:formatCode>
                <c:ptCount val="5"/>
                <c:pt idx="0">
                  <c:v>-207000</c:v>
                </c:pt>
                <c:pt idx="1">
                  <c:v>3000</c:v>
                </c:pt>
                <c:pt idx="2">
                  <c:v>24000</c:v>
                </c:pt>
                <c:pt idx="3">
                  <c:v>-18000</c:v>
                </c:pt>
                <c:pt idx="4">
                  <c:v>-198000</c:v>
                </c:pt>
              </c:numCache>
            </c:numRef>
          </c:val>
        </c:ser>
        <c:dLbls>
          <c:showVal val="1"/>
        </c:dLbls>
        <c:axId val="52861184"/>
        <c:axId val="52941184"/>
      </c:barChart>
      <c:catAx>
        <c:axId val="52861184"/>
        <c:scaling>
          <c:orientation val="minMax"/>
        </c:scaling>
        <c:axPos val="b"/>
        <c:tickLblPos val="low"/>
        <c:txPr>
          <a:bodyPr/>
          <a:lstStyle/>
          <a:p>
            <a:pPr>
              <a:defRPr sz="900" b="0">
                <a:latin typeface="Times New Roman" pitchFamily="18" charset="0"/>
                <a:cs typeface="Times New Roman" pitchFamily="18" charset="0"/>
              </a:defRPr>
            </a:pPr>
            <a:endParaRPr lang="fr-FR"/>
          </a:p>
        </c:txPr>
        <c:crossAx val="52941184"/>
        <c:crosses val="autoZero"/>
        <c:auto val="1"/>
        <c:lblAlgn val="ctr"/>
        <c:lblOffset val="1000"/>
      </c:catAx>
      <c:valAx>
        <c:axId val="52941184"/>
        <c:scaling>
          <c:orientation val="minMax"/>
          <c:max val="60000"/>
          <c:min val="-207000"/>
        </c:scaling>
        <c:delete val="1"/>
        <c:axPos val="l"/>
        <c:numFmt formatCode="_-* #,##0\ _€_-;\-* #,##0\ _€_-;_-* &quot;-&quot;??\ _€_-;_-@_-" sourceLinked="1"/>
        <c:tickLblPos val="nextTo"/>
        <c:crossAx val="52861184"/>
        <c:crosses val="autoZero"/>
        <c:crossBetween val="between"/>
        <c:majorUnit val="50000"/>
        <c:minorUnit val="1000"/>
      </c:valAx>
      <c:spPr>
        <a:noFill/>
        <a:ln>
          <a:noFill/>
        </a:ln>
      </c:spPr>
    </c:plotArea>
    <c:legend>
      <c:legendPos val="t"/>
      <c:txPr>
        <a:bodyPr/>
        <a:lstStyle/>
        <a:p>
          <a:pPr>
            <a:defRPr sz="900">
              <a:latin typeface="Times New Roman" pitchFamily="18" charset="0"/>
              <a:cs typeface="Times New Roman" pitchFamily="18" charset="0"/>
            </a:defRPr>
          </a:pPr>
          <a:endParaRPr lang="fr-FR"/>
        </a:p>
      </c:txPr>
    </c:legend>
    <c:plotVisOnly val="1"/>
  </c:chart>
  <c:spPr>
    <a:noFill/>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0"/>
          <c:order val="0"/>
          <c:tx>
            <c:strRef>
              <c:f>Feuil1!$B$8</c:f>
              <c:strCache>
                <c:ptCount val="1"/>
                <c:pt idx="0">
                  <c:v>Urbain</c:v>
                </c:pt>
              </c:strCache>
            </c:strRef>
          </c:tx>
          <c:marker>
            <c:symbol val="none"/>
          </c:marker>
          <c:dLbls>
            <c:txPr>
              <a:bodyPr/>
              <a:lstStyle/>
              <a:p>
                <a:pPr>
                  <a:defRPr sz="900" b="1"/>
                </a:pPr>
                <a:endParaRPr lang="fr-FR"/>
              </a:p>
            </c:txPr>
            <c:dLblPos val="t"/>
            <c:showVal val="1"/>
          </c:dLbls>
          <c:cat>
            <c:strRef>
              <c:f>Feuil1!$A$9:$A$15</c:f>
              <c:strCache>
                <c:ptCount val="7"/>
                <c:pt idx="0">
                  <c:v>2023</c:v>
                </c:pt>
                <c:pt idx="1">
                  <c:v>2022</c:v>
                </c:pt>
                <c:pt idx="2">
                  <c:v>2021</c:v>
                </c:pt>
                <c:pt idx="3">
                  <c:v>2020</c:v>
                </c:pt>
                <c:pt idx="4">
                  <c:v>2019</c:v>
                </c:pt>
                <c:pt idx="5">
                  <c:v>2018</c:v>
                </c:pt>
                <c:pt idx="6">
                  <c:v>2017</c:v>
                </c:pt>
              </c:strCache>
            </c:strRef>
          </c:cat>
          <c:val>
            <c:numRef>
              <c:f>Feuil1!$B$9:$B$15</c:f>
              <c:numCache>
                <c:formatCode>#,##0.0</c:formatCode>
                <c:ptCount val="7"/>
                <c:pt idx="0">
                  <c:v>16.809695998096668</c:v>
                </c:pt>
                <c:pt idx="1">
                  <c:v>15.8</c:v>
                </c:pt>
                <c:pt idx="2">
                  <c:v>16.899999999999999</c:v>
                </c:pt>
                <c:pt idx="3">
                  <c:v>15.8</c:v>
                </c:pt>
                <c:pt idx="4">
                  <c:v>12.9</c:v>
                </c:pt>
                <c:pt idx="5">
                  <c:v>13.8</c:v>
                </c:pt>
                <c:pt idx="6">
                  <c:v>14.7</c:v>
                </c:pt>
              </c:numCache>
            </c:numRef>
          </c:val>
        </c:ser>
        <c:ser>
          <c:idx val="1"/>
          <c:order val="1"/>
          <c:tx>
            <c:strRef>
              <c:f>Feuil1!$C$8</c:f>
              <c:strCache>
                <c:ptCount val="1"/>
                <c:pt idx="0">
                  <c:v>Rural</c:v>
                </c:pt>
              </c:strCache>
            </c:strRef>
          </c:tx>
          <c:marker>
            <c:symbol val="none"/>
          </c:marker>
          <c:dLbls>
            <c:txPr>
              <a:bodyPr/>
              <a:lstStyle/>
              <a:p>
                <a:pPr>
                  <a:defRPr sz="900" b="1"/>
                </a:pPr>
                <a:endParaRPr lang="fr-FR"/>
              </a:p>
            </c:txPr>
            <c:dLblPos val="t"/>
            <c:showVal val="1"/>
          </c:dLbls>
          <c:cat>
            <c:strRef>
              <c:f>Feuil1!$A$9:$A$15</c:f>
              <c:strCache>
                <c:ptCount val="7"/>
                <c:pt idx="0">
                  <c:v>2023</c:v>
                </c:pt>
                <c:pt idx="1">
                  <c:v>2022</c:v>
                </c:pt>
                <c:pt idx="2">
                  <c:v>2021</c:v>
                </c:pt>
                <c:pt idx="3">
                  <c:v>2020</c:v>
                </c:pt>
                <c:pt idx="4">
                  <c:v>2019</c:v>
                </c:pt>
                <c:pt idx="5">
                  <c:v>2018</c:v>
                </c:pt>
                <c:pt idx="6">
                  <c:v>2017</c:v>
                </c:pt>
              </c:strCache>
            </c:strRef>
          </c:cat>
          <c:val>
            <c:numRef>
              <c:f>Feuil1!$C$9:$C$15</c:f>
              <c:numCache>
                <c:formatCode>#,##0.0</c:formatCode>
                <c:ptCount val="7"/>
                <c:pt idx="0">
                  <c:v>6.3113292976657158</c:v>
                </c:pt>
                <c:pt idx="1">
                  <c:v>5.2</c:v>
                </c:pt>
                <c:pt idx="2">
                  <c:v>5</c:v>
                </c:pt>
                <c:pt idx="3">
                  <c:v>5.9</c:v>
                </c:pt>
                <c:pt idx="4">
                  <c:v>3.7</c:v>
                </c:pt>
                <c:pt idx="5">
                  <c:v>3.6</c:v>
                </c:pt>
                <c:pt idx="6">
                  <c:v>4</c:v>
                </c:pt>
              </c:numCache>
            </c:numRef>
          </c:val>
        </c:ser>
        <c:ser>
          <c:idx val="2"/>
          <c:order val="2"/>
          <c:tx>
            <c:strRef>
              <c:f>Feuil1!$D$8</c:f>
              <c:strCache>
                <c:ptCount val="1"/>
                <c:pt idx="0">
                  <c:v>Ensemble</c:v>
                </c:pt>
              </c:strCache>
            </c:strRef>
          </c:tx>
          <c:marker>
            <c:symbol val="none"/>
          </c:marker>
          <c:dLbls>
            <c:dLbl>
              <c:idx val="0"/>
              <c:layout>
                <c:manualLayout>
                  <c:x val="0"/>
                  <c:y val="4.5804460808332934E-2"/>
                </c:manualLayout>
              </c:layout>
              <c:dLblPos val="t"/>
              <c:showVal val="1"/>
            </c:dLbl>
            <c:dLbl>
              <c:idx val="1"/>
              <c:layout>
                <c:manualLayout>
                  <c:x val="0"/>
                  <c:y val="4.5804460808332934E-2"/>
                </c:manualLayout>
              </c:layout>
              <c:dLblPos val="t"/>
              <c:showVal val="1"/>
            </c:dLbl>
            <c:dLbl>
              <c:idx val="2"/>
              <c:layout>
                <c:manualLayout>
                  <c:x val="0"/>
                  <c:y val="3.9260966407142404E-2"/>
                </c:manualLayout>
              </c:layout>
              <c:dLblPos val="t"/>
              <c:showVal val="1"/>
            </c:dLbl>
            <c:dLbl>
              <c:idx val="3"/>
              <c:layout>
                <c:manualLayout>
                  <c:x val="2.4605588878583852E-3"/>
                  <c:y val="3.9260966407142404E-2"/>
                </c:manualLayout>
              </c:layout>
              <c:dLblPos val="t"/>
              <c:showVal val="1"/>
            </c:dLbl>
            <c:dLbl>
              <c:idx val="4"/>
              <c:layout>
                <c:manualLayout>
                  <c:x val="4.5109725166010281E-17"/>
                  <c:y val="2.6173977604762009E-2"/>
                </c:manualLayout>
              </c:layout>
              <c:dLblPos val="t"/>
              <c:showVal val="1"/>
            </c:dLbl>
            <c:dLbl>
              <c:idx val="5"/>
              <c:layout>
                <c:manualLayout>
                  <c:x val="0"/>
                  <c:y val="3.9260966407142404E-2"/>
                </c:manualLayout>
              </c:layout>
              <c:dLblPos val="t"/>
              <c:showVal val="1"/>
            </c:dLbl>
            <c:dLbl>
              <c:idx val="6"/>
              <c:layout>
                <c:manualLayout>
                  <c:x val="2.4605588878583852E-3"/>
                  <c:y val="4.5804460808332934E-2"/>
                </c:manualLayout>
              </c:layout>
              <c:dLblPos val="t"/>
              <c:showVal val="1"/>
            </c:dLbl>
            <c:txPr>
              <a:bodyPr/>
              <a:lstStyle/>
              <a:p>
                <a:pPr>
                  <a:defRPr sz="900" b="1"/>
                </a:pPr>
                <a:endParaRPr lang="fr-FR"/>
              </a:p>
            </c:txPr>
            <c:dLblPos val="t"/>
            <c:showVal val="1"/>
          </c:dLbls>
          <c:cat>
            <c:strRef>
              <c:f>Feuil1!$A$9:$A$15</c:f>
              <c:strCache>
                <c:ptCount val="7"/>
                <c:pt idx="0">
                  <c:v>2023</c:v>
                </c:pt>
                <c:pt idx="1">
                  <c:v>2022</c:v>
                </c:pt>
                <c:pt idx="2">
                  <c:v>2021</c:v>
                </c:pt>
                <c:pt idx="3">
                  <c:v>2020</c:v>
                </c:pt>
                <c:pt idx="4">
                  <c:v>2019</c:v>
                </c:pt>
                <c:pt idx="5">
                  <c:v>2018</c:v>
                </c:pt>
                <c:pt idx="6">
                  <c:v>2017</c:v>
                </c:pt>
              </c:strCache>
            </c:strRef>
          </c:cat>
          <c:val>
            <c:numRef>
              <c:f>Feuil1!$D$9:$D$15</c:f>
              <c:numCache>
                <c:formatCode>#,##0.0</c:formatCode>
                <c:ptCount val="7"/>
                <c:pt idx="0">
                  <c:v>12.979486329217149</c:v>
                </c:pt>
                <c:pt idx="1">
                  <c:v>11.8</c:v>
                </c:pt>
                <c:pt idx="2">
                  <c:v>12.3</c:v>
                </c:pt>
                <c:pt idx="3">
                  <c:v>11.9</c:v>
                </c:pt>
                <c:pt idx="4">
                  <c:v>9.2000000000000011</c:v>
                </c:pt>
                <c:pt idx="5">
                  <c:v>9.5</c:v>
                </c:pt>
                <c:pt idx="6">
                  <c:v>10.200000000000001</c:v>
                </c:pt>
              </c:numCache>
            </c:numRef>
          </c:val>
        </c:ser>
        <c:dLbls>
          <c:showVal val="1"/>
        </c:dLbls>
        <c:marker val="1"/>
        <c:axId val="53183616"/>
        <c:axId val="54394880"/>
      </c:lineChart>
      <c:catAx>
        <c:axId val="53183616"/>
        <c:scaling>
          <c:orientation val="maxMin"/>
        </c:scaling>
        <c:axPos val="b"/>
        <c:tickLblPos val="nextTo"/>
        <c:spPr>
          <a:ln w="6350">
            <a:solidFill>
              <a:schemeClr val="tx1"/>
            </a:solidFill>
          </a:ln>
        </c:spPr>
        <c:txPr>
          <a:bodyPr/>
          <a:lstStyle/>
          <a:p>
            <a:pPr>
              <a:defRPr sz="900" b="1"/>
            </a:pPr>
            <a:endParaRPr lang="fr-FR"/>
          </a:p>
        </c:txPr>
        <c:crossAx val="54394880"/>
        <c:crosses val="autoZero"/>
        <c:auto val="1"/>
        <c:lblAlgn val="ctr"/>
        <c:lblOffset val="100"/>
      </c:catAx>
      <c:valAx>
        <c:axId val="54394880"/>
        <c:scaling>
          <c:orientation val="minMax"/>
        </c:scaling>
        <c:delete val="1"/>
        <c:axPos val="r"/>
        <c:numFmt formatCode="#,##0.0" sourceLinked="1"/>
        <c:tickLblPos val="nextTo"/>
        <c:crossAx val="53183616"/>
        <c:crosses val="autoZero"/>
        <c:crossBetween val="between"/>
      </c:valAx>
      <c:spPr>
        <a:noFill/>
        <a:ln w="25400">
          <a:noFill/>
        </a:ln>
      </c:spPr>
    </c:plotArea>
    <c:legend>
      <c:legendPos val="b"/>
      <c:txPr>
        <a:bodyPr/>
        <a:lstStyle/>
        <a:p>
          <a:pPr>
            <a:defRPr sz="900" b="1"/>
          </a:pPr>
          <a:endParaRPr lang="fr-FR"/>
        </a:p>
      </c:txPr>
    </c:legend>
    <c:plotVisOnly val="1"/>
  </c:chart>
  <c:spPr>
    <a:ln>
      <a:noFill/>
    </a:ln>
  </c:spPr>
  <c:txPr>
    <a:bodyPr/>
    <a:lstStyle/>
    <a:p>
      <a:pPr>
        <a:defRPr sz="1000">
          <a:ln>
            <a:noFill/>
          </a:ln>
          <a:latin typeface="Times New Roman" pitchFamily="18" charset="0"/>
          <a:cs typeface="Times New Roman" pitchFamily="18" charset="0"/>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1.4542385865333187E-2"/>
          <c:y val="6.0185185185185147E-2"/>
          <c:w val="0.93888888888889233"/>
          <c:h val="0.64382327209099555"/>
        </c:manualLayout>
      </c:layout>
      <c:barChart>
        <c:barDir val="col"/>
        <c:grouping val="clustered"/>
        <c:ser>
          <c:idx val="0"/>
          <c:order val="0"/>
          <c:tx>
            <c:strRef>
              <c:f>Feuil1!$D$34</c:f>
              <c:strCache>
                <c:ptCount val="1"/>
                <c:pt idx="0">
                  <c:v>2022</c:v>
                </c:pt>
              </c:strCache>
            </c:strRef>
          </c:tx>
          <c:spPr>
            <a:solidFill>
              <a:schemeClr val="accent1"/>
            </a:solidFill>
            <a:ln>
              <a:noFill/>
            </a:ln>
            <a:effectLst/>
          </c:spPr>
          <c:dLbls>
            <c:spPr>
              <a:noFill/>
              <a:ln>
                <a:noFill/>
              </a:ln>
              <a:effectLst/>
            </c:spPr>
            <c:txPr>
              <a:bodyPr rot="0" vert="horz"/>
              <a:lstStyle/>
              <a:p>
                <a:pPr>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Feuil1!$C$35:$C$42</c:f>
              <c:strCache>
                <c:ptCount val="8"/>
                <c:pt idx="0">
                  <c:v>Urbain</c:v>
                </c:pt>
                <c:pt idx="1">
                  <c:v>Rural</c:v>
                </c:pt>
                <c:pt idx="2">
                  <c:v>Masculain</c:v>
                </c:pt>
                <c:pt idx="3">
                  <c:v>Féminin</c:v>
                </c:pt>
                <c:pt idx="4">
                  <c:v>15-24 ans</c:v>
                </c:pt>
                <c:pt idx="5">
                  <c:v>Aucun diplôme</c:v>
                </c:pt>
                <c:pt idx="6">
                  <c:v>Ayant un diplôme</c:v>
                </c:pt>
                <c:pt idx="7">
                  <c:v>National</c:v>
                </c:pt>
              </c:strCache>
            </c:strRef>
          </c:cat>
          <c:val>
            <c:numRef>
              <c:f>Feuil1!$D$35:$D$42</c:f>
              <c:numCache>
                <c:formatCode>0.0</c:formatCode>
                <c:ptCount val="8"/>
                <c:pt idx="0">
                  <c:v>15.8253620084378</c:v>
                </c:pt>
                <c:pt idx="1">
                  <c:v>5.2304955007036824</c:v>
                </c:pt>
                <c:pt idx="2">
                  <c:v>10.264565814841674</c:v>
                </c:pt>
                <c:pt idx="3">
                  <c:v>17.168833140951079</c:v>
                </c:pt>
                <c:pt idx="4">
                  <c:v>32.654309181684894</c:v>
                </c:pt>
                <c:pt idx="5">
                  <c:v>4.2203605611621935</c:v>
                </c:pt>
                <c:pt idx="6">
                  <c:v>18.595868924690837</c:v>
                </c:pt>
                <c:pt idx="7">
                  <c:v>11.828058272390148</c:v>
                </c:pt>
              </c:numCache>
            </c:numRef>
          </c:val>
          <c:extLst xmlns:c16r2="http://schemas.microsoft.com/office/drawing/2015/06/chart">
            <c:ext xmlns:c16="http://schemas.microsoft.com/office/drawing/2014/chart" uri="{C3380CC4-5D6E-409C-BE32-E72D297353CC}">
              <c16:uniqueId val="{00000000-3704-41AC-924A-6AB65002D980}"/>
            </c:ext>
          </c:extLst>
        </c:ser>
        <c:ser>
          <c:idx val="1"/>
          <c:order val="1"/>
          <c:tx>
            <c:strRef>
              <c:f>Feuil1!$E$34</c:f>
              <c:strCache>
                <c:ptCount val="1"/>
                <c:pt idx="0">
                  <c:v>2023</c:v>
                </c:pt>
              </c:strCache>
            </c:strRef>
          </c:tx>
          <c:spPr>
            <a:solidFill>
              <a:schemeClr val="accent2"/>
            </a:solidFill>
            <a:ln>
              <a:noFill/>
            </a:ln>
            <a:effectLst/>
          </c:spPr>
          <c:dLbls>
            <c:dLbl>
              <c:idx val="0"/>
              <c:layout>
                <c:manualLayout>
                  <c:x val="1.0735117241252421E-2"/>
                  <c:y val="-9.2592592592593663E-3"/>
                </c:manualLayout>
              </c:layout>
              <c:showVal val="1"/>
            </c:dLbl>
            <c:dLbl>
              <c:idx val="1"/>
              <c:layout>
                <c:manualLayout>
                  <c:x val="2.7777777777778208E-3"/>
                  <c:y val="-1.388888888888901E-2"/>
                </c:manualLayout>
              </c:layout>
              <c:showVal val="1"/>
            </c:dLbl>
            <c:dLbl>
              <c:idx val="2"/>
              <c:layout>
                <c:manualLayout>
                  <c:x val="1.388888888888901E-2"/>
                  <c:y val="-2.3148148148148147E-2"/>
                </c:manualLayout>
              </c:layout>
              <c:showVal val="1"/>
            </c:dLbl>
            <c:dLbl>
              <c:idx val="3"/>
              <c:layout>
                <c:manualLayout>
                  <c:x val="1.1111111111111125E-2"/>
                  <c:y val="-2.7777777777778141E-2"/>
                </c:manualLayout>
              </c:layout>
              <c:showVal val="1"/>
            </c:dLbl>
            <c:dLbl>
              <c:idx val="6"/>
              <c:layout>
                <c:manualLayout>
                  <c:x val="1.2173290917881378E-2"/>
                  <c:y val="4.2437781360067831E-17"/>
                </c:manualLayout>
              </c:layout>
              <c:showVal val="1"/>
            </c:dLbl>
            <c:dLbl>
              <c:idx val="7"/>
              <c:layout>
                <c:manualLayout>
                  <c:x val="1.947726546861046E-2"/>
                  <c:y val="-9.2592592592593663E-3"/>
                </c:manualLayout>
              </c:layout>
              <c:showVal val="1"/>
            </c:dLbl>
            <c:spPr>
              <a:noFill/>
              <a:ln>
                <a:noFill/>
              </a:ln>
              <a:effectLst/>
            </c:spPr>
            <c:txPr>
              <a:bodyPr rot="0" vert="horz"/>
              <a:lstStyle/>
              <a:p>
                <a:pPr>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Feuil1!$C$35:$C$42</c:f>
              <c:strCache>
                <c:ptCount val="8"/>
                <c:pt idx="0">
                  <c:v>Urbain</c:v>
                </c:pt>
                <c:pt idx="1">
                  <c:v>Rural</c:v>
                </c:pt>
                <c:pt idx="2">
                  <c:v>Masculain</c:v>
                </c:pt>
                <c:pt idx="3">
                  <c:v>Féminin</c:v>
                </c:pt>
                <c:pt idx="4">
                  <c:v>15-24 ans</c:v>
                </c:pt>
                <c:pt idx="5">
                  <c:v>Aucun diplôme</c:v>
                </c:pt>
                <c:pt idx="6">
                  <c:v>Ayant un diplôme</c:v>
                </c:pt>
                <c:pt idx="7">
                  <c:v>National</c:v>
                </c:pt>
              </c:strCache>
            </c:strRef>
          </c:cat>
          <c:val>
            <c:numRef>
              <c:f>Feuil1!$E$35:$E$42</c:f>
              <c:numCache>
                <c:formatCode>0.0</c:formatCode>
                <c:ptCount val="8"/>
                <c:pt idx="0">
                  <c:v>16.8</c:v>
                </c:pt>
                <c:pt idx="1">
                  <c:v>6.3</c:v>
                </c:pt>
                <c:pt idx="2">
                  <c:v>11.5</c:v>
                </c:pt>
                <c:pt idx="3">
                  <c:v>18.3</c:v>
                </c:pt>
                <c:pt idx="4">
                  <c:v>35.800000000000004</c:v>
                </c:pt>
                <c:pt idx="5">
                  <c:v>4.9000000000000004</c:v>
                </c:pt>
                <c:pt idx="6">
                  <c:v>19.7</c:v>
                </c:pt>
                <c:pt idx="7">
                  <c:v>13</c:v>
                </c:pt>
              </c:numCache>
            </c:numRef>
          </c:val>
          <c:extLst xmlns:c16r2="http://schemas.microsoft.com/office/drawing/2015/06/chart">
            <c:ext xmlns:c16="http://schemas.microsoft.com/office/drawing/2014/chart" uri="{C3380CC4-5D6E-409C-BE32-E72D297353CC}">
              <c16:uniqueId val="{00000001-3704-41AC-924A-6AB65002D980}"/>
            </c:ext>
          </c:extLst>
        </c:ser>
        <c:gapWidth val="219"/>
        <c:overlap val="-27"/>
        <c:axId val="111418752"/>
        <c:axId val="111470080"/>
      </c:barChart>
      <c:catAx>
        <c:axId val="1114187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fr-FR"/>
          </a:p>
        </c:txPr>
        <c:crossAx val="111470080"/>
        <c:crosses val="autoZero"/>
        <c:auto val="1"/>
        <c:lblAlgn val="ctr"/>
        <c:lblOffset val="100"/>
      </c:catAx>
      <c:valAx>
        <c:axId val="111470080"/>
        <c:scaling>
          <c:orientation val="minMax"/>
        </c:scaling>
        <c:delete val="1"/>
        <c:axPos val="l"/>
        <c:numFmt formatCode="0.0" sourceLinked="1"/>
        <c:majorTickMark val="none"/>
        <c:tickLblPos val="nextTo"/>
        <c:crossAx val="111418752"/>
        <c:crosses val="autoZero"/>
        <c:crossBetween val="between"/>
      </c:valAx>
      <c:spPr>
        <a:noFill/>
        <a:ln>
          <a:noFill/>
        </a:ln>
        <a:effectLst/>
      </c:spPr>
    </c:plotArea>
    <c:legend>
      <c:legendPos val="b"/>
      <c:spPr>
        <a:noFill/>
        <a:ln>
          <a:noFill/>
        </a:ln>
        <a:effectLst/>
      </c:spPr>
      <c:txPr>
        <a:bodyPr rot="0" vert="horz"/>
        <a:lstStyle/>
        <a:p>
          <a:pPr>
            <a:defRPr/>
          </a:pPr>
          <a:endParaRPr lang="fr-FR"/>
        </a:p>
      </c:txPr>
    </c:legend>
    <c:plotVisOnly val="1"/>
    <c:dispBlanksAs val="gap"/>
  </c:chart>
  <c:spPr>
    <a:solidFill>
      <a:schemeClr val="bg1"/>
    </a:solidFill>
    <a:ln w="9525" cap="flat" cmpd="sng" algn="ctr">
      <a:noFill/>
      <a:round/>
    </a:ln>
    <a:effectLst/>
  </c:spPr>
  <c:txPr>
    <a:bodyPr/>
    <a:lstStyle/>
    <a:p>
      <a:pPr>
        <a:defRPr>
          <a:ln>
            <a:noFill/>
          </a:ln>
          <a:latin typeface="Times New Roman" pitchFamily="18" charset="0"/>
          <a:cs typeface="Times New Roman" pitchFamily="18" charset="0"/>
        </a:defRPr>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Feuil2!$D$33</c:f>
              <c:strCache>
                <c:ptCount val="1"/>
                <c:pt idx="0">
                  <c:v>2022</c:v>
                </c:pt>
              </c:strCache>
            </c:strRef>
          </c:tx>
          <c:dLbls>
            <c:dLbl>
              <c:idx val="2"/>
              <c:tx>
                <c:rich>
                  <a:bodyPr/>
                  <a:lstStyle/>
                  <a:p>
                    <a:r>
                      <a:rPr lang="en-US"/>
                      <a:t>9</a:t>
                    </a:r>
                  </a:p>
                </c:rich>
              </c:tx>
              <c:showVal val="1"/>
            </c:dLbl>
            <c:txPr>
              <a:bodyPr/>
              <a:lstStyle/>
              <a:p>
                <a:pPr>
                  <a:defRPr sz="900"/>
                </a:pPr>
                <a:endParaRPr lang="fr-FR"/>
              </a:p>
            </c:txPr>
            <c:showVal val="1"/>
          </c:dLbls>
          <c:cat>
            <c:strRef>
              <c:f>Feuil2!$C$34:$C$36</c:f>
              <c:strCache>
                <c:ptCount val="3"/>
                <c:pt idx="0">
                  <c:v>Urbain</c:v>
                </c:pt>
                <c:pt idx="1">
                  <c:v>Rural</c:v>
                </c:pt>
                <c:pt idx="2">
                  <c:v>Ensemble</c:v>
                </c:pt>
              </c:strCache>
            </c:strRef>
          </c:cat>
          <c:val>
            <c:numRef>
              <c:f>Feuil2!$D$34:$D$36</c:f>
              <c:numCache>
                <c:formatCode>0.0</c:formatCode>
                <c:ptCount val="3"/>
                <c:pt idx="0">
                  <c:v>8.1390319139513991</c:v>
                </c:pt>
                <c:pt idx="1">
                  <c:v>10.367592803389075</c:v>
                </c:pt>
                <c:pt idx="2">
                  <c:v>9.0428209846746999</c:v>
                </c:pt>
              </c:numCache>
            </c:numRef>
          </c:val>
        </c:ser>
        <c:ser>
          <c:idx val="1"/>
          <c:order val="1"/>
          <c:tx>
            <c:strRef>
              <c:f>Feuil2!$E$33</c:f>
              <c:strCache>
                <c:ptCount val="1"/>
                <c:pt idx="0">
                  <c:v>2023</c:v>
                </c:pt>
              </c:strCache>
            </c:strRef>
          </c:tx>
          <c:dLbls>
            <c:txPr>
              <a:bodyPr/>
              <a:lstStyle/>
              <a:p>
                <a:pPr>
                  <a:defRPr sz="900"/>
                </a:pPr>
                <a:endParaRPr lang="fr-FR"/>
              </a:p>
            </c:txPr>
            <c:showVal val="1"/>
          </c:dLbls>
          <c:cat>
            <c:strRef>
              <c:f>Feuil2!$C$34:$C$36</c:f>
              <c:strCache>
                <c:ptCount val="3"/>
                <c:pt idx="0">
                  <c:v>Urbain</c:v>
                </c:pt>
                <c:pt idx="1">
                  <c:v>Rural</c:v>
                </c:pt>
                <c:pt idx="2">
                  <c:v>Ensemble</c:v>
                </c:pt>
              </c:strCache>
            </c:strRef>
          </c:cat>
          <c:val>
            <c:numRef>
              <c:f>Feuil2!$E$34:$E$36</c:f>
              <c:numCache>
                <c:formatCode>0.0</c:formatCode>
                <c:ptCount val="3"/>
                <c:pt idx="0">
                  <c:v>8.7039918943922707</c:v>
                </c:pt>
                <c:pt idx="1">
                  <c:v>11.616164935480016</c:v>
                </c:pt>
                <c:pt idx="2">
                  <c:v>9.8479761106099204</c:v>
                </c:pt>
              </c:numCache>
            </c:numRef>
          </c:val>
        </c:ser>
        <c:dLbls>
          <c:showVal val="1"/>
        </c:dLbls>
        <c:overlap val="-25"/>
        <c:axId val="111716608"/>
        <c:axId val="111881600"/>
      </c:barChart>
      <c:catAx>
        <c:axId val="111716608"/>
        <c:scaling>
          <c:orientation val="minMax"/>
        </c:scaling>
        <c:axPos val="b"/>
        <c:majorTickMark val="none"/>
        <c:tickLblPos val="nextTo"/>
        <c:crossAx val="111881600"/>
        <c:crosses val="autoZero"/>
        <c:auto val="1"/>
        <c:lblAlgn val="ctr"/>
        <c:lblOffset val="100"/>
      </c:catAx>
      <c:valAx>
        <c:axId val="111881600"/>
        <c:scaling>
          <c:orientation val="minMax"/>
        </c:scaling>
        <c:delete val="1"/>
        <c:axPos val="l"/>
        <c:numFmt formatCode="0.0" sourceLinked="1"/>
        <c:tickLblPos val="nextTo"/>
        <c:crossAx val="111716608"/>
        <c:crosses val="autoZero"/>
        <c:crossBetween val="between"/>
      </c:valAx>
    </c:plotArea>
    <c:legend>
      <c:legendPos val="b"/>
    </c:legend>
    <c:plotVisOnly val="1"/>
  </c:chart>
  <c:spPr>
    <a:ln>
      <a:noFill/>
    </a:ln>
  </c:spPr>
  <c:txPr>
    <a:bodyPr/>
    <a:lstStyle/>
    <a:p>
      <a:pPr>
        <a:defRPr>
          <a:ln>
            <a:noFill/>
          </a:ln>
          <a:latin typeface="Times New Roman" pitchFamily="18" charset="0"/>
          <a:cs typeface="Times New Roman" pitchFamily="18" charset="0"/>
        </a:defRPr>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tx>
            <c:strRef>
              <c:f>Feuil1!$B$5</c:f>
              <c:strCache>
                <c:ptCount val="1"/>
                <c:pt idx="0">
                  <c:v>Urbain</c:v>
                </c:pt>
              </c:strCache>
            </c:strRef>
          </c:tx>
          <c:spPr>
            <a:solidFill>
              <a:schemeClr val="accent1"/>
            </a:solidFill>
            <a:ln>
              <a:noFill/>
            </a:ln>
            <a:effectLst/>
          </c:spPr>
          <c:dLbls>
            <c:spPr>
              <a:noFill/>
              <a:ln>
                <a:noFill/>
              </a:ln>
              <a:effectLst/>
            </c:spPr>
            <c:txPr>
              <a:bodyPr rot="0" vert="horz"/>
              <a:lstStyle/>
              <a:p>
                <a:pPr>
                  <a:defRPr sz="800"/>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Feuil1!$A$6:$A$16</c:f>
              <c:strCache>
                <c:ptCount val="11"/>
                <c:pt idx="0">
                  <c:v>Souss-Massa</c:v>
                </c:pt>
                <c:pt idx="1">
                  <c:v>Béni Mellal-Khénifra</c:v>
                </c:pt>
                <c:pt idx="2">
                  <c:v>Oriental</c:v>
                </c:pt>
                <c:pt idx="3">
                  <c:v>Drâa-Tafilalet</c:v>
                </c:pt>
                <c:pt idx="4">
                  <c:v>Fès-Meknès</c:v>
                </c:pt>
                <c:pt idx="5">
                  <c:v>Ensemble</c:v>
                </c:pt>
                <c:pt idx="6">
                  <c:v>Marrakech-Safi</c:v>
                </c:pt>
                <c:pt idx="7">
                  <c:v>Rabat-Salé-Kénitra</c:v>
                </c:pt>
                <c:pt idx="8">
                  <c:v>Régions du Sud</c:v>
                </c:pt>
                <c:pt idx="9">
                  <c:v>Casablanca-Settat</c:v>
                </c:pt>
                <c:pt idx="10">
                  <c:v>Tanger-Tétouan-Al Hoceïma</c:v>
                </c:pt>
              </c:strCache>
            </c:strRef>
          </c:cat>
          <c:val>
            <c:numRef>
              <c:f>Feuil1!$B$6:$B$16</c:f>
              <c:numCache>
                <c:formatCode>0.0</c:formatCode>
                <c:ptCount val="11"/>
                <c:pt idx="0">
                  <c:v>40.741693085359444</c:v>
                </c:pt>
                <c:pt idx="1">
                  <c:v>35.490374732356642</c:v>
                </c:pt>
                <c:pt idx="2">
                  <c:v>38.930479263769122</c:v>
                </c:pt>
                <c:pt idx="3">
                  <c:v>38.699238750575994</c:v>
                </c:pt>
                <c:pt idx="4">
                  <c:v>39.368016227074513</c:v>
                </c:pt>
                <c:pt idx="5">
                  <c:v>41.796145342364149</c:v>
                </c:pt>
                <c:pt idx="6">
                  <c:v>41.67776437164359</c:v>
                </c:pt>
                <c:pt idx="7">
                  <c:v>42.073951143476009</c:v>
                </c:pt>
                <c:pt idx="8">
                  <c:v>43.449390599667844</c:v>
                </c:pt>
                <c:pt idx="9">
                  <c:v>44.335568174791149</c:v>
                </c:pt>
                <c:pt idx="10">
                  <c:v>44.841809908735989</c:v>
                </c:pt>
              </c:numCache>
            </c:numRef>
          </c:val>
          <c:extLst xmlns:c16r2="http://schemas.microsoft.com/office/drawing/2015/06/chart">
            <c:ext xmlns:c16="http://schemas.microsoft.com/office/drawing/2014/chart" uri="{C3380CC4-5D6E-409C-BE32-E72D297353CC}">
              <c16:uniqueId val="{00000000-6F1C-40C7-9612-D803212568EC}"/>
            </c:ext>
          </c:extLst>
        </c:ser>
        <c:ser>
          <c:idx val="1"/>
          <c:order val="1"/>
          <c:tx>
            <c:strRef>
              <c:f>Feuil1!$C$5</c:f>
              <c:strCache>
                <c:ptCount val="1"/>
                <c:pt idx="0">
                  <c:v>Rural</c:v>
                </c:pt>
              </c:strCache>
            </c:strRef>
          </c:tx>
          <c:spPr>
            <a:solidFill>
              <a:schemeClr val="accent2"/>
            </a:solidFill>
            <a:ln>
              <a:noFill/>
            </a:ln>
            <a:effectLst/>
          </c:spPr>
          <c:dLbls>
            <c:spPr>
              <a:noFill/>
              <a:ln>
                <a:noFill/>
              </a:ln>
              <a:effectLst/>
            </c:spPr>
            <c:txPr>
              <a:bodyPr rot="0" vert="horz"/>
              <a:lstStyle/>
              <a:p>
                <a:pPr>
                  <a:defRPr sz="800"/>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Feuil1!$A$6:$A$16</c:f>
              <c:strCache>
                <c:ptCount val="11"/>
                <c:pt idx="0">
                  <c:v>Souss-Massa</c:v>
                </c:pt>
                <c:pt idx="1">
                  <c:v>Béni Mellal-Khénifra</c:v>
                </c:pt>
                <c:pt idx="2">
                  <c:v>Oriental</c:v>
                </c:pt>
                <c:pt idx="3">
                  <c:v>Drâa-Tafilalet</c:v>
                </c:pt>
                <c:pt idx="4">
                  <c:v>Fès-Meknès</c:v>
                </c:pt>
                <c:pt idx="5">
                  <c:v>Ensemble</c:v>
                </c:pt>
                <c:pt idx="6">
                  <c:v>Marrakech-Safi</c:v>
                </c:pt>
                <c:pt idx="7">
                  <c:v>Rabat-Salé-Kénitra</c:v>
                </c:pt>
                <c:pt idx="8">
                  <c:v>Régions du Sud</c:v>
                </c:pt>
                <c:pt idx="9">
                  <c:v>Casablanca-Settat</c:v>
                </c:pt>
                <c:pt idx="10">
                  <c:v>Tanger-Tétouan-Al Hoceïma</c:v>
                </c:pt>
              </c:strCache>
            </c:strRef>
          </c:cat>
          <c:val>
            <c:numRef>
              <c:f>Feuil1!$C$6:$C$16</c:f>
              <c:numCache>
                <c:formatCode>0.0</c:formatCode>
                <c:ptCount val="11"/>
                <c:pt idx="0">
                  <c:v>35.844639689718576</c:v>
                </c:pt>
                <c:pt idx="1">
                  <c:v>45.398118382019298</c:v>
                </c:pt>
                <c:pt idx="2">
                  <c:v>43.485633963991901</c:v>
                </c:pt>
                <c:pt idx="3">
                  <c:v>43.525511459231105</c:v>
                </c:pt>
                <c:pt idx="4">
                  <c:v>46.476315940152489</c:v>
                </c:pt>
                <c:pt idx="5">
                  <c:v>47.279311737321493</c:v>
                </c:pt>
                <c:pt idx="6">
                  <c:v>45.98231479951793</c:v>
                </c:pt>
                <c:pt idx="7">
                  <c:v>49.935488529145985</c:v>
                </c:pt>
                <c:pt idx="8">
                  <c:v>53.799015176330307</c:v>
                </c:pt>
                <c:pt idx="9">
                  <c:v>52.93912426278694</c:v>
                </c:pt>
                <c:pt idx="10">
                  <c:v>55.656037719145054</c:v>
                </c:pt>
              </c:numCache>
            </c:numRef>
          </c:val>
          <c:extLst xmlns:c16r2="http://schemas.microsoft.com/office/drawing/2015/06/chart">
            <c:ext xmlns:c16="http://schemas.microsoft.com/office/drawing/2014/chart" uri="{C3380CC4-5D6E-409C-BE32-E72D297353CC}">
              <c16:uniqueId val="{00000001-6F1C-40C7-9612-D803212568EC}"/>
            </c:ext>
          </c:extLst>
        </c:ser>
        <c:ser>
          <c:idx val="2"/>
          <c:order val="2"/>
          <c:tx>
            <c:strRef>
              <c:f>Feuil1!$D$5</c:f>
              <c:strCache>
                <c:ptCount val="1"/>
                <c:pt idx="0">
                  <c:v>Ensemble</c:v>
                </c:pt>
              </c:strCache>
            </c:strRef>
          </c:tx>
          <c:spPr>
            <a:solidFill>
              <a:schemeClr val="accent3"/>
            </a:solidFill>
            <a:ln>
              <a:noFill/>
            </a:ln>
            <a:effectLst/>
          </c:spPr>
          <c:dLbls>
            <c:spPr>
              <a:noFill/>
              <a:ln>
                <a:noFill/>
              </a:ln>
              <a:effectLst/>
            </c:spPr>
            <c:txPr>
              <a:bodyPr rot="0" vert="horz"/>
              <a:lstStyle/>
              <a:p>
                <a:pPr>
                  <a:defRPr sz="700"/>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Feuil1!$A$6:$A$16</c:f>
              <c:strCache>
                <c:ptCount val="11"/>
                <c:pt idx="0">
                  <c:v>Souss-Massa</c:v>
                </c:pt>
                <c:pt idx="1">
                  <c:v>Béni Mellal-Khénifra</c:v>
                </c:pt>
                <c:pt idx="2">
                  <c:v>Oriental</c:v>
                </c:pt>
                <c:pt idx="3">
                  <c:v>Drâa-Tafilalet</c:v>
                </c:pt>
                <c:pt idx="4">
                  <c:v>Fès-Meknès</c:v>
                </c:pt>
                <c:pt idx="5">
                  <c:v>Ensemble</c:v>
                </c:pt>
                <c:pt idx="6">
                  <c:v>Marrakech-Safi</c:v>
                </c:pt>
                <c:pt idx="7">
                  <c:v>Rabat-Salé-Kénitra</c:v>
                </c:pt>
                <c:pt idx="8">
                  <c:v>Régions du Sud</c:v>
                </c:pt>
                <c:pt idx="9">
                  <c:v>Casablanca-Settat</c:v>
                </c:pt>
                <c:pt idx="10">
                  <c:v>Tanger-Tétouan-Al Hoceïma</c:v>
                </c:pt>
              </c:strCache>
            </c:strRef>
          </c:cat>
          <c:val>
            <c:numRef>
              <c:f>Feuil1!$D$6:$D$16</c:f>
              <c:numCache>
                <c:formatCode>0.0</c:formatCode>
                <c:ptCount val="11"/>
                <c:pt idx="0">
                  <c:v>38.993633316173934</c:v>
                </c:pt>
                <c:pt idx="1">
                  <c:v>40.009545916267761</c:v>
                </c:pt>
                <c:pt idx="2">
                  <c:v>40.086623423298747</c:v>
                </c:pt>
                <c:pt idx="3">
                  <c:v>41.694052853424608</c:v>
                </c:pt>
                <c:pt idx="4">
                  <c:v>41.753240670598395</c:v>
                </c:pt>
                <c:pt idx="5">
                  <c:v>43.642746765073575</c:v>
                </c:pt>
                <c:pt idx="6">
                  <c:v>43.97611180112353</c:v>
                </c:pt>
                <c:pt idx="7">
                  <c:v>44.036991145865812</c:v>
                </c:pt>
                <c:pt idx="8">
                  <c:v>45.328369626691355</c:v>
                </c:pt>
                <c:pt idx="9">
                  <c:v>46.116111689298194</c:v>
                </c:pt>
                <c:pt idx="10">
                  <c:v>48.652317393690751</c:v>
                </c:pt>
              </c:numCache>
            </c:numRef>
          </c:val>
          <c:extLst xmlns:c16r2="http://schemas.microsoft.com/office/drawing/2015/06/chart">
            <c:ext xmlns:c16="http://schemas.microsoft.com/office/drawing/2014/chart" uri="{C3380CC4-5D6E-409C-BE32-E72D297353CC}">
              <c16:uniqueId val="{00000002-6F1C-40C7-9612-D803212568EC}"/>
            </c:ext>
          </c:extLst>
        </c:ser>
        <c:dLbls>
          <c:showVal val="1"/>
        </c:dLbls>
        <c:gapWidth val="182"/>
        <c:axId val="126185472"/>
        <c:axId val="126188544"/>
      </c:barChart>
      <c:catAx>
        <c:axId val="1261854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fr-FR"/>
          </a:p>
        </c:txPr>
        <c:crossAx val="126188544"/>
        <c:crosses val="autoZero"/>
        <c:auto val="1"/>
        <c:lblAlgn val="ctr"/>
        <c:lblOffset val="100"/>
      </c:catAx>
      <c:valAx>
        <c:axId val="126188544"/>
        <c:scaling>
          <c:orientation val="minMax"/>
        </c:scaling>
        <c:delete val="1"/>
        <c:axPos val="b"/>
        <c:numFmt formatCode="0.0" sourceLinked="1"/>
        <c:majorTickMark val="none"/>
        <c:tickLblPos val="nextTo"/>
        <c:crossAx val="126185472"/>
        <c:crosses val="autoZero"/>
        <c:crossBetween val="between"/>
      </c:valAx>
      <c:spPr>
        <a:noFill/>
        <a:ln>
          <a:noFill/>
        </a:ln>
        <a:effectLst/>
      </c:spPr>
    </c:plotArea>
    <c:legend>
      <c:legendPos val="r"/>
      <c:layout>
        <c:manualLayout>
          <c:xMode val="edge"/>
          <c:yMode val="edge"/>
          <c:x val="0.86983978626412572"/>
          <c:y val="0.42247265799279315"/>
          <c:w val="0.11672236379187206"/>
          <c:h val="0.27020530530915182"/>
        </c:manualLayout>
      </c:layout>
      <c:spPr>
        <a:noFill/>
        <a:ln>
          <a:noFill/>
        </a:ln>
        <a:effectLst/>
      </c:spPr>
      <c:txPr>
        <a:bodyPr rot="0" vert="horz"/>
        <a:lstStyle/>
        <a:p>
          <a:pPr>
            <a:defRPr sz="900"/>
          </a:pPr>
          <a:endParaRPr lang="fr-FR"/>
        </a:p>
      </c:txPr>
    </c:legend>
    <c:plotVisOnly val="1"/>
    <c:dispBlanksAs val="gap"/>
  </c:chart>
  <c:spPr>
    <a:solidFill>
      <a:schemeClr val="bg1"/>
    </a:solidFill>
    <a:ln w="9525" cap="flat" cmpd="sng" algn="ctr">
      <a:noFill/>
      <a:round/>
    </a:ln>
    <a:effectLst/>
  </c:spPr>
  <c:txPr>
    <a:bodyPr/>
    <a:lstStyle/>
    <a:p>
      <a:pPr>
        <a:defRPr>
          <a:latin typeface="Times New Roman" pitchFamily="18" charset="0"/>
          <a:cs typeface="Times New Roman" pitchFamily="18" charset="0"/>
        </a:defRPr>
      </a:pPr>
      <a:endParaRPr lang="fr-F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tx>
            <c:strRef>
              <c:f>Feuil1!$B$30</c:f>
              <c:strCache>
                <c:ptCount val="1"/>
                <c:pt idx="0">
                  <c:v>Urbain</c:v>
                </c:pt>
              </c:strCache>
            </c:strRef>
          </c:tx>
          <c:spPr>
            <a:solidFill>
              <a:schemeClr val="accent1"/>
            </a:solidFill>
            <a:ln>
              <a:noFill/>
            </a:ln>
            <a:effectLst/>
          </c:spPr>
          <c:dLbls>
            <c:spPr>
              <a:noFill/>
              <a:ln>
                <a:noFill/>
              </a:ln>
              <a:effectLst/>
            </c:spPr>
            <c:txPr>
              <a:bodyPr rot="0" vert="horz"/>
              <a:lstStyle/>
              <a:p>
                <a:pPr>
                  <a:defRPr sz="800"/>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Feuil1!$A$31:$A$41</c:f>
              <c:strCache>
                <c:ptCount val="11"/>
                <c:pt idx="0">
                  <c:v>Marrakech-Safi</c:v>
                </c:pt>
                <c:pt idx="1">
                  <c:v>Tanger-Tétouan-Al Hoceïma</c:v>
                </c:pt>
                <c:pt idx="2">
                  <c:v>Rabat-Salé-Kénitra</c:v>
                </c:pt>
                <c:pt idx="3">
                  <c:v>Drâa-Tafilalet</c:v>
                </c:pt>
                <c:pt idx="4">
                  <c:v>Béni Mellal-Khénifra</c:v>
                </c:pt>
                <c:pt idx="5">
                  <c:v>Ensemble</c:v>
                </c:pt>
                <c:pt idx="6">
                  <c:v>Souss-Massa</c:v>
                </c:pt>
                <c:pt idx="7">
                  <c:v>Fès-Meknès</c:v>
                </c:pt>
                <c:pt idx="8">
                  <c:v>Casablanca-Settat</c:v>
                </c:pt>
                <c:pt idx="9">
                  <c:v>Oriental</c:v>
                </c:pt>
                <c:pt idx="10">
                  <c:v>Régions du Sud</c:v>
                </c:pt>
              </c:strCache>
            </c:strRef>
          </c:cat>
          <c:val>
            <c:numRef>
              <c:f>Feuil1!$B$31:$B$41</c:f>
              <c:numCache>
                <c:formatCode>0.0</c:formatCode>
                <c:ptCount val="11"/>
                <c:pt idx="0">
                  <c:v>12.213359528691244</c:v>
                </c:pt>
                <c:pt idx="1">
                  <c:v>14.125475132812198</c:v>
                </c:pt>
                <c:pt idx="2">
                  <c:v>14.483643514189623</c:v>
                </c:pt>
                <c:pt idx="3">
                  <c:v>17.982575469651302</c:v>
                </c:pt>
                <c:pt idx="4">
                  <c:v>17.746948967520627</c:v>
                </c:pt>
                <c:pt idx="5">
                  <c:v>16.809695998096672</c:v>
                </c:pt>
                <c:pt idx="6">
                  <c:v>15.494628018504702</c:v>
                </c:pt>
                <c:pt idx="7">
                  <c:v>19.349297896489588</c:v>
                </c:pt>
                <c:pt idx="8">
                  <c:v>17.767875548698193</c:v>
                </c:pt>
                <c:pt idx="9">
                  <c:v>21.347784183603739</c:v>
                </c:pt>
                <c:pt idx="10">
                  <c:v>22.846710936617423</c:v>
                </c:pt>
              </c:numCache>
            </c:numRef>
          </c:val>
          <c:extLst xmlns:c16r2="http://schemas.microsoft.com/office/drawing/2015/06/chart">
            <c:ext xmlns:c16="http://schemas.microsoft.com/office/drawing/2014/chart" uri="{C3380CC4-5D6E-409C-BE32-E72D297353CC}">
              <c16:uniqueId val="{00000000-E91B-4F9A-94C0-881E88339CD4}"/>
            </c:ext>
          </c:extLst>
        </c:ser>
        <c:ser>
          <c:idx val="1"/>
          <c:order val="1"/>
          <c:tx>
            <c:strRef>
              <c:f>Feuil1!$C$30</c:f>
              <c:strCache>
                <c:ptCount val="1"/>
                <c:pt idx="0">
                  <c:v>Rural</c:v>
                </c:pt>
              </c:strCache>
            </c:strRef>
          </c:tx>
          <c:spPr>
            <a:solidFill>
              <a:schemeClr val="accent2"/>
            </a:solidFill>
            <a:ln>
              <a:noFill/>
            </a:ln>
            <a:effectLst/>
          </c:spPr>
          <c:dLbls>
            <c:spPr>
              <a:noFill/>
              <a:ln>
                <a:noFill/>
              </a:ln>
              <a:effectLst/>
            </c:spPr>
            <c:txPr>
              <a:bodyPr rot="0" vert="horz"/>
              <a:lstStyle/>
              <a:p>
                <a:pPr>
                  <a:defRPr sz="800"/>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Feuil1!$A$31:$A$41</c:f>
              <c:strCache>
                <c:ptCount val="11"/>
                <c:pt idx="0">
                  <c:v>Marrakech-Safi</c:v>
                </c:pt>
                <c:pt idx="1">
                  <c:v>Tanger-Tétouan-Al Hoceïma</c:v>
                </c:pt>
                <c:pt idx="2">
                  <c:v>Rabat-Salé-Kénitra</c:v>
                </c:pt>
                <c:pt idx="3">
                  <c:v>Drâa-Tafilalet</c:v>
                </c:pt>
                <c:pt idx="4">
                  <c:v>Béni Mellal-Khénifra</c:v>
                </c:pt>
                <c:pt idx="5">
                  <c:v>Ensemble</c:v>
                </c:pt>
                <c:pt idx="6">
                  <c:v>Souss-Massa</c:v>
                </c:pt>
                <c:pt idx="7">
                  <c:v>Fès-Meknès</c:v>
                </c:pt>
                <c:pt idx="8">
                  <c:v>Casablanca-Settat</c:v>
                </c:pt>
                <c:pt idx="9">
                  <c:v>Oriental</c:v>
                </c:pt>
                <c:pt idx="10">
                  <c:v>Régions du Sud</c:v>
                </c:pt>
              </c:strCache>
            </c:strRef>
          </c:cat>
          <c:val>
            <c:numRef>
              <c:f>Feuil1!$C$31:$C$41</c:f>
              <c:numCache>
                <c:formatCode>0.0</c:formatCode>
                <c:ptCount val="11"/>
                <c:pt idx="0">
                  <c:v>4.0535806070881275</c:v>
                </c:pt>
                <c:pt idx="1">
                  <c:v>4.2447181439050787</c:v>
                </c:pt>
                <c:pt idx="2">
                  <c:v>4.2800199564206816</c:v>
                </c:pt>
                <c:pt idx="3">
                  <c:v>8.5870048833573644</c:v>
                </c:pt>
                <c:pt idx="4">
                  <c:v>8.207445940696271</c:v>
                </c:pt>
                <c:pt idx="5">
                  <c:v>6.3113292976657158</c:v>
                </c:pt>
                <c:pt idx="6">
                  <c:v>9.4587607129687257</c:v>
                </c:pt>
                <c:pt idx="7">
                  <c:v>5.4715795716045523</c:v>
                </c:pt>
                <c:pt idx="8">
                  <c:v>6.1129327146146384</c:v>
                </c:pt>
                <c:pt idx="9">
                  <c:v>15.16813470312492</c:v>
                </c:pt>
                <c:pt idx="10">
                  <c:v>11.040515874157284</c:v>
                </c:pt>
              </c:numCache>
            </c:numRef>
          </c:val>
          <c:extLst xmlns:c16r2="http://schemas.microsoft.com/office/drawing/2015/06/chart">
            <c:ext xmlns:c16="http://schemas.microsoft.com/office/drawing/2014/chart" uri="{C3380CC4-5D6E-409C-BE32-E72D297353CC}">
              <c16:uniqueId val="{00000001-E91B-4F9A-94C0-881E88339CD4}"/>
            </c:ext>
          </c:extLst>
        </c:ser>
        <c:ser>
          <c:idx val="2"/>
          <c:order val="2"/>
          <c:tx>
            <c:strRef>
              <c:f>Feuil1!$D$30</c:f>
              <c:strCache>
                <c:ptCount val="1"/>
                <c:pt idx="0">
                  <c:v>Ensemble</c:v>
                </c:pt>
              </c:strCache>
            </c:strRef>
          </c:tx>
          <c:spPr>
            <a:solidFill>
              <a:schemeClr val="accent3"/>
            </a:solidFill>
            <a:ln>
              <a:noFill/>
            </a:ln>
            <a:effectLst/>
          </c:spPr>
          <c:dLbls>
            <c:spPr>
              <a:noFill/>
              <a:ln>
                <a:noFill/>
              </a:ln>
              <a:effectLst/>
            </c:spPr>
            <c:txPr>
              <a:bodyPr rot="0" vert="horz"/>
              <a:lstStyle/>
              <a:p>
                <a:pPr>
                  <a:defRPr sz="800"/>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Feuil1!$A$31:$A$41</c:f>
              <c:strCache>
                <c:ptCount val="11"/>
                <c:pt idx="0">
                  <c:v>Marrakech-Safi</c:v>
                </c:pt>
                <c:pt idx="1">
                  <c:v>Tanger-Tétouan-Al Hoceïma</c:v>
                </c:pt>
                <c:pt idx="2">
                  <c:v>Rabat-Salé-Kénitra</c:v>
                </c:pt>
                <c:pt idx="3">
                  <c:v>Drâa-Tafilalet</c:v>
                </c:pt>
                <c:pt idx="4">
                  <c:v>Béni Mellal-Khénifra</c:v>
                </c:pt>
                <c:pt idx="5">
                  <c:v>Ensemble</c:v>
                </c:pt>
                <c:pt idx="6">
                  <c:v>Souss-Massa</c:v>
                </c:pt>
                <c:pt idx="7">
                  <c:v>Fès-Meknès</c:v>
                </c:pt>
                <c:pt idx="8">
                  <c:v>Casablanca-Settat</c:v>
                </c:pt>
                <c:pt idx="9">
                  <c:v>Oriental</c:v>
                </c:pt>
                <c:pt idx="10">
                  <c:v>Régions du Sud</c:v>
                </c:pt>
              </c:strCache>
            </c:strRef>
          </c:cat>
          <c:val>
            <c:numRef>
              <c:f>Feuil1!$D$31:$D$41</c:f>
              <c:numCache>
                <c:formatCode>0.0</c:formatCode>
                <c:ptCount val="11"/>
                <c:pt idx="0">
                  <c:v>7.6578152314001651</c:v>
                </c:pt>
                <c:pt idx="1">
                  <c:v>10.142695509212976</c:v>
                </c:pt>
                <c:pt idx="2">
                  <c:v>11.594509026174622</c:v>
                </c:pt>
                <c:pt idx="3">
                  <c:v>11.896309295796804</c:v>
                </c:pt>
                <c:pt idx="4">
                  <c:v>12.809711546789552</c:v>
                </c:pt>
                <c:pt idx="5">
                  <c:v>12.979486329217153</c:v>
                </c:pt>
                <c:pt idx="6">
                  <c:v>13.514051445465299</c:v>
                </c:pt>
                <c:pt idx="7">
                  <c:v>14.165797988439104</c:v>
                </c:pt>
                <c:pt idx="8">
                  <c:v>14.998965702332294</c:v>
                </c:pt>
                <c:pt idx="9">
                  <c:v>19.646334813920699</c:v>
                </c:pt>
                <c:pt idx="10">
                  <c:v>20.302743677612167</c:v>
                </c:pt>
              </c:numCache>
            </c:numRef>
          </c:val>
          <c:extLst xmlns:c16r2="http://schemas.microsoft.com/office/drawing/2015/06/chart">
            <c:ext xmlns:c16="http://schemas.microsoft.com/office/drawing/2014/chart" uri="{C3380CC4-5D6E-409C-BE32-E72D297353CC}">
              <c16:uniqueId val="{00000002-E91B-4F9A-94C0-881E88339CD4}"/>
            </c:ext>
          </c:extLst>
        </c:ser>
        <c:dLbls>
          <c:showVal val="1"/>
        </c:dLbls>
        <c:gapWidth val="182"/>
        <c:axId val="52472448"/>
        <c:axId val="52478336"/>
      </c:barChart>
      <c:catAx>
        <c:axId val="524724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fr-FR"/>
          </a:p>
        </c:txPr>
        <c:crossAx val="52478336"/>
        <c:crosses val="autoZero"/>
        <c:auto val="1"/>
        <c:lblAlgn val="ctr"/>
        <c:lblOffset val="100"/>
      </c:catAx>
      <c:valAx>
        <c:axId val="52478336"/>
        <c:scaling>
          <c:orientation val="minMax"/>
        </c:scaling>
        <c:delete val="1"/>
        <c:axPos val="b"/>
        <c:numFmt formatCode="0.0" sourceLinked="1"/>
        <c:majorTickMark val="none"/>
        <c:tickLblPos val="nextTo"/>
        <c:crossAx val="52472448"/>
        <c:crosses val="autoZero"/>
        <c:crossBetween val="between"/>
      </c:valAx>
      <c:spPr>
        <a:noFill/>
        <a:ln>
          <a:noFill/>
        </a:ln>
        <a:effectLst/>
      </c:spPr>
    </c:plotArea>
    <c:legend>
      <c:legendPos val="r"/>
      <c:layout>
        <c:manualLayout>
          <c:xMode val="edge"/>
          <c:yMode val="edge"/>
          <c:x val="0.81970493699087388"/>
          <c:y val="0.46618033732330588"/>
          <c:w val="0.17165575415384088"/>
          <c:h val="0.11846144792439062"/>
        </c:manualLayout>
      </c:layout>
      <c:spPr>
        <a:noFill/>
        <a:ln>
          <a:noFill/>
        </a:ln>
        <a:effectLst/>
      </c:spPr>
      <c:txPr>
        <a:bodyPr rot="0" vert="horz"/>
        <a:lstStyle/>
        <a:p>
          <a:pPr>
            <a:defRPr/>
          </a:pPr>
          <a:endParaRPr lang="fr-FR"/>
        </a:p>
      </c:txPr>
    </c:legend>
    <c:plotVisOnly val="1"/>
    <c:dispBlanksAs val="gap"/>
  </c:chart>
  <c:spPr>
    <a:solidFill>
      <a:schemeClr val="bg1"/>
    </a:solidFill>
    <a:ln w="9525" cap="flat" cmpd="sng" algn="ctr">
      <a:noFill/>
      <a:round/>
    </a:ln>
    <a:effectLst/>
  </c:spPr>
  <c:txPr>
    <a:bodyPr/>
    <a:lstStyle/>
    <a:p>
      <a:pPr>
        <a:defRPr>
          <a:latin typeface="Times New Roman" pitchFamily="18" charset="0"/>
          <a:cs typeface="Times New Roman"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3EDC7-FBBF-4FEF-A30D-F4FC1159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2161</Words>
  <Characters>11887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Analyse et conception</dc:creator>
  <cp:lastModifiedBy>User</cp:lastModifiedBy>
  <cp:revision>14</cp:revision>
  <cp:lastPrinted>2024-01-26T12:12:00Z</cp:lastPrinted>
  <dcterms:created xsi:type="dcterms:W3CDTF">2024-01-28T13:16:00Z</dcterms:created>
  <dcterms:modified xsi:type="dcterms:W3CDTF">2024-02-01T12:11:00Z</dcterms:modified>
</cp:coreProperties>
</file>