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FA0956" w:rsidP="008120DE">
      <w:pPr>
        <w:pStyle w:val="NormalWeb"/>
        <w:spacing w:before="0" w:beforeAutospacing="0" w:after="0" w:afterAutospacing="0" w:line="240" w:lineRule="exact"/>
        <w:jc w:val="center"/>
        <w:rPr>
          <w:b/>
          <w:bCs/>
          <w:rtl/>
          <w:lang w:bidi="ar-MA"/>
        </w:rPr>
      </w:pPr>
      <w:r>
        <w:rPr>
          <w:b/>
          <w:bCs/>
          <w:lang w:bidi="ar-MA"/>
        </w:rPr>
        <w:t xml:space="preserve">    </w:t>
      </w:r>
    </w:p>
    <w:p w:rsidR="0097276B" w:rsidRDefault="00647198" w:rsidP="008120DE">
      <w:pPr>
        <w:pStyle w:val="NormalWeb"/>
        <w:spacing w:before="0" w:beforeAutospacing="0" w:after="0" w:afterAutospacing="0" w:line="240" w:lineRule="exact"/>
        <w:jc w:val="center"/>
        <w:rPr>
          <w:b/>
          <w:bCs/>
        </w:rPr>
      </w:pPr>
      <w:r>
        <w:rPr>
          <w:b/>
          <w:bCs/>
        </w:rPr>
        <w:tab/>
      </w:r>
    </w:p>
    <w:p w:rsidR="0097276B" w:rsidRDefault="0097276B" w:rsidP="008120DE">
      <w:pPr>
        <w:pStyle w:val="NormalWeb"/>
        <w:spacing w:before="0" w:beforeAutospacing="0" w:after="0" w:afterAutospacing="0" w:line="240" w:lineRule="exact"/>
        <w:jc w:val="center"/>
        <w:rPr>
          <w:b/>
          <w:bCs/>
        </w:rPr>
      </w:pPr>
    </w:p>
    <w:p w:rsidR="0097276B" w:rsidRPr="00E11814" w:rsidRDefault="007E466F" w:rsidP="008120DE">
      <w:pPr>
        <w:pStyle w:val="NormalWeb"/>
        <w:spacing w:before="0" w:beforeAutospacing="0" w:after="0" w:afterAutospacing="0" w:line="240" w:lineRule="exact"/>
        <w:jc w:val="center"/>
        <w:rPr>
          <w:b/>
          <w:bCs/>
        </w:rPr>
      </w:pPr>
      <w:r w:rsidRPr="00E11814">
        <w:rPr>
          <w:noProof/>
        </w:rPr>
        <w:drawing>
          <wp:anchor distT="0" distB="0" distL="114300" distR="114300" simplePos="0" relativeHeight="251654656" behindDoc="0" locked="0" layoutInCell="1" allowOverlap="1">
            <wp:simplePos x="0" y="0"/>
            <wp:positionH relativeFrom="column">
              <wp:posOffset>4882515</wp:posOffset>
            </wp:positionH>
            <wp:positionV relativeFrom="paragraph">
              <wp:posOffset>155575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rsidR="0097276B" w:rsidRPr="00E11814" w:rsidRDefault="007E466F" w:rsidP="008120DE">
      <w:pPr>
        <w:pStyle w:val="NormalWeb"/>
        <w:spacing w:before="0" w:beforeAutospacing="0" w:after="0" w:afterAutospacing="0" w:line="240" w:lineRule="exact"/>
        <w:jc w:val="center"/>
        <w:rPr>
          <w:b/>
          <w:bCs/>
        </w:rPr>
      </w:pPr>
      <w:r w:rsidRPr="00E11814">
        <w:rPr>
          <w:noProof/>
        </w:rPr>
        <w:drawing>
          <wp:anchor distT="0" distB="0" distL="114300" distR="114300" simplePos="0" relativeHeight="251655680" behindDoc="0" locked="0" layoutInCell="1" allowOverlap="1">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rsidR="0097276B" w:rsidRPr="00E11814" w:rsidRDefault="0097276B" w:rsidP="008120DE">
      <w:pPr>
        <w:pStyle w:val="NormalWeb"/>
        <w:spacing w:before="0" w:beforeAutospacing="0" w:after="0" w:afterAutospacing="0" w:line="240" w:lineRule="exact"/>
        <w:jc w:val="center"/>
        <w:rPr>
          <w:b/>
          <w:bCs/>
        </w:rPr>
      </w:pPr>
    </w:p>
    <w:p w:rsidR="0097276B" w:rsidRPr="00E11814" w:rsidRDefault="0097276B" w:rsidP="008120DE">
      <w:pPr>
        <w:pStyle w:val="NormalWeb"/>
        <w:spacing w:before="0" w:beforeAutospacing="0" w:after="0" w:afterAutospacing="0" w:line="240" w:lineRule="exact"/>
        <w:jc w:val="center"/>
        <w:rPr>
          <w:b/>
          <w:bCs/>
          <w:sz w:val="14"/>
          <w:szCs w:val="14"/>
        </w:rPr>
      </w:pPr>
    </w:p>
    <w:p w:rsidR="00FB67F2" w:rsidRPr="00E11814" w:rsidRDefault="00FB67F2" w:rsidP="008120DE">
      <w:pPr>
        <w:pStyle w:val="NormalWeb"/>
        <w:spacing w:before="0" w:beforeAutospacing="0" w:after="0" w:afterAutospacing="0" w:line="240" w:lineRule="exact"/>
        <w:jc w:val="center"/>
        <w:rPr>
          <w:b/>
          <w:bCs/>
          <w:sz w:val="14"/>
          <w:szCs w:val="14"/>
        </w:rPr>
      </w:pPr>
    </w:p>
    <w:p w:rsidR="000B6B77" w:rsidRDefault="000B6B77" w:rsidP="00E748F1">
      <w:pPr>
        <w:pStyle w:val="NormalWeb"/>
        <w:spacing w:before="0" w:beforeAutospacing="0" w:after="0" w:afterAutospacing="0" w:line="280" w:lineRule="exact"/>
        <w:jc w:val="center"/>
        <w:rPr>
          <w:b/>
          <w:bCs/>
          <w:sz w:val="30"/>
          <w:szCs w:val="30"/>
        </w:rPr>
      </w:pPr>
    </w:p>
    <w:p w:rsidR="0087330E" w:rsidRPr="00E11814" w:rsidRDefault="003C2E9B" w:rsidP="00E748F1">
      <w:pPr>
        <w:pStyle w:val="NormalWeb"/>
        <w:spacing w:before="0" w:beforeAutospacing="0" w:after="0" w:afterAutospacing="0" w:line="280" w:lineRule="exact"/>
        <w:jc w:val="center"/>
        <w:rPr>
          <w:b/>
          <w:bCs/>
          <w:sz w:val="30"/>
          <w:szCs w:val="30"/>
        </w:rPr>
      </w:pPr>
      <w:r>
        <w:rPr>
          <w:b/>
          <w:bCs/>
          <w:sz w:val="30"/>
          <w:szCs w:val="30"/>
        </w:rPr>
        <w:t>Note</w:t>
      </w:r>
      <w:r w:rsidR="00B22D0A" w:rsidRPr="00E11814">
        <w:rPr>
          <w:b/>
          <w:bCs/>
          <w:sz w:val="30"/>
          <w:szCs w:val="30"/>
        </w:rPr>
        <w:t xml:space="preserve"> de</w:t>
      </w:r>
      <w:r w:rsidR="0087330E" w:rsidRPr="00E11814">
        <w:rPr>
          <w:b/>
          <w:bCs/>
          <w:sz w:val="30"/>
          <w:szCs w:val="30"/>
        </w:rPr>
        <w:t xml:space="preserve"> conjoncture du </w:t>
      </w:r>
      <w:r>
        <w:rPr>
          <w:b/>
          <w:bCs/>
          <w:sz w:val="30"/>
          <w:szCs w:val="30"/>
        </w:rPr>
        <w:t xml:space="preserve">premier </w:t>
      </w:r>
      <w:r w:rsidR="0087330E" w:rsidRPr="00E11814">
        <w:rPr>
          <w:b/>
          <w:bCs/>
          <w:sz w:val="30"/>
          <w:szCs w:val="30"/>
        </w:rPr>
        <w:t>trimestre 202</w:t>
      </w:r>
      <w:r>
        <w:rPr>
          <w:b/>
          <w:bCs/>
          <w:sz w:val="30"/>
          <w:szCs w:val="30"/>
        </w:rPr>
        <w:t>4</w:t>
      </w:r>
    </w:p>
    <w:p w:rsidR="00C65BFF" w:rsidRPr="00E11814" w:rsidRDefault="0087330E" w:rsidP="00E748F1">
      <w:pPr>
        <w:pStyle w:val="NormalWeb"/>
        <w:spacing w:before="0" w:beforeAutospacing="0" w:after="0" w:afterAutospacing="0" w:line="280" w:lineRule="exact"/>
        <w:jc w:val="center"/>
        <w:rPr>
          <w:b/>
          <w:bCs/>
          <w:sz w:val="22"/>
          <w:szCs w:val="22"/>
        </w:rPr>
      </w:pPr>
      <w:r w:rsidRPr="00E11814">
        <w:rPr>
          <w:b/>
          <w:bCs/>
          <w:sz w:val="30"/>
          <w:szCs w:val="30"/>
        </w:rPr>
        <w:t xml:space="preserve">et perspectives pour le </w:t>
      </w:r>
      <w:r w:rsidR="003C2E9B">
        <w:rPr>
          <w:b/>
          <w:bCs/>
          <w:sz w:val="30"/>
          <w:szCs w:val="30"/>
        </w:rPr>
        <w:t xml:space="preserve">deuxième </w:t>
      </w:r>
      <w:r w:rsidR="00C35240" w:rsidRPr="00E11814">
        <w:rPr>
          <w:b/>
          <w:bCs/>
          <w:sz w:val="30"/>
          <w:szCs w:val="30"/>
        </w:rPr>
        <w:t xml:space="preserve">trimestre </w:t>
      </w:r>
    </w:p>
    <w:p w:rsidR="0097276B" w:rsidRPr="00E11814" w:rsidRDefault="0097276B" w:rsidP="008120DE">
      <w:pPr>
        <w:pStyle w:val="NormalWeb"/>
        <w:spacing w:before="0" w:beforeAutospacing="0" w:after="0" w:afterAutospacing="0" w:line="240" w:lineRule="exact"/>
        <w:jc w:val="center"/>
        <w:rPr>
          <w:b/>
          <w:bCs/>
          <w:sz w:val="22"/>
          <w:szCs w:val="22"/>
        </w:rPr>
      </w:pPr>
    </w:p>
    <w:p w:rsidR="008120DE" w:rsidRPr="00E11814" w:rsidRDefault="008120DE" w:rsidP="008120DE">
      <w:pPr>
        <w:spacing w:line="240" w:lineRule="exact"/>
        <w:jc w:val="both"/>
        <w:rPr>
          <w:rFonts w:asciiTheme="minorBidi" w:hAnsiTheme="minorBidi" w:cstheme="minorBidi"/>
          <w:sz w:val="20"/>
          <w:szCs w:val="20"/>
        </w:rPr>
      </w:pPr>
    </w:p>
    <w:p w:rsidR="003C2E9B" w:rsidRDefault="0036426E" w:rsidP="00E748F1">
      <w:pPr>
        <w:spacing w:before="240" w:line="240" w:lineRule="exact"/>
        <w:jc w:val="both"/>
        <w:rPr>
          <w:rFonts w:asciiTheme="minorBidi" w:hAnsiTheme="minorBidi" w:cstheme="minorBidi"/>
          <w:sz w:val="20"/>
          <w:szCs w:val="20"/>
        </w:rPr>
      </w:pPr>
      <w:r>
        <w:rPr>
          <w:rFonts w:asciiTheme="minorBidi" w:hAnsiTheme="minorBidi" w:cstheme="minorBidi"/>
          <w:sz w:val="20"/>
          <w:szCs w:val="20"/>
        </w:rPr>
        <w:t xml:space="preserve">L’économie nationale </w:t>
      </w:r>
      <w:r w:rsidR="006D5D7D">
        <w:rPr>
          <w:rFonts w:asciiTheme="minorBidi" w:hAnsiTheme="minorBidi" w:cstheme="minorBidi"/>
          <w:sz w:val="20"/>
          <w:szCs w:val="20"/>
        </w:rPr>
        <w:t>aurait progressé</w:t>
      </w:r>
      <w:r>
        <w:rPr>
          <w:rFonts w:asciiTheme="minorBidi" w:hAnsiTheme="minorBidi" w:cstheme="minorBidi"/>
          <w:sz w:val="20"/>
          <w:szCs w:val="20"/>
        </w:rPr>
        <w:t xml:space="preserve"> de 2,9</w:t>
      </w:r>
      <w:r w:rsidR="003C2E9B" w:rsidRPr="003C2E9B">
        <w:rPr>
          <w:rFonts w:asciiTheme="minorBidi" w:hAnsiTheme="minorBidi" w:cstheme="minorBidi"/>
          <w:sz w:val="20"/>
          <w:szCs w:val="20"/>
        </w:rPr>
        <w:t xml:space="preserve">% au premier trimestre 2024, </w:t>
      </w:r>
      <w:r>
        <w:rPr>
          <w:rFonts w:asciiTheme="minorBidi" w:hAnsiTheme="minorBidi" w:cstheme="minorBidi"/>
          <w:sz w:val="20"/>
          <w:szCs w:val="20"/>
        </w:rPr>
        <w:t>en variation annuelle</w:t>
      </w:r>
      <w:r w:rsidR="003C2E9B" w:rsidRPr="003C2E9B">
        <w:rPr>
          <w:rFonts w:asciiTheme="minorBidi" w:hAnsiTheme="minorBidi" w:cstheme="minorBidi"/>
          <w:sz w:val="20"/>
          <w:szCs w:val="20"/>
        </w:rPr>
        <w:t>. Malgré l’inflexion à la baisse de l</w:t>
      </w:r>
      <w:r w:rsidR="003978C5">
        <w:rPr>
          <w:rFonts w:asciiTheme="minorBidi" w:hAnsiTheme="minorBidi" w:cstheme="minorBidi"/>
          <w:sz w:val="20"/>
          <w:szCs w:val="20"/>
        </w:rPr>
        <w:t>a valeur ajoutée</w:t>
      </w:r>
      <w:r w:rsidR="003C2E9B" w:rsidRPr="003C2E9B">
        <w:rPr>
          <w:rFonts w:asciiTheme="minorBidi" w:hAnsiTheme="minorBidi" w:cstheme="minorBidi"/>
          <w:sz w:val="20"/>
          <w:szCs w:val="20"/>
        </w:rPr>
        <w:t xml:space="preserve"> agricole,</w:t>
      </w:r>
      <w:r w:rsidR="00C949FA">
        <w:rPr>
          <w:rFonts w:asciiTheme="minorBidi" w:hAnsiTheme="minorBidi" w:cstheme="minorBidi"/>
          <w:sz w:val="20"/>
          <w:szCs w:val="20"/>
        </w:rPr>
        <w:t xml:space="preserve"> l’activité </w:t>
      </w:r>
      <w:r w:rsidR="00FC442A">
        <w:rPr>
          <w:rFonts w:asciiTheme="minorBidi" w:hAnsiTheme="minorBidi" w:cstheme="minorBidi"/>
          <w:sz w:val="20"/>
          <w:szCs w:val="20"/>
        </w:rPr>
        <w:t xml:space="preserve">économique </w:t>
      </w:r>
      <w:r w:rsidR="00681481">
        <w:rPr>
          <w:rFonts w:asciiTheme="minorBidi" w:hAnsiTheme="minorBidi" w:cstheme="minorBidi"/>
          <w:sz w:val="20"/>
          <w:szCs w:val="20"/>
        </w:rPr>
        <w:t xml:space="preserve">aurait poursuivi son </w:t>
      </w:r>
      <w:r w:rsidR="006D5D7D">
        <w:rPr>
          <w:rFonts w:asciiTheme="minorBidi" w:hAnsiTheme="minorBidi" w:cstheme="minorBidi"/>
          <w:sz w:val="20"/>
          <w:szCs w:val="20"/>
        </w:rPr>
        <w:t>amélioration</w:t>
      </w:r>
      <w:r w:rsidR="00681481">
        <w:rPr>
          <w:rFonts w:asciiTheme="minorBidi" w:hAnsiTheme="minorBidi" w:cstheme="minorBidi"/>
          <w:sz w:val="20"/>
          <w:szCs w:val="20"/>
        </w:rPr>
        <w:t xml:space="preserve">, tirée principalement par </w:t>
      </w:r>
      <w:r>
        <w:rPr>
          <w:rFonts w:asciiTheme="minorBidi" w:hAnsiTheme="minorBidi" w:cstheme="minorBidi"/>
          <w:sz w:val="20"/>
          <w:szCs w:val="20"/>
        </w:rPr>
        <w:t>la dynamique</w:t>
      </w:r>
      <w:r w:rsidR="003C2E9B" w:rsidRPr="003C2E9B">
        <w:rPr>
          <w:rFonts w:asciiTheme="minorBidi" w:hAnsiTheme="minorBidi" w:cstheme="minorBidi"/>
          <w:sz w:val="20"/>
          <w:szCs w:val="20"/>
        </w:rPr>
        <w:t xml:space="preserve"> des branches secondaires et </w:t>
      </w:r>
      <w:r>
        <w:rPr>
          <w:rFonts w:asciiTheme="minorBidi" w:hAnsiTheme="minorBidi" w:cstheme="minorBidi"/>
          <w:sz w:val="20"/>
          <w:szCs w:val="20"/>
        </w:rPr>
        <w:t xml:space="preserve">par </w:t>
      </w:r>
      <w:r w:rsidR="00FC442A">
        <w:rPr>
          <w:rFonts w:asciiTheme="minorBidi" w:hAnsiTheme="minorBidi" w:cstheme="minorBidi"/>
          <w:sz w:val="20"/>
          <w:szCs w:val="20"/>
        </w:rPr>
        <w:t>l’affermissement</w:t>
      </w:r>
      <w:r w:rsidR="003C2E9B" w:rsidRPr="003C2E9B">
        <w:rPr>
          <w:rFonts w:asciiTheme="minorBidi" w:hAnsiTheme="minorBidi" w:cstheme="minorBidi"/>
          <w:sz w:val="20"/>
          <w:szCs w:val="20"/>
        </w:rPr>
        <w:t xml:space="preserve"> continu des services. Au deuxième trimestre 2024, </w:t>
      </w:r>
      <w:r w:rsidR="00FC442A">
        <w:rPr>
          <w:rFonts w:asciiTheme="minorBidi" w:hAnsiTheme="minorBidi" w:cstheme="minorBidi"/>
          <w:sz w:val="20"/>
          <w:szCs w:val="20"/>
        </w:rPr>
        <w:t xml:space="preserve">la </w:t>
      </w:r>
      <w:r w:rsidR="003C2E9B" w:rsidRPr="003C2E9B">
        <w:rPr>
          <w:rFonts w:asciiTheme="minorBidi" w:hAnsiTheme="minorBidi" w:cstheme="minorBidi"/>
          <w:sz w:val="20"/>
          <w:szCs w:val="20"/>
        </w:rPr>
        <w:t xml:space="preserve">croissance hors agriculture </w:t>
      </w:r>
      <w:r w:rsidR="005210FB">
        <w:rPr>
          <w:rFonts w:asciiTheme="minorBidi" w:hAnsiTheme="minorBidi" w:cstheme="minorBidi"/>
          <w:sz w:val="20"/>
          <w:szCs w:val="20"/>
        </w:rPr>
        <w:t>se maintiendrait</w:t>
      </w:r>
      <w:r w:rsidR="003C2E9B" w:rsidRPr="003C2E9B">
        <w:rPr>
          <w:rFonts w:asciiTheme="minorBidi" w:hAnsiTheme="minorBidi" w:cstheme="minorBidi"/>
          <w:sz w:val="20"/>
          <w:szCs w:val="20"/>
        </w:rPr>
        <w:t xml:space="preserve">, mais la poursuite du repli des activités agricoles ramènerait la croissance de l’économie nationale à </w:t>
      </w:r>
      <w:r>
        <w:rPr>
          <w:rFonts w:asciiTheme="minorBidi" w:hAnsiTheme="minorBidi" w:cstheme="minorBidi"/>
          <w:sz w:val="20"/>
          <w:szCs w:val="20"/>
        </w:rPr>
        <w:t>+</w:t>
      </w:r>
      <w:r w:rsidR="003C2E9B" w:rsidRPr="003C2E9B">
        <w:rPr>
          <w:rFonts w:asciiTheme="minorBidi" w:hAnsiTheme="minorBidi" w:cstheme="minorBidi"/>
          <w:sz w:val="20"/>
          <w:szCs w:val="20"/>
        </w:rPr>
        <w:t>2,</w:t>
      </w:r>
      <w:r>
        <w:rPr>
          <w:rFonts w:asciiTheme="minorBidi" w:hAnsiTheme="minorBidi" w:cstheme="minorBidi"/>
          <w:sz w:val="20"/>
          <w:szCs w:val="20"/>
        </w:rPr>
        <w:t>7</w:t>
      </w:r>
      <w:r w:rsidR="003C2E9B" w:rsidRPr="003C2E9B">
        <w:rPr>
          <w:rFonts w:asciiTheme="minorBidi" w:hAnsiTheme="minorBidi" w:cstheme="minorBidi"/>
          <w:sz w:val="20"/>
          <w:szCs w:val="20"/>
        </w:rPr>
        <w:t>%, en rythme annuel.</w:t>
      </w:r>
    </w:p>
    <w:p w:rsidR="0004242A" w:rsidRDefault="0004242A" w:rsidP="002460BB">
      <w:pPr>
        <w:spacing w:before="240"/>
        <w:jc w:val="both"/>
        <w:rPr>
          <w:rFonts w:asciiTheme="minorBidi" w:hAnsiTheme="minorBidi" w:cstheme="minorBidi"/>
          <w:b/>
          <w:bCs/>
          <w:color w:val="C00000"/>
          <w:kern w:val="28"/>
          <w:sz w:val="20"/>
          <w:szCs w:val="20"/>
        </w:rPr>
      </w:pPr>
      <w:r>
        <w:rPr>
          <w:rFonts w:asciiTheme="minorBidi" w:hAnsiTheme="minorBidi" w:cstheme="minorBidi"/>
          <w:b/>
          <w:bCs/>
          <w:color w:val="C00000"/>
          <w:kern w:val="28"/>
          <w:sz w:val="20"/>
          <w:szCs w:val="20"/>
        </w:rPr>
        <w:t>P</w:t>
      </w:r>
      <w:r w:rsidRPr="0004242A">
        <w:rPr>
          <w:rFonts w:asciiTheme="minorBidi" w:hAnsiTheme="minorBidi" w:cstheme="minorBidi"/>
          <w:b/>
          <w:bCs/>
          <w:color w:val="C00000"/>
          <w:kern w:val="28"/>
          <w:sz w:val="20"/>
          <w:szCs w:val="20"/>
        </w:rPr>
        <w:t>oursuite de la phase de modération de la croissance économique mondiale</w:t>
      </w:r>
      <w:r w:rsidR="007E6ED6">
        <w:rPr>
          <w:rFonts w:asciiTheme="minorBidi" w:hAnsiTheme="minorBidi" w:cstheme="minorBidi"/>
          <w:b/>
          <w:bCs/>
          <w:color w:val="C00000"/>
          <w:kern w:val="28"/>
          <w:sz w:val="20"/>
          <w:szCs w:val="20"/>
        </w:rPr>
        <w:t xml:space="preserve"> au début de 2024</w:t>
      </w:r>
    </w:p>
    <w:p w:rsidR="003C2E9B" w:rsidRPr="003C2E9B" w:rsidRDefault="003C2E9B" w:rsidP="00036A4D">
      <w:pPr>
        <w:spacing w:before="240"/>
        <w:jc w:val="both"/>
        <w:rPr>
          <w:rFonts w:asciiTheme="minorBidi" w:hAnsiTheme="minorBidi" w:cstheme="minorBidi"/>
          <w:sz w:val="20"/>
          <w:szCs w:val="20"/>
        </w:rPr>
      </w:pPr>
      <w:r w:rsidRPr="003C2E9B">
        <w:rPr>
          <w:rFonts w:asciiTheme="minorBidi" w:hAnsiTheme="minorBidi" w:cstheme="minorBidi"/>
          <w:sz w:val="20"/>
          <w:szCs w:val="20"/>
        </w:rPr>
        <w:t xml:space="preserve">L’activité économique mondiale </w:t>
      </w:r>
      <w:r w:rsidR="007179EA">
        <w:rPr>
          <w:rFonts w:asciiTheme="minorBidi" w:hAnsiTheme="minorBidi" w:cstheme="minorBidi"/>
          <w:sz w:val="20"/>
          <w:szCs w:val="20"/>
        </w:rPr>
        <w:t xml:space="preserve">aurait </w:t>
      </w:r>
      <w:r w:rsidR="009F2EB5">
        <w:rPr>
          <w:rFonts w:asciiTheme="minorBidi" w:hAnsiTheme="minorBidi" w:cstheme="minorBidi"/>
          <w:sz w:val="20"/>
          <w:szCs w:val="20"/>
        </w:rPr>
        <w:t>été marquée</w:t>
      </w:r>
      <w:r w:rsidR="00036A4D">
        <w:rPr>
          <w:rFonts w:asciiTheme="minorBidi" w:hAnsiTheme="minorBidi" w:cstheme="minorBidi"/>
          <w:sz w:val="20"/>
          <w:szCs w:val="20"/>
        </w:rPr>
        <w:t xml:space="preserve"> au début de 2024</w:t>
      </w:r>
      <w:r w:rsidR="009F2EB5">
        <w:rPr>
          <w:rFonts w:asciiTheme="minorBidi" w:hAnsiTheme="minorBidi" w:cstheme="minorBidi"/>
          <w:sz w:val="20"/>
          <w:szCs w:val="20"/>
        </w:rPr>
        <w:t xml:space="preserve"> par </w:t>
      </w:r>
      <w:r w:rsidR="00036A4D">
        <w:rPr>
          <w:rFonts w:asciiTheme="minorBidi" w:hAnsiTheme="minorBidi" w:cstheme="minorBidi"/>
          <w:sz w:val="20"/>
          <w:szCs w:val="20"/>
        </w:rPr>
        <w:t>une grande disparité</w:t>
      </w:r>
      <w:r w:rsidR="009F2EB5">
        <w:rPr>
          <w:rFonts w:asciiTheme="minorBidi" w:hAnsiTheme="minorBidi" w:cstheme="minorBidi"/>
          <w:sz w:val="20"/>
          <w:szCs w:val="20"/>
        </w:rPr>
        <w:t xml:space="preserve"> de croissance entre les différentes zones.</w:t>
      </w:r>
      <w:r w:rsidRPr="003C2E9B">
        <w:rPr>
          <w:rFonts w:asciiTheme="minorBidi" w:hAnsiTheme="minorBidi" w:cstheme="minorBidi"/>
          <w:sz w:val="20"/>
          <w:szCs w:val="20"/>
        </w:rPr>
        <w:t xml:space="preserve"> Aux États-Unis, l'activité économique aurait enregistré </w:t>
      </w:r>
      <w:r w:rsidRPr="007179EA">
        <w:rPr>
          <w:rFonts w:asciiTheme="minorBidi" w:hAnsiTheme="minorBidi" w:cstheme="minorBidi"/>
          <w:sz w:val="20"/>
          <w:szCs w:val="20"/>
        </w:rPr>
        <w:t>une progression</w:t>
      </w:r>
      <w:r w:rsidRPr="003C2E9B">
        <w:rPr>
          <w:rFonts w:asciiTheme="minorBidi" w:hAnsiTheme="minorBidi" w:cstheme="minorBidi"/>
          <w:sz w:val="20"/>
          <w:szCs w:val="20"/>
        </w:rPr>
        <w:t xml:space="preserve"> de 2,8% en variation annuelle, </w:t>
      </w:r>
      <w:r w:rsidR="007179EA">
        <w:rPr>
          <w:rFonts w:asciiTheme="minorBidi" w:hAnsiTheme="minorBidi" w:cstheme="minorBidi"/>
          <w:sz w:val="20"/>
          <w:szCs w:val="20"/>
        </w:rPr>
        <w:t xml:space="preserve">légèrement inférieure à celle </w:t>
      </w:r>
      <w:r w:rsidR="002460BB">
        <w:rPr>
          <w:rFonts w:asciiTheme="minorBidi" w:hAnsiTheme="minorBidi" w:cstheme="minorBidi"/>
          <w:sz w:val="20"/>
          <w:szCs w:val="20"/>
        </w:rPr>
        <w:t xml:space="preserve">du </w:t>
      </w:r>
      <w:r w:rsidRPr="003C2E9B">
        <w:rPr>
          <w:rFonts w:asciiTheme="minorBidi" w:hAnsiTheme="minorBidi" w:cstheme="minorBidi"/>
          <w:sz w:val="20"/>
          <w:szCs w:val="20"/>
        </w:rPr>
        <w:t>quatrième trimestre 2023</w:t>
      </w:r>
      <w:r w:rsidR="005065A3">
        <w:rPr>
          <w:rFonts w:asciiTheme="minorBidi" w:hAnsiTheme="minorBidi" w:cstheme="minorBidi"/>
          <w:sz w:val="20"/>
          <w:szCs w:val="20"/>
        </w:rPr>
        <w:t>,</w:t>
      </w:r>
      <w:r w:rsidRPr="003C2E9B">
        <w:rPr>
          <w:rFonts w:asciiTheme="minorBidi" w:hAnsiTheme="minorBidi" w:cstheme="minorBidi"/>
          <w:sz w:val="20"/>
          <w:szCs w:val="20"/>
        </w:rPr>
        <w:t xml:space="preserve"> attribuable </w:t>
      </w:r>
      <w:r w:rsidR="005065A3">
        <w:rPr>
          <w:rFonts w:asciiTheme="minorBidi" w:hAnsiTheme="minorBidi" w:cstheme="minorBidi"/>
          <w:sz w:val="20"/>
          <w:szCs w:val="20"/>
        </w:rPr>
        <w:t xml:space="preserve">notamment </w:t>
      </w:r>
      <w:r w:rsidR="007179EA">
        <w:rPr>
          <w:rFonts w:asciiTheme="minorBidi" w:hAnsiTheme="minorBidi" w:cstheme="minorBidi"/>
          <w:sz w:val="20"/>
          <w:szCs w:val="20"/>
        </w:rPr>
        <w:t>au ralentissement de la consommation privée</w:t>
      </w:r>
      <w:r w:rsidRPr="003C2E9B">
        <w:rPr>
          <w:rFonts w:asciiTheme="minorBidi" w:hAnsiTheme="minorBidi" w:cstheme="minorBidi"/>
          <w:sz w:val="20"/>
          <w:szCs w:val="20"/>
        </w:rPr>
        <w:t xml:space="preserve"> </w:t>
      </w:r>
      <w:r w:rsidR="00476D92">
        <w:rPr>
          <w:rFonts w:asciiTheme="minorBidi" w:hAnsiTheme="minorBidi" w:cstheme="minorBidi"/>
          <w:sz w:val="20"/>
          <w:szCs w:val="20"/>
        </w:rPr>
        <w:t>et au tassement</w:t>
      </w:r>
      <w:r w:rsidRPr="003C2E9B">
        <w:rPr>
          <w:rFonts w:asciiTheme="minorBidi" w:hAnsiTheme="minorBidi" w:cstheme="minorBidi"/>
          <w:sz w:val="20"/>
          <w:szCs w:val="20"/>
        </w:rPr>
        <w:t xml:space="preserve"> des investissements</w:t>
      </w:r>
      <w:r w:rsidR="005065A3">
        <w:rPr>
          <w:rFonts w:asciiTheme="minorBidi" w:hAnsiTheme="minorBidi" w:cstheme="minorBidi"/>
          <w:sz w:val="20"/>
          <w:szCs w:val="20"/>
        </w:rPr>
        <w:t xml:space="preserve"> </w:t>
      </w:r>
      <w:r w:rsidRPr="003C2E9B">
        <w:rPr>
          <w:rFonts w:asciiTheme="minorBidi" w:hAnsiTheme="minorBidi" w:cstheme="minorBidi"/>
          <w:sz w:val="20"/>
          <w:szCs w:val="20"/>
        </w:rPr>
        <w:t xml:space="preserve">dans le secteur résidentiel. En zone euro, la croissance se serait établie à </w:t>
      </w:r>
      <w:r w:rsidR="009B6487" w:rsidRPr="002460BB">
        <w:rPr>
          <w:rFonts w:asciiTheme="minorBidi" w:hAnsiTheme="minorBidi" w:cstheme="minorBidi"/>
          <w:sz w:val="20"/>
          <w:szCs w:val="20"/>
        </w:rPr>
        <w:t>+</w:t>
      </w:r>
      <w:r w:rsidRPr="002460BB">
        <w:rPr>
          <w:rFonts w:asciiTheme="minorBidi" w:hAnsiTheme="minorBidi" w:cstheme="minorBidi"/>
          <w:sz w:val="20"/>
          <w:szCs w:val="20"/>
        </w:rPr>
        <w:t xml:space="preserve">0,3% en variation annuelle, après </w:t>
      </w:r>
      <w:r w:rsidR="009B6487" w:rsidRPr="002460BB">
        <w:rPr>
          <w:rFonts w:asciiTheme="minorBidi" w:hAnsiTheme="minorBidi" w:cstheme="minorBidi"/>
          <w:sz w:val="20"/>
          <w:szCs w:val="20"/>
        </w:rPr>
        <w:t>+</w:t>
      </w:r>
      <w:r w:rsidRPr="002460BB">
        <w:rPr>
          <w:rFonts w:asciiTheme="minorBidi" w:hAnsiTheme="minorBidi" w:cstheme="minorBidi"/>
          <w:sz w:val="20"/>
          <w:szCs w:val="20"/>
        </w:rPr>
        <w:t>0,7%</w:t>
      </w:r>
      <w:r w:rsidR="000B6B77">
        <w:rPr>
          <w:rFonts w:asciiTheme="minorBidi" w:hAnsiTheme="minorBidi" w:cstheme="minorBidi"/>
          <w:sz w:val="20"/>
          <w:szCs w:val="20"/>
        </w:rPr>
        <w:t xml:space="preserve"> au </w:t>
      </w:r>
      <w:r w:rsidRPr="003C2E9B">
        <w:rPr>
          <w:rFonts w:asciiTheme="minorBidi" w:hAnsiTheme="minorBidi" w:cstheme="minorBidi"/>
          <w:sz w:val="20"/>
          <w:szCs w:val="20"/>
        </w:rPr>
        <w:t xml:space="preserve">trimestre passé, </w:t>
      </w:r>
      <w:r w:rsidR="00476D92">
        <w:rPr>
          <w:rFonts w:asciiTheme="minorBidi" w:hAnsiTheme="minorBidi" w:cstheme="minorBidi"/>
          <w:sz w:val="20"/>
          <w:szCs w:val="20"/>
        </w:rPr>
        <w:t>traduisant</w:t>
      </w:r>
      <w:r w:rsidRPr="003C2E9B">
        <w:rPr>
          <w:rFonts w:asciiTheme="minorBidi" w:hAnsiTheme="minorBidi" w:cstheme="minorBidi"/>
          <w:sz w:val="20"/>
          <w:szCs w:val="20"/>
        </w:rPr>
        <w:t xml:space="preserve"> un décalage de conjoncture persistant entre les économies de la ré</w:t>
      </w:r>
      <w:r w:rsidR="000A447D">
        <w:rPr>
          <w:rFonts w:asciiTheme="minorBidi" w:hAnsiTheme="minorBidi" w:cstheme="minorBidi"/>
          <w:sz w:val="20"/>
          <w:szCs w:val="20"/>
        </w:rPr>
        <w:t>gion. Si l'Espagne et l'Italie devaient continuer</w:t>
      </w:r>
      <w:r w:rsidRPr="003C2E9B">
        <w:rPr>
          <w:rFonts w:asciiTheme="minorBidi" w:hAnsiTheme="minorBidi" w:cstheme="minorBidi"/>
          <w:sz w:val="20"/>
          <w:szCs w:val="20"/>
        </w:rPr>
        <w:t xml:space="preserve"> de bénéficier de leur dynamique de rattrapage grâce aux programmes </w:t>
      </w:r>
      <w:r w:rsidR="00476D92" w:rsidRPr="003C2E9B">
        <w:rPr>
          <w:rFonts w:asciiTheme="minorBidi" w:hAnsiTheme="minorBidi" w:cstheme="minorBidi"/>
          <w:sz w:val="20"/>
          <w:szCs w:val="20"/>
        </w:rPr>
        <w:t xml:space="preserve">budgétaires </w:t>
      </w:r>
      <w:r w:rsidRPr="003C2E9B">
        <w:rPr>
          <w:rFonts w:asciiTheme="minorBidi" w:hAnsiTheme="minorBidi" w:cstheme="minorBidi"/>
          <w:sz w:val="20"/>
          <w:szCs w:val="20"/>
        </w:rPr>
        <w:t xml:space="preserve">de relance, l’activité en </w:t>
      </w:r>
      <w:r w:rsidR="00476D92">
        <w:rPr>
          <w:rFonts w:asciiTheme="minorBidi" w:hAnsiTheme="minorBidi" w:cstheme="minorBidi"/>
          <w:sz w:val="20"/>
          <w:szCs w:val="20"/>
        </w:rPr>
        <w:t>France et en Allemagne</w:t>
      </w:r>
      <w:r w:rsidRPr="003C2E9B">
        <w:rPr>
          <w:rFonts w:asciiTheme="minorBidi" w:hAnsiTheme="minorBidi" w:cstheme="minorBidi"/>
          <w:sz w:val="20"/>
          <w:szCs w:val="20"/>
        </w:rPr>
        <w:t xml:space="preserve"> aurait été entravée par les faibles performances de la production industrielle et par </w:t>
      </w:r>
      <w:r w:rsidR="00476D92">
        <w:rPr>
          <w:rFonts w:asciiTheme="minorBidi" w:hAnsiTheme="minorBidi" w:cstheme="minorBidi"/>
          <w:sz w:val="20"/>
          <w:szCs w:val="20"/>
        </w:rPr>
        <w:t>l’essoufflement</w:t>
      </w:r>
      <w:r w:rsidRPr="003C2E9B">
        <w:rPr>
          <w:rFonts w:asciiTheme="minorBidi" w:hAnsiTheme="minorBidi" w:cstheme="minorBidi"/>
          <w:sz w:val="20"/>
          <w:szCs w:val="20"/>
        </w:rPr>
        <w:t xml:space="preserve"> des investissements en logement.</w:t>
      </w:r>
    </w:p>
    <w:p w:rsidR="003C2E9B" w:rsidRPr="003C2E9B" w:rsidRDefault="000A447D" w:rsidP="00036A4D">
      <w:pPr>
        <w:spacing w:before="240"/>
        <w:jc w:val="both"/>
        <w:rPr>
          <w:rFonts w:asciiTheme="minorBidi" w:hAnsiTheme="minorBidi" w:cstheme="minorBidi"/>
          <w:sz w:val="20"/>
          <w:szCs w:val="20"/>
        </w:rPr>
      </w:pPr>
      <w:r>
        <w:rPr>
          <w:rFonts w:asciiTheme="minorBidi" w:hAnsiTheme="minorBidi" w:cstheme="minorBidi"/>
          <w:sz w:val="20"/>
          <w:szCs w:val="20"/>
        </w:rPr>
        <w:t xml:space="preserve">Des disparités de croissance auraient été, également, enregistrées au niveau des </w:t>
      </w:r>
      <w:r w:rsidR="00036A4D">
        <w:rPr>
          <w:rFonts w:asciiTheme="minorBidi" w:hAnsiTheme="minorBidi" w:cstheme="minorBidi"/>
          <w:sz w:val="20"/>
          <w:szCs w:val="20"/>
        </w:rPr>
        <w:t>pays émergent</w:t>
      </w:r>
      <w:r>
        <w:rPr>
          <w:rFonts w:asciiTheme="minorBidi" w:hAnsiTheme="minorBidi" w:cstheme="minorBidi"/>
          <w:sz w:val="20"/>
          <w:szCs w:val="20"/>
        </w:rPr>
        <w:t>s.</w:t>
      </w:r>
      <w:r w:rsidR="003C2E9B" w:rsidRPr="003C2E9B">
        <w:rPr>
          <w:rFonts w:asciiTheme="minorBidi" w:hAnsiTheme="minorBidi" w:cstheme="minorBidi"/>
          <w:sz w:val="20"/>
          <w:szCs w:val="20"/>
        </w:rPr>
        <w:t xml:space="preserve"> </w:t>
      </w:r>
      <w:r w:rsidR="00036A4D">
        <w:rPr>
          <w:rFonts w:asciiTheme="minorBidi" w:hAnsiTheme="minorBidi" w:cstheme="minorBidi"/>
          <w:sz w:val="20"/>
          <w:szCs w:val="20"/>
        </w:rPr>
        <w:t xml:space="preserve">Les </w:t>
      </w:r>
      <w:r w:rsidR="004C5CEF">
        <w:rPr>
          <w:rFonts w:asciiTheme="minorBidi" w:hAnsiTheme="minorBidi" w:cstheme="minorBidi"/>
          <w:sz w:val="20"/>
          <w:szCs w:val="20"/>
        </w:rPr>
        <w:t>économies</w:t>
      </w:r>
      <w:r w:rsidR="002460BB">
        <w:rPr>
          <w:rFonts w:asciiTheme="minorBidi" w:hAnsiTheme="minorBidi" w:cstheme="minorBidi"/>
          <w:sz w:val="20"/>
          <w:szCs w:val="20"/>
        </w:rPr>
        <w:t xml:space="preserve"> de </w:t>
      </w:r>
      <w:r w:rsidR="003C2E9B" w:rsidRPr="002460BB">
        <w:rPr>
          <w:rFonts w:asciiTheme="minorBidi" w:hAnsiTheme="minorBidi" w:cstheme="minorBidi"/>
          <w:sz w:val="20"/>
          <w:szCs w:val="20"/>
        </w:rPr>
        <w:t xml:space="preserve">l’Asie </w:t>
      </w:r>
      <w:r w:rsidR="00451FC0" w:rsidRPr="002460BB">
        <w:rPr>
          <w:rFonts w:asciiTheme="minorBidi" w:hAnsiTheme="minorBidi" w:cstheme="minorBidi"/>
          <w:sz w:val="20"/>
          <w:szCs w:val="20"/>
        </w:rPr>
        <w:t>du sud</w:t>
      </w:r>
      <w:r w:rsidR="00476D92" w:rsidRPr="002460BB">
        <w:rPr>
          <w:rFonts w:asciiTheme="minorBidi" w:hAnsiTheme="minorBidi" w:cstheme="minorBidi"/>
          <w:sz w:val="20"/>
          <w:szCs w:val="20"/>
        </w:rPr>
        <w:t xml:space="preserve"> </w:t>
      </w:r>
      <w:r w:rsidR="003C2E9B" w:rsidRPr="002460BB">
        <w:rPr>
          <w:rFonts w:asciiTheme="minorBidi" w:hAnsiTheme="minorBidi" w:cstheme="minorBidi"/>
          <w:sz w:val="20"/>
          <w:szCs w:val="20"/>
        </w:rPr>
        <w:t>et</w:t>
      </w:r>
      <w:r w:rsidR="003C2E9B" w:rsidRPr="003C2E9B">
        <w:rPr>
          <w:rFonts w:asciiTheme="minorBidi" w:hAnsiTheme="minorBidi" w:cstheme="minorBidi"/>
          <w:sz w:val="20"/>
          <w:szCs w:val="20"/>
        </w:rPr>
        <w:t xml:space="preserve"> </w:t>
      </w:r>
      <w:r w:rsidR="00036A4D">
        <w:rPr>
          <w:rFonts w:asciiTheme="minorBidi" w:hAnsiTheme="minorBidi" w:cstheme="minorBidi"/>
          <w:sz w:val="20"/>
          <w:szCs w:val="20"/>
        </w:rPr>
        <w:t>celles</w:t>
      </w:r>
      <w:r>
        <w:rPr>
          <w:rFonts w:asciiTheme="minorBidi" w:hAnsiTheme="minorBidi" w:cstheme="minorBidi"/>
          <w:sz w:val="20"/>
          <w:szCs w:val="20"/>
        </w:rPr>
        <w:t xml:space="preserve"> du</w:t>
      </w:r>
      <w:r w:rsidR="003C2E9B" w:rsidRPr="003C2E9B">
        <w:rPr>
          <w:rFonts w:asciiTheme="minorBidi" w:hAnsiTheme="minorBidi" w:cstheme="minorBidi"/>
          <w:sz w:val="20"/>
          <w:szCs w:val="20"/>
        </w:rPr>
        <w:t xml:space="preserve"> </w:t>
      </w:r>
      <w:r w:rsidR="00016B00">
        <w:rPr>
          <w:rFonts w:asciiTheme="minorBidi" w:hAnsiTheme="minorBidi" w:cstheme="minorBidi"/>
          <w:sz w:val="20"/>
          <w:szCs w:val="20"/>
        </w:rPr>
        <w:t>Moyen</w:t>
      </w:r>
      <w:r w:rsidR="00BA7EF4">
        <w:rPr>
          <w:rFonts w:asciiTheme="minorBidi" w:hAnsiTheme="minorBidi" w:cstheme="minorBidi"/>
          <w:sz w:val="20"/>
          <w:szCs w:val="20"/>
        </w:rPr>
        <w:t>-</w:t>
      </w:r>
      <w:r w:rsidR="003C2E9B" w:rsidRPr="003C2E9B">
        <w:rPr>
          <w:rFonts w:asciiTheme="minorBidi" w:hAnsiTheme="minorBidi" w:cstheme="minorBidi"/>
          <w:sz w:val="20"/>
          <w:szCs w:val="20"/>
        </w:rPr>
        <w:t>Orient</w:t>
      </w:r>
      <w:r>
        <w:rPr>
          <w:rFonts w:asciiTheme="minorBidi" w:hAnsiTheme="minorBidi" w:cstheme="minorBidi"/>
          <w:sz w:val="20"/>
          <w:szCs w:val="20"/>
        </w:rPr>
        <w:t xml:space="preserve"> aurai</w:t>
      </w:r>
      <w:r w:rsidR="00036A4D">
        <w:rPr>
          <w:rFonts w:asciiTheme="minorBidi" w:hAnsiTheme="minorBidi" w:cstheme="minorBidi"/>
          <w:sz w:val="20"/>
          <w:szCs w:val="20"/>
        </w:rPr>
        <w:t>ent été les</w:t>
      </w:r>
      <w:r>
        <w:rPr>
          <w:rFonts w:asciiTheme="minorBidi" w:hAnsiTheme="minorBidi" w:cstheme="minorBidi"/>
          <w:sz w:val="20"/>
          <w:szCs w:val="20"/>
        </w:rPr>
        <w:t xml:space="preserve"> plus dynamique</w:t>
      </w:r>
      <w:r w:rsidR="00036A4D">
        <w:rPr>
          <w:rFonts w:asciiTheme="minorBidi" w:hAnsiTheme="minorBidi" w:cstheme="minorBidi"/>
          <w:sz w:val="20"/>
          <w:szCs w:val="20"/>
        </w:rPr>
        <w:t>s</w:t>
      </w:r>
      <w:r w:rsidR="003C2E9B" w:rsidRPr="003C2E9B">
        <w:rPr>
          <w:rFonts w:asciiTheme="minorBidi" w:hAnsiTheme="minorBidi" w:cstheme="minorBidi"/>
          <w:sz w:val="20"/>
          <w:szCs w:val="20"/>
        </w:rPr>
        <w:t xml:space="preserve">. </w:t>
      </w:r>
      <w:r w:rsidR="00476D92">
        <w:rPr>
          <w:rFonts w:asciiTheme="minorBidi" w:hAnsiTheme="minorBidi" w:cstheme="minorBidi"/>
          <w:sz w:val="20"/>
          <w:szCs w:val="20"/>
        </w:rPr>
        <w:t>En Inde</w:t>
      </w:r>
      <w:r w:rsidR="003C2E9B" w:rsidRPr="003C2E9B">
        <w:rPr>
          <w:rFonts w:asciiTheme="minorBidi" w:hAnsiTheme="minorBidi" w:cstheme="minorBidi"/>
          <w:sz w:val="20"/>
          <w:szCs w:val="20"/>
        </w:rPr>
        <w:t xml:space="preserve">, </w:t>
      </w:r>
      <w:r w:rsidR="00476D92">
        <w:rPr>
          <w:rFonts w:asciiTheme="minorBidi" w:hAnsiTheme="minorBidi" w:cstheme="minorBidi"/>
          <w:sz w:val="20"/>
          <w:szCs w:val="20"/>
        </w:rPr>
        <w:t>l</w:t>
      </w:r>
      <w:r w:rsidR="003C2E9B" w:rsidRPr="003C2E9B">
        <w:rPr>
          <w:rFonts w:asciiTheme="minorBidi" w:hAnsiTheme="minorBidi" w:cstheme="minorBidi"/>
          <w:sz w:val="20"/>
          <w:szCs w:val="20"/>
        </w:rPr>
        <w:t xml:space="preserve">a croissance </w:t>
      </w:r>
      <w:r w:rsidR="00476D92">
        <w:rPr>
          <w:rFonts w:asciiTheme="minorBidi" w:hAnsiTheme="minorBidi" w:cstheme="minorBidi"/>
          <w:sz w:val="20"/>
          <w:szCs w:val="20"/>
        </w:rPr>
        <w:t>serait restée soutenue</w:t>
      </w:r>
      <w:r w:rsidR="003C2E9B" w:rsidRPr="003C2E9B">
        <w:rPr>
          <w:rFonts w:asciiTheme="minorBidi" w:hAnsiTheme="minorBidi" w:cstheme="minorBidi"/>
          <w:sz w:val="20"/>
          <w:szCs w:val="20"/>
        </w:rPr>
        <w:t xml:space="preserve">, </w:t>
      </w:r>
      <w:r w:rsidR="00476D92">
        <w:rPr>
          <w:rFonts w:asciiTheme="minorBidi" w:hAnsiTheme="minorBidi" w:cstheme="minorBidi"/>
          <w:sz w:val="20"/>
          <w:szCs w:val="20"/>
        </w:rPr>
        <w:t>grâce à</w:t>
      </w:r>
      <w:r w:rsidR="003C2E9B" w:rsidRPr="003C2E9B">
        <w:rPr>
          <w:rFonts w:asciiTheme="minorBidi" w:hAnsiTheme="minorBidi" w:cstheme="minorBidi"/>
          <w:sz w:val="20"/>
          <w:szCs w:val="20"/>
        </w:rPr>
        <w:t xml:space="preserve"> d’importants programme</w:t>
      </w:r>
      <w:r w:rsidR="002460BB">
        <w:rPr>
          <w:rFonts w:asciiTheme="minorBidi" w:hAnsiTheme="minorBidi" w:cstheme="minorBidi"/>
          <w:sz w:val="20"/>
          <w:szCs w:val="20"/>
        </w:rPr>
        <w:t>s</w:t>
      </w:r>
      <w:r w:rsidR="003C2E9B" w:rsidRPr="003C2E9B">
        <w:rPr>
          <w:rFonts w:asciiTheme="minorBidi" w:hAnsiTheme="minorBidi" w:cstheme="minorBidi"/>
          <w:sz w:val="20"/>
          <w:szCs w:val="20"/>
        </w:rPr>
        <w:t xml:space="preserve"> d’investissements publics </w:t>
      </w:r>
      <w:r w:rsidR="00476D92">
        <w:rPr>
          <w:rFonts w:asciiTheme="minorBidi" w:hAnsiTheme="minorBidi" w:cstheme="minorBidi"/>
          <w:sz w:val="20"/>
          <w:szCs w:val="20"/>
        </w:rPr>
        <w:t xml:space="preserve">orientés vers les </w:t>
      </w:r>
      <w:r w:rsidR="003C2E9B" w:rsidRPr="003C2E9B">
        <w:rPr>
          <w:rFonts w:asciiTheme="minorBidi" w:hAnsiTheme="minorBidi" w:cstheme="minorBidi"/>
          <w:sz w:val="20"/>
          <w:szCs w:val="20"/>
        </w:rPr>
        <w:t>infrastructures. En Asie émergente hors Chine, les économies auraient bénéficié de la reprise du cycle des semi-conducteurs</w:t>
      </w:r>
      <w:r w:rsidR="007D40B3">
        <w:rPr>
          <w:rFonts w:asciiTheme="minorBidi" w:hAnsiTheme="minorBidi" w:cstheme="minorBidi"/>
          <w:sz w:val="20"/>
          <w:szCs w:val="20"/>
        </w:rPr>
        <w:t xml:space="preserve">, alors qu’en Chine, l’activité aurait été </w:t>
      </w:r>
      <w:r>
        <w:rPr>
          <w:rFonts w:asciiTheme="minorBidi" w:hAnsiTheme="minorBidi" w:cstheme="minorBidi"/>
          <w:sz w:val="20"/>
          <w:szCs w:val="20"/>
        </w:rPr>
        <w:t>confrontée à des problèmes</w:t>
      </w:r>
      <w:r w:rsidR="00036A4D">
        <w:rPr>
          <w:rFonts w:asciiTheme="minorBidi" w:hAnsiTheme="minorBidi" w:cstheme="minorBidi"/>
          <w:sz w:val="20"/>
          <w:szCs w:val="20"/>
        </w:rPr>
        <w:t xml:space="preserve"> de gestion financière et</w:t>
      </w:r>
      <w:r w:rsidR="003C2E9B" w:rsidRPr="003C2E9B">
        <w:rPr>
          <w:rFonts w:asciiTheme="minorBidi" w:hAnsiTheme="minorBidi" w:cstheme="minorBidi"/>
          <w:sz w:val="20"/>
          <w:szCs w:val="20"/>
        </w:rPr>
        <w:t xml:space="preserve"> </w:t>
      </w:r>
      <w:r>
        <w:rPr>
          <w:rFonts w:asciiTheme="minorBidi" w:hAnsiTheme="minorBidi" w:cstheme="minorBidi"/>
          <w:sz w:val="20"/>
          <w:szCs w:val="20"/>
        </w:rPr>
        <w:t>d’</w:t>
      </w:r>
      <w:r w:rsidR="003C2E9B" w:rsidRPr="003C2E9B">
        <w:rPr>
          <w:rFonts w:asciiTheme="minorBidi" w:hAnsiTheme="minorBidi" w:cstheme="minorBidi"/>
          <w:sz w:val="20"/>
          <w:szCs w:val="20"/>
        </w:rPr>
        <w:t xml:space="preserve">endettement </w:t>
      </w:r>
      <w:r>
        <w:rPr>
          <w:rFonts w:asciiTheme="minorBidi" w:hAnsiTheme="minorBidi" w:cstheme="minorBidi"/>
          <w:sz w:val="20"/>
          <w:szCs w:val="20"/>
        </w:rPr>
        <w:t>des</w:t>
      </w:r>
      <w:r w:rsidR="00036A4D">
        <w:rPr>
          <w:rFonts w:asciiTheme="minorBidi" w:hAnsiTheme="minorBidi" w:cstheme="minorBidi"/>
          <w:sz w:val="20"/>
          <w:szCs w:val="20"/>
        </w:rPr>
        <w:t xml:space="preserve"> ménages et des</w:t>
      </w:r>
      <w:r>
        <w:rPr>
          <w:rFonts w:asciiTheme="minorBidi" w:hAnsiTheme="minorBidi" w:cstheme="minorBidi"/>
          <w:sz w:val="20"/>
          <w:szCs w:val="20"/>
        </w:rPr>
        <w:t xml:space="preserve"> institutions</w:t>
      </w:r>
      <w:r w:rsidR="00DE12B5">
        <w:rPr>
          <w:rFonts w:asciiTheme="minorBidi" w:hAnsiTheme="minorBidi" w:cstheme="minorBidi"/>
          <w:sz w:val="20"/>
          <w:szCs w:val="20"/>
        </w:rPr>
        <w:t>.</w:t>
      </w:r>
      <w:r w:rsidR="003C2E9B" w:rsidRPr="003C2E9B">
        <w:rPr>
          <w:rFonts w:asciiTheme="minorBidi" w:hAnsiTheme="minorBidi" w:cstheme="minorBidi"/>
          <w:sz w:val="20"/>
          <w:szCs w:val="20"/>
        </w:rPr>
        <w:t xml:space="preserve"> La croissance chinoise se serait établie à </w:t>
      </w:r>
      <w:r w:rsidR="009B6487" w:rsidRPr="002460BB">
        <w:rPr>
          <w:rFonts w:asciiTheme="minorBidi" w:hAnsiTheme="minorBidi" w:cstheme="minorBidi"/>
          <w:sz w:val="20"/>
          <w:szCs w:val="20"/>
        </w:rPr>
        <w:t>+</w:t>
      </w:r>
      <w:r w:rsidR="003C2E9B" w:rsidRPr="002460BB">
        <w:rPr>
          <w:rFonts w:asciiTheme="minorBidi" w:hAnsiTheme="minorBidi" w:cstheme="minorBidi"/>
          <w:sz w:val="20"/>
          <w:szCs w:val="20"/>
        </w:rPr>
        <w:t>4,1% a</w:t>
      </w:r>
      <w:r w:rsidR="0086536B">
        <w:rPr>
          <w:rFonts w:asciiTheme="minorBidi" w:hAnsiTheme="minorBidi" w:cstheme="minorBidi"/>
          <w:sz w:val="20"/>
          <w:szCs w:val="20"/>
        </w:rPr>
        <w:t>u premier trimestre 2024, au lieu</w:t>
      </w:r>
      <w:r w:rsidR="003C2E9B" w:rsidRPr="002460BB">
        <w:rPr>
          <w:rFonts w:asciiTheme="minorBidi" w:hAnsiTheme="minorBidi" w:cstheme="minorBidi"/>
          <w:sz w:val="20"/>
          <w:szCs w:val="20"/>
        </w:rPr>
        <w:t xml:space="preserve"> </w:t>
      </w:r>
      <w:r w:rsidR="009B6487" w:rsidRPr="002460BB">
        <w:rPr>
          <w:rFonts w:asciiTheme="minorBidi" w:hAnsiTheme="minorBidi" w:cstheme="minorBidi"/>
          <w:sz w:val="20"/>
          <w:szCs w:val="20"/>
        </w:rPr>
        <w:t>+</w:t>
      </w:r>
      <w:r w:rsidR="003C2E9B" w:rsidRPr="002460BB">
        <w:rPr>
          <w:rFonts w:asciiTheme="minorBidi" w:hAnsiTheme="minorBidi" w:cstheme="minorBidi"/>
          <w:sz w:val="20"/>
          <w:szCs w:val="20"/>
        </w:rPr>
        <w:t>5,3</w:t>
      </w:r>
      <w:r w:rsidR="003C2E9B" w:rsidRPr="003C2E9B">
        <w:rPr>
          <w:rFonts w:asciiTheme="minorBidi" w:hAnsiTheme="minorBidi" w:cstheme="minorBidi"/>
          <w:sz w:val="20"/>
          <w:szCs w:val="20"/>
        </w:rPr>
        <w:t xml:space="preserve">% un trimestre plus tôt.  </w:t>
      </w:r>
    </w:p>
    <w:p w:rsidR="003C2E9B" w:rsidRDefault="003C2E9B" w:rsidP="00517A35">
      <w:pPr>
        <w:spacing w:before="240"/>
        <w:jc w:val="both"/>
        <w:rPr>
          <w:rFonts w:asciiTheme="minorBidi" w:hAnsiTheme="minorBidi" w:cstheme="minorBidi"/>
          <w:sz w:val="20"/>
          <w:szCs w:val="20"/>
        </w:rPr>
      </w:pPr>
      <w:r w:rsidRPr="003C2E9B">
        <w:rPr>
          <w:rFonts w:asciiTheme="minorBidi" w:hAnsiTheme="minorBidi" w:cstheme="minorBidi"/>
          <w:sz w:val="20"/>
          <w:szCs w:val="20"/>
        </w:rPr>
        <w:t xml:space="preserve">L’inflation </w:t>
      </w:r>
      <w:r w:rsidR="00BA7EF4">
        <w:rPr>
          <w:rFonts w:asciiTheme="minorBidi" w:hAnsiTheme="minorBidi" w:cstheme="minorBidi"/>
          <w:sz w:val="20"/>
          <w:szCs w:val="20"/>
        </w:rPr>
        <w:t xml:space="preserve">globale </w:t>
      </w:r>
      <w:r w:rsidRPr="003C2E9B">
        <w:rPr>
          <w:rFonts w:asciiTheme="minorBidi" w:hAnsiTheme="minorBidi" w:cstheme="minorBidi"/>
          <w:sz w:val="20"/>
          <w:szCs w:val="20"/>
        </w:rPr>
        <w:t>aurait continué de ralentir dans la plupart des économies avancées</w:t>
      </w:r>
      <w:r w:rsidR="00BA7EF4" w:rsidRPr="00BA7EF4">
        <w:rPr>
          <w:rFonts w:asciiTheme="minorBidi" w:hAnsiTheme="minorBidi" w:cstheme="minorBidi"/>
          <w:sz w:val="20"/>
          <w:szCs w:val="20"/>
        </w:rPr>
        <w:t xml:space="preserve"> </w:t>
      </w:r>
      <w:r w:rsidR="00BA7EF4" w:rsidRPr="003C2E9B">
        <w:rPr>
          <w:rFonts w:asciiTheme="minorBidi" w:hAnsiTheme="minorBidi" w:cstheme="minorBidi"/>
          <w:sz w:val="20"/>
          <w:szCs w:val="20"/>
        </w:rPr>
        <w:t>au premier trimestre 2024</w:t>
      </w:r>
      <w:r w:rsidR="00BA7EF4">
        <w:rPr>
          <w:rFonts w:asciiTheme="minorBidi" w:hAnsiTheme="minorBidi" w:cstheme="minorBidi"/>
          <w:sz w:val="20"/>
          <w:szCs w:val="20"/>
        </w:rPr>
        <w:t xml:space="preserve">, mais sa composante </w:t>
      </w:r>
      <w:r w:rsidRPr="003C2E9B">
        <w:rPr>
          <w:rFonts w:asciiTheme="minorBidi" w:hAnsiTheme="minorBidi" w:cstheme="minorBidi"/>
          <w:sz w:val="20"/>
          <w:szCs w:val="20"/>
        </w:rPr>
        <w:t>sous-jacente aurait</w:t>
      </w:r>
      <w:r w:rsidR="00BA7EF4">
        <w:rPr>
          <w:rFonts w:asciiTheme="minorBidi" w:hAnsiTheme="minorBidi" w:cstheme="minorBidi"/>
          <w:sz w:val="20"/>
          <w:szCs w:val="20"/>
        </w:rPr>
        <w:t xml:space="preserve"> </w:t>
      </w:r>
      <w:r w:rsidRPr="003C2E9B">
        <w:rPr>
          <w:rFonts w:asciiTheme="minorBidi" w:hAnsiTheme="minorBidi" w:cstheme="minorBidi"/>
          <w:sz w:val="20"/>
          <w:szCs w:val="20"/>
        </w:rPr>
        <w:t xml:space="preserve">moins reflué, </w:t>
      </w:r>
      <w:r w:rsidR="008C5ED2">
        <w:rPr>
          <w:rFonts w:asciiTheme="minorBidi" w:hAnsiTheme="minorBidi" w:cstheme="minorBidi"/>
          <w:sz w:val="20"/>
          <w:szCs w:val="20"/>
        </w:rPr>
        <w:t xml:space="preserve">à cause de </w:t>
      </w:r>
      <w:r w:rsidRPr="003C2E9B">
        <w:rPr>
          <w:rFonts w:asciiTheme="minorBidi" w:hAnsiTheme="minorBidi" w:cstheme="minorBidi"/>
          <w:sz w:val="20"/>
          <w:szCs w:val="20"/>
        </w:rPr>
        <w:t>la hausse des prix des services. Les taux d’inflation auraient atteint</w:t>
      </w:r>
      <w:r w:rsidR="00517A35">
        <w:rPr>
          <w:rFonts w:asciiTheme="minorBidi" w:hAnsiTheme="minorBidi" w:cstheme="minorBidi"/>
          <w:sz w:val="20"/>
          <w:szCs w:val="20"/>
        </w:rPr>
        <w:t>,</w:t>
      </w:r>
      <w:r w:rsidRPr="003C2E9B">
        <w:rPr>
          <w:rFonts w:asciiTheme="minorBidi" w:hAnsiTheme="minorBidi" w:cstheme="minorBidi"/>
          <w:sz w:val="20"/>
          <w:szCs w:val="20"/>
        </w:rPr>
        <w:t xml:space="preserve"> </w:t>
      </w:r>
      <w:r w:rsidR="00517A35" w:rsidRPr="002460BB">
        <w:rPr>
          <w:rFonts w:asciiTheme="minorBidi" w:hAnsiTheme="minorBidi" w:cstheme="minorBidi"/>
          <w:sz w:val="20"/>
          <w:szCs w:val="20"/>
        </w:rPr>
        <w:t>au premier trimestre 2024</w:t>
      </w:r>
      <w:r w:rsidR="00517A35">
        <w:rPr>
          <w:rFonts w:asciiTheme="minorBidi" w:hAnsiTheme="minorBidi" w:cstheme="minorBidi"/>
          <w:sz w:val="20"/>
          <w:szCs w:val="20"/>
        </w:rPr>
        <w:t>,</w:t>
      </w:r>
      <w:r w:rsidR="00517A35" w:rsidRPr="002460BB">
        <w:rPr>
          <w:rFonts w:asciiTheme="minorBidi" w:hAnsiTheme="minorBidi" w:cstheme="minorBidi"/>
          <w:sz w:val="20"/>
          <w:szCs w:val="20"/>
        </w:rPr>
        <w:t xml:space="preserve"> </w:t>
      </w:r>
      <w:r w:rsidR="009B6487" w:rsidRPr="002460BB">
        <w:rPr>
          <w:rFonts w:asciiTheme="minorBidi" w:hAnsiTheme="minorBidi" w:cstheme="minorBidi"/>
          <w:sz w:val="20"/>
          <w:szCs w:val="20"/>
        </w:rPr>
        <w:t>+</w:t>
      </w:r>
      <w:r w:rsidRPr="002460BB">
        <w:rPr>
          <w:rFonts w:asciiTheme="minorBidi" w:hAnsiTheme="minorBidi" w:cstheme="minorBidi"/>
          <w:sz w:val="20"/>
          <w:szCs w:val="20"/>
        </w:rPr>
        <w:t xml:space="preserve">3,1% et </w:t>
      </w:r>
      <w:r w:rsidR="009B6487" w:rsidRPr="002460BB">
        <w:rPr>
          <w:rFonts w:asciiTheme="minorBidi" w:hAnsiTheme="minorBidi" w:cstheme="minorBidi"/>
          <w:sz w:val="20"/>
          <w:szCs w:val="20"/>
        </w:rPr>
        <w:t>+</w:t>
      </w:r>
      <w:r w:rsidRPr="002460BB">
        <w:rPr>
          <w:rFonts w:asciiTheme="minorBidi" w:hAnsiTheme="minorBidi" w:cstheme="minorBidi"/>
          <w:sz w:val="20"/>
          <w:szCs w:val="20"/>
        </w:rPr>
        <w:t xml:space="preserve">2,6% respectivement aux Etats-Unis et en zone euro, au lieu de </w:t>
      </w:r>
      <w:r w:rsidR="009B6487" w:rsidRPr="002460BB">
        <w:rPr>
          <w:rFonts w:asciiTheme="minorBidi" w:hAnsiTheme="minorBidi" w:cstheme="minorBidi"/>
          <w:sz w:val="20"/>
          <w:szCs w:val="20"/>
        </w:rPr>
        <w:t>+</w:t>
      </w:r>
      <w:r w:rsidRPr="002460BB">
        <w:rPr>
          <w:rFonts w:asciiTheme="minorBidi" w:hAnsiTheme="minorBidi" w:cstheme="minorBidi"/>
          <w:sz w:val="20"/>
          <w:szCs w:val="20"/>
        </w:rPr>
        <w:t xml:space="preserve">3,2% et </w:t>
      </w:r>
      <w:r w:rsidR="009B6487" w:rsidRPr="002460BB">
        <w:rPr>
          <w:rFonts w:asciiTheme="minorBidi" w:hAnsiTheme="minorBidi" w:cstheme="minorBidi"/>
          <w:sz w:val="20"/>
          <w:szCs w:val="20"/>
        </w:rPr>
        <w:t>+</w:t>
      </w:r>
      <w:r w:rsidRPr="002460BB">
        <w:rPr>
          <w:rFonts w:asciiTheme="minorBidi" w:hAnsiTheme="minorBidi" w:cstheme="minorBidi"/>
          <w:sz w:val="20"/>
          <w:szCs w:val="20"/>
        </w:rPr>
        <w:t>2,7% un</w:t>
      </w:r>
      <w:r w:rsidRPr="003C2E9B">
        <w:rPr>
          <w:rFonts w:asciiTheme="minorBidi" w:hAnsiTheme="minorBidi" w:cstheme="minorBidi"/>
          <w:sz w:val="20"/>
          <w:szCs w:val="20"/>
        </w:rPr>
        <w:t xml:space="preserve"> trimestre plus tôt. L’inflation des biens</w:t>
      </w:r>
      <w:r w:rsidR="004C5CEF">
        <w:rPr>
          <w:rFonts w:asciiTheme="minorBidi" w:hAnsiTheme="minorBidi" w:cstheme="minorBidi"/>
          <w:sz w:val="20"/>
          <w:szCs w:val="20"/>
        </w:rPr>
        <w:t xml:space="preserve"> se serait sensiblement réduite</w:t>
      </w:r>
      <w:r w:rsidRPr="003C2E9B">
        <w:rPr>
          <w:rFonts w:asciiTheme="minorBidi" w:hAnsiTheme="minorBidi" w:cstheme="minorBidi"/>
          <w:sz w:val="20"/>
          <w:szCs w:val="20"/>
        </w:rPr>
        <w:t xml:space="preserve"> dans la plupart des pays, grâce à la diminution des prix des produits énergétiques et à l’a</w:t>
      </w:r>
      <w:r w:rsidR="00DE12B5">
        <w:rPr>
          <w:rFonts w:asciiTheme="minorBidi" w:hAnsiTheme="minorBidi" w:cstheme="minorBidi"/>
          <w:sz w:val="20"/>
          <w:szCs w:val="20"/>
        </w:rPr>
        <w:t>tténuation progressive des goulo</w:t>
      </w:r>
      <w:r w:rsidR="004B28E9">
        <w:rPr>
          <w:rFonts w:asciiTheme="minorBidi" w:hAnsiTheme="minorBidi" w:cstheme="minorBidi"/>
          <w:sz w:val="20"/>
          <w:szCs w:val="20"/>
        </w:rPr>
        <w:t>ts d’étranglement</w:t>
      </w:r>
      <w:r w:rsidRPr="003C2E9B">
        <w:rPr>
          <w:rFonts w:asciiTheme="minorBidi" w:hAnsiTheme="minorBidi" w:cstheme="minorBidi"/>
          <w:sz w:val="20"/>
          <w:szCs w:val="20"/>
        </w:rPr>
        <w:t xml:space="preserve"> au niveau des chaînes </w:t>
      </w:r>
      <w:r w:rsidR="002460BB">
        <w:rPr>
          <w:rFonts w:asciiTheme="minorBidi" w:hAnsiTheme="minorBidi" w:cstheme="minorBidi"/>
          <w:sz w:val="20"/>
          <w:szCs w:val="20"/>
        </w:rPr>
        <w:t>d’approvisionnement par rapport</w:t>
      </w:r>
      <w:r w:rsidRPr="003C2E9B">
        <w:rPr>
          <w:rFonts w:asciiTheme="minorBidi" w:hAnsiTheme="minorBidi" w:cstheme="minorBidi"/>
          <w:sz w:val="20"/>
          <w:szCs w:val="20"/>
        </w:rPr>
        <w:t xml:space="preserve"> </w:t>
      </w:r>
      <w:r w:rsidR="000B6B77">
        <w:rPr>
          <w:rFonts w:asciiTheme="minorBidi" w:hAnsiTheme="minorBidi" w:cstheme="minorBidi"/>
          <w:sz w:val="20"/>
          <w:szCs w:val="20"/>
        </w:rPr>
        <w:t>aux pics enregistré</w:t>
      </w:r>
      <w:r w:rsidR="008C5ED2">
        <w:rPr>
          <w:rFonts w:asciiTheme="minorBidi" w:hAnsiTheme="minorBidi" w:cstheme="minorBidi"/>
          <w:sz w:val="20"/>
          <w:szCs w:val="20"/>
        </w:rPr>
        <w:t>s</w:t>
      </w:r>
      <w:r w:rsidR="007F646D">
        <w:rPr>
          <w:rFonts w:asciiTheme="minorBidi" w:hAnsiTheme="minorBidi" w:cstheme="minorBidi"/>
          <w:sz w:val="20"/>
          <w:szCs w:val="20"/>
        </w:rPr>
        <w:t xml:space="preserve"> pendant les années 2021-2022</w:t>
      </w:r>
      <w:r w:rsidRPr="003C2E9B">
        <w:rPr>
          <w:rFonts w:asciiTheme="minorBidi" w:hAnsiTheme="minorBidi" w:cstheme="minorBidi"/>
          <w:sz w:val="20"/>
          <w:szCs w:val="20"/>
        </w:rPr>
        <w:t xml:space="preserve">. </w:t>
      </w:r>
      <w:r w:rsidR="00036A4D">
        <w:rPr>
          <w:rFonts w:asciiTheme="minorBidi" w:hAnsiTheme="minorBidi" w:cstheme="minorBidi"/>
          <w:sz w:val="20"/>
          <w:szCs w:val="20"/>
        </w:rPr>
        <w:t xml:space="preserve">L’inflation </w:t>
      </w:r>
      <w:r w:rsidRPr="003C2E9B">
        <w:rPr>
          <w:rFonts w:asciiTheme="minorBidi" w:hAnsiTheme="minorBidi" w:cstheme="minorBidi"/>
          <w:sz w:val="20"/>
          <w:szCs w:val="20"/>
        </w:rPr>
        <w:t xml:space="preserve">des services </w:t>
      </w:r>
      <w:r w:rsidR="00036A4D">
        <w:rPr>
          <w:rFonts w:asciiTheme="minorBidi" w:hAnsiTheme="minorBidi" w:cstheme="minorBidi"/>
          <w:sz w:val="20"/>
          <w:szCs w:val="20"/>
        </w:rPr>
        <w:t>aurait</w:t>
      </w:r>
      <w:r w:rsidR="005065A3">
        <w:rPr>
          <w:rFonts w:asciiTheme="minorBidi" w:hAnsiTheme="minorBidi" w:cstheme="minorBidi"/>
          <w:sz w:val="20"/>
          <w:szCs w:val="20"/>
        </w:rPr>
        <w:t>,</w:t>
      </w:r>
      <w:r w:rsidR="005065A3" w:rsidRPr="003C2E9B">
        <w:rPr>
          <w:rFonts w:asciiTheme="minorBidi" w:hAnsiTheme="minorBidi" w:cstheme="minorBidi"/>
          <w:sz w:val="20"/>
          <w:szCs w:val="20"/>
        </w:rPr>
        <w:t xml:space="preserve"> </w:t>
      </w:r>
      <w:r w:rsidRPr="003C2E9B">
        <w:rPr>
          <w:rFonts w:asciiTheme="minorBidi" w:hAnsiTheme="minorBidi" w:cstheme="minorBidi"/>
          <w:sz w:val="20"/>
          <w:szCs w:val="20"/>
        </w:rPr>
        <w:t>quant à elle</w:t>
      </w:r>
      <w:r w:rsidR="005065A3">
        <w:rPr>
          <w:rFonts w:asciiTheme="minorBidi" w:hAnsiTheme="minorBidi" w:cstheme="minorBidi"/>
          <w:sz w:val="20"/>
          <w:szCs w:val="20"/>
        </w:rPr>
        <w:t>,</w:t>
      </w:r>
      <w:r w:rsidRPr="003C2E9B">
        <w:rPr>
          <w:rFonts w:asciiTheme="minorBidi" w:hAnsiTheme="minorBidi" w:cstheme="minorBidi"/>
          <w:sz w:val="20"/>
          <w:szCs w:val="20"/>
        </w:rPr>
        <w:t xml:space="preserve"> </w:t>
      </w:r>
      <w:r w:rsidR="00036A4D">
        <w:rPr>
          <w:rFonts w:asciiTheme="minorBidi" w:hAnsiTheme="minorBidi" w:cstheme="minorBidi"/>
          <w:sz w:val="20"/>
          <w:szCs w:val="20"/>
        </w:rPr>
        <w:t>persisté n’affichant qu’u</w:t>
      </w:r>
      <w:r w:rsidR="00DE12B5">
        <w:rPr>
          <w:rFonts w:asciiTheme="minorBidi" w:hAnsiTheme="minorBidi" w:cstheme="minorBidi"/>
          <w:sz w:val="20"/>
          <w:szCs w:val="20"/>
        </w:rPr>
        <w:t xml:space="preserve">n rythme </w:t>
      </w:r>
      <w:r w:rsidR="00036A4D">
        <w:rPr>
          <w:rFonts w:asciiTheme="minorBidi" w:hAnsiTheme="minorBidi" w:cstheme="minorBidi"/>
          <w:sz w:val="20"/>
          <w:szCs w:val="20"/>
        </w:rPr>
        <w:t>lent de baisse</w:t>
      </w:r>
      <w:r w:rsidRPr="003C2E9B">
        <w:rPr>
          <w:rFonts w:asciiTheme="minorBidi" w:hAnsiTheme="minorBidi" w:cstheme="minorBidi"/>
          <w:sz w:val="20"/>
          <w:szCs w:val="20"/>
        </w:rPr>
        <w:t xml:space="preserve">. </w:t>
      </w:r>
    </w:p>
    <w:p w:rsidR="005065A3" w:rsidRDefault="005065A3" w:rsidP="005065A3">
      <w:pPr>
        <w:jc w:val="both"/>
        <w:rPr>
          <w:rFonts w:ascii="Arial" w:hAnsi="Arial"/>
          <w:sz w:val="20"/>
          <w:szCs w:val="20"/>
        </w:rPr>
      </w:pPr>
    </w:p>
    <w:p w:rsidR="005065A3" w:rsidRDefault="005065A3" w:rsidP="005065A3">
      <w:pPr>
        <w:jc w:val="both"/>
        <w:rPr>
          <w:rFonts w:ascii="Arial" w:hAnsi="Arial"/>
          <w:sz w:val="20"/>
          <w:szCs w:val="20"/>
        </w:rPr>
      </w:pPr>
      <w:r>
        <w:rPr>
          <w:rFonts w:ascii="Arial" w:hAnsi="Arial"/>
          <w:sz w:val="20"/>
          <w:szCs w:val="20"/>
        </w:rPr>
        <w:t>Dans ces conditions, l</w:t>
      </w:r>
      <w:r w:rsidRPr="003C2E9B">
        <w:rPr>
          <w:rFonts w:ascii="Arial" w:hAnsi="Arial"/>
          <w:sz w:val="20"/>
          <w:szCs w:val="20"/>
        </w:rPr>
        <w:t>e volume du commerce mondial des marchandises aurait retrouvé un peu de tonus au premier trimestre 2024, soutenu par les importations des économies émergentes et, dans une moindre mesure, par celles des économies avancées.</w:t>
      </w:r>
      <w:r>
        <w:rPr>
          <w:rFonts w:ascii="Arial" w:hAnsi="Arial"/>
          <w:sz w:val="20"/>
          <w:szCs w:val="20"/>
        </w:rPr>
        <w:t xml:space="preserve"> </w:t>
      </w:r>
      <w:r w:rsidRPr="003C2E9B">
        <w:rPr>
          <w:rFonts w:ascii="Arial" w:hAnsi="Arial"/>
          <w:sz w:val="20"/>
          <w:szCs w:val="20"/>
        </w:rPr>
        <w:t xml:space="preserve">Le dernier baromètre de l’OMC du mois de mars 2024 </w:t>
      </w:r>
      <w:r>
        <w:rPr>
          <w:rFonts w:ascii="Arial" w:hAnsi="Arial"/>
          <w:sz w:val="20"/>
          <w:szCs w:val="20"/>
        </w:rPr>
        <w:t>aurait fait</w:t>
      </w:r>
      <w:r w:rsidRPr="003C2E9B">
        <w:rPr>
          <w:rFonts w:ascii="Arial" w:hAnsi="Arial"/>
          <w:sz w:val="20"/>
          <w:szCs w:val="20"/>
        </w:rPr>
        <w:t xml:space="preserve"> état d’une relative amélioration des commandes à l’exportation, légèrement au-dessus de leur tendance de long terme.</w:t>
      </w:r>
    </w:p>
    <w:p w:rsidR="004E426B" w:rsidRPr="00E11814" w:rsidRDefault="00A65734" w:rsidP="006644CD">
      <w:pPr>
        <w:spacing w:before="240"/>
        <w:jc w:val="both"/>
        <w:rPr>
          <w:rFonts w:asciiTheme="minorBidi" w:hAnsiTheme="minorBidi" w:cstheme="minorBidi"/>
          <w:b/>
          <w:bCs/>
          <w:color w:val="C00000"/>
          <w:kern w:val="28"/>
          <w:sz w:val="20"/>
          <w:szCs w:val="20"/>
        </w:rPr>
      </w:pPr>
      <w:r>
        <w:rPr>
          <w:rFonts w:asciiTheme="minorBidi" w:hAnsiTheme="minorBidi" w:cstheme="minorBidi"/>
          <w:b/>
          <w:bCs/>
          <w:color w:val="C00000"/>
          <w:kern w:val="28"/>
          <w:sz w:val="20"/>
          <w:szCs w:val="20"/>
        </w:rPr>
        <w:t xml:space="preserve">Maintien de la contribution négative </w:t>
      </w:r>
      <w:r w:rsidR="006644CD">
        <w:rPr>
          <w:rFonts w:asciiTheme="minorBidi" w:hAnsiTheme="minorBidi" w:cstheme="minorBidi"/>
          <w:b/>
          <w:bCs/>
          <w:color w:val="C00000"/>
          <w:kern w:val="28"/>
          <w:sz w:val="20"/>
          <w:szCs w:val="20"/>
        </w:rPr>
        <w:t>des échanges extérieurs</w:t>
      </w:r>
      <w:r>
        <w:rPr>
          <w:rFonts w:asciiTheme="minorBidi" w:hAnsiTheme="minorBidi" w:cstheme="minorBidi"/>
          <w:b/>
          <w:bCs/>
          <w:color w:val="C00000"/>
          <w:kern w:val="28"/>
          <w:sz w:val="20"/>
          <w:szCs w:val="20"/>
        </w:rPr>
        <w:t xml:space="preserve"> à la croissance économique</w:t>
      </w:r>
    </w:p>
    <w:p w:rsidR="003C2E9B" w:rsidRDefault="00036A4D" w:rsidP="00517A35">
      <w:pPr>
        <w:spacing w:before="240" w:line="240" w:lineRule="exact"/>
        <w:jc w:val="both"/>
        <w:rPr>
          <w:rFonts w:asciiTheme="minorBidi" w:hAnsiTheme="minorBidi" w:cstheme="minorBidi"/>
          <w:sz w:val="20"/>
          <w:szCs w:val="20"/>
        </w:rPr>
      </w:pPr>
      <w:r>
        <w:rPr>
          <w:rFonts w:asciiTheme="minorBidi" w:hAnsiTheme="minorBidi" w:cstheme="minorBidi"/>
          <w:sz w:val="20"/>
          <w:szCs w:val="20"/>
        </w:rPr>
        <w:t>La contribution de la demande extérieure nette serait restée négative</w:t>
      </w:r>
      <w:r w:rsidR="00517A35" w:rsidRPr="00517A35">
        <w:rPr>
          <w:rFonts w:asciiTheme="minorBidi" w:hAnsiTheme="minorBidi" w:cstheme="minorBidi"/>
          <w:sz w:val="20"/>
          <w:szCs w:val="20"/>
        </w:rPr>
        <w:t xml:space="preserve"> </w:t>
      </w:r>
      <w:r w:rsidR="00517A35" w:rsidRPr="003C2E9B">
        <w:rPr>
          <w:rFonts w:asciiTheme="minorBidi" w:hAnsiTheme="minorBidi" w:cstheme="minorBidi"/>
          <w:sz w:val="20"/>
          <w:szCs w:val="20"/>
        </w:rPr>
        <w:t>au premier trimestre 2024</w:t>
      </w:r>
      <w:r>
        <w:rPr>
          <w:rFonts w:asciiTheme="minorBidi" w:hAnsiTheme="minorBidi" w:cstheme="minorBidi"/>
          <w:sz w:val="20"/>
          <w:szCs w:val="20"/>
        </w:rPr>
        <w:t>, s’élevant à -3,9 points,</w:t>
      </w:r>
      <w:r w:rsidRPr="003C2E9B">
        <w:rPr>
          <w:rFonts w:asciiTheme="minorBidi" w:hAnsiTheme="minorBidi" w:cstheme="minorBidi"/>
          <w:sz w:val="20"/>
          <w:szCs w:val="20"/>
        </w:rPr>
        <w:t xml:space="preserve"> </w:t>
      </w:r>
      <w:r>
        <w:rPr>
          <w:rFonts w:asciiTheme="minorBidi" w:hAnsiTheme="minorBidi" w:cstheme="minorBidi"/>
          <w:sz w:val="20"/>
          <w:szCs w:val="20"/>
        </w:rPr>
        <w:t>sous l’effet d’une hausse de 17,3% du</w:t>
      </w:r>
      <w:r w:rsidR="003C2E9B" w:rsidRPr="003C2E9B">
        <w:rPr>
          <w:rFonts w:asciiTheme="minorBidi" w:hAnsiTheme="minorBidi" w:cstheme="minorBidi"/>
          <w:sz w:val="20"/>
          <w:szCs w:val="20"/>
        </w:rPr>
        <w:t xml:space="preserve"> volume</w:t>
      </w:r>
      <w:r>
        <w:rPr>
          <w:rFonts w:asciiTheme="minorBidi" w:hAnsiTheme="minorBidi" w:cstheme="minorBidi"/>
          <w:sz w:val="20"/>
          <w:szCs w:val="20"/>
        </w:rPr>
        <w:t xml:space="preserve"> des </w:t>
      </w:r>
      <w:r w:rsidRPr="003C2E9B">
        <w:rPr>
          <w:rFonts w:asciiTheme="minorBidi" w:hAnsiTheme="minorBidi" w:cstheme="minorBidi"/>
          <w:sz w:val="20"/>
          <w:szCs w:val="20"/>
        </w:rPr>
        <w:t>importations nationales de biens et services</w:t>
      </w:r>
      <w:r w:rsidR="003C2E9B" w:rsidRPr="003C2E9B">
        <w:rPr>
          <w:rFonts w:asciiTheme="minorBidi" w:hAnsiTheme="minorBidi" w:cstheme="minorBidi"/>
          <w:sz w:val="20"/>
          <w:szCs w:val="20"/>
        </w:rPr>
        <w:t xml:space="preserve"> </w:t>
      </w:r>
      <w:r>
        <w:rPr>
          <w:rFonts w:asciiTheme="minorBidi" w:hAnsiTheme="minorBidi" w:cstheme="minorBidi"/>
          <w:sz w:val="20"/>
          <w:szCs w:val="20"/>
        </w:rPr>
        <w:t xml:space="preserve">et de 8,4% de celui </w:t>
      </w:r>
      <w:r w:rsidR="003C2E9B" w:rsidRPr="003C2E9B">
        <w:rPr>
          <w:rFonts w:asciiTheme="minorBidi" w:hAnsiTheme="minorBidi" w:cstheme="minorBidi"/>
          <w:sz w:val="20"/>
          <w:szCs w:val="20"/>
        </w:rPr>
        <w:t>des exportations</w:t>
      </w:r>
      <w:r w:rsidR="00517A35">
        <w:rPr>
          <w:rFonts w:asciiTheme="minorBidi" w:hAnsiTheme="minorBidi" w:cstheme="minorBidi"/>
          <w:sz w:val="20"/>
          <w:szCs w:val="20"/>
        </w:rPr>
        <w:t>,</w:t>
      </w:r>
      <w:r w:rsidR="003C2E9B" w:rsidRPr="003C2E9B">
        <w:rPr>
          <w:rFonts w:asciiTheme="minorBidi" w:hAnsiTheme="minorBidi" w:cstheme="minorBidi"/>
          <w:sz w:val="20"/>
          <w:szCs w:val="20"/>
        </w:rPr>
        <w:t xml:space="preserve"> </w:t>
      </w:r>
      <w:r>
        <w:rPr>
          <w:rFonts w:asciiTheme="minorBidi" w:hAnsiTheme="minorBidi" w:cstheme="minorBidi"/>
          <w:sz w:val="20"/>
          <w:szCs w:val="20"/>
        </w:rPr>
        <w:t>en variations annuelles.</w:t>
      </w:r>
    </w:p>
    <w:p w:rsidR="007F646D" w:rsidRPr="003C2E9B" w:rsidRDefault="007F646D" w:rsidP="007F646D">
      <w:pPr>
        <w:spacing w:before="240" w:line="240" w:lineRule="exact"/>
        <w:jc w:val="both"/>
        <w:rPr>
          <w:rFonts w:asciiTheme="minorBidi" w:hAnsiTheme="minorBidi" w:cstheme="minorBidi"/>
          <w:sz w:val="20"/>
          <w:szCs w:val="20"/>
        </w:rPr>
      </w:pPr>
    </w:p>
    <w:p w:rsidR="003C2E9B" w:rsidRPr="003C2E9B" w:rsidRDefault="00776512" w:rsidP="00776512">
      <w:pPr>
        <w:spacing w:before="240" w:line="240" w:lineRule="exact"/>
        <w:jc w:val="both"/>
        <w:rPr>
          <w:rFonts w:asciiTheme="minorBidi" w:hAnsiTheme="minorBidi" w:cstheme="minorBidi"/>
          <w:sz w:val="20"/>
          <w:szCs w:val="20"/>
        </w:rPr>
      </w:pPr>
      <w:r>
        <w:rPr>
          <w:rFonts w:asciiTheme="minorBidi" w:hAnsiTheme="minorBidi" w:cstheme="minorBidi"/>
          <w:sz w:val="20"/>
          <w:szCs w:val="20"/>
        </w:rPr>
        <w:lastRenderedPageBreak/>
        <w:t xml:space="preserve">En valeur, </w:t>
      </w:r>
      <w:r w:rsidR="006644CD">
        <w:rPr>
          <w:rFonts w:asciiTheme="minorBidi" w:hAnsiTheme="minorBidi" w:cstheme="minorBidi"/>
          <w:sz w:val="20"/>
          <w:szCs w:val="20"/>
        </w:rPr>
        <w:t>l</w:t>
      </w:r>
      <w:r w:rsidR="006644CD" w:rsidRPr="003C2E9B">
        <w:rPr>
          <w:rFonts w:asciiTheme="minorBidi" w:hAnsiTheme="minorBidi" w:cstheme="minorBidi"/>
          <w:sz w:val="20"/>
          <w:szCs w:val="20"/>
        </w:rPr>
        <w:t>es exportations de biens</w:t>
      </w:r>
      <w:r>
        <w:rPr>
          <w:rFonts w:asciiTheme="minorBidi" w:hAnsiTheme="minorBidi" w:cstheme="minorBidi"/>
          <w:sz w:val="20"/>
          <w:szCs w:val="20"/>
        </w:rPr>
        <w:t xml:space="preserve"> </w:t>
      </w:r>
      <w:r w:rsidR="006644CD">
        <w:rPr>
          <w:rFonts w:asciiTheme="minorBidi" w:hAnsiTheme="minorBidi" w:cstheme="minorBidi"/>
          <w:sz w:val="20"/>
          <w:szCs w:val="20"/>
        </w:rPr>
        <w:t>se</w:t>
      </w:r>
      <w:r w:rsidR="003C2E9B" w:rsidRPr="003C2E9B">
        <w:rPr>
          <w:rFonts w:asciiTheme="minorBidi" w:hAnsiTheme="minorBidi" w:cstheme="minorBidi"/>
          <w:sz w:val="20"/>
          <w:szCs w:val="20"/>
        </w:rPr>
        <w:t xml:space="preserve"> seraient amélioré</w:t>
      </w:r>
      <w:r w:rsidR="006644CD">
        <w:rPr>
          <w:rFonts w:asciiTheme="minorBidi" w:hAnsiTheme="minorBidi" w:cstheme="minorBidi"/>
          <w:sz w:val="20"/>
          <w:szCs w:val="20"/>
        </w:rPr>
        <w:t>es de 6% en variation annuelle, grâce à la bonne performance d</w:t>
      </w:r>
      <w:r w:rsidR="003C2E9B" w:rsidRPr="003C2E9B">
        <w:rPr>
          <w:rFonts w:asciiTheme="minorBidi" w:hAnsiTheme="minorBidi" w:cstheme="minorBidi"/>
          <w:sz w:val="20"/>
          <w:szCs w:val="20"/>
        </w:rPr>
        <w:t>es expéditions de l’automobile, de l’aéronautique et de l’électrique. Les ventes extérieures des phosphates et dérivés auraient, pour leur part, concouru à l’amélioration des exportations globales</w:t>
      </w:r>
      <w:r w:rsidR="000B6B77">
        <w:rPr>
          <w:rFonts w:asciiTheme="minorBidi" w:hAnsiTheme="minorBidi" w:cstheme="minorBidi"/>
          <w:sz w:val="20"/>
          <w:szCs w:val="20"/>
        </w:rPr>
        <w:t>,</w:t>
      </w:r>
      <w:r w:rsidR="006644CD">
        <w:rPr>
          <w:rFonts w:asciiTheme="minorBidi" w:hAnsiTheme="minorBidi" w:cstheme="minorBidi"/>
          <w:sz w:val="20"/>
          <w:szCs w:val="20"/>
        </w:rPr>
        <w:t xml:space="preserve"> avec une contribution positive de </w:t>
      </w:r>
      <w:r w:rsidR="006644CD" w:rsidRPr="003C2E9B">
        <w:rPr>
          <w:rFonts w:asciiTheme="minorBidi" w:hAnsiTheme="minorBidi" w:cstheme="minorBidi"/>
          <w:sz w:val="20"/>
          <w:szCs w:val="20"/>
        </w:rPr>
        <w:t>1,4 point</w:t>
      </w:r>
      <w:r w:rsidR="003C2E9B" w:rsidRPr="003C2E9B">
        <w:rPr>
          <w:rFonts w:asciiTheme="minorBidi" w:hAnsiTheme="minorBidi" w:cstheme="minorBidi"/>
          <w:sz w:val="20"/>
          <w:szCs w:val="20"/>
        </w:rPr>
        <w:t>, profitant d’un regain de demande étrangère.</w:t>
      </w:r>
    </w:p>
    <w:p w:rsidR="003C2E9B" w:rsidRPr="003C2E9B" w:rsidRDefault="003C2E9B" w:rsidP="00333F22">
      <w:pPr>
        <w:spacing w:before="240" w:line="240" w:lineRule="exact"/>
        <w:jc w:val="both"/>
        <w:rPr>
          <w:rFonts w:asciiTheme="minorBidi" w:hAnsiTheme="minorBidi" w:cstheme="minorBidi"/>
          <w:sz w:val="20"/>
          <w:szCs w:val="20"/>
        </w:rPr>
      </w:pPr>
      <w:r w:rsidRPr="003C2E9B">
        <w:rPr>
          <w:rFonts w:asciiTheme="minorBidi" w:hAnsiTheme="minorBidi" w:cstheme="minorBidi"/>
          <w:sz w:val="20"/>
          <w:szCs w:val="20"/>
        </w:rPr>
        <w:t>Les importat</w:t>
      </w:r>
      <w:r w:rsidR="0099186B">
        <w:rPr>
          <w:rFonts w:asciiTheme="minorBidi" w:hAnsiTheme="minorBidi" w:cstheme="minorBidi"/>
          <w:sz w:val="20"/>
          <w:szCs w:val="20"/>
        </w:rPr>
        <w:t>ions de biens en valeur se seraient</w:t>
      </w:r>
      <w:r w:rsidRPr="003C2E9B">
        <w:rPr>
          <w:rFonts w:asciiTheme="minorBidi" w:hAnsiTheme="minorBidi" w:cstheme="minorBidi"/>
          <w:sz w:val="20"/>
          <w:szCs w:val="20"/>
        </w:rPr>
        <w:t xml:space="preserve">, quant à elles, </w:t>
      </w:r>
      <w:r w:rsidR="000B6B77">
        <w:rPr>
          <w:rFonts w:asciiTheme="minorBidi" w:hAnsiTheme="minorBidi" w:cstheme="minorBidi"/>
          <w:sz w:val="20"/>
          <w:szCs w:val="20"/>
        </w:rPr>
        <w:t>légèrement</w:t>
      </w:r>
      <w:r w:rsidR="0099186B">
        <w:rPr>
          <w:rFonts w:asciiTheme="minorBidi" w:hAnsiTheme="minorBidi" w:cstheme="minorBidi"/>
          <w:sz w:val="20"/>
          <w:szCs w:val="20"/>
        </w:rPr>
        <w:t xml:space="preserve"> repliées, sous l’effet du reflux </w:t>
      </w:r>
      <w:r w:rsidRPr="003C2E9B">
        <w:rPr>
          <w:rFonts w:asciiTheme="minorBidi" w:hAnsiTheme="minorBidi" w:cstheme="minorBidi"/>
          <w:sz w:val="20"/>
          <w:szCs w:val="20"/>
        </w:rPr>
        <w:t>des prix à l’import, particulièrement ceux des matières premi</w:t>
      </w:r>
      <w:r w:rsidR="002460BB">
        <w:rPr>
          <w:rFonts w:asciiTheme="minorBidi" w:hAnsiTheme="minorBidi" w:cstheme="minorBidi"/>
          <w:sz w:val="20"/>
          <w:szCs w:val="20"/>
        </w:rPr>
        <w:t xml:space="preserve">ères brutes. Le recul de </w:t>
      </w:r>
      <w:r w:rsidR="0099186B">
        <w:rPr>
          <w:rFonts w:asciiTheme="minorBidi" w:hAnsiTheme="minorBidi" w:cstheme="minorBidi"/>
          <w:sz w:val="20"/>
          <w:szCs w:val="20"/>
        </w:rPr>
        <w:t>la facture énergétique</w:t>
      </w:r>
      <w:r w:rsidRPr="003C2E9B">
        <w:rPr>
          <w:rFonts w:asciiTheme="minorBidi" w:hAnsiTheme="minorBidi" w:cstheme="minorBidi"/>
          <w:sz w:val="20"/>
          <w:szCs w:val="20"/>
        </w:rPr>
        <w:t xml:space="preserve"> </w:t>
      </w:r>
      <w:r w:rsidR="0099186B">
        <w:rPr>
          <w:rFonts w:asciiTheme="minorBidi" w:hAnsiTheme="minorBidi" w:cstheme="minorBidi"/>
          <w:sz w:val="20"/>
          <w:szCs w:val="20"/>
        </w:rPr>
        <w:t>aurait, principalement, concerné</w:t>
      </w:r>
      <w:r w:rsidRPr="003C2E9B">
        <w:rPr>
          <w:rFonts w:asciiTheme="minorBidi" w:hAnsiTheme="minorBidi" w:cstheme="minorBidi"/>
          <w:sz w:val="20"/>
          <w:szCs w:val="20"/>
        </w:rPr>
        <w:t xml:space="preserve"> </w:t>
      </w:r>
      <w:r w:rsidR="0099186B">
        <w:rPr>
          <w:rFonts w:asciiTheme="minorBidi" w:hAnsiTheme="minorBidi" w:cstheme="minorBidi"/>
          <w:sz w:val="20"/>
          <w:szCs w:val="20"/>
        </w:rPr>
        <w:t>les «</w:t>
      </w:r>
      <w:r w:rsidRPr="003C2E9B">
        <w:rPr>
          <w:rFonts w:asciiTheme="minorBidi" w:hAnsiTheme="minorBidi" w:cstheme="minorBidi"/>
          <w:sz w:val="20"/>
          <w:szCs w:val="20"/>
        </w:rPr>
        <w:t xml:space="preserve"> houill</w:t>
      </w:r>
      <w:r w:rsidR="0099186B">
        <w:rPr>
          <w:rFonts w:asciiTheme="minorBidi" w:hAnsiTheme="minorBidi" w:cstheme="minorBidi"/>
          <w:sz w:val="20"/>
          <w:szCs w:val="20"/>
        </w:rPr>
        <w:t>es, cokes et combustibles » et l</w:t>
      </w:r>
      <w:r w:rsidRPr="003C2E9B">
        <w:rPr>
          <w:rFonts w:asciiTheme="minorBidi" w:hAnsiTheme="minorBidi" w:cstheme="minorBidi"/>
          <w:sz w:val="20"/>
          <w:szCs w:val="20"/>
        </w:rPr>
        <w:t xml:space="preserve">es « gaz de pétrole et autres hydrocarbures », </w:t>
      </w:r>
      <w:r w:rsidR="0099186B">
        <w:rPr>
          <w:rFonts w:asciiTheme="minorBidi" w:hAnsiTheme="minorBidi" w:cstheme="minorBidi"/>
          <w:sz w:val="20"/>
          <w:szCs w:val="20"/>
        </w:rPr>
        <w:t xml:space="preserve">alors que </w:t>
      </w:r>
      <w:r w:rsidR="0099186B" w:rsidRPr="003C2E9B">
        <w:rPr>
          <w:rFonts w:asciiTheme="minorBidi" w:hAnsiTheme="minorBidi" w:cstheme="minorBidi"/>
          <w:sz w:val="20"/>
          <w:szCs w:val="20"/>
        </w:rPr>
        <w:t>les</w:t>
      </w:r>
      <w:r w:rsidRPr="003C2E9B">
        <w:rPr>
          <w:rFonts w:asciiTheme="minorBidi" w:hAnsiTheme="minorBidi" w:cstheme="minorBidi"/>
          <w:sz w:val="20"/>
          <w:szCs w:val="20"/>
        </w:rPr>
        <w:t xml:space="preserve"> achats de gasoils, de fuels</w:t>
      </w:r>
      <w:r w:rsidR="002460BB">
        <w:rPr>
          <w:rFonts w:asciiTheme="minorBidi" w:hAnsiTheme="minorBidi" w:cstheme="minorBidi"/>
          <w:sz w:val="20"/>
          <w:szCs w:val="20"/>
        </w:rPr>
        <w:t>, de lubrifiants</w:t>
      </w:r>
      <w:r w:rsidRPr="003C2E9B">
        <w:rPr>
          <w:rFonts w:asciiTheme="minorBidi" w:hAnsiTheme="minorBidi" w:cstheme="minorBidi"/>
          <w:sz w:val="20"/>
          <w:szCs w:val="20"/>
        </w:rPr>
        <w:t xml:space="preserve"> et autres dérivés de pétrole</w:t>
      </w:r>
      <w:r w:rsidR="0099186B">
        <w:rPr>
          <w:rFonts w:asciiTheme="minorBidi" w:hAnsiTheme="minorBidi" w:cstheme="minorBidi"/>
          <w:sz w:val="20"/>
          <w:szCs w:val="20"/>
        </w:rPr>
        <w:t xml:space="preserve"> auraient connu une </w:t>
      </w:r>
      <w:r w:rsidR="000B6B77">
        <w:rPr>
          <w:rFonts w:asciiTheme="minorBidi" w:hAnsiTheme="minorBidi" w:cstheme="minorBidi"/>
          <w:sz w:val="20"/>
          <w:szCs w:val="20"/>
        </w:rPr>
        <w:t>augmentation</w:t>
      </w:r>
      <w:r w:rsidRPr="003C2E9B">
        <w:rPr>
          <w:rFonts w:asciiTheme="minorBidi" w:hAnsiTheme="minorBidi" w:cstheme="minorBidi"/>
          <w:sz w:val="20"/>
          <w:szCs w:val="20"/>
        </w:rPr>
        <w:t xml:space="preserve">. </w:t>
      </w:r>
      <w:r w:rsidR="0099186B">
        <w:rPr>
          <w:rFonts w:asciiTheme="minorBidi" w:hAnsiTheme="minorBidi" w:cstheme="minorBidi"/>
          <w:sz w:val="20"/>
          <w:szCs w:val="20"/>
        </w:rPr>
        <w:t>A l’inverse,</w:t>
      </w:r>
      <w:r w:rsidRPr="003C2E9B">
        <w:rPr>
          <w:rFonts w:asciiTheme="minorBidi" w:hAnsiTheme="minorBidi" w:cstheme="minorBidi"/>
          <w:sz w:val="20"/>
          <w:szCs w:val="20"/>
        </w:rPr>
        <w:t xml:space="preserve"> les importations de</w:t>
      </w:r>
      <w:r w:rsidR="007F646D">
        <w:rPr>
          <w:rFonts w:asciiTheme="minorBidi" w:hAnsiTheme="minorBidi" w:cstheme="minorBidi"/>
          <w:sz w:val="20"/>
          <w:szCs w:val="20"/>
        </w:rPr>
        <w:t>s</w:t>
      </w:r>
      <w:r w:rsidRPr="003C2E9B">
        <w:rPr>
          <w:rFonts w:asciiTheme="minorBidi" w:hAnsiTheme="minorBidi" w:cstheme="minorBidi"/>
          <w:sz w:val="20"/>
          <w:szCs w:val="20"/>
        </w:rPr>
        <w:t xml:space="preserve"> biens de consommation</w:t>
      </w:r>
      <w:r w:rsidR="00333F22">
        <w:rPr>
          <w:rFonts w:asciiTheme="minorBidi" w:hAnsiTheme="minorBidi" w:cstheme="minorBidi"/>
          <w:sz w:val="20"/>
          <w:szCs w:val="20"/>
        </w:rPr>
        <w:t xml:space="preserve"> et de celles des demi-produits</w:t>
      </w:r>
      <w:r w:rsidRPr="003C2E9B">
        <w:rPr>
          <w:rFonts w:asciiTheme="minorBidi" w:hAnsiTheme="minorBidi" w:cstheme="minorBidi"/>
          <w:sz w:val="20"/>
          <w:szCs w:val="20"/>
        </w:rPr>
        <w:t>, notamment les pi</w:t>
      </w:r>
      <w:r w:rsidR="000B6B77">
        <w:rPr>
          <w:rFonts w:asciiTheme="minorBidi" w:hAnsiTheme="minorBidi" w:cstheme="minorBidi"/>
          <w:sz w:val="20"/>
          <w:szCs w:val="20"/>
        </w:rPr>
        <w:t>èces détachées pour voitures et</w:t>
      </w:r>
      <w:r w:rsidR="002460BB">
        <w:rPr>
          <w:rFonts w:asciiTheme="minorBidi" w:hAnsiTheme="minorBidi" w:cstheme="minorBidi"/>
          <w:sz w:val="20"/>
          <w:szCs w:val="20"/>
        </w:rPr>
        <w:t xml:space="preserve"> </w:t>
      </w:r>
      <w:r w:rsidRPr="003C2E9B">
        <w:rPr>
          <w:rFonts w:asciiTheme="minorBidi" w:hAnsiTheme="minorBidi" w:cstheme="minorBidi"/>
          <w:sz w:val="20"/>
          <w:szCs w:val="20"/>
        </w:rPr>
        <w:t>les médicaments</w:t>
      </w:r>
      <w:r w:rsidR="000B6B77">
        <w:rPr>
          <w:rFonts w:asciiTheme="minorBidi" w:hAnsiTheme="minorBidi" w:cstheme="minorBidi"/>
          <w:sz w:val="20"/>
          <w:szCs w:val="20"/>
        </w:rPr>
        <w:t xml:space="preserve">, </w:t>
      </w:r>
      <w:r w:rsidRPr="003C2E9B">
        <w:rPr>
          <w:rFonts w:asciiTheme="minorBidi" w:hAnsiTheme="minorBidi" w:cstheme="minorBidi"/>
          <w:sz w:val="20"/>
          <w:szCs w:val="20"/>
        </w:rPr>
        <w:t>se seraient inscrit</w:t>
      </w:r>
      <w:r w:rsidR="002460BB">
        <w:rPr>
          <w:rFonts w:asciiTheme="minorBidi" w:hAnsiTheme="minorBidi" w:cstheme="minorBidi"/>
          <w:sz w:val="20"/>
          <w:szCs w:val="20"/>
        </w:rPr>
        <w:t>e</w:t>
      </w:r>
      <w:r w:rsidRPr="003C2E9B">
        <w:rPr>
          <w:rFonts w:asciiTheme="minorBidi" w:hAnsiTheme="minorBidi" w:cstheme="minorBidi"/>
          <w:sz w:val="20"/>
          <w:szCs w:val="20"/>
        </w:rPr>
        <w:t>s en hausse</w:t>
      </w:r>
      <w:r w:rsidR="00333F22">
        <w:rPr>
          <w:rFonts w:asciiTheme="minorBidi" w:hAnsiTheme="minorBidi" w:cstheme="minorBidi"/>
          <w:sz w:val="20"/>
          <w:szCs w:val="20"/>
        </w:rPr>
        <w:t>, suivies par celles</w:t>
      </w:r>
      <w:r w:rsidR="0099186B">
        <w:rPr>
          <w:rFonts w:asciiTheme="minorBidi" w:hAnsiTheme="minorBidi" w:cstheme="minorBidi"/>
          <w:sz w:val="20"/>
          <w:szCs w:val="20"/>
        </w:rPr>
        <w:t xml:space="preserve"> des</w:t>
      </w:r>
      <w:r w:rsidRPr="003C2E9B">
        <w:rPr>
          <w:rFonts w:asciiTheme="minorBidi" w:hAnsiTheme="minorBidi" w:cstheme="minorBidi"/>
          <w:sz w:val="20"/>
          <w:szCs w:val="20"/>
        </w:rPr>
        <w:t xml:space="preserve"> biens al</w:t>
      </w:r>
      <w:r w:rsidR="002460BB">
        <w:rPr>
          <w:rFonts w:asciiTheme="minorBidi" w:hAnsiTheme="minorBidi" w:cstheme="minorBidi"/>
          <w:sz w:val="20"/>
          <w:szCs w:val="20"/>
        </w:rPr>
        <w:t xml:space="preserve">imentaires </w:t>
      </w:r>
      <w:r w:rsidR="0099186B">
        <w:rPr>
          <w:rFonts w:asciiTheme="minorBidi" w:hAnsiTheme="minorBidi" w:cstheme="minorBidi"/>
          <w:sz w:val="20"/>
          <w:szCs w:val="20"/>
        </w:rPr>
        <w:t>particulièrement</w:t>
      </w:r>
      <w:r w:rsidR="002460BB">
        <w:rPr>
          <w:rFonts w:asciiTheme="minorBidi" w:hAnsiTheme="minorBidi" w:cstheme="minorBidi"/>
          <w:sz w:val="20"/>
          <w:szCs w:val="20"/>
        </w:rPr>
        <w:t xml:space="preserve"> le blé, l’orge</w:t>
      </w:r>
      <w:r w:rsidRPr="003C2E9B">
        <w:rPr>
          <w:rFonts w:asciiTheme="minorBidi" w:hAnsiTheme="minorBidi" w:cstheme="minorBidi"/>
          <w:sz w:val="20"/>
          <w:szCs w:val="20"/>
        </w:rPr>
        <w:t xml:space="preserve"> et les animaux vivants,</w:t>
      </w:r>
      <w:r w:rsidR="00517A35">
        <w:rPr>
          <w:rFonts w:asciiTheme="minorBidi" w:hAnsiTheme="minorBidi" w:cstheme="minorBidi"/>
          <w:sz w:val="20"/>
          <w:szCs w:val="20"/>
        </w:rPr>
        <w:t xml:space="preserve"> dans un contexte de</w:t>
      </w:r>
      <w:r w:rsidR="00333F22">
        <w:rPr>
          <w:rFonts w:asciiTheme="minorBidi" w:hAnsiTheme="minorBidi" w:cstheme="minorBidi"/>
          <w:sz w:val="20"/>
          <w:szCs w:val="20"/>
        </w:rPr>
        <w:t xml:space="preserve"> repli</w:t>
      </w:r>
      <w:r w:rsidRPr="003C2E9B">
        <w:rPr>
          <w:rFonts w:asciiTheme="minorBidi" w:hAnsiTheme="minorBidi" w:cstheme="minorBidi"/>
          <w:sz w:val="20"/>
          <w:szCs w:val="20"/>
        </w:rPr>
        <w:t xml:space="preserve"> de la production agricole.</w:t>
      </w:r>
    </w:p>
    <w:p w:rsidR="003C2E9B" w:rsidRDefault="003C2E9B" w:rsidP="00041BAF">
      <w:pPr>
        <w:spacing w:before="240" w:line="240" w:lineRule="exact"/>
        <w:jc w:val="both"/>
        <w:rPr>
          <w:rFonts w:asciiTheme="minorBidi" w:hAnsiTheme="minorBidi" w:cstheme="minorBidi"/>
          <w:sz w:val="20"/>
          <w:szCs w:val="20"/>
        </w:rPr>
      </w:pPr>
      <w:r w:rsidRPr="003C2E9B">
        <w:rPr>
          <w:rFonts w:asciiTheme="minorBidi" w:hAnsiTheme="minorBidi" w:cstheme="minorBidi"/>
          <w:sz w:val="20"/>
          <w:szCs w:val="20"/>
        </w:rPr>
        <w:t xml:space="preserve">La hausse des exportations des biens, en valeur, et </w:t>
      </w:r>
      <w:r w:rsidR="007E6ED6">
        <w:rPr>
          <w:rFonts w:asciiTheme="minorBidi" w:hAnsiTheme="minorBidi" w:cstheme="minorBidi"/>
          <w:sz w:val="20"/>
          <w:szCs w:val="20"/>
        </w:rPr>
        <w:t>l’inflexion</w:t>
      </w:r>
      <w:r w:rsidRPr="003C2E9B">
        <w:rPr>
          <w:rFonts w:asciiTheme="minorBidi" w:hAnsiTheme="minorBidi" w:cstheme="minorBidi"/>
          <w:sz w:val="20"/>
          <w:szCs w:val="20"/>
        </w:rPr>
        <w:t xml:space="preserve"> des importations </w:t>
      </w:r>
      <w:r w:rsidRPr="004F4F23">
        <w:rPr>
          <w:rFonts w:asciiTheme="minorBidi" w:hAnsiTheme="minorBidi" w:cstheme="minorBidi"/>
          <w:sz w:val="20"/>
          <w:szCs w:val="20"/>
        </w:rPr>
        <w:t>se serai</w:t>
      </w:r>
      <w:r w:rsidR="002460BB" w:rsidRPr="004F4F23">
        <w:rPr>
          <w:rFonts w:asciiTheme="minorBidi" w:hAnsiTheme="minorBidi" w:cstheme="minorBidi"/>
          <w:sz w:val="20"/>
          <w:szCs w:val="20"/>
        </w:rPr>
        <w:t>en</w:t>
      </w:r>
      <w:r w:rsidRPr="004F4F23">
        <w:rPr>
          <w:rFonts w:asciiTheme="minorBidi" w:hAnsiTheme="minorBidi" w:cstheme="minorBidi"/>
          <w:sz w:val="20"/>
          <w:szCs w:val="20"/>
        </w:rPr>
        <w:t>t traduit</w:t>
      </w:r>
      <w:r w:rsidR="007F646D">
        <w:rPr>
          <w:rFonts w:asciiTheme="minorBidi" w:hAnsiTheme="minorBidi" w:cstheme="minorBidi"/>
          <w:sz w:val="20"/>
          <w:szCs w:val="20"/>
        </w:rPr>
        <w:t>es</w:t>
      </w:r>
      <w:r w:rsidRPr="004F4F23">
        <w:rPr>
          <w:rFonts w:asciiTheme="minorBidi" w:hAnsiTheme="minorBidi" w:cstheme="minorBidi"/>
          <w:sz w:val="20"/>
          <w:szCs w:val="20"/>
        </w:rPr>
        <w:t xml:space="preserve"> par un allègement du déficit de la balance commerciale des biens et</w:t>
      </w:r>
      <w:r w:rsidR="004F4F23" w:rsidRPr="004F4F23">
        <w:rPr>
          <w:rFonts w:asciiTheme="minorBidi" w:hAnsiTheme="minorBidi" w:cstheme="minorBidi"/>
          <w:sz w:val="20"/>
          <w:szCs w:val="20"/>
        </w:rPr>
        <w:t xml:space="preserve"> auraient</w:t>
      </w:r>
      <w:r w:rsidRPr="004F4F23">
        <w:rPr>
          <w:rFonts w:asciiTheme="minorBidi" w:hAnsiTheme="minorBidi" w:cstheme="minorBidi"/>
          <w:sz w:val="20"/>
          <w:szCs w:val="20"/>
        </w:rPr>
        <w:t xml:space="preserve"> engendré une amélioration du taux de couverture, au premier trim</w:t>
      </w:r>
      <w:r w:rsidR="009B6487" w:rsidRPr="004F4F23">
        <w:rPr>
          <w:rFonts w:asciiTheme="minorBidi" w:hAnsiTheme="minorBidi" w:cstheme="minorBidi"/>
          <w:sz w:val="20"/>
          <w:szCs w:val="20"/>
        </w:rPr>
        <w:t>estre 2024, de 4,7</w:t>
      </w:r>
      <w:r w:rsidR="004F4F23" w:rsidRPr="004F4F23">
        <w:rPr>
          <w:rFonts w:asciiTheme="minorBidi" w:hAnsiTheme="minorBidi" w:cstheme="minorBidi"/>
          <w:sz w:val="20"/>
          <w:szCs w:val="20"/>
        </w:rPr>
        <w:t xml:space="preserve"> points par rapport à la même période de 2023, pour atteindre 66,3%</w:t>
      </w:r>
      <w:r w:rsidR="009B6487" w:rsidRPr="004F4F23">
        <w:rPr>
          <w:rFonts w:asciiTheme="minorBidi" w:hAnsiTheme="minorBidi" w:cstheme="minorBidi"/>
          <w:sz w:val="20"/>
          <w:szCs w:val="20"/>
        </w:rPr>
        <w:t>.</w:t>
      </w:r>
    </w:p>
    <w:p w:rsidR="0004242B" w:rsidRPr="00E11814" w:rsidRDefault="00825DFA" w:rsidP="003C2E9B">
      <w:pPr>
        <w:spacing w:before="240" w:line="240" w:lineRule="exact"/>
        <w:jc w:val="both"/>
        <w:rPr>
          <w:rFonts w:asciiTheme="minorBidi" w:hAnsiTheme="minorBidi" w:cstheme="minorBidi"/>
          <w:b/>
          <w:bCs/>
          <w:color w:val="C00000"/>
          <w:sz w:val="20"/>
          <w:szCs w:val="20"/>
        </w:rPr>
      </w:pPr>
      <w:r w:rsidRPr="00825DFA">
        <w:rPr>
          <w:noProof/>
        </w:rPr>
        <w:drawing>
          <wp:anchor distT="0" distB="0" distL="114300" distR="114300" simplePos="0" relativeHeight="251664384" behindDoc="0" locked="0" layoutInCell="1" allowOverlap="1">
            <wp:simplePos x="0" y="0"/>
            <wp:positionH relativeFrom="column">
              <wp:posOffset>3223260</wp:posOffset>
            </wp:positionH>
            <wp:positionV relativeFrom="paragraph">
              <wp:posOffset>212961</wp:posOffset>
            </wp:positionV>
            <wp:extent cx="3242945" cy="2817495"/>
            <wp:effectExtent l="0" t="0" r="0" b="190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2945" cy="2817495"/>
                    </a:xfrm>
                    <a:prstGeom prst="rect">
                      <a:avLst/>
                    </a:prstGeom>
                    <a:noFill/>
                    <a:ln>
                      <a:noFill/>
                    </a:ln>
                  </pic:spPr>
                </pic:pic>
              </a:graphicData>
            </a:graphic>
          </wp:anchor>
        </w:drawing>
      </w:r>
      <w:r w:rsidR="007E6ED6">
        <w:rPr>
          <w:rFonts w:asciiTheme="minorBidi" w:hAnsiTheme="minorBidi" w:cstheme="minorBidi"/>
          <w:b/>
          <w:bCs/>
          <w:color w:val="C00000"/>
          <w:sz w:val="20"/>
          <w:szCs w:val="20"/>
        </w:rPr>
        <w:t xml:space="preserve">Rétablissement </w:t>
      </w:r>
      <w:bookmarkStart w:id="0" w:name="_GoBack"/>
      <w:bookmarkEnd w:id="0"/>
      <w:r w:rsidR="007E6ED6">
        <w:rPr>
          <w:rFonts w:asciiTheme="minorBidi" w:hAnsiTheme="minorBidi" w:cstheme="minorBidi"/>
          <w:b/>
          <w:bCs/>
          <w:color w:val="C00000"/>
          <w:sz w:val="20"/>
          <w:szCs w:val="20"/>
        </w:rPr>
        <w:t>continu</w:t>
      </w:r>
      <w:r w:rsidR="00EB5962" w:rsidRPr="00E11814">
        <w:rPr>
          <w:rFonts w:asciiTheme="minorBidi" w:hAnsiTheme="minorBidi" w:cstheme="minorBidi"/>
          <w:b/>
          <w:bCs/>
          <w:color w:val="C00000"/>
          <w:sz w:val="20"/>
          <w:szCs w:val="20"/>
        </w:rPr>
        <w:t xml:space="preserve"> </w:t>
      </w:r>
      <w:r w:rsidR="001632BC" w:rsidRPr="00E11814">
        <w:rPr>
          <w:rFonts w:asciiTheme="minorBidi" w:hAnsiTheme="minorBidi" w:cstheme="minorBidi"/>
          <w:b/>
          <w:bCs/>
          <w:color w:val="C00000"/>
          <w:sz w:val="20"/>
          <w:szCs w:val="20"/>
        </w:rPr>
        <w:t>de la demande intérieure</w:t>
      </w:r>
    </w:p>
    <w:p w:rsidR="00F00F6A" w:rsidRPr="00E11814" w:rsidRDefault="00F00F6A" w:rsidP="005D0403">
      <w:pPr>
        <w:jc w:val="both"/>
        <w:rPr>
          <w:rFonts w:asciiTheme="minorBidi" w:hAnsiTheme="minorBidi" w:cstheme="minorBidi"/>
          <w:sz w:val="20"/>
          <w:szCs w:val="20"/>
        </w:rPr>
      </w:pPr>
    </w:p>
    <w:p w:rsidR="003C2E9B" w:rsidRDefault="00A63CF9" w:rsidP="00333F22">
      <w:pPr>
        <w:jc w:val="both"/>
        <w:rPr>
          <w:rFonts w:asciiTheme="minorBidi" w:hAnsiTheme="minorBidi" w:cstheme="minorBidi"/>
          <w:sz w:val="20"/>
          <w:szCs w:val="20"/>
        </w:rPr>
      </w:pPr>
      <w:r>
        <w:rPr>
          <w:rFonts w:asciiTheme="minorBidi" w:hAnsiTheme="minorBidi" w:cstheme="minorBidi"/>
          <w:sz w:val="20"/>
          <w:szCs w:val="20"/>
        </w:rPr>
        <w:t>L</w:t>
      </w:r>
      <w:r w:rsidR="00D87E7B" w:rsidRPr="00D87E7B">
        <w:rPr>
          <w:rFonts w:asciiTheme="minorBidi" w:hAnsiTheme="minorBidi" w:cstheme="minorBidi"/>
          <w:sz w:val="20"/>
          <w:szCs w:val="20"/>
        </w:rPr>
        <w:t xml:space="preserve">a demande intérieure aurait </w:t>
      </w:r>
      <w:r w:rsidR="00D87E7B">
        <w:rPr>
          <w:rFonts w:asciiTheme="minorBidi" w:hAnsiTheme="minorBidi" w:cstheme="minorBidi"/>
          <w:sz w:val="20"/>
          <w:szCs w:val="20"/>
        </w:rPr>
        <w:t>confirmé sa reprise</w:t>
      </w:r>
      <w:r>
        <w:rPr>
          <w:rFonts w:asciiTheme="minorBidi" w:hAnsiTheme="minorBidi" w:cstheme="minorBidi"/>
          <w:sz w:val="20"/>
          <w:szCs w:val="20"/>
        </w:rPr>
        <w:t xml:space="preserve"> a</w:t>
      </w:r>
      <w:r w:rsidRPr="00D87E7B">
        <w:rPr>
          <w:rFonts w:asciiTheme="minorBidi" w:hAnsiTheme="minorBidi" w:cstheme="minorBidi"/>
          <w:sz w:val="20"/>
          <w:szCs w:val="20"/>
        </w:rPr>
        <w:t>u premier trimestre 2024</w:t>
      </w:r>
      <w:r>
        <w:rPr>
          <w:rFonts w:asciiTheme="minorBidi" w:hAnsiTheme="minorBidi" w:cstheme="minorBidi"/>
          <w:sz w:val="20"/>
          <w:szCs w:val="20"/>
        </w:rPr>
        <w:t>,</w:t>
      </w:r>
      <w:r w:rsidR="00D87E7B" w:rsidRPr="00D87E7B">
        <w:rPr>
          <w:rFonts w:asciiTheme="minorBidi" w:hAnsiTheme="minorBidi" w:cstheme="minorBidi"/>
          <w:sz w:val="20"/>
          <w:szCs w:val="20"/>
        </w:rPr>
        <w:t xml:space="preserve"> contribuant </w:t>
      </w:r>
      <w:r w:rsidR="004F4F23">
        <w:rPr>
          <w:rFonts w:asciiTheme="minorBidi" w:hAnsiTheme="minorBidi" w:cstheme="minorBidi"/>
          <w:sz w:val="20"/>
          <w:szCs w:val="20"/>
        </w:rPr>
        <w:t>pour</w:t>
      </w:r>
      <w:r>
        <w:rPr>
          <w:rFonts w:asciiTheme="minorBidi" w:hAnsiTheme="minorBidi" w:cstheme="minorBidi"/>
          <w:sz w:val="20"/>
          <w:szCs w:val="20"/>
        </w:rPr>
        <w:t xml:space="preserve"> </w:t>
      </w:r>
      <w:r w:rsidR="00D87E7B" w:rsidRPr="00D87E7B">
        <w:rPr>
          <w:rFonts w:asciiTheme="minorBidi" w:hAnsiTheme="minorBidi" w:cstheme="minorBidi"/>
          <w:sz w:val="20"/>
          <w:szCs w:val="20"/>
        </w:rPr>
        <w:t>6</w:t>
      </w:r>
      <w:r w:rsidR="00041BAF">
        <w:rPr>
          <w:rFonts w:asciiTheme="minorBidi" w:hAnsiTheme="minorBidi" w:cstheme="minorBidi"/>
          <w:sz w:val="20"/>
          <w:szCs w:val="20"/>
        </w:rPr>
        <w:t>,7</w:t>
      </w:r>
      <w:r w:rsidR="00D87E7B" w:rsidRPr="00D87E7B">
        <w:rPr>
          <w:rFonts w:asciiTheme="minorBidi" w:hAnsiTheme="minorBidi" w:cstheme="minorBidi"/>
          <w:sz w:val="20"/>
          <w:szCs w:val="20"/>
        </w:rPr>
        <w:t xml:space="preserve"> points à la croissance économique globale, </w:t>
      </w:r>
      <w:r w:rsidR="00DD4B28">
        <w:rPr>
          <w:rFonts w:asciiTheme="minorBidi" w:hAnsiTheme="minorBidi" w:cstheme="minorBidi"/>
          <w:sz w:val="20"/>
          <w:szCs w:val="20"/>
        </w:rPr>
        <w:t>au lieu de</w:t>
      </w:r>
      <w:r w:rsidR="00F82E3E">
        <w:rPr>
          <w:rFonts w:asciiTheme="minorBidi" w:hAnsiTheme="minorBidi" w:cstheme="minorBidi"/>
          <w:sz w:val="20"/>
          <w:szCs w:val="20"/>
        </w:rPr>
        <w:t xml:space="preserve"> </w:t>
      </w:r>
      <w:r w:rsidR="00D87E7B" w:rsidRPr="00D87E7B">
        <w:rPr>
          <w:rFonts w:asciiTheme="minorBidi" w:hAnsiTheme="minorBidi" w:cstheme="minorBidi"/>
          <w:sz w:val="20"/>
          <w:szCs w:val="20"/>
        </w:rPr>
        <w:t>-0,1 point au même trimestre de l’année passée.</w:t>
      </w:r>
      <w:r w:rsidR="00D87E7B">
        <w:rPr>
          <w:rFonts w:asciiTheme="minorBidi" w:hAnsiTheme="minorBidi" w:cstheme="minorBidi"/>
          <w:sz w:val="20"/>
          <w:szCs w:val="20"/>
        </w:rPr>
        <w:t xml:space="preserve"> </w:t>
      </w:r>
      <w:r w:rsidR="003C2E9B" w:rsidRPr="003C2E9B">
        <w:rPr>
          <w:rFonts w:asciiTheme="minorBidi" w:hAnsiTheme="minorBidi" w:cstheme="minorBidi"/>
          <w:sz w:val="20"/>
          <w:szCs w:val="20"/>
        </w:rPr>
        <w:t>La consommation des ménages se serait améliorée de 2,</w:t>
      </w:r>
      <w:r w:rsidR="00041BAF">
        <w:rPr>
          <w:rFonts w:asciiTheme="minorBidi" w:hAnsiTheme="minorBidi" w:cstheme="minorBidi"/>
          <w:sz w:val="20"/>
          <w:szCs w:val="20"/>
        </w:rPr>
        <w:t>7</w:t>
      </w:r>
      <w:r w:rsidR="003C2E9B" w:rsidRPr="003C2E9B">
        <w:rPr>
          <w:rFonts w:asciiTheme="minorBidi" w:hAnsiTheme="minorBidi" w:cstheme="minorBidi"/>
          <w:sz w:val="20"/>
          <w:szCs w:val="20"/>
        </w:rPr>
        <w:t>%</w:t>
      </w:r>
      <w:r w:rsidR="004F4F23">
        <w:rPr>
          <w:rFonts w:asciiTheme="minorBidi" w:hAnsiTheme="minorBidi" w:cstheme="minorBidi"/>
          <w:sz w:val="20"/>
          <w:szCs w:val="20"/>
        </w:rPr>
        <w:t>,</w:t>
      </w:r>
      <w:r w:rsidR="003C2E9B" w:rsidRPr="003C2E9B">
        <w:rPr>
          <w:rFonts w:asciiTheme="minorBidi" w:hAnsiTheme="minorBidi" w:cstheme="minorBidi"/>
          <w:sz w:val="20"/>
          <w:szCs w:val="20"/>
        </w:rPr>
        <w:t xml:space="preserve"> au lieu de </w:t>
      </w:r>
      <w:r w:rsidR="00A732D3" w:rsidRPr="004F4F23">
        <w:rPr>
          <w:rFonts w:asciiTheme="minorBidi" w:hAnsiTheme="minorBidi" w:cstheme="minorBidi"/>
          <w:sz w:val="20"/>
          <w:szCs w:val="20"/>
        </w:rPr>
        <w:t>+</w:t>
      </w:r>
      <w:r w:rsidR="003C2E9B" w:rsidRPr="004F4F23">
        <w:rPr>
          <w:rFonts w:asciiTheme="minorBidi" w:hAnsiTheme="minorBidi" w:cstheme="minorBidi"/>
          <w:sz w:val="20"/>
          <w:szCs w:val="20"/>
        </w:rPr>
        <w:t>0,</w:t>
      </w:r>
      <w:r w:rsidR="00451FC0" w:rsidRPr="004F4F23">
        <w:rPr>
          <w:rFonts w:asciiTheme="minorBidi" w:hAnsiTheme="minorBidi" w:cstheme="minorBidi"/>
          <w:sz w:val="20"/>
          <w:szCs w:val="20"/>
        </w:rPr>
        <w:t>1</w:t>
      </w:r>
      <w:r w:rsidR="003C2E9B" w:rsidRPr="004F4F23">
        <w:rPr>
          <w:rFonts w:asciiTheme="minorBidi" w:hAnsiTheme="minorBidi" w:cstheme="minorBidi"/>
          <w:sz w:val="20"/>
          <w:szCs w:val="20"/>
        </w:rPr>
        <w:t>%</w:t>
      </w:r>
      <w:r w:rsidR="00D87E7B" w:rsidRPr="004F4F23">
        <w:rPr>
          <w:rFonts w:asciiTheme="minorBidi" w:hAnsiTheme="minorBidi" w:cstheme="minorBidi"/>
          <w:sz w:val="20"/>
          <w:szCs w:val="20"/>
        </w:rPr>
        <w:t>,</w:t>
      </w:r>
      <w:r w:rsidR="00D87E7B">
        <w:rPr>
          <w:rFonts w:asciiTheme="minorBidi" w:hAnsiTheme="minorBidi" w:cstheme="minorBidi"/>
          <w:sz w:val="20"/>
          <w:szCs w:val="20"/>
        </w:rPr>
        <w:t xml:space="preserve"> en variation</w:t>
      </w:r>
      <w:r w:rsidR="00711E6F">
        <w:rPr>
          <w:rFonts w:asciiTheme="minorBidi" w:hAnsiTheme="minorBidi" w:cstheme="minorBidi"/>
          <w:sz w:val="20"/>
          <w:szCs w:val="20"/>
        </w:rPr>
        <w:t>s</w:t>
      </w:r>
      <w:r w:rsidR="00D87E7B">
        <w:rPr>
          <w:rFonts w:asciiTheme="minorBidi" w:hAnsiTheme="minorBidi" w:cstheme="minorBidi"/>
          <w:sz w:val="20"/>
          <w:szCs w:val="20"/>
        </w:rPr>
        <w:t xml:space="preserve"> annuelle</w:t>
      </w:r>
      <w:r w:rsidR="00711E6F">
        <w:rPr>
          <w:rFonts w:asciiTheme="minorBidi" w:hAnsiTheme="minorBidi" w:cstheme="minorBidi"/>
          <w:sz w:val="20"/>
          <w:szCs w:val="20"/>
        </w:rPr>
        <w:t>s</w:t>
      </w:r>
      <w:r w:rsidR="003C2E9B" w:rsidRPr="003C2E9B">
        <w:rPr>
          <w:rFonts w:asciiTheme="minorBidi" w:hAnsiTheme="minorBidi" w:cstheme="minorBidi"/>
          <w:sz w:val="20"/>
          <w:szCs w:val="20"/>
        </w:rPr>
        <w:t>. Cette augmentation, attribuable en partie à un effet de calendrier associé à l'augmentation des dépenses de consommation pendant et à la veille du mois de Ramadan, aurait bénéficié des gains d</w:t>
      </w:r>
      <w:r w:rsidR="00041BAF">
        <w:rPr>
          <w:rFonts w:asciiTheme="minorBidi" w:hAnsiTheme="minorBidi" w:cstheme="minorBidi"/>
          <w:sz w:val="20"/>
          <w:szCs w:val="20"/>
        </w:rPr>
        <w:t>u</w:t>
      </w:r>
      <w:r w:rsidR="003C2E9B" w:rsidRPr="003C2E9B">
        <w:rPr>
          <w:rFonts w:asciiTheme="minorBidi" w:hAnsiTheme="minorBidi" w:cstheme="minorBidi"/>
          <w:sz w:val="20"/>
          <w:szCs w:val="20"/>
        </w:rPr>
        <w:t xml:space="preserve"> pouvoir d'achat </w:t>
      </w:r>
      <w:r w:rsidR="00DD4B28">
        <w:rPr>
          <w:rFonts w:asciiTheme="minorBidi" w:hAnsiTheme="minorBidi" w:cstheme="minorBidi"/>
          <w:sz w:val="20"/>
          <w:szCs w:val="20"/>
        </w:rPr>
        <w:t>liés au</w:t>
      </w:r>
      <w:r w:rsidR="003C2E9B" w:rsidRPr="003C2E9B">
        <w:rPr>
          <w:rFonts w:asciiTheme="minorBidi" w:hAnsiTheme="minorBidi" w:cstheme="minorBidi"/>
          <w:sz w:val="20"/>
          <w:szCs w:val="20"/>
        </w:rPr>
        <w:t xml:space="preserve"> reflux de l'inflation. Elle aurait</w:t>
      </w:r>
      <w:r w:rsidR="004F4F23">
        <w:rPr>
          <w:rFonts w:asciiTheme="minorBidi" w:hAnsiTheme="minorBidi" w:cstheme="minorBidi"/>
          <w:sz w:val="20"/>
          <w:szCs w:val="20"/>
        </w:rPr>
        <w:t>,</w:t>
      </w:r>
      <w:r w:rsidR="003C2E9B" w:rsidRPr="003C2E9B">
        <w:rPr>
          <w:rFonts w:asciiTheme="minorBidi" w:hAnsiTheme="minorBidi" w:cstheme="minorBidi"/>
          <w:sz w:val="20"/>
          <w:szCs w:val="20"/>
        </w:rPr>
        <w:t xml:space="preserve"> principalement</w:t>
      </w:r>
      <w:r w:rsidR="004F4F23">
        <w:rPr>
          <w:rFonts w:asciiTheme="minorBidi" w:hAnsiTheme="minorBidi" w:cstheme="minorBidi"/>
          <w:sz w:val="20"/>
          <w:szCs w:val="20"/>
        </w:rPr>
        <w:t>,</w:t>
      </w:r>
      <w:r w:rsidR="003C2E9B" w:rsidRPr="003C2E9B">
        <w:rPr>
          <w:rFonts w:asciiTheme="minorBidi" w:hAnsiTheme="minorBidi" w:cstheme="minorBidi"/>
          <w:sz w:val="20"/>
          <w:szCs w:val="20"/>
        </w:rPr>
        <w:t xml:space="preserve"> </w:t>
      </w:r>
      <w:r w:rsidR="00DD4B28">
        <w:rPr>
          <w:rFonts w:asciiTheme="minorBidi" w:hAnsiTheme="minorBidi" w:cstheme="minorBidi"/>
          <w:sz w:val="20"/>
          <w:szCs w:val="20"/>
        </w:rPr>
        <w:t>profité aux</w:t>
      </w:r>
      <w:r w:rsidR="003C2E9B" w:rsidRPr="003C2E9B">
        <w:rPr>
          <w:rFonts w:asciiTheme="minorBidi" w:hAnsiTheme="minorBidi" w:cstheme="minorBidi"/>
          <w:sz w:val="20"/>
          <w:szCs w:val="20"/>
        </w:rPr>
        <w:t xml:space="preserve"> produ</w:t>
      </w:r>
      <w:r w:rsidR="00835DEC">
        <w:rPr>
          <w:rFonts w:asciiTheme="minorBidi" w:hAnsiTheme="minorBidi" w:cstheme="minorBidi"/>
          <w:sz w:val="20"/>
          <w:szCs w:val="20"/>
        </w:rPr>
        <w:t>it</w:t>
      </w:r>
      <w:r w:rsidR="003C2E9B" w:rsidRPr="003C2E9B">
        <w:rPr>
          <w:rFonts w:asciiTheme="minorBidi" w:hAnsiTheme="minorBidi" w:cstheme="minorBidi"/>
          <w:sz w:val="20"/>
          <w:szCs w:val="20"/>
        </w:rPr>
        <w:t>s alimentaires</w:t>
      </w:r>
      <w:r w:rsidR="00D87E7B">
        <w:rPr>
          <w:rFonts w:asciiTheme="minorBidi" w:hAnsiTheme="minorBidi" w:cstheme="minorBidi"/>
          <w:sz w:val="20"/>
          <w:szCs w:val="20"/>
        </w:rPr>
        <w:t xml:space="preserve"> et </w:t>
      </w:r>
      <w:r w:rsidR="00DD4B28">
        <w:rPr>
          <w:rFonts w:asciiTheme="minorBidi" w:hAnsiTheme="minorBidi" w:cstheme="minorBidi"/>
          <w:sz w:val="20"/>
          <w:szCs w:val="20"/>
        </w:rPr>
        <w:t>aux</w:t>
      </w:r>
      <w:r w:rsidR="00D87E7B">
        <w:rPr>
          <w:rFonts w:asciiTheme="minorBidi" w:hAnsiTheme="minorBidi" w:cstheme="minorBidi"/>
          <w:sz w:val="20"/>
          <w:szCs w:val="20"/>
        </w:rPr>
        <w:t xml:space="preserve"> produits finis de consommation importés</w:t>
      </w:r>
      <w:r w:rsidR="003C2E9B" w:rsidRPr="003C2E9B">
        <w:rPr>
          <w:rFonts w:asciiTheme="minorBidi" w:hAnsiTheme="minorBidi" w:cstheme="minorBidi"/>
          <w:sz w:val="20"/>
          <w:szCs w:val="20"/>
        </w:rPr>
        <w:t xml:space="preserve">. </w:t>
      </w:r>
      <w:r w:rsidR="007F646D">
        <w:rPr>
          <w:rFonts w:asciiTheme="minorBidi" w:hAnsiTheme="minorBidi" w:cstheme="minorBidi"/>
          <w:sz w:val="20"/>
          <w:szCs w:val="20"/>
        </w:rPr>
        <w:t>Les appréciations</w:t>
      </w:r>
      <w:r w:rsidR="00711E6F" w:rsidRPr="003C2E9B">
        <w:rPr>
          <w:rFonts w:asciiTheme="minorBidi" w:hAnsiTheme="minorBidi" w:cstheme="minorBidi"/>
          <w:sz w:val="20"/>
          <w:szCs w:val="20"/>
        </w:rPr>
        <w:t xml:space="preserve"> des commerçants de gros sur leurs ventes de produits alimentaires et de boissons, collectées dans le cadre de la dernière enquête de conjoncture, se seraient amélioré</w:t>
      </w:r>
      <w:r w:rsidR="000B6B77">
        <w:rPr>
          <w:rFonts w:asciiTheme="minorBidi" w:hAnsiTheme="minorBidi" w:cstheme="minorBidi"/>
          <w:sz w:val="20"/>
          <w:szCs w:val="20"/>
        </w:rPr>
        <w:t>e</w:t>
      </w:r>
      <w:r w:rsidR="00711E6F" w:rsidRPr="003C2E9B">
        <w:rPr>
          <w:rFonts w:asciiTheme="minorBidi" w:hAnsiTheme="minorBidi" w:cstheme="minorBidi"/>
          <w:sz w:val="20"/>
          <w:szCs w:val="20"/>
        </w:rPr>
        <w:t xml:space="preserve">s </w:t>
      </w:r>
      <w:r w:rsidR="00711E6F" w:rsidRPr="004F4F23">
        <w:rPr>
          <w:rFonts w:asciiTheme="minorBidi" w:hAnsiTheme="minorBidi" w:cstheme="minorBidi"/>
          <w:sz w:val="20"/>
          <w:szCs w:val="20"/>
        </w:rPr>
        <w:t>de</w:t>
      </w:r>
      <w:r w:rsidR="00451FC0" w:rsidRPr="004F4F23">
        <w:rPr>
          <w:rFonts w:asciiTheme="minorBidi" w:hAnsiTheme="minorBidi" w:cstheme="minorBidi"/>
          <w:sz w:val="20"/>
          <w:szCs w:val="20"/>
        </w:rPr>
        <w:t xml:space="preserve"> 24,6</w:t>
      </w:r>
      <w:r w:rsidR="00711E6F" w:rsidRPr="004F4F23">
        <w:rPr>
          <w:rFonts w:asciiTheme="minorBidi" w:hAnsiTheme="minorBidi" w:cstheme="minorBidi"/>
          <w:sz w:val="20"/>
          <w:szCs w:val="20"/>
        </w:rPr>
        <w:t xml:space="preserve"> points,</w:t>
      </w:r>
      <w:r w:rsidR="00711E6F" w:rsidRPr="003C2E9B">
        <w:rPr>
          <w:rFonts w:asciiTheme="minorBidi" w:hAnsiTheme="minorBidi" w:cstheme="minorBidi"/>
          <w:sz w:val="20"/>
          <w:szCs w:val="20"/>
        </w:rPr>
        <w:t xml:space="preserve"> en va</w:t>
      </w:r>
      <w:r w:rsidR="000B6B77">
        <w:rPr>
          <w:rFonts w:asciiTheme="minorBidi" w:hAnsiTheme="minorBidi" w:cstheme="minorBidi"/>
          <w:sz w:val="20"/>
          <w:szCs w:val="20"/>
        </w:rPr>
        <w:t>riation annuelle, alors que celles</w:t>
      </w:r>
      <w:r w:rsidR="00711E6F" w:rsidRPr="003C2E9B">
        <w:rPr>
          <w:rFonts w:asciiTheme="minorBidi" w:hAnsiTheme="minorBidi" w:cstheme="minorBidi"/>
          <w:sz w:val="20"/>
          <w:szCs w:val="20"/>
        </w:rPr>
        <w:t xml:space="preserve"> des biens domestiques et agricoles se seraient toujours maintenu</w:t>
      </w:r>
      <w:r w:rsidR="000B6B77">
        <w:rPr>
          <w:rFonts w:asciiTheme="minorBidi" w:hAnsiTheme="minorBidi" w:cstheme="minorBidi"/>
          <w:sz w:val="20"/>
          <w:szCs w:val="20"/>
        </w:rPr>
        <w:t>e</w:t>
      </w:r>
      <w:r w:rsidR="00711E6F" w:rsidRPr="003C2E9B">
        <w:rPr>
          <w:rFonts w:asciiTheme="minorBidi" w:hAnsiTheme="minorBidi" w:cstheme="minorBidi"/>
          <w:sz w:val="20"/>
          <w:szCs w:val="20"/>
        </w:rPr>
        <w:t xml:space="preserve">s </w:t>
      </w:r>
      <w:r w:rsidR="00A0486A">
        <w:rPr>
          <w:rFonts w:asciiTheme="minorBidi" w:hAnsiTheme="minorBidi" w:cstheme="minorBidi"/>
          <w:sz w:val="20"/>
          <w:szCs w:val="20"/>
        </w:rPr>
        <w:t>sur une</w:t>
      </w:r>
      <w:r w:rsidR="00711E6F" w:rsidRPr="003C2E9B">
        <w:rPr>
          <w:rFonts w:asciiTheme="minorBidi" w:hAnsiTheme="minorBidi" w:cstheme="minorBidi"/>
          <w:sz w:val="20"/>
          <w:szCs w:val="20"/>
        </w:rPr>
        <w:t xml:space="preserve"> tendance baissière. </w:t>
      </w:r>
      <w:r w:rsidR="00D87E7B" w:rsidRPr="00D87E7B">
        <w:rPr>
          <w:rFonts w:asciiTheme="minorBidi" w:hAnsiTheme="minorBidi" w:cstheme="minorBidi"/>
          <w:sz w:val="20"/>
          <w:szCs w:val="20"/>
        </w:rPr>
        <w:t xml:space="preserve">La consommation des administrations publiques se serait, pour sa part, accrue de </w:t>
      </w:r>
      <w:r w:rsidR="00A0486A">
        <w:rPr>
          <w:rFonts w:asciiTheme="minorBidi" w:hAnsiTheme="minorBidi" w:cstheme="minorBidi"/>
          <w:sz w:val="20"/>
          <w:szCs w:val="20"/>
        </w:rPr>
        <w:t>3</w:t>
      </w:r>
      <w:r w:rsidR="00D87E7B" w:rsidRPr="00D87E7B">
        <w:rPr>
          <w:rFonts w:asciiTheme="minorBidi" w:hAnsiTheme="minorBidi" w:cstheme="minorBidi"/>
          <w:sz w:val="20"/>
          <w:szCs w:val="20"/>
        </w:rPr>
        <w:t>,4%, au lieu de +2,7% au même trimestre de l’année précédente, en ligne avec l’accroissement des dépenses</w:t>
      </w:r>
      <w:r w:rsidR="00333F22">
        <w:rPr>
          <w:rFonts w:asciiTheme="minorBidi" w:hAnsiTheme="minorBidi" w:cstheme="minorBidi"/>
          <w:sz w:val="20"/>
          <w:szCs w:val="20"/>
        </w:rPr>
        <w:t xml:space="preserve"> de fonctionnement.</w:t>
      </w:r>
      <w:r w:rsidR="00711E6F">
        <w:rPr>
          <w:rFonts w:asciiTheme="minorBidi" w:hAnsiTheme="minorBidi" w:cstheme="minorBidi"/>
          <w:sz w:val="20"/>
          <w:szCs w:val="20"/>
        </w:rPr>
        <w:t xml:space="preserve"> </w:t>
      </w:r>
    </w:p>
    <w:p w:rsidR="003C2E9B" w:rsidRPr="003C2E9B" w:rsidRDefault="003C2E9B" w:rsidP="003C2E9B">
      <w:pPr>
        <w:jc w:val="both"/>
        <w:rPr>
          <w:rFonts w:asciiTheme="minorBidi" w:hAnsiTheme="minorBidi" w:cstheme="minorBidi"/>
          <w:sz w:val="20"/>
          <w:szCs w:val="20"/>
        </w:rPr>
      </w:pPr>
    </w:p>
    <w:p w:rsidR="00F82E3E" w:rsidRDefault="007F646D" w:rsidP="00333F22">
      <w:pPr>
        <w:jc w:val="both"/>
        <w:rPr>
          <w:rFonts w:asciiTheme="minorBidi" w:hAnsiTheme="minorBidi" w:cstheme="minorBidi"/>
          <w:sz w:val="20"/>
          <w:szCs w:val="20"/>
        </w:rPr>
      </w:pPr>
      <w:r>
        <w:rPr>
          <w:rFonts w:asciiTheme="minorBidi" w:hAnsiTheme="minorBidi" w:cstheme="minorBidi"/>
          <w:sz w:val="20"/>
          <w:szCs w:val="20"/>
        </w:rPr>
        <w:t>L’investissement aurait, quant à lui, vu sa</w:t>
      </w:r>
      <w:r w:rsidRPr="003C2E9B">
        <w:rPr>
          <w:rFonts w:asciiTheme="minorBidi" w:hAnsiTheme="minorBidi" w:cstheme="minorBidi"/>
          <w:sz w:val="20"/>
          <w:szCs w:val="20"/>
        </w:rPr>
        <w:t xml:space="preserve"> dynamique </w:t>
      </w:r>
      <w:r>
        <w:rPr>
          <w:rFonts w:asciiTheme="minorBidi" w:hAnsiTheme="minorBidi" w:cstheme="minorBidi"/>
          <w:sz w:val="20"/>
          <w:szCs w:val="20"/>
        </w:rPr>
        <w:t>de croissance</w:t>
      </w:r>
      <w:r w:rsidRPr="003C2E9B">
        <w:rPr>
          <w:rFonts w:asciiTheme="minorBidi" w:hAnsiTheme="minorBidi" w:cstheme="minorBidi"/>
          <w:sz w:val="20"/>
          <w:szCs w:val="20"/>
        </w:rPr>
        <w:t xml:space="preserve"> </w:t>
      </w:r>
      <w:r>
        <w:rPr>
          <w:rFonts w:asciiTheme="minorBidi" w:hAnsiTheme="minorBidi" w:cstheme="minorBidi"/>
          <w:sz w:val="20"/>
          <w:szCs w:val="20"/>
        </w:rPr>
        <w:t xml:space="preserve">se poursuivre </w:t>
      </w:r>
      <w:r w:rsidR="00A0486A">
        <w:rPr>
          <w:rFonts w:asciiTheme="minorBidi" w:hAnsiTheme="minorBidi" w:cstheme="minorBidi"/>
          <w:sz w:val="20"/>
          <w:szCs w:val="20"/>
        </w:rPr>
        <w:t>à un rythme soutenu</w:t>
      </w:r>
      <w:r w:rsidR="003C2E9B" w:rsidRPr="003C2E9B">
        <w:rPr>
          <w:rFonts w:asciiTheme="minorBidi" w:hAnsiTheme="minorBidi" w:cstheme="minorBidi"/>
          <w:sz w:val="20"/>
          <w:szCs w:val="20"/>
        </w:rPr>
        <w:t xml:space="preserve"> pour le troisième trimestre consécutif, avec une hausse de 17,3% de la </w:t>
      </w:r>
      <w:r w:rsidR="00333F22">
        <w:rPr>
          <w:rFonts w:asciiTheme="minorBidi" w:hAnsiTheme="minorBidi" w:cstheme="minorBidi"/>
          <w:sz w:val="20"/>
          <w:szCs w:val="20"/>
        </w:rPr>
        <w:t>f</w:t>
      </w:r>
      <w:r w:rsidR="003C2E9B" w:rsidRPr="003C2E9B">
        <w:rPr>
          <w:rFonts w:asciiTheme="minorBidi" w:hAnsiTheme="minorBidi" w:cstheme="minorBidi"/>
          <w:sz w:val="20"/>
          <w:szCs w:val="20"/>
        </w:rPr>
        <w:t xml:space="preserve">ormation </w:t>
      </w:r>
      <w:r w:rsidR="00333F22">
        <w:rPr>
          <w:rFonts w:asciiTheme="minorBidi" w:hAnsiTheme="minorBidi" w:cstheme="minorBidi"/>
          <w:sz w:val="20"/>
          <w:szCs w:val="20"/>
        </w:rPr>
        <w:t>b</w:t>
      </w:r>
      <w:r w:rsidR="003C2E9B" w:rsidRPr="003C2E9B">
        <w:rPr>
          <w:rFonts w:asciiTheme="minorBidi" w:hAnsiTheme="minorBidi" w:cstheme="minorBidi"/>
          <w:sz w:val="20"/>
          <w:szCs w:val="20"/>
        </w:rPr>
        <w:t>rute de</w:t>
      </w:r>
      <w:r w:rsidR="00333F22">
        <w:rPr>
          <w:rFonts w:asciiTheme="minorBidi" w:hAnsiTheme="minorBidi" w:cstheme="minorBidi"/>
          <w:sz w:val="20"/>
          <w:szCs w:val="20"/>
        </w:rPr>
        <w:t xml:space="preserve"> c</w:t>
      </w:r>
      <w:r w:rsidR="000B6B77">
        <w:rPr>
          <w:rFonts w:asciiTheme="minorBidi" w:hAnsiTheme="minorBidi" w:cstheme="minorBidi"/>
          <w:sz w:val="20"/>
          <w:szCs w:val="20"/>
        </w:rPr>
        <w:t>apital au premier trimestre</w:t>
      </w:r>
      <w:r w:rsidR="003C2E9B" w:rsidRPr="003C2E9B">
        <w:rPr>
          <w:rFonts w:asciiTheme="minorBidi" w:hAnsiTheme="minorBidi" w:cstheme="minorBidi"/>
          <w:sz w:val="20"/>
          <w:szCs w:val="20"/>
        </w:rPr>
        <w:t xml:space="preserve"> 2024. Les entreprises, bénéficiant d'une amélioration </w:t>
      </w:r>
      <w:r w:rsidR="00A0486A">
        <w:rPr>
          <w:rFonts w:asciiTheme="minorBidi" w:hAnsiTheme="minorBidi" w:cstheme="minorBidi"/>
          <w:sz w:val="20"/>
          <w:szCs w:val="20"/>
        </w:rPr>
        <w:t>impulsée</w:t>
      </w:r>
      <w:r w:rsidR="00A0486A" w:rsidRPr="003C2E9B">
        <w:rPr>
          <w:rFonts w:asciiTheme="minorBidi" w:hAnsiTheme="minorBidi" w:cstheme="minorBidi"/>
          <w:sz w:val="20"/>
          <w:szCs w:val="20"/>
        </w:rPr>
        <w:t xml:space="preserve"> par l'inflation </w:t>
      </w:r>
      <w:r w:rsidR="003C2E9B" w:rsidRPr="003C2E9B">
        <w:rPr>
          <w:rFonts w:asciiTheme="minorBidi" w:hAnsiTheme="minorBidi" w:cstheme="minorBidi"/>
          <w:sz w:val="20"/>
          <w:szCs w:val="20"/>
        </w:rPr>
        <w:t xml:space="preserve">de leurs marges à la fin de </w:t>
      </w:r>
      <w:r w:rsidR="00A0486A" w:rsidRPr="003C2E9B">
        <w:rPr>
          <w:rFonts w:asciiTheme="minorBidi" w:hAnsiTheme="minorBidi" w:cstheme="minorBidi"/>
          <w:sz w:val="20"/>
          <w:szCs w:val="20"/>
        </w:rPr>
        <w:t>2023, auraient</w:t>
      </w:r>
      <w:r>
        <w:rPr>
          <w:rFonts w:asciiTheme="minorBidi" w:hAnsiTheme="minorBidi" w:cstheme="minorBidi"/>
          <w:sz w:val="20"/>
          <w:szCs w:val="20"/>
        </w:rPr>
        <w:t>,</w:t>
      </w:r>
      <w:r w:rsidR="003C2E9B" w:rsidRPr="003C2E9B">
        <w:rPr>
          <w:rFonts w:asciiTheme="minorBidi" w:hAnsiTheme="minorBidi" w:cstheme="minorBidi"/>
          <w:sz w:val="20"/>
          <w:szCs w:val="20"/>
        </w:rPr>
        <w:t xml:space="preserve"> </w:t>
      </w:r>
      <w:r w:rsidR="00A0486A">
        <w:rPr>
          <w:rFonts w:asciiTheme="minorBidi" w:hAnsiTheme="minorBidi" w:cstheme="minorBidi"/>
          <w:sz w:val="20"/>
          <w:szCs w:val="20"/>
        </w:rPr>
        <w:t>également</w:t>
      </w:r>
      <w:r>
        <w:rPr>
          <w:rFonts w:asciiTheme="minorBidi" w:hAnsiTheme="minorBidi" w:cstheme="minorBidi"/>
          <w:sz w:val="20"/>
          <w:szCs w:val="20"/>
        </w:rPr>
        <w:t>,</w:t>
      </w:r>
      <w:r w:rsidR="00A0486A">
        <w:rPr>
          <w:rFonts w:asciiTheme="minorBidi" w:hAnsiTheme="minorBidi" w:cstheme="minorBidi"/>
          <w:sz w:val="20"/>
          <w:szCs w:val="20"/>
        </w:rPr>
        <w:t xml:space="preserve"> </w:t>
      </w:r>
      <w:r w:rsidR="003C2E9B" w:rsidRPr="003C2E9B">
        <w:rPr>
          <w:rFonts w:asciiTheme="minorBidi" w:hAnsiTheme="minorBidi" w:cstheme="minorBidi"/>
          <w:sz w:val="20"/>
          <w:szCs w:val="20"/>
        </w:rPr>
        <w:t xml:space="preserve">renforcé </w:t>
      </w:r>
      <w:r w:rsidR="00A0486A">
        <w:rPr>
          <w:rFonts w:asciiTheme="minorBidi" w:hAnsiTheme="minorBidi" w:cstheme="minorBidi"/>
          <w:sz w:val="20"/>
          <w:szCs w:val="20"/>
        </w:rPr>
        <w:t xml:space="preserve">leur </w:t>
      </w:r>
      <w:r w:rsidR="00A0486A" w:rsidRPr="003C2E9B">
        <w:rPr>
          <w:rFonts w:asciiTheme="minorBidi" w:hAnsiTheme="minorBidi" w:cstheme="minorBidi"/>
          <w:sz w:val="20"/>
          <w:szCs w:val="20"/>
        </w:rPr>
        <w:t xml:space="preserve">recours à l'endettement bancaire </w:t>
      </w:r>
      <w:r w:rsidR="00A0486A">
        <w:rPr>
          <w:rFonts w:asciiTheme="minorBidi" w:hAnsiTheme="minorBidi" w:cstheme="minorBidi"/>
          <w:sz w:val="20"/>
          <w:szCs w:val="20"/>
        </w:rPr>
        <w:t>pour financer leurs projets d’investissement</w:t>
      </w:r>
      <w:r w:rsidR="003C2E9B" w:rsidRPr="003C2E9B">
        <w:rPr>
          <w:rFonts w:asciiTheme="minorBidi" w:hAnsiTheme="minorBidi" w:cstheme="minorBidi"/>
          <w:sz w:val="20"/>
          <w:szCs w:val="20"/>
        </w:rPr>
        <w:t>. A fin février 2024, les crédits à l’équipement aurai</w:t>
      </w:r>
      <w:r w:rsidR="00A0486A">
        <w:rPr>
          <w:rFonts w:asciiTheme="minorBidi" w:hAnsiTheme="minorBidi" w:cstheme="minorBidi"/>
          <w:sz w:val="20"/>
          <w:szCs w:val="20"/>
        </w:rPr>
        <w:t>en</w:t>
      </w:r>
      <w:r w:rsidR="003C2E9B" w:rsidRPr="003C2E9B">
        <w:rPr>
          <w:rFonts w:asciiTheme="minorBidi" w:hAnsiTheme="minorBidi" w:cstheme="minorBidi"/>
          <w:sz w:val="20"/>
          <w:szCs w:val="20"/>
        </w:rPr>
        <w:t>t enregistré une hausse de</w:t>
      </w:r>
      <w:r w:rsidR="00F82E3E">
        <w:rPr>
          <w:rFonts w:asciiTheme="minorBidi" w:hAnsiTheme="minorBidi" w:cstheme="minorBidi"/>
          <w:sz w:val="20"/>
          <w:szCs w:val="20"/>
        </w:rPr>
        <w:t xml:space="preserve"> </w:t>
      </w:r>
      <w:r w:rsidR="00597C69" w:rsidRPr="00597C69">
        <w:rPr>
          <w:rFonts w:asciiTheme="minorBidi" w:hAnsiTheme="minorBidi" w:cstheme="minorBidi"/>
          <w:sz w:val="20"/>
          <w:szCs w:val="20"/>
        </w:rPr>
        <w:t>10,8</w:t>
      </w:r>
      <w:r w:rsidR="003C2E9B" w:rsidRPr="00597C69">
        <w:rPr>
          <w:rFonts w:asciiTheme="minorBidi" w:hAnsiTheme="minorBidi" w:cstheme="minorBidi"/>
          <w:sz w:val="20"/>
          <w:szCs w:val="20"/>
        </w:rPr>
        <w:t>%,</w:t>
      </w:r>
      <w:r w:rsidR="003C2E9B" w:rsidRPr="003C2E9B">
        <w:rPr>
          <w:rFonts w:asciiTheme="minorBidi" w:hAnsiTheme="minorBidi" w:cstheme="minorBidi"/>
          <w:sz w:val="20"/>
          <w:szCs w:val="20"/>
        </w:rPr>
        <w:t xml:space="preserve"> en variation annuelle</w:t>
      </w:r>
      <w:r w:rsidR="00711E6F">
        <w:rPr>
          <w:rFonts w:asciiTheme="minorBidi" w:hAnsiTheme="minorBidi" w:cstheme="minorBidi"/>
          <w:sz w:val="20"/>
          <w:szCs w:val="20"/>
        </w:rPr>
        <w:t xml:space="preserve">, au lieu de </w:t>
      </w:r>
      <w:r w:rsidR="00F82E3E" w:rsidRPr="00597C69">
        <w:rPr>
          <w:rFonts w:asciiTheme="minorBidi" w:hAnsiTheme="minorBidi" w:cstheme="minorBidi"/>
          <w:sz w:val="20"/>
          <w:szCs w:val="20"/>
        </w:rPr>
        <w:t>-</w:t>
      </w:r>
      <w:r w:rsidR="00597C69">
        <w:rPr>
          <w:rFonts w:asciiTheme="minorBidi" w:hAnsiTheme="minorBidi" w:cstheme="minorBidi"/>
          <w:sz w:val="20"/>
          <w:szCs w:val="20"/>
        </w:rPr>
        <w:t>4,6</w:t>
      </w:r>
      <w:r w:rsidR="00711E6F" w:rsidRPr="00597C69">
        <w:rPr>
          <w:rFonts w:asciiTheme="minorBidi" w:hAnsiTheme="minorBidi" w:cstheme="minorBidi"/>
          <w:sz w:val="20"/>
          <w:szCs w:val="20"/>
        </w:rPr>
        <w:t>%</w:t>
      </w:r>
      <w:r w:rsidR="00711E6F">
        <w:rPr>
          <w:rFonts w:asciiTheme="minorBidi" w:hAnsiTheme="minorBidi" w:cstheme="minorBidi"/>
          <w:sz w:val="20"/>
          <w:szCs w:val="20"/>
        </w:rPr>
        <w:t xml:space="preserve"> au cours de la même période de l’année passée.</w:t>
      </w:r>
      <w:r w:rsidR="003C2E9B" w:rsidRPr="003C2E9B">
        <w:rPr>
          <w:rFonts w:asciiTheme="minorBidi" w:hAnsiTheme="minorBidi" w:cstheme="minorBidi"/>
          <w:sz w:val="20"/>
          <w:szCs w:val="20"/>
        </w:rPr>
        <w:t xml:space="preserve"> Les investissements dans le secteur de la construction auraient</w:t>
      </w:r>
      <w:r w:rsidR="00A732D3" w:rsidRPr="004F4F23">
        <w:rPr>
          <w:rFonts w:asciiTheme="minorBidi" w:hAnsiTheme="minorBidi" w:cstheme="minorBidi"/>
          <w:sz w:val="20"/>
          <w:szCs w:val="20"/>
        </w:rPr>
        <w:t>,</w:t>
      </w:r>
      <w:r w:rsidR="003C2E9B" w:rsidRPr="004F4F23">
        <w:rPr>
          <w:rFonts w:asciiTheme="minorBidi" w:hAnsiTheme="minorBidi" w:cstheme="minorBidi"/>
          <w:sz w:val="20"/>
          <w:szCs w:val="20"/>
        </w:rPr>
        <w:t xml:space="preserve"> </w:t>
      </w:r>
      <w:r w:rsidR="00A0486A" w:rsidRPr="004F4F23">
        <w:rPr>
          <w:rFonts w:asciiTheme="minorBidi" w:hAnsiTheme="minorBidi" w:cstheme="minorBidi"/>
          <w:sz w:val="20"/>
          <w:szCs w:val="20"/>
        </w:rPr>
        <w:t>également</w:t>
      </w:r>
      <w:r w:rsidR="00A732D3" w:rsidRPr="004F4F23">
        <w:rPr>
          <w:rFonts w:asciiTheme="minorBidi" w:hAnsiTheme="minorBidi" w:cstheme="minorBidi"/>
          <w:sz w:val="20"/>
          <w:szCs w:val="20"/>
        </w:rPr>
        <w:t>,</w:t>
      </w:r>
      <w:r w:rsidR="00A0486A">
        <w:rPr>
          <w:rFonts w:asciiTheme="minorBidi" w:hAnsiTheme="minorBidi" w:cstheme="minorBidi"/>
          <w:sz w:val="20"/>
          <w:szCs w:val="20"/>
        </w:rPr>
        <w:t xml:space="preserve"> </w:t>
      </w:r>
      <w:r w:rsidR="003C2E9B" w:rsidRPr="003C2E9B">
        <w:rPr>
          <w:rFonts w:asciiTheme="minorBidi" w:hAnsiTheme="minorBidi" w:cstheme="minorBidi"/>
          <w:sz w:val="20"/>
          <w:szCs w:val="20"/>
        </w:rPr>
        <w:t xml:space="preserve">été mieux orientés, </w:t>
      </w:r>
      <w:r w:rsidR="00A0486A">
        <w:rPr>
          <w:rFonts w:asciiTheme="minorBidi" w:hAnsiTheme="minorBidi" w:cstheme="minorBidi"/>
          <w:sz w:val="20"/>
          <w:szCs w:val="20"/>
        </w:rPr>
        <w:t>grâce à</w:t>
      </w:r>
      <w:r w:rsidR="003C2E9B" w:rsidRPr="003C2E9B">
        <w:rPr>
          <w:rFonts w:asciiTheme="minorBidi" w:hAnsiTheme="minorBidi" w:cstheme="minorBidi"/>
          <w:sz w:val="20"/>
          <w:szCs w:val="20"/>
        </w:rPr>
        <w:t xml:space="preserve"> l'impulsion des programmes publics </w:t>
      </w:r>
      <w:r w:rsidR="00A0486A">
        <w:rPr>
          <w:rFonts w:asciiTheme="minorBidi" w:hAnsiTheme="minorBidi" w:cstheme="minorBidi"/>
          <w:sz w:val="20"/>
          <w:szCs w:val="20"/>
        </w:rPr>
        <w:t>relatifs à l’aménagement</w:t>
      </w:r>
      <w:r w:rsidR="003C2E9B" w:rsidRPr="003C2E9B">
        <w:rPr>
          <w:rFonts w:asciiTheme="minorBidi" w:hAnsiTheme="minorBidi" w:cstheme="minorBidi"/>
          <w:sz w:val="20"/>
          <w:szCs w:val="20"/>
        </w:rPr>
        <w:t xml:space="preserve"> des stades pour la CAN 2025, </w:t>
      </w:r>
      <w:r w:rsidR="00A0486A">
        <w:rPr>
          <w:rFonts w:asciiTheme="minorBidi" w:hAnsiTheme="minorBidi" w:cstheme="minorBidi"/>
          <w:sz w:val="20"/>
          <w:szCs w:val="20"/>
        </w:rPr>
        <w:t xml:space="preserve">à </w:t>
      </w:r>
      <w:r w:rsidR="003C2E9B" w:rsidRPr="003C2E9B">
        <w:rPr>
          <w:rFonts w:asciiTheme="minorBidi" w:hAnsiTheme="minorBidi" w:cstheme="minorBidi"/>
          <w:sz w:val="20"/>
          <w:szCs w:val="20"/>
        </w:rPr>
        <w:t>la reconstruction et la réhabilitation des zones touchées par le séisme d'El Haouz, ainsi que du programme d'aide à l'acquisition de logements.</w:t>
      </w:r>
    </w:p>
    <w:p w:rsidR="00936E34" w:rsidRDefault="00936E34" w:rsidP="005D0403">
      <w:pPr>
        <w:jc w:val="both"/>
        <w:rPr>
          <w:rFonts w:asciiTheme="minorBidi" w:hAnsiTheme="minorBidi" w:cstheme="minorBidi"/>
          <w:sz w:val="20"/>
          <w:szCs w:val="20"/>
        </w:rPr>
      </w:pPr>
    </w:p>
    <w:p w:rsidR="00936E34" w:rsidRDefault="004F4F23" w:rsidP="00D27E20">
      <w:pPr>
        <w:jc w:val="both"/>
        <w:rPr>
          <w:rFonts w:asciiTheme="minorBidi" w:hAnsiTheme="minorBidi" w:cstheme="minorBidi"/>
          <w:b/>
          <w:bCs/>
          <w:color w:val="C00000"/>
          <w:sz w:val="20"/>
          <w:szCs w:val="20"/>
        </w:rPr>
      </w:pPr>
      <w:r w:rsidRPr="004F4F23">
        <w:rPr>
          <w:rFonts w:asciiTheme="minorBidi" w:hAnsiTheme="minorBidi" w:cstheme="minorBidi"/>
          <w:b/>
          <w:bCs/>
          <w:color w:val="C00000"/>
          <w:sz w:val="20"/>
          <w:szCs w:val="20"/>
        </w:rPr>
        <w:t>L’i</w:t>
      </w:r>
      <w:r w:rsidR="00451FC0" w:rsidRPr="004F4F23">
        <w:rPr>
          <w:rFonts w:asciiTheme="minorBidi" w:hAnsiTheme="minorBidi" w:cstheme="minorBidi"/>
          <w:b/>
          <w:bCs/>
          <w:color w:val="C00000"/>
          <w:sz w:val="20"/>
          <w:szCs w:val="20"/>
        </w:rPr>
        <w:t xml:space="preserve">nflation </w:t>
      </w:r>
      <w:r w:rsidR="003C2E9B" w:rsidRPr="004F4F23">
        <w:rPr>
          <w:rFonts w:asciiTheme="minorBidi" w:hAnsiTheme="minorBidi" w:cstheme="minorBidi"/>
          <w:b/>
          <w:bCs/>
          <w:color w:val="C00000"/>
          <w:sz w:val="20"/>
          <w:szCs w:val="20"/>
        </w:rPr>
        <w:t>au plus bas depuis le deuxième trimestre 2021</w:t>
      </w:r>
    </w:p>
    <w:p w:rsidR="003C2E9B" w:rsidRPr="00E11814" w:rsidRDefault="003C2E9B" w:rsidP="003C2E9B">
      <w:pPr>
        <w:jc w:val="both"/>
        <w:rPr>
          <w:rFonts w:asciiTheme="minorBidi" w:hAnsiTheme="minorBidi" w:cstheme="minorBidi"/>
          <w:b/>
          <w:bCs/>
          <w:color w:val="C00000"/>
          <w:sz w:val="20"/>
          <w:szCs w:val="20"/>
        </w:rPr>
      </w:pPr>
    </w:p>
    <w:p w:rsidR="003C2E9B" w:rsidRPr="003C2E9B" w:rsidRDefault="003C2E9B" w:rsidP="00206A00">
      <w:pPr>
        <w:jc w:val="both"/>
        <w:rPr>
          <w:rFonts w:asciiTheme="minorBidi" w:hAnsiTheme="minorBidi" w:cstheme="minorBidi"/>
          <w:kern w:val="1"/>
          <w:sz w:val="20"/>
          <w:szCs w:val="20"/>
          <w:lang w:eastAsia="ar-SA"/>
        </w:rPr>
      </w:pPr>
      <w:r w:rsidRPr="003C2E9B">
        <w:rPr>
          <w:rFonts w:asciiTheme="minorBidi" w:hAnsiTheme="minorBidi" w:cstheme="minorBidi"/>
          <w:kern w:val="1"/>
          <w:sz w:val="20"/>
          <w:szCs w:val="20"/>
          <w:lang w:eastAsia="ar-SA"/>
        </w:rPr>
        <w:t xml:space="preserve">L’inflation aurait </w:t>
      </w:r>
      <w:r w:rsidR="00206A00">
        <w:rPr>
          <w:rFonts w:asciiTheme="minorBidi" w:hAnsiTheme="minorBidi" w:cstheme="minorBidi"/>
          <w:kern w:val="1"/>
          <w:sz w:val="20"/>
          <w:szCs w:val="20"/>
          <w:lang w:eastAsia="ar-SA"/>
        </w:rPr>
        <w:t>poursuivi sa</w:t>
      </w:r>
      <w:r w:rsidRPr="003C2E9B">
        <w:rPr>
          <w:rFonts w:asciiTheme="minorBidi" w:hAnsiTheme="minorBidi" w:cstheme="minorBidi"/>
          <w:kern w:val="1"/>
          <w:sz w:val="20"/>
          <w:szCs w:val="20"/>
          <w:lang w:eastAsia="ar-SA"/>
        </w:rPr>
        <w:t xml:space="preserve"> tendance baissière pour s’établir</w:t>
      </w:r>
      <w:r w:rsidR="00206A00">
        <w:rPr>
          <w:rFonts w:asciiTheme="minorBidi" w:hAnsiTheme="minorBidi" w:cstheme="minorBidi"/>
          <w:kern w:val="1"/>
          <w:sz w:val="20"/>
          <w:szCs w:val="20"/>
          <w:lang w:eastAsia="ar-SA"/>
        </w:rPr>
        <w:t xml:space="preserve">, </w:t>
      </w:r>
      <w:r w:rsidR="00206A00" w:rsidRPr="003C2E9B">
        <w:rPr>
          <w:rFonts w:asciiTheme="minorBidi" w:hAnsiTheme="minorBidi" w:cstheme="minorBidi"/>
          <w:kern w:val="1"/>
          <w:sz w:val="20"/>
          <w:szCs w:val="20"/>
          <w:lang w:eastAsia="ar-SA"/>
        </w:rPr>
        <w:t>au premier trimestre 202</w:t>
      </w:r>
      <w:r w:rsidR="00206A00">
        <w:rPr>
          <w:rFonts w:asciiTheme="minorBidi" w:hAnsiTheme="minorBidi" w:cstheme="minorBidi"/>
          <w:kern w:val="1"/>
          <w:sz w:val="20"/>
          <w:szCs w:val="20"/>
          <w:lang w:eastAsia="ar-SA"/>
        </w:rPr>
        <w:t>4,</w:t>
      </w:r>
      <w:r w:rsidRPr="003C2E9B">
        <w:rPr>
          <w:rFonts w:asciiTheme="minorBidi" w:hAnsiTheme="minorBidi" w:cstheme="minorBidi"/>
          <w:kern w:val="1"/>
          <w:sz w:val="20"/>
          <w:szCs w:val="20"/>
          <w:lang w:eastAsia="ar-SA"/>
        </w:rPr>
        <w:t xml:space="preserve"> </w:t>
      </w:r>
      <w:r w:rsidR="004F4F23">
        <w:rPr>
          <w:rFonts w:asciiTheme="minorBidi" w:hAnsiTheme="minorBidi" w:cstheme="minorBidi"/>
          <w:kern w:val="1"/>
          <w:sz w:val="20"/>
          <w:szCs w:val="20"/>
          <w:lang w:eastAsia="ar-SA"/>
        </w:rPr>
        <w:t>à son niveau le plus bas</w:t>
      </w:r>
      <w:r w:rsidR="00451FC0">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 xml:space="preserve">depuis </w:t>
      </w:r>
      <w:r w:rsidR="00BD7A1E">
        <w:rPr>
          <w:rFonts w:asciiTheme="minorBidi" w:hAnsiTheme="minorBidi" w:cstheme="minorBidi"/>
          <w:kern w:val="1"/>
          <w:sz w:val="20"/>
          <w:szCs w:val="20"/>
          <w:lang w:eastAsia="ar-SA"/>
        </w:rPr>
        <w:t>onze</w:t>
      </w:r>
      <w:r w:rsidRPr="003C2E9B">
        <w:rPr>
          <w:rFonts w:asciiTheme="minorBidi" w:hAnsiTheme="minorBidi" w:cstheme="minorBidi"/>
          <w:kern w:val="1"/>
          <w:sz w:val="20"/>
          <w:szCs w:val="20"/>
          <w:lang w:eastAsia="ar-SA"/>
        </w:rPr>
        <w:t xml:space="preserve"> trimestres.</w:t>
      </w:r>
      <w:r>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La progression annuelle de l’indice des prix à la consommation</w:t>
      </w:r>
      <w:r>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aurait,</w:t>
      </w:r>
      <w:r>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 xml:space="preserve">en effet, ralenti </w:t>
      </w:r>
      <w:r w:rsidRPr="004F4F23">
        <w:rPr>
          <w:rFonts w:asciiTheme="minorBidi" w:hAnsiTheme="minorBidi" w:cstheme="minorBidi"/>
          <w:kern w:val="1"/>
          <w:sz w:val="20"/>
          <w:szCs w:val="20"/>
          <w:lang w:eastAsia="ar-SA"/>
        </w:rPr>
        <w:t xml:space="preserve">à </w:t>
      </w:r>
      <w:r w:rsidR="00451FC0" w:rsidRPr="004F4F23">
        <w:rPr>
          <w:rFonts w:asciiTheme="minorBidi" w:hAnsiTheme="minorBidi" w:cstheme="minorBidi"/>
          <w:kern w:val="1"/>
          <w:sz w:val="20"/>
          <w:szCs w:val="20"/>
          <w:lang w:eastAsia="ar-SA"/>
        </w:rPr>
        <w:t>+</w:t>
      </w:r>
      <w:r w:rsidRPr="004F4F23">
        <w:rPr>
          <w:rFonts w:asciiTheme="minorBidi" w:hAnsiTheme="minorBidi" w:cstheme="minorBidi"/>
          <w:kern w:val="1"/>
          <w:sz w:val="20"/>
          <w:szCs w:val="20"/>
          <w:lang w:eastAsia="ar-SA"/>
        </w:rPr>
        <w:t>1,1%</w:t>
      </w:r>
      <w:r w:rsidRPr="003C2E9B">
        <w:rPr>
          <w:rFonts w:asciiTheme="minorBidi" w:hAnsiTheme="minorBidi" w:cstheme="minorBidi"/>
          <w:kern w:val="1"/>
          <w:sz w:val="20"/>
          <w:szCs w:val="20"/>
          <w:lang w:eastAsia="ar-SA"/>
        </w:rPr>
        <w:t xml:space="preserve"> au premier trimestre 2024,</w:t>
      </w:r>
      <w:r w:rsidR="00BD7A1E">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 xml:space="preserve">soit 2,7 points de moins qu’au trimestre précédent. Cette détente des prix aurait résulté d’un ralentissement marqué des prix des produits alimentaires, </w:t>
      </w:r>
      <w:r w:rsidR="00BD7A1E">
        <w:rPr>
          <w:rFonts w:asciiTheme="minorBidi" w:hAnsiTheme="minorBidi" w:cstheme="minorBidi"/>
          <w:kern w:val="1"/>
          <w:sz w:val="20"/>
          <w:szCs w:val="20"/>
          <w:lang w:eastAsia="ar-SA"/>
        </w:rPr>
        <w:t>refluant</w:t>
      </w:r>
      <w:r w:rsidRPr="003C2E9B">
        <w:rPr>
          <w:rFonts w:asciiTheme="minorBidi" w:hAnsiTheme="minorBidi" w:cstheme="minorBidi"/>
          <w:kern w:val="1"/>
          <w:sz w:val="20"/>
          <w:szCs w:val="20"/>
          <w:lang w:eastAsia="ar-SA"/>
        </w:rPr>
        <w:t xml:space="preserve"> à </w:t>
      </w:r>
      <w:r w:rsidR="00BD7A1E">
        <w:rPr>
          <w:rFonts w:asciiTheme="minorBidi" w:hAnsiTheme="minorBidi" w:cstheme="minorBidi"/>
          <w:kern w:val="1"/>
          <w:sz w:val="20"/>
          <w:szCs w:val="20"/>
          <w:lang w:eastAsia="ar-SA"/>
        </w:rPr>
        <w:t>+</w:t>
      </w:r>
      <w:r w:rsidRPr="003C2E9B">
        <w:rPr>
          <w:rFonts w:asciiTheme="minorBidi" w:hAnsiTheme="minorBidi" w:cstheme="minorBidi"/>
          <w:kern w:val="1"/>
          <w:sz w:val="20"/>
          <w:szCs w:val="20"/>
          <w:lang w:eastAsia="ar-SA"/>
        </w:rPr>
        <w:t xml:space="preserve">1,4% sur un an, après avoir atteint </w:t>
      </w:r>
      <w:r w:rsidR="00BD7A1E">
        <w:rPr>
          <w:rFonts w:asciiTheme="minorBidi" w:hAnsiTheme="minorBidi" w:cstheme="minorBidi"/>
          <w:kern w:val="1"/>
          <w:sz w:val="20"/>
          <w:szCs w:val="20"/>
          <w:lang w:eastAsia="ar-SA"/>
        </w:rPr>
        <w:t>+</w:t>
      </w:r>
      <w:r w:rsidRPr="003C2E9B">
        <w:rPr>
          <w:rFonts w:asciiTheme="minorBidi" w:hAnsiTheme="minorBidi" w:cstheme="minorBidi"/>
          <w:kern w:val="1"/>
          <w:sz w:val="20"/>
          <w:szCs w:val="20"/>
          <w:lang w:eastAsia="ar-SA"/>
        </w:rPr>
        <w:t>7,7% un trimestre auparavant</w:t>
      </w:r>
      <w:r w:rsidR="000B6B77">
        <w:rPr>
          <w:rFonts w:asciiTheme="minorBidi" w:hAnsiTheme="minorBidi" w:cstheme="minorBidi"/>
          <w:kern w:val="1"/>
          <w:sz w:val="20"/>
          <w:szCs w:val="20"/>
          <w:lang w:eastAsia="ar-SA"/>
        </w:rPr>
        <w:t>, et</w:t>
      </w:r>
      <w:r w:rsidRPr="003C2E9B">
        <w:rPr>
          <w:rFonts w:asciiTheme="minorBidi" w:hAnsiTheme="minorBidi" w:cstheme="minorBidi"/>
          <w:kern w:val="1"/>
          <w:sz w:val="20"/>
          <w:szCs w:val="20"/>
          <w:lang w:eastAsia="ar-SA"/>
        </w:rPr>
        <w:t xml:space="preserve"> d’une moindre augmentation des prix des produits non-alimentaires, revenant à </w:t>
      </w:r>
      <w:r w:rsidR="00451FC0" w:rsidRPr="004F4F23">
        <w:rPr>
          <w:rFonts w:asciiTheme="minorBidi" w:hAnsiTheme="minorBidi" w:cstheme="minorBidi"/>
          <w:kern w:val="1"/>
          <w:sz w:val="20"/>
          <w:szCs w:val="20"/>
          <w:lang w:eastAsia="ar-SA"/>
        </w:rPr>
        <w:t>+</w:t>
      </w:r>
      <w:r w:rsidRPr="004F4F23">
        <w:rPr>
          <w:rFonts w:asciiTheme="minorBidi" w:hAnsiTheme="minorBidi" w:cstheme="minorBidi"/>
          <w:kern w:val="1"/>
          <w:sz w:val="20"/>
          <w:szCs w:val="20"/>
          <w:lang w:eastAsia="ar-SA"/>
        </w:rPr>
        <w:t>0,9</w:t>
      </w:r>
      <w:r w:rsidRPr="003C2E9B">
        <w:rPr>
          <w:rFonts w:asciiTheme="minorBidi" w:hAnsiTheme="minorBidi" w:cstheme="minorBidi"/>
          <w:kern w:val="1"/>
          <w:sz w:val="20"/>
          <w:szCs w:val="20"/>
          <w:lang w:eastAsia="ar-SA"/>
        </w:rPr>
        <w:t>% sur un an, contre 1% enregistrée</w:t>
      </w:r>
      <w:r>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 xml:space="preserve">au quatrième trimestre 2023. Parallèlement, l'inflation sous-jacente, qui exclut les prix soumis à l’intervention de l’Etat et les produits à prix volatils, aurait connu une évolution semblable, mais à un rythme moindre </w:t>
      </w:r>
      <w:r w:rsidR="00BD7A1E">
        <w:rPr>
          <w:rFonts w:asciiTheme="minorBidi" w:hAnsiTheme="minorBidi" w:cstheme="minorBidi"/>
          <w:kern w:val="1"/>
          <w:sz w:val="20"/>
          <w:szCs w:val="20"/>
          <w:lang w:eastAsia="ar-SA"/>
        </w:rPr>
        <w:t>comparativement</w:t>
      </w:r>
      <w:r w:rsidR="00BD7A1E" w:rsidRPr="003C2E9B">
        <w:rPr>
          <w:rFonts w:asciiTheme="minorBidi" w:hAnsiTheme="minorBidi" w:cstheme="minorBidi"/>
          <w:kern w:val="1"/>
          <w:sz w:val="20"/>
          <w:szCs w:val="20"/>
          <w:lang w:eastAsia="ar-SA"/>
        </w:rPr>
        <w:t xml:space="preserve"> à celui de </w:t>
      </w:r>
      <w:r w:rsidRPr="003C2E9B">
        <w:rPr>
          <w:rFonts w:asciiTheme="minorBidi" w:hAnsiTheme="minorBidi" w:cstheme="minorBidi"/>
          <w:kern w:val="1"/>
          <w:sz w:val="20"/>
          <w:szCs w:val="20"/>
          <w:lang w:eastAsia="ar-SA"/>
        </w:rPr>
        <w:t xml:space="preserve">l’inflation globale, atteignant </w:t>
      </w:r>
      <w:r w:rsidR="00BD7A1E">
        <w:rPr>
          <w:rFonts w:asciiTheme="minorBidi" w:hAnsiTheme="minorBidi" w:cstheme="minorBidi"/>
          <w:kern w:val="1"/>
          <w:sz w:val="20"/>
          <w:szCs w:val="20"/>
          <w:lang w:eastAsia="ar-SA"/>
        </w:rPr>
        <w:t>+</w:t>
      </w:r>
      <w:r w:rsidRPr="003C2E9B">
        <w:rPr>
          <w:rFonts w:asciiTheme="minorBidi" w:hAnsiTheme="minorBidi" w:cstheme="minorBidi"/>
          <w:kern w:val="1"/>
          <w:sz w:val="20"/>
          <w:szCs w:val="20"/>
          <w:lang w:eastAsia="ar-SA"/>
        </w:rPr>
        <w:t>2,5%</w:t>
      </w:r>
      <w:r w:rsidR="000E7BD0">
        <w:rPr>
          <w:rFonts w:asciiTheme="minorBidi" w:hAnsiTheme="minorBidi" w:cstheme="minorBidi"/>
          <w:kern w:val="1"/>
          <w:sz w:val="20"/>
          <w:szCs w:val="20"/>
          <w:lang w:eastAsia="ar-SA"/>
        </w:rPr>
        <w:t xml:space="preserve"> </w:t>
      </w:r>
      <w:r w:rsidR="000E7BD0" w:rsidRPr="003C2E9B">
        <w:rPr>
          <w:rFonts w:asciiTheme="minorBidi" w:hAnsiTheme="minorBidi" w:cstheme="minorBidi"/>
          <w:kern w:val="1"/>
          <w:sz w:val="20"/>
          <w:szCs w:val="20"/>
          <w:lang w:eastAsia="ar-SA"/>
        </w:rPr>
        <w:t xml:space="preserve">au premier </w:t>
      </w:r>
      <w:r w:rsidR="000E7BD0" w:rsidRPr="003C2E9B">
        <w:rPr>
          <w:rFonts w:asciiTheme="minorBidi" w:hAnsiTheme="minorBidi" w:cstheme="minorBidi"/>
          <w:kern w:val="1"/>
          <w:sz w:val="20"/>
          <w:szCs w:val="20"/>
          <w:lang w:eastAsia="ar-SA"/>
        </w:rPr>
        <w:lastRenderedPageBreak/>
        <w:t>trimestre 2024</w:t>
      </w:r>
      <w:r w:rsidRPr="003C2E9B">
        <w:rPr>
          <w:rFonts w:asciiTheme="minorBidi" w:hAnsiTheme="minorBidi" w:cstheme="minorBidi"/>
          <w:kern w:val="1"/>
          <w:sz w:val="20"/>
          <w:szCs w:val="20"/>
          <w:lang w:eastAsia="ar-SA"/>
        </w:rPr>
        <w:t xml:space="preserve">, </w:t>
      </w:r>
      <w:r w:rsidRPr="004F4F23">
        <w:rPr>
          <w:rFonts w:asciiTheme="minorBidi" w:hAnsiTheme="minorBidi" w:cstheme="minorBidi"/>
          <w:kern w:val="1"/>
          <w:sz w:val="20"/>
          <w:szCs w:val="20"/>
          <w:lang w:eastAsia="ar-SA"/>
        </w:rPr>
        <w:t xml:space="preserve">après </w:t>
      </w:r>
      <w:r w:rsidR="00451FC0" w:rsidRPr="004F4F23">
        <w:rPr>
          <w:rFonts w:asciiTheme="minorBidi" w:hAnsiTheme="minorBidi" w:cstheme="minorBidi"/>
          <w:kern w:val="1"/>
          <w:sz w:val="20"/>
          <w:szCs w:val="20"/>
          <w:lang w:eastAsia="ar-SA"/>
        </w:rPr>
        <w:t>+</w:t>
      </w:r>
      <w:r w:rsidRPr="004F4F23">
        <w:rPr>
          <w:rFonts w:asciiTheme="minorBidi" w:hAnsiTheme="minorBidi" w:cstheme="minorBidi"/>
          <w:kern w:val="1"/>
          <w:sz w:val="20"/>
          <w:szCs w:val="20"/>
          <w:lang w:eastAsia="ar-SA"/>
        </w:rPr>
        <w:t>3,</w:t>
      </w:r>
      <w:r w:rsidRPr="003C2E9B">
        <w:rPr>
          <w:rFonts w:asciiTheme="minorBidi" w:hAnsiTheme="minorBidi" w:cstheme="minorBidi"/>
          <w:kern w:val="1"/>
          <w:sz w:val="20"/>
          <w:szCs w:val="20"/>
          <w:lang w:eastAsia="ar-SA"/>
        </w:rPr>
        <w:t>7%</w:t>
      </w:r>
      <w:r w:rsidR="000E7BD0">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un trimestre plus tôt, profitant de l’allègement des pressions inflationnistes dans l'alimentation (hors produits frais) et</w:t>
      </w:r>
      <w:r>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du recul des prix des produits manufacturés.</w:t>
      </w:r>
    </w:p>
    <w:p w:rsidR="003C2E9B" w:rsidRPr="003C2E9B" w:rsidRDefault="003C2E9B" w:rsidP="003C2E9B">
      <w:pPr>
        <w:jc w:val="both"/>
        <w:rPr>
          <w:rFonts w:asciiTheme="minorBidi" w:hAnsiTheme="minorBidi" w:cstheme="minorBidi"/>
          <w:kern w:val="1"/>
          <w:sz w:val="20"/>
          <w:szCs w:val="20"/>
          <w:lang w:eastAsia="ar-SA"/>
        </w:rPr>
      </w:pPr>
    </w:p>
    <w:p w:rsidR="003C2E9B" w:rsidRPr="003C2E9B" w:rsidRDefault="00166FF5" w:rsidP="00D27E20">
      <w:pPr>
        <w:jc w:val="both"/>
        <w:rPr>
          <w:rFonts w:asciiTheme="minorBidi" w:hAnsiTheme="minorBidi" w:cstheme="minorBidi"/>
          <w:kern w:val="1"/>
          <w:sz w:val="20"/>
          <w:szCs w:val="20"/>
          <w:lang w:eastAsia="ar-SA"/>
        </w:rPr>
      </w:pPr>
      <w:r w:rsidRPr="00166FF5">
        <w:rPr>
          <w:noProof/>
        </w:rPr>
        <w:drawing>
          <wp:anchor distT="0" distB="0" distL="114300" distR="114300" simplePos="0" relativeHeight="251668480" behindDoc="0" locked="0" layoutInCell="1" allowOverlap="1">
            <wp:simplePos x="0" y="0"/>
            <wp:positionH relativeFrom="column">
              <wp:posOffset>3206115</wp:posOffset>
            </wp:positionH>
            <wp:positionV relativeFrom="paragraph">
              <wp:posOffset>61595</wp:posOffset>
            </wp:positionV>
            <wp:extent cx="3251200" cy="2419350"/>
            <wp:effectExtent l="0" t="0" r="635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1200" cy="2419350"/>
                    </a:xfrm>
                    <a:prstGeom prst="rect">
                      <a:avLst/>
                    </a:prstGeom>
                    <a:noFill/>
                    <a:ln>
                      <a:noFill/>
                    </a:ln>
                  </pic:spPr>
                </pic:pic>
              </a:graphicData>
            </a:graphic>
          </wp:anchor>
        </w:drawing>
      </w:r>
      <w:r w:rsidR="003C2E9B" w:rsidRPr="003C2E9B">
        <w:rPr>
          <w:rFonts w:asciiTheme="minorBidi" w:hAnsiTheme="minorBidi" w:cstheme="minorBidi"/>
          <w:kern w:val="1"/>
          <w:sz w:val="20"/>
          <w:szCs w:val="20"/>
          <w:lang w:eastAsia="ar-SA"/>
        </w:rPr>
        <w:t>Les prix alimentaires, en forte hausse l'an dernier, aurai</w:t>
      </w:r>
      <w:r w:rsidR="000B6B77">
        <w:rPr>
          <w:rFonts w:asciiTheme="minorBidi" w:hAnsiTheme="minorBidi" w:cstheme="minorBidi"/>
          <w:kern w:val="1"/>
          <w:sz w:val="20"/>
          <w:szCs w:val="20"/>
          <w:lang w:eastAsia="ar-SA"/>
        </w:rPr>
        <w:t>en</w:t>
      </w:r>
      <w:r w:rsidR="003C2E9B" w:rsidRPr="003C2E9B">
        <w:rPr>
          <w:rFonts w:asciiTheme="minorBidi" w:hAnsiTheme="minorBidi" w:cstheme="minorBidi"/>
          <w:kern w:val="1"/>
          <w:sz w:val="20"/>
          <w:szCs w:val="20"/>
          <w:lang w:eastAsia="ar-SA"/>
        </w:rPr>
        <w:t xml:space="preserve">t </w:t>
      </w:r>
      <w:r w:rsidR="003C2E9B" w:rsidRPr="004D12F5">
        <w:rPr>
          <w:rFonts w:asciiTheme="minorBidi" w:hAnsiTheme="minorBidi" w:cstheme="minorBidi"/>
          <w:kern w:val="1"/>
          <w:sz w:val="20"/>
          <w:szCs w:val="20"/>
          <w:lang w:eastAsia="ar-SA"/>
        </w:rPr>
        <w:t xml:space="preserve">constitué le </w:t>
      </w:r>
      <w:r w:rsidR="00173A45" w:rsidRPr="004D12F5">
        <w:rPr>
          <w:rFonts w:asciiTheme="minorBidi" w:hAnsiTheme="minorBidi" w:cstheme="minorBidi"/>
          <w:kern w:val="1"/>
          <w:sz w:val="20"/>
          <w:szCs w:val="20"/>
          <w:lang w:eastAsia="ar-SA"/>
        </w:rPr>
        <w:t xml:space="preserve">principal </w:t>
      </w:r>
      <w:r w:rsidR="003C2E9B" w:rsidRPr="004D12F5">
        <w:rPr>
          <w:rFonts w:asciiTheme="minorBidi" w:hAnsiTheme="minorBidi" w:cstheme="minorBidi"/>
          <w:kern w:val="1"/>
          <w:sz w:val="20"/>
          <w:szCs w:val="20"/>
          <w:lang w:eastAsia="ar-SA"/>
        </w:rPr>
        <w:t xml:space="preserve">moteur du recul de l’inflation, </w:t>
      </w:r>
      <w:r w:rsidR="000E7BD0" w:rsidRPr="004D12F5">
        <w:rPr>
          <w:rFonts w:asciiTheme="minorBidi" w:hAnsiTheme="minorBidi" w:cstheme="minorBidi"/>
          <w:kern w:val="1"/>
          <w:sz w:val="20"/>
          <w:szCs w:val="20"/>
          <w:lang w:eastAsia="ar-SA"/>
        </w:rPr>
        <w:t>grâce notamment à</w:t>
      </w:r>
      <w:r w:rsidR="003C2E9B" w:rsidRPr="004D12F5">
        <w:rPr>
          <w:rFonts w:asciiTheme="minorBidi" w:hAnsiTheme="minorBidi" w:cstheme="minorBidi"/>
          <w:kern w:val="1"/>
          <w:sz w:val="20"/>
          <w:szCs w:val="20"/>
          <w:lang w:eastAsia="ar-SA"/>
        </w:rPr>
        <w:t xml:space="preserve"> la baisse des prix des produits frais avec une contribution de -0,6 point, surtout celle des légumes frais et des agrumes</w:t>
      </w:r>
      <w:r w:rsidR="000E7BD0" w:rsidRPr="004D12F5">
        <w:rPr>
          <w:rFonts w:asciiTheme="minorBidi" w:hAnsiTheme="minorBidi" w:cstheme="minorBidi"/>
          <w:kern w:val="1"/>
          <w:sz w:val="20"/>
          <w:szCs w:val="20"/>
          <w:lang w:eastAsia="ar-SA"/>
        </w:rPr>
        <w:t>.</w:t>
      </w:r>
      <w:r w:rsidR="003C2E9B" w:rsidRPr="004D12F5">
        <w:rPr>
          <w:rFonts w:asciiTheme="minorBidi" w:hAnsiTheme="minorBidi" w:cstheme="minorBidi"/>
          <w:kern w:val="1"/>
          <w:sz w:val="20"/>
          <w:szCs w:val="20"/>
          <w:lang w:eastAsia="ar-SA"/>
        </w:rPr>
        <w:t xml:space="preserve"> </w:t>
      </w:r>
      <w:r w:rsidR="000E7BD0" w:rsidRPr="004D12F5">
        <w:rPr>
          <w:rFonts w:asciiTheme="minorBidi" w:hAnsiTheme="minorBidi" w:cstheme="minorBidi"/>
          <w:kern w:val="1"/>
          <w:sz w:val="20"/>
          <w:szCs w:val="20"/>
          <w:lang w:eastAsia="ar-SA"/>
        </w:rPr>
        <w:t>L’</w:t>
      </w:r>
      <w:r w:rsidR="003C2E9B" w:rsidRPr="004D12F5">
        <w:rPr>
          <w:rFonts w:asciiTheme="minorBidi" w:hAnsiTheme="minorBidi" w:cstheme="minorBidi"/>
          <w:kern w:val="1"/>
          <w:sz w:val="20"/>
          <w:szCs w:val="20"/>
          <w:lang w:eastAsia="ar-SA"/>
        </w:rPr>
        <w:t xml:space="preserve">augmentation de la disponibilité sur le marché, occasionnée, en partie, </w:t>
      </w:r>
      <w:r w:rsidR="00173A45" w:rsidRPr="004D12F5">
        <w:rPr>
          <w:rFonts w:asciiTheme="minorBidi" w:hAnsiTheme="minorBidi" w:cstheme="minorBidi"/>
          <w:kern w:val="1"/>
          <w:sz w:val="20"/>
          <w:szCs w:val="20"/>
          <w:lang w:eastAsia="ar-SA"/>
        </w:rPr>
        <w:t>par l’alternance du cycle de production de certaines cultures</w:t>
      </w:r>
      <w:r w:rsidR="004D12F5">
        <w:rPr>
          <w:rFonts w:asciiTheme="minorBidi" w:hAnsiTheme="minorBidi" w:cstheme="minorBidi"/>
          <w:kern w:val="1"/>
          <w:sz w:val="20"/>
          <w:szCs w:val="20"/>
          <w:lang w:eastAsia="ar-SA"/>
        </w:rPr>
        <w:t xml:space="preserve"> et une hausse des importations</w:t>
      </w:r>
      <w:r w:rsidR="00173A45" w:rsidRPr="004D12F5">
        <w:rPr>
          <w:rFonts w:asciiTheme="minorBidi" w:hAnsiTheme="minorBidi" w:cstheme="minorBidi"/>
          <w:kern w:val="1"/>
          <w:sz w:val="20"/>
          <w:szCs w:val="20"/>
          <w:lang w:eastAsia="ar-SA"/>
        </w:rPr>
        <w:t xml:space="preserve">, </w:t>
      </w:r>
      <w:r w:rsidR="003C2E9B" w:rsidRPr="004D12F5">
        <w:rPr>
          <w:rFonts w:asciiTheme="minorBidi" w:hAnsiTheme="minorBidi" w:cstheme="minorBidi"/>
          <w:kern w:val="1"/>
          <w:sz w:val="20"/>
          <w:szCs w:val="20"/>
          <w:lang w:eastAsia="ar-SA"/>
        </w:rPr>
        <w:t>aurai</w:t>
      </w:r>
      <w:r w:rsidR="006B5FB3">
        <w:rPr>
          <w:rFonts w:asciiTheme="minorBidi" w:hAnsiTheme="minorBidi" w:cstheme="minorBidi"/>
          <w:kern w:val="1"/>
          <w:sz w:val="20"/>
          <w:szCs w:val="20"/>
          <w:lang w:eastAsia="ar-SA"/>
        </w:rPr>
        <w:t>en</w:t>
      </w:r>
      <w:r w:rsidR="003C2E9B" w:rsidRPr="004D12F5">
        <w:rPr>
          <w:rFonts w:asciiTheme="minorBidi" w:hAnsiTheme="minorBidi" w:cstheme="minorBidi"/>
          <w:kern w:val="1"/>
          <w:sz w:val="20"/>
          <w:szCs w:val="20"/>
          <w:lang w:eastAsia="ar-SA"/>
        </w:rPr>
        <w:t xml:space="preserve">t entraîné </w:t>
      </w:r>
      <w:r w:rsidR="00173A45" w:rsidRPr="004D12F5">
        <w:rPr>
          <w:rFonts w:asciiTheme="minorBidi" w:hAnsiTheme="minorBidi" w:cstheme="minorBidi"/>
          <w:kern w:val="1"/>
          <w:sz w:val="20"/>
          <w:szCs w:val="20"/>
          <w:lang w:eastAsia="ar-SA"/>
        </w:rPr>
        <w:t>un</w:t>
      </w:r>
      <w:r w:rsidR="00173A45">
        <w:rPr>
          <w:rFonts w:asciiTheme="minorBidi" w:hAnsiTheme="minorBidi" w:cstheme="minorBidi"/>
          <w:kern w:val="1"/>
          <w:sz w:val="20"/>
          <w:szCs w:val="20"/>
          <w:lang w:eastAsia="ar-SA"/>
        </w:rPr>
        <w:t xml:space="preserve"> apaisement des tensions sur leurs prix.</w:t>
      </w:r>
      <w:r w:rsidR="004D12F5">
        <w:rPr>
          <w:rFonts w:asciiTheme="minorBidi" w:hAnsiTheme="minorBidi" w:cstheme="minorBidi"/>
          <w:kern w:val="1"/>
          <w:sz w:val="20"/>
          <w:szCs w:val="20"/>
          <w:lang w:eastAsia="ar-SA"/>
        </w:rPr>
        <w:t xml:space="preserve"> </w:t>
      </w:r>
      <w:r w:rsidR="003C2E9B" w:rsidRPr="003C2E9B">
        <w:rPr>
          <w:rFonts w:asciiTheme="minorBidi" w:hAnsiTheme="minorBidi" w:cstheme="minorBidi"/>
          <w:kern w:val="1"/>
          <w:sz w:val="20"/>
          <w:szCs w:val="20"/>
          <w:lang w:eastAsia="ar-SA"/>
        </w:rPr>
        <w:t xml:space="preserve">Hors produits frais, la poursuite du ralentissement des prix, en particulier des produits à base de céréales et des huiles de table, </w:t>
      </w:r>
      <w:r w:rsidR="004D12F5">
        <w:rPr>
          <w:rFonts w:asciiTheme="minorBidi" w:hAnsiTheme="minorBidi" w:cstheme="minorBidi"/>
          <w:kern w:val="1"/>
          <w:sz w:val="20"/>
          <w:szCs w:val="20"/>
          <w:lang w:eastAsia="ar-SA"/>
        </w:rPr>
        <w:t>attribuable au repli de leurs</w:t>
      </w:r>
      <w:r w:rsidR="003C2E9B" w:rsidRPr="003C2E9B">
        <w:rPr>
          <w:rFonts w:asciiTheme="minorBidi" w:hAnsiTheme="minorBidi" w:cstheme="minorBidi"/>
          <w:kern w:val="1"/>
          <w:sz w:val="20"/>
          <w:szCs w:val="20"/>
          <w:lang w:eastAsia="ar-SA"/>
        </w:rPr>
        <w:t xml:space="preserve"> prix à </w:t>
      </w:r>
      <w:r w:rsidR="003C2E9B" w:rsidRPr="004D12F5">
        <w:rPr>
          <w:rFonts w:asciiTheme="minorBidi" w:hAnsiTheme="minorBidi" w:cstheme="minorBidi"/>
          <w:kern w:val="1"/>
          <w:sz w:val="20"/>
          <w:szCs w:val="20"/>
          <w:lang w:eastAsia="ar-SA"/>
        </w:rPr>
        <w:t>l’international, aurait</w:t>
      </w:r>
      <w:r w:rsidR="00451FC0" w:rsidRPr="004D12F5">
        <w:rPr>
          <w:rFonts w:asciiTheme="minorBidi" w:hAnsiTheme="minorBidi" w:cstheme="minorBidi"/>
          <w:kern w:val="1"/>
          <w:sz w:val="20"/>
          <w:szCs w:val="20"/>
          <w:lang w:eastAsia="ar-SA"/>
        </w:rPr>
        <w:t>,</w:t>
      </w:r>
      <w:r w:rsidR="003C2E9B" w:rsidRPr="004D12F5">
        <w:rPr>
          <w:rFonts w:asciiTheme="minorBidi" w:hAnsiTheme="minorBidi" w:cstheme="minorBidi"/>
          <w:kern w:val="1"/>
          <w:sz w:val="20"/>
          <w:szCs w:val="20"/>
          <w:lang w:eastAsia="ar-SA"/>
        </w:rPr>
        <w:t xml:space="preserve"> également</w:t>
      </w:r>
      <w:r w:rsidR="00451FC0" w:rsidRPr="004D12F5">
        <w:rPr>
          <w:rFonts w:asciiTheme="minorBidi" w:hAnsiTheme="minorBidi" w:cstheme="minorBidi"/>
          <w:kern w:val="1"/>
          <w:sz w:val="20"/>
          <w:szCs w:val="20"/>
          <w:lang w:eastAsia="ar-SA"/>
        </w:rPr>
        <w:t>,</w:t>
      </w:r>
      <w:r w:rsidR="003C2E9B" w:rsidRPr="004D12F5">
        <w:rPr>
          <w:rFonts w:asciiTheme="minorBidi" w:hAnsiTheme="minorBidi" w:cstheme="minorBidi"/>
          <w:kern w:val="1"/>
          <w:sz w:val="20"/>
          <w:szCs w:val="20"/>
          <w:lang w:eastAsia="ar-SA"/>
        </w:rPr>
        <w:t xml:space="preserve"> </w:t>
      </w:r>
      <w:r w:rsidR="000E7BD0" w:rsidRPr="004D12F5">
        <w:rPr>
          <w:rFonts w:asciiTheme="minorBidi" w:hAnsiTheme="minorBidi" w:cstheme="minorBidi"/>
          <w:kern w:val="1"/>
          <w:sz w:val="20"/>
          <w:szCs w:val="20"/>
          <w:lang w:eastAsia="ar-SA"/>
        </w:rPr>
        <w:t>soutenu</w:t>
      </w:r>
      <w:r w:rsidR="003C2E9B" w:rsidRPr="004D12F5">
        <w:rPr>
          <w:rFonts w:asciiTheme="minorBidi" w:hAnsiTheme="minorBidi" w:cstheme="minorBidi"/>
          <w:kern w:val="1"/>
          <w:sz w:val="20"/>
          <w:szCs w:val="20"/>
          <w:lang w:eastAsia="ar-SA"/>
        </w:rPr>
        <w:t xml:space="preserve"> la décélération continue de l’inflation. De</w:t>
      </w:r>
      <w:r w:rsidR="003C2E9B" w:rsidRPr="003C2E9B">
        <w:rPr>
          <w:rFonts w:asciiTheme="minorBidi" w:hAnsiTheme="minorBidi" w:cstheme="minorBidi"/>
          <w:kern w:val="1"/>
          <w:sz w:val="20"/>
          <w:szCs w:val="20"/>
          <w:lang w:eastAsia="ar-SA"/>
        </w:rPr>
        <w:t xml:space="preserve"> son côté, le relèvement habituel des prix d</w:t>
      </w:r>
      <w:r w:rsidR="00D27E20">
        <w:rPr>
          <w:rFonts w:asciiTheme="minorBidi" w:hAnsiTheme="minorBidi" w:cstheme="minorBidi"/>
          <w:kern w:val="1"/>
          <w:sz w:val="20"/>
          <w:szCs w:val="20"/>
          <w:lang w:eastAsia="ar-SA"/>
        </w:rPr>
        <w:t>u</w:t>
      </w:r>
      <w:r w:rsidR="003C2E9B" w:rsidRPr="003C2E9B">
        <w:rPr>
          <w:rFonts w:asciiTheme="minorBidi" w:hAnsiTheme="minorBidi" w:cstheme="minorBidi"/>
          <w:kern w:val="1"/>
          <w:sz w:val="20"/>
          <w:szCs w:val="20"/>
          <w:lang w:eastAsia="ar-SA"/>
        </w:rPr>
        <w:t xml:space="preserve"> tabac, au mois de janvier, aurait été moindre qu</w:t>
      </w:r>
      <w:r w:rsidR="000E7BD0">
        <w:rPr>
          <w:rFonts w:asciiTheme="minorBidi" w:hAnsiTheme="minorBidi" w:cstheme="minorBidi"/>
          <w:kern w:val="1"/>
          <w:sz w:val="20"/>
          <w:szCs w:val="20"/>
          <w:lang w:eastAsia="ar-SA"/>
        </w:rPr>
        <w:t xml:space="preserve">e </w:t>
      </w:r>
      <w:r w:rsidR="003C2E9B" w:rsidRPr="003C2E9B">
        <w:rPr>
          <w:rFonts w:asciiTheme="minorBidi" w:hAnsiTheme="minorBidi" w:cstheme="minorBidi"/>
          <w:kern w:val="1"/>
          <w:sz w:val="20"/>
          <w:szCs w:val="20"/>
          <w:lang w:eastAsia="ar-SA"/>
        </w:rPr>
        <w:t>celui enregistré une année auparavant (</w:t>
      </w:r>
      <w:r w:rsidR="004D12F5">
        <w:rPr>
          <w:rFonts w:asciiTheme="minorBidi" w:hAnsiTheme="minorBidi" w:cstheme="minorBidi"/>
          <w:kern w:val="1"/>
          <w:sz w:val="20"/>
          <w:szCs w:val="20"/>
          <w:lang w:eastAsia="ar-SA"/>
        </w:rPr>
        <w:t>+</w:t>
      </w:r>
      <w:r w:rsidR="003C2E9B" w:rsidRPr="003C2E9B">
        <w:rPr>
          <w:rFonts w:asciiTheme="minorBidi" w:hAnsiTheme="minorBidi" w:cstheme="minorBidi"/>
          <w:kern w:val="1"/>
          <w:sz w:val="20"/>
          <w:szCs w:val="20"/>
          <w:lang w:eastAsia="ar-SA"/>
        </w:rPr>
        <w:t xml:space="preserve">2,2%, au lieu de </w:t>
      </w:r>
      <w:r w:rsidR="004D12F5">
        <w:rPr>
          <w:rFonts w:asciiTheme="minorBidi" w:hAnsiTheme="minorBidi" w:cstheme="minorBidi"/>
          <w:kern w:val="1"/>
          <w:sz w:val="20"/>
          <w:szCs w:val="20"/>
          <w:lang w:eastAsia="ar-SA"/>
        </w:rPr>
        <w:t>+</w:t>
      </w:r>
      <w:r w:rsidR="003C2E9B" w:rsidRPr="003C2E9B">
        <w:rPr>
          <w:rFonts w:asciiTheme="minorBidi" w:hAnsiTheme="minorBidi" w:cstheme="minorBidi"/>
          <w:kern w:val="1"/>
          <w:sz w:val="20"/>
          <w:szCs w:val="20"/>
          <w:lang w:eastAsia="ar-SA"/>
        </w:rPr>
        <w:t>5,4% un an plus tôt).</w:t>
      </w:r>
    </w:p>
    <w:p w:rsidR="003C2E9B" w:rsidRPr="003C2E9B" w:rsidRDefault="003C2E9B" w:rsidP="003C2E9B">
      <w:pPr>
        <w:jc w:val="both"/>
        <w:rPr>
          <w:rFonts w:asciiTheme="minorBidi" w:hAnsiTheme="minorBidi" w:cstheme="minorBidi"/>
          <w:kern w:val="1"/>
          <w:sz w:val="20"/>
          <w:szCs w:val="20"/>
          <w:lang w:eastAsia="ar-SA"/>
        </w:rPr>
      </w:pPr>
    </w:p>
    <w:p w:rsidR="003C2E9B" w:rsidRPr="003C2E9B" w:rsidRDefault="003C2E9B" w:rsidP="00206A00">
      <w:pPr>
        <w:jc w:val="both"/>
        <w:rPr>
          <w:rFonts w:asciiTheme="minorBidi" w:hAnsiTheme="minorBidi" w:cstheme="minorBidi"/>
          <w:kern w:val="1"/>
          <w:sz w:val="20"/>
          <w:szCs w:val="20"/>
          <w:lang w:eastAsia="ar-SA"/>
        </w:rPr>
      </w:pPr>
      <w:r w:rsidRPr="003C2E9B">
        <w:rPr>
          <w:rFonts w:asciiTheme="minorBidi" w:hAnsiTheme="minorBidi" w:cstheme="minorBidi"/>
          <w:kern w:val="1"/>
          <w:sz w:val="20"/>
          <w:szCs w:val="20"/>
          <w:lang w:eastAsia="ar-SA"/>
        </w:rPr>
        <w:t>S’agissant des prix des produits non-alimentaires, l</w:t>
      </w:r>
      <w:r w:rsidR="00206A00">
        <w:rPr>
          <w:rFonts w:asciiTheme="minorBidi" w:hAnsiTheme="minorBidi" w:cstheme="minorBidi"/>
          <w:kern w:val="1"/>
          <w:sz w:val="20"/>
          <w:szCs w:val="20"/>
          <w:lang w:eastAsia="ar-SA"/>
        </w:rPr>
        <w:t>e ralentissement aurait marqué</w:t>
      </w:r>
      <w:r w:rsidR="002B1F3C">
        <w:rPr>
          <w:rFonts w:asciiTheme="minorBidi" w:hAnsiTheme="minorBidi" w:cstheme="minorBidi"/>
          <w:kern w:val="1"/>
          <w:sz w:val="20"/>
          <w:szCs w:val="20"/>
          <w:lang w:eastAsia="ar-SA"/>
        </w:rPr>
        <w:t xml:space="preserve"> plus sensiblement</w:t>
      </w:r>
      <w:r w:rsidR="00206A00">
        <w:rPr>
          <w:rFonts w:asciiTheme="minorBidi" w:hAnsiTheme="minorBidi" w:cstheme="minorBidi"/>
          <w:kern w:val="1"/>
          <w:sz w:val="20"/>
          <w:szCs w:val="20"/>
          <w:lang w:eastAsia="ar-SA"/>
        </w:rPr>
        <w:t xml:space="preserve"> l</w:t>
      </w:r>
      <w:r w:rsidRPr="003C2E9B">
        <w:rPr>
          <w:rFonts w:asciiTheme="minorBidi" w:hAnsiTheme="minorBidi" w:cstheme="minorBidi"/>
          <w:kern w:val="1"/>
          <w:sz w:val="20"/>
          <w:szCs w:val="20"/>
          <w:lang w:eastAsia="ar-SA"/>
        </w:rPr>
        <w:t>es produits manufacturés (+0,6%, contr</w:t>
      </w:r>
      <w:r w:rsidR="00206A00">
        <w:rPr>
          <w:rFonts w:asciiTheme="minorBidi" w:hAnsiTheme="minorBidi" w:cstheme="minorBidi"/>
          <w:kern w:val="1"/>
          <w:sz w:val="20"/>
          <w:szCs w:val="20"/>
          <w:lang w:eastAsia="ar-SA"/>
        </w:rPr>
        <w:t>e +1,6% au trimestre précédent)</w:t>
      </w:r>
      <w:r w:rsidRPr="003C2E9B">
        <w:rPr>
          <w:rFonts w:asciiTheme="minorBidi" w:hAnsiTheme="minorBidi" w:cstheme="minorBidi"/>
          <w:kern w:val="1"/>
          <w:sz w:val="20"/>
          <w:szCs w:val="20"/>
          <w:lang w:eastAsia="ar-SA"/>
        </w:rPr>
        <w:t xml:space="preserve"> </w:t>
      </w:r>
      <w:r w:rsidR="00206A00">
        <w:rPr>
          <w:rFonts w:asciiTheme="minorBidi" w:hAnsiTheme="minorBidi" w:cstheme="minorBidi"/>
          <w:kern w:val="1"/>
          <w:sz w:val="20"/>
          <w:szCs w:val="20"/>
          <w:lang w:eastAsia="ar-SA"/>
        </w:rPr>
        <w:t>et, dans une moindre mesure, ceux</w:t>
      </w:r>
      <w:r w:rsidRPr="003C2E9B">
        <w:rPr>
          <w:rFonts w:asciiTheme="minorBidi" w:hAnsiTheme="minorBidi" w:cstheme="minorBidi"/>
          <w:kern w:val="1"/>
          <w:sz w:val="20"/>
          <w:szCs w:val="20"/>
          <w:lang w:eastAsia="ar-SA"/>
        </w:rPr>
        <w:t xml:space="preserve"> des services (+1,1%, après +1,2%)</w:t>
      </w:r>
      <w:r w:rsidR="000E7BD0">
        <w:rPr>
          <w:rFonts w:asciiTheme="minorBidi" w:hAnsiTheme="minorBidi" w:cstheme="minorBidi"/>
          <w:kern w:val="1"/>
          <w:sz w:val="20"/>
          <w:szCs w:val="20"/>
          <w:lang w:eastAsia="ar-SA"/>
        </w:rPr>
        <w:t>. Il</w:t>
      </w:r>
      <w:r w:rsidRPr="003C2E9B">
        <w:rPr>
          <w:rFonts w:asciiTheme="minorBidi" w:hAnsiTheme="minorBidi" w:cstheme="minorBidi"/>
          <w:kern w:val="1"/>
          <w:sz w:val="20"/>
          <w:szCs w:val="20"/>
          <w:lang w:eastAsia="ar-SA"/>
        </w:rPr>
        <w:t xml:space="preserve"> aurait été</w:t>
      </w:r>
      <w:r w:rsidR="005B2BAD" w:rsidRPr="00F82E3E">
        <w:rPr>
          <w:rFonts w:asciiTheme="minorBidi" w:hAnsiTheme="minorBidi" w:cstheme="minorBidi"/>
          <w:kern w:val="1"/>
          <w:sz w:val="20"/>
          <w:szCs w:val="20"/>
          <w:lang w:eastAsia="ar-SA"/>
        </w:rPr>
        <w:t xml:space="preserve">, essentiellement, </w:t>
      </w:r>
      <w:r w:rsidRPr="00F82E3E">
        <w:rPr>
          <w:rFonts w:asciiTheme="minorBidi" w:hAnsiTheme="minorBidi" w:cstheme="minorBidi"/>
          <w:kern w:val="1"/>
          <w:sz w:val="20"/>
          <w:szCs w:val="20"/>
          <w:lang w:eastAsia="ar-SA"/>
        </w:rPr>
        <w:t>tiré</w:t>
      </w:r>
      <w:r w:rsidR="005B2BAD">
        <w:rPr>
          <w:rFonts w:asciiTheme="minorBidi" w:hAnsiTheme="minorBidi" w:cstheme="minorBidi"/>
          <w:kern w:val="1"/>
          <w:sz w:val="20"/>
          <w:szCs w:val="20"/>
          <w:lang w:eastAsia="ar-SA"/>
        </w:rPr>
        <w:t xml:space="preserve"> </w:t>
      </w:r>
      <w:r w:rsidRPr="003C2E9B">
        <w:rPr>
          <w:rFonts w:asciiTheme="minorBidi" w:hAnsiTheme="minorBidi" w:cstheme="minorBidi"/>
          <w:kern w:val="1"/>
          <w:sz w:val="20"/>
          <w:szCs w:val="20"/>
          <w:lang w:eastAsia="ar-SA"/>
        </w:rPr>
        <w:t>par l’ajustement à la baisse des prix des produits pharmaceutiques au mois de janvier (-0,1 point de contribution à l’inflation)</w:t>
      </w:r>
      <w:r w:rsidR="002B1F3C">
        <w:rPr>
          <w:rFonts w:asciiTheme="minorBidi" w:hAnsiTheme="minorBidi" w:cstheme="minorBidi"/>
          <w:kern w:val="1"/>
          <w:sz w:val="20"/>
          <w:szCs w:val="20"/>
          <w:lang w:eastAsia="ar-SA"/>
        </w:rPr>
        <w:t>, dans un contexte de réduction</w:t>
      </w:r>
      <w:r w:rsidR="004D12F5">
        <w:rPr>
          <w:rFonts w:asciiTheme="minorBidi" w:hAnsiTheme="minorBidi" w:cstheme="minorBidi"/>
          <w:kern w:val="1"/>
          <w:sz w:val="20"/>
          <w:szCs w:val="20"/>
          <w:lang w:eastAsia="ar-SA"/>
        </w:rPr>
        <w:t xml:space="preserve"> de la TVA sur ces produits</w:t>
      </w:r>
      <w:r w:rsidRPr="003C2E9B">
        <w:rPr>
          <w:rFonts w:asciiTheme="minorBidi" w:hAnsiTheme="minorBidi" w:cstheme="minorBidi"/>
          <w:kern w:val="1"/>
          <w:sz w:val="20"/>
          <w:szCs w:val="20"/>
          <w:lang w:eastAsia="ar-SA"/>
        </w:rPr>
        <w:t xml:space="preserve">. A l’inverse, </w:t>
      </w:r>
      <w:r w:rsidR="004D12F5">
        <w:rPr>
          <w:rFonts w:asciiTheme="minorBidi" w:hAnsiTheme="minorBidi" w:cstheme="minorBidi"/>
          <w:kern w:val="1"/>
          <w:sz w:val="20"/>
          <w:szCs w:val="20"/>
          <w:lang w:eastAsia="ar-SA"/>
        </w:rPr>
        <w:t xml:space="preserve">les prix de </w:t>
      </w:r>
      <w:r w:rsidRPr="003C2E9B">
        <w:rPr>
          <w:rFonts w:asciiTheme="minorBidi" w:hAnsiTheme="minorBidi" w:cstheme="minorBidi"/>
          <w:kern w:val="1"/>
          <w:sz w:val="20"/>
          <w:szCs w:val="20"/>
          <w:lang w:eastAsia="ar-SA"/>
        </w:rPr>
        <w:t>l’énergie aurai</w:t>
      </w:r>
      <w:r w:rsidR="004D12F5">
        <w:rPr>
          <w:rFonts w:asciiTheme="minorBidi" w:hAnsiTheme="minorBidi" w:cstheme="minorBidi"/>
          <w:kern w:val="1"/>
          <w:sz w:val="20"/>
          <w:szCs w:val="20"/>
          <w:lang w:eastAsia="ar-SA"/>
        </w:rPr>
        <w:t>en</w:t>
      </w:r>
      <w:r w:rsidRPr="003C2E9B">
        <w:rPr>
          <w:rFonts w:asciiTheme="minorBidi" w:hAnsiTheme="minorBidi" w:cstheme="minorBidi"/>
          <w:kern w:val="1"/>
          <w:sz w:val="20"/>
          <w:szCs w:val="20"/>
          <w:lang w:eastAsia="ar-SA"/>
        </w:rPr>
        <w:t xml:space="preserve">t </w:t>
      </w:r>
      <w:r w:rsidR="004D12F5">
        <w:rPr>
          <w:rFonts w:asciiTheme="minorBidi" w:hAnsiTheme="minorBidi" w:cstheme="minorBidi"/>
          <w:kern w:val="1"/>
          <w:sz w:val="20"/>
          <w:szCs w:val="20"/>
          <w:lang w:eastAsia="ar-SA"/>
        </w:rPr>
        <w:t>quasiment stagné (</w:t>
      </w:r>
      <w:r w:rsidRPr="003C2E9B">
        <w:rPr>
          <w:rFonts w:asciiTheme="minorBidi" w:hAnsiTheme="minorBidi" w:cstheme="minorBidi"/>
          <w:kern w:val="1"/>
          <w:sz w:val="20"/>
          <w:szCs w:val="20"/>
          <w:lang w:eastAsia="ar-SA"/>
        </w:rPr>
        <w:t>-0,1%</w:t>
      </w:r>
      <w:r w:rsidR="004D12F5">
        <w:rPr>
          <w:rFonts w:asciiTheme="minorBidi" w:hAnsiTheme="minorBidi" w:cstheme="minorBidi"/>
          <w:kern w:val="1"/>
          <w:sz w:val="20"/>
          <w:szCs w:val="20"/>
          <w:lang w:eastAsia="ar-SA"/>
        </w:rPr>
        <w:t>)</w:t>
      </w:r>
      <w:r w:rsidR="002B1F3C">
        <w:rPr>
          <w:rFonts w:asciiTheme="minorBidi" w:hAnsiTheme="minorBidi" w:cstheme="minorBidi"/>
          <w:kern w:val="1"/>
          <w:sz w:val="20"/>
          <w:szCs w:val="20"/>
          <w:lang w:eastAsia="ar-SA"/>
        </w:rPr>
        <w:t>, après le</w:t>
      </w:r>
      <w:r w:rsidR="004D12F5">
        <w:rPr>
          <w:rFonts w:asciiTheme="minorBidi" w:hAnsiTheme="minorBidi" w:cstheme="minorBidi"/>
          <w:kern w:val="1"/>
          <w:sz w:val="20"/>
          <w:szCs w:val="20"/>
          <w:lang w:eastAsia="ar-SA"/>
        </w:rPr>
        <w:t xml:space="preserve"> repli de </w:t>
      </w:r>
      <w:r w:rsidRPr="003C2E9B">
        <w:rPr>
          <w:rFonts w:asciiTheme="minorBidi" w:hAnsiTheme="minorBidi" w:cstheme="minorBidi"/>
          <w:kern w:val="1"/>
          <w:sz w:val="20"/>
          <w:szCs w:val="20"/>
          <w:lang w:eastAsia="ar-SA"/>
        </w:rPr>
        <w:t xml:space="preserve">1,5% </w:t>
      </w:r>
      <w:r w:rsidR="002B1F3C">
        <w:rPr>
          <w:rFonts w:asciiTheme="minorBidi" w:hAnsiTheme="minorBidi" w:cstheme="minorBidi"/>
          <w:kern w:val="1"/>
          <w:sz w:val="20"/>
          <w:szCs w:val="20"/>
          <w:lang w:eastAsia="ar-SA"/>
        </w:rPr>
        <w:t xml:space="preserve">enregistré </w:t>
      </w:r>
      <w:r w:rsidRPr="003C2E9B">
        <w:rPr>
          <w:rFonts w:asciiTheme="minorBidi" w:hAnsiTheme="minorBidi" w:cstheme="minorBidi"/>
          <w:kern w:val="1"/>
          <w:sz w:val="20"/>
          <w:szCs w:val="20"/>
          <w:lang w:eastAsia="ar-SA"/>
        </w:rPr>
        <w:t xml:space="preserve">au trimestre précédent. </w:t>
      </w:r>
    </w:p>
    <w:p w:rsidR="000967B8" w:rsidRPr="00E11814" w:rsidRDefault="000967B8" w:rsidP="003C2E9B">
      <w:pPr>
        <w:jc w:val="both"/>
        <w:rPr>
          <w:rFonts w:asciiTheme="minorBidi" w:hAnsiTheme="minorBidi" w:cstheme="minorBidi"/>
          <w:kern w:val="1"/>
          <w:sz w:val="20"/>
          <w:szCs w:val="20"/>
          <w:lang w:eastAsia="ar-SA"/>
        </w:rPr>
      </w:pPr>
    </w:p>
    <w:p w:rsidR="000967B8" w:rsidRPr="00E11814" w:rsidRDefault="006B349A" w:rsidP="003C2E9B">
      <w:pPr>
        <w:spacing w:line="240" w:lineRule="exact"/>
        <w:jc w:val="both"/>
        <w:rPr>
          <w:rFonts w:asciiTheme="minorBidi" w:hAnsiTheme="minorBidi" w:cstheme="minorBidi"/>
          <w:b/>
          <w:bCs/>
          <w:color w:val="C00000"/>
          <w:sz w:val="20"/>
          <w:szCs w:val="20"/>
        </w:rPr>
      </w:pPr>
      <w:r w:rsidRPr="006B349A">
        <w:rPr>
          <w:noProof/>
        </w:rPr>
        <w:drawing>
          <wp:anchor distT="0" distB="0" distL="114300" distR="114300" simplePos="0" relativeHeight="251666432" behindDoc="0" locked="0" layoutInCell="1" allowOverlap="1">
            <wp:simplePos x="0" y="0"/>
            <wp:positionH relativeFrom="column">
              <wp:posOffset>3149600</wp:posOffset>
            </wp:positionH>
            <wp:positionV relativeFrom="paragraph">
              <wp:posOffset>91440</wp:posOffset>
            </wp:positionV>
            <wp:extent cx="3352165" cy="2611120"/>
            <wp:effectExtent l="0" t="0" r="635"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165" cy="2611120"/>
                    </a:xfrm>
                    <a:prstGeom prst="rect">
                      <a:avLst/>
                    </a:prstGeom>
                    <a:noFill/>
                    <a:ln>
                      <a:noFill/>
                    </a:ln>
                  </pic:spPr>
                </pic:pic>
              </a:graphicData>
            </a:graphic>
          </wp:anchor>
        </w:drawing>
      </w:r>
      <w:r w:rsidR="00EB1648">
        <w:rPr>
          <w:rFonts w:asciiTheme="minorBidi" w:hAnsiTheme="minorBidi" w:cstheme="minorBidi"/>
          <w:b/>
          <w:bCs/>
          <w:color w:val="C00000"/>
          <w:sz w:val="20"/>
          <w:szCs w:val="20"/>
        </w:rPr>
        <w:t xml:space="preserve">Retournement à la baisse </w:t>
      </w:r>
      <w:r w:rsidR="000967B8" w:rsidRPr="00E11814">
        <w:rPr>
          <w:rFonts w:asciiTheme="minorBidi" w:hAnsiTheme="minorBidi" w:cstheme="minorBidi"/>
          <w:b/>
          <w:bCs/>
          <w:color w:val="C00000"/>
          <w:sz w:val="20"/>
          <w:szCs w:val="20"/>
        </w:rPr>
        <w:t>de l’activité agricole</w:t>
      </w:r>
    </w:p>
    <w:p w:rsidR="00F4120C" w:rsidRPr="00F4120C" w:rsidRDefault="00F4120C" w:rsidP="006B349A">
      <w:pPr>
        <w:autoSpaceDE w:val="0"/>
        <w:autoSpaceDN w:val="0"/>
        <w:adjustRightInd w:val="0"/>
        <w:spacing w:before="240" w:after="240" w:line="240" w:lineRule="exact"/>
        <w:jc w:val="both"/>
        <w:rPr>
          <w:rFonts w:asciiTheme="minorBidi" w:hAnsiTheme="minorBidi" w:cstheme="minorBidi"/>
          <w:sz w:val="20"/>
          <w:szCs w:val="20"/>
        </w:rPr>
      </w:pPr>
      <w:bookmarkStart w:id="1" w:name="_Hlk43415819"/>
      <w:r w:rsidRPr="00F4120C">
        <w:rPr>
          <w:rFonts w:asciiTheme="minorBidi" w:hAnsiTheme="minorBidi" w:cstheme="minorBidi"/>
          <w:sz w:val="20"/>
          <w:szCs w:val="20"/>
        </w:rPr>
        <w:t xml:space="preserve">Les activités agricoles auraient connu </w:t>
      </w:r>
      <w:r w:rsidR="00B12DA7">
        <w:rPr>
          <w:rFonts w:asciiTheme="minorBidi" w:hAnsiTheme="minorBidi" w:cstheme="minorBidi"/>
          <w:sz w:val="20"/>
          <w:szCs w:val="20"/>
        </w:rPr>
        <w:t>une régression</w:t>
      </w:r>
      <w:r w:rsidRPr="00F4120C">
        <w:rPr>
          <w:rFonts w:asciiTheme="minorBidi" w:hAnsiTheme="minorBidi" w:cstheme="minorBidi"/>
          <w:sz w:val="20"/>
          <w:szCs w:val="20"/>
        </w:rPr>
        <w:t xml:space="preserve"> de </w:t>
      </w:r>
      <w:r w:rsidR="00EB1648">
        <w:rPr>
          <w:rFonts w:asciiTheme="minorBidi" w:hAnsiTheme="minorBidi" w:cstheme="minorBidi"/>
          <w:sz w:val="20"/>
          <w:szCs w:val="20"/>
        </w:rPr>
        <w:t>3,9</w:t>
      </w:r>
      <w:r w:rsidRPr="00F4120C">
        <w:rPr>
          <w:rFonts w:asciiTheme="minorBidi" w:hAnsiTheme="minorBidi" w:cstheme="minorBidi"/>
          <w:sz w:val="20"/>
          <w:szCs w:val="20"/>
        </w:rPr>
        <w:t xml:space="preserve">% au premier trimestre 2024, en variation annuelle, au lieu d’une hausse de </w:t>
      </w:r>
      <w:r w:rsidR="00EB1648">
        <w:rPr>
          <w:rFonts w:asciiTheme="minorBidi" w:hAnsiTheme="minorBidi" w:cstheme="minorBidi"/>
          <w:sz w:val="20"/>
          <w:szCs w:val="20"/>
        </w:rPr>
        <w:t>6,9</w:t>
      </w:r>
      <w:r w:rsidRPr="00F4120C">
        <w:rPr>
          <w:rFonts w:asciiTheme="minorBidi" w:hAnsiTheme="minorBidi" w:cstheme="minorBidi"/>
          <w:sz w:val="20"/>
          <w:szCs w:val="20"/>
        </w:rPr>
        <w:t xml:space="preserve">% une année auparavant. Cette contreperformance aurait été attribuable aux conditions </w:t>
      </w:r>
      <w:r w:rsidR="005B2BAD">
        <w:rPr>
          <w:rFonts w:asciiTheme="minorBidi" w:hAnsiTheme="minorBidi" w:cstheme="minorBidi"/>
          <w:sz w:val="20"/>
          <w:szCs w:val="20"/>
        </w:rPr>
        <w:t>climatiques défavorables qui</w:t>
      </w:r>
      <w:r w:rsidRPr="00F4120C">
        <w:rPr>
          <w:rFonts w:asciiTheme="minorBidi" w:hAnsiTheme="minorBidi" w:cstheme="minorBidi"/>
          <w:sz w:val="20"/>
          <w:szCs w:val="20"/>
        </w:rPr>
        <w:t xml:space="preserve"> </w:t>
      </w:r>
      <w:r w:rsidRPr="004F4F23">
        <w:rPr>
          <w:rFonts w:asciiTheme="minorBidi" w:hAnsiTheme="minorBidi" w:cstheme="minorBidi"/>
          <w:sz w:val="20"/>
          <w:szCs w:val="20"/>
        </w:rPr>
        <w:t>auraient</w:t>
      </w:r>
      <w:r w:rsidRPr="00F4120C">
        <w:rPr>
          <w:rFonts w:asciiTheme="minorBidi" w:hAnsiTheme="minorBidi" w:cstheme="minorBidi"/>
          <w:sz w:val="20"/>
          <w:szCs w:val="20"/>
        </w:rPr>
        <w:t xml:space="preserve"> entravé l’installation des cultures</w:t>
      </w:r>
      <w:r w:rsidR="00B12DA7">
        <w:rPr>
          <w:rFonts w:asciiTheme="minorBidi" w:hAnsiTheme="minorBidi" w:cstheme="minorBidi"/>
          <w:sz w:val="20"/>
          <w:szCs w:val="20"/>
        </w:rPr>
        <w:t xml:space="preserve"> automnales et hivernales.</w:t>
      </w:r>
      <w:r w:rsidR="00B12DA7" w:rsidRPr="00B12DA7">
        <w:rPr>
          <w:rFonts w:asciiTheme="minorBidi" w:hAnsiTheme="minorBidi" w:cstheme="minorBidi"/>
          <w:sz w:val="20"/>
          <w:szCs w:val="20"/>
        </w:rPr>
        <w:t xml:space="preserve"> </w:t>
      </w:r>
      <w:r w:rsidR="00B12DA7" w:rsidRPr="00F4120C">
        <w:rPr>
          <w:rFonts w:asciiTheme="minorBidi" w:hAnsiTheme="minorBidi" w:cstheme="minorBidi"/>
          <w:sz w:val="20"/>
          <w:szCs w:val="20"/>
        </w:rPr>
        <w:t xml:space="preserve">Les superficies semées de céréales auraient reculé de 42,5% par rapport à la moyenne quinquennale, se limitant principalement aux zones favorables </w:t>
      </w:r>
      <w:r w:rsidR="00B12DA7">
        <w:rPr>
          <w:rFonts w:asciiTheme="minorBidi" w:hAnsiTheme="minorBidi" w:cstheme="minorBidi"/>
          <w:sz w:val="20"/>
          <w:szCs w:val="20"/>
        </w:rPr>
        <w:t>dans le</w:t>
      </w:r>
      <w:r w:rsidR="00B12DA7" w:rsidRPr="00F4120C">
        <w:rPr>
          <w:rFonts w:asciiTheme="minorBidi" w:hAnsiTheme="minorBidi" w:cstheme="minorBidi"/>
          <w:sz w:val="20"/>
          <w:szCs w:val="20"/>
        </w:rPr>
        <w:t xml:space="preserve"> Sa</w:t>
      </w:r>
      <w:r w:rsidR="002C6CA2">
        <w:rPr>
          <w:rFonts w:asciiTheme="minorBidi" w:hAnsiTheme="minorBidi" w:cstheme="minorBidi"/>
          <w:sz w:val="20"/>
          <w:szCs w:val="20"/>
        </w:rPr>
        <w:t>ï</w:t>
      </w:r>
      <w:r w:rsidR="002C6CA2" w:rsidRPr="00F4120C">
        <w:rPr>
          <w:rFonts w:asciiTheme="minorBidi" w:hAnsiTheme="minorBidi" w:cstheme="minorBidi"/>
          <w:sz w:val="20"/>
          <w:szCs w:val="20"/>
        </w:rPr>
        <w:t>s</w:t>
      </w:r>
      <w:r w:rsidR="00B12DA7" w:rsidRPr="00F4120C">
        <w:rPr>
          <w:rFonts w:asciiTheme="minorBidi" w:hAnsiTheme="minorBidi" w:cstheme="minorBidi"/>
          <w:sz w:val="20"/>
          <w:szCs w:val="20"/>
        </w:rPr>
        <w:t xml:space="preserve">, le Loukkous </w:t>
      </w:r>
      <w:r w:rsidR="00B12DA7">
        <w:rPr>
          <w:rFonts w:asciiTheme="minorBidi" w:hAnsiTheme="minorBidi" w:cstheme="minorBidi"/>
          <w:sz w:val="20"/>
          <w:szCs w:val="20"/>
        </w:rPr>
        <w:t xml:space="preserve">et </w:t>
      </w:r>
      <w:r w:rsidR="00B12DA7" w:rsidRPr="00F4120C">
        <w:rPr>
          <w:rFonts w:asciiTheme="minorBidi" w:hAnsiTheme="minorBidi" w:cstheme="minorBidi"/>
          <w:sz w:val="20"/>
          <w:szCs w:val="20"/>
        </w:rPr>
        <w:t>une partie du Gharb.</w:t>
      </w:r>
      <w:r w:rsidRPr="00F4120C">
        <w:rPr>
          <w:rFonts w:asciiTheme="minorBidi" w:hAnsiTheme="minorBidi" w:cstheme="minorBidi"/>
          <w:sz w:val="20"/>
          <w:szCs w:val="20"/>
        </w:rPr>
        <w:t xml:space="preserve"> Les températures excessives enregistrées vers la mi-janvier 2024, conjuguées au défic</w:t>
      </w:r>
      <w:r w:rsidR="005B2BAD">
        <w:rPr>
          <w:rFonts w:asciiTheme="minorBidi" w:hAnsiTheme="minorBidi" w:cstheme="minorBidi"/>
          <w:sz w:val="20"/>
          <w:szCs w:val="20"/>
        </w:rPr>
        <w:t xml:space="preserve">it pluviométrique atteignant </w:t>
      </w:r>
      <w:r w:rsidR="005B2BAD" w:rsidRPr="004F4F23">
        <w:rPr>
          <w:rFonts w:asciiTheme="minorBidi" w:hAnsiTheme="minorBidi" w:cstheme="minorBidi"/>
          <w:sz w:val="20"/>
          <w:szCs w:val="20"/>
        </w:rPr>
        <w:t>46,2</w:t>
      </w:r>
      <w:r w:rsidRPr="004F4F23">
        <w:rPr>
          <w:rFonts w:asciiTheme="minorBidi" w:hAnsiTheme="minorBidi" w:cstheme="minorBidi"/>
          <w:sz w:val="20"/>
          <w:szCs w:val="20"/>
        </w:rPr>
        <w:t xml:space="preserve">% </w:t>
      </w:r>
      <w:r w:rsidR="00EB1648" w:rsidRPr="004F4F23">
        <w:rPr>
          <w:rFonts w:asciiTheme="minorBidi" w:hAnsiTheme="minorBidi" w:cstheme="minorBidi"/>
          <w:sz w:val="20"/>
          <w:szCs w:val="20"/>
        </w:rPr>
        <w:t>à</w:t>
      </w:r>
      <w:r w:rsidR="00EB1648">
        <w:rPr>
          <w:rFonts w:asciiTheme="minorBidi" w:hAnsiTheme="minorBidi" w:cstheme="minorBidi"/>
          <w:sz w:val="20"/>
          <w:szCs w:val="20"/>
        </w:rPr>
        <w:t xml:space="preserve"> fin février </w:t>
      </w:r>
      <w:r w:rsidRPr="00F4120C">
        <w:rPr>
          <w:rFonts w:asciiTheme="minorBidi" w:hAnsiTheme="minorBidi" w:cstheme="minorBidi"/>
          <w:sz w:val="20"/>
          <w:szCs w:val="20"/>
        </w:rPr>
        <w:t xml:space="preserve">par rapport à </w:t>
      </w:r>
      <w:r w:rsidR="00EB1648">
        <w:rPr>
          <w:rFonts w:asciiTheme="minorBidi" w:hAnsiTheme="minorBidi" w:cstheme="minorBidi"/>
          <w:sz w:val="20"/>
          <w:szCs w:val="20"/>
        </w:rPr>
        <w:t xml:space="preserve">la même période d’une saison </w:t>
      </w:r>
      <w:r w:rsidR="00EB1648" w:rsidRPr="00F4120C">
        <w:rPr>
          <w:rFonts w:asciiTheme="minorBidi" w:hAnsiTheme="minorBidi" w:cstheme="minorBidi"/>
          <w:sz w:val="20"/>
          <w:szCs w:val="20"/>
        </w:rPr>
        <w:t>normale</w:t>
      </w:r>
      <w:r w:rsidRPr="00F4120C">
        <w:rPr>
          <w:rFonts w:asciiTheme="minorBidi" w:hAnsiTheme="minorBidi" w:cstheme="minorBidi"/>
          <w:sz w:val="20"/>
          <w:szCs w:val="20"/>
        </w:rPr>
        <w:t xml:space="preserve">, auraient impacté </w:t>
      </w:r>
      <w:r w:rsidR="00B12DA7">
        <w:rPr>
          <w:rFonts w:asciiTheme="minorBidi" w:hAnsiTheme="minorBidi" w:cstheme="minorBidi"/>
          <w:sz w:val="20"/>
          <w:szCs w:val="20"/>
        </w:rPr>
        <w:t xml:space="preserve">le développement de la plupart des cultures </w:t>
      </w:r>
      <w:r w:rsidR="00B12DA7" w:rsidRPr="00F4120C">
        <w:rPr>
          <w:rFonts w:asciiTheme="minorBidi" w:hAnsiTheme="minorBidi" w:cstheme="minorBidi"/>
          <w:sz w:val="20"/>
          <w:szCs w:val="20"/>
        </w:rPr>
        <w:t xml:space="preserve">pendant leurs stades végétatifs </w:t>
      </w:r>
      <w:r w:rsidR="00B12DA7" w:rsidRPr="004F4F23">
        <w:rPr>
          <w:rFonts w:asciiTheme="minorBidi" w:hAnsiTheme="minorBidi" w:cstheme="minorBidi"/>
          <w:sz w:val="20"/>
          <w:szCs w:val="20"/>
        </w:rPr>
        <w:t>précoces et avancés</w:t>
      </w:r>
      <w:r w:rsidRPr="004F4F23">
        <w:rPr>
          <w:rFonts w:asciiTheme="minorBidi" w:hAnsiTheme="minorBidi" w:cstheme="minorBidi"/>
          <w:sz w:val="20"/>
          <w:szCs w:val="20"/>
        </w:rPr>
        <w:t>. Le retour des pluies au mois de mars</w:t>
      </w:r>
      <w:r w:rsidR="00B12DA7" w:rsidRPr="004F4F23">
        <w:rPr>
          <w:rFonts w:asciiTheme="minorBidi" w:hAnsiTheme="minorBidi" w:cstheme="minorBidi"/>
          <w:sz w:val="20"/>
          <w:szCs w:val="20"/>
        </w:rPr>
        <w:t xml:space="preserve">, limitant le déficit pluviométrique depuis le début de la campagne agricole à </w:t>
      </w:r>
      <w:r w:rsidR="005B2BAD" w:rsidRPr="004F4F23">
        <w:rPr>
          <w:rFonts w:asciiTheme="minorBidi" w:hAnsiTheme="minorBidi" w:cstheme="minorBidi"/>
          <w:sz w:val="20"/>
          <w:szCs w:val="20"/>
        </w:rPr>
        <w:t>20,6</w:t>
      </w:r>
      <w:r w:rsidR="00B12DA7" w:rsidRPr="004F4F23">
        <w:rPr>
          <w:rFonts w:asciiTheme="minorBidi" w:hAnsiTheme="minorBidi" w:cstheme="minorBidi"/>
          <w:sz w:val="20"/>
          <w:szCs w:val="20"/>
        </w:rPr>
        <w:t>%,</w:t>
      </w:r>
      <w:r w:rsidRPr="004F4F23">
        <w:rPr>
          <w:rFonts w:asciiTheme="minorBidi" w:hAnsiTheme="minorBidi" w:cstheme="minorBidi"/>
          <w:sz w:val="20"/>
          <w:szCs w:val="20"/>
        </w:rPr>
        <w:t xml:space="preserve"> aurait été bénéfique pour les rosacés et les maraichères de saison, mais n’aurait pas compensé les pertes </w:t>
      </w:r>
      <w:r w:rsidR="00B12DA7" w:rsidRPr="004F4F23">
        <w:rPr>
          <w:rFonts w:asciiTheme="minorBidi" w:hAnsiTheme="minorBidi" w:cstheme="minorBidi"/>
          <w:sz w:val="20"/>
          <w:szCs w:val="20"/>
        </w:rPr>
        <w:t>enregistrées au niveau des</w:t>
      </w:r>
      <w:r w:rsidRPr="004F4F23">
        <w:rPr>
          <w:rFonts w:asciiTheme="minorBidi" w:hAnsiTheme="minorBidi" w:cstheme="minorBidi"/>
          <w:sz w:val="20"/>
          <w:szCs w:val="20"/>
        </w:rPr>
        <w:t xml:space="preserve"> cultures </w:t>
      </w:r>
      <w:r w:rsidR="00B12DA7" w:rsidRPr="004F4F23">
        <w:rPr>
          <w:rFonts w:asciiTheme="minorBidi" w:hAnsiTheme="minorBidi" w:cstheme="minorBidi"/>
          <w:sz w:val="20"/>
          <w:szCs w:val="20"/>
        </w:rPr>
        <w:t>précoces</w:t>
      </w:r>
      <w:r w:rsidRPr="004F4F23">
        <w:rPr>
          <w:rFonts w:asciiTheme="minorBidi" w:hAnsiTheme="minorBidi" w:cstheme="minorBidi"/>
          <w:sz w:val="20"/>
          <w:szCs w:val="20"/>
        </w:rPr>
        <w:t>.</w:t>
      </w:r>
    </w:p>
    <w:p w:rsidR="00D27E20" w:rsidRDefault="00F4120C" w:rsidP="00692C2D">
      <w:pPr>
        <w:autoSpaceDE w:val="0"/>
        <w:autoSpaceDN w:val="0"/>
        <w:adjustRightInd w:val="0"/>
        <w:spacing w:before="240" w:after="240" w:line="240" w:lineRule="exact"/>
        <w:jc w:val="both"/>
        <w:rPr>
          <w:rFonts w:asciiTheme="minorBidi" w:hAnsiTheme="minorBidi" w:cstheme="minorBidi"/>
          <w:sz w:val="20"/>
          <w:szCs w:val="20"/>
        </w:rPr>
      </w:pPr>
      <w:r w:rsidRPr="00F4120C">
        <w:rPr>
          <w:rFonts w:asciiTheme="minorBidi" w:hAnsiTheme="minorBidi" w:cstheme="minorBidi"/>
          <w:sz w:val="20"/>
          <w:szCs w:val="20"/>
        </w:rPr>
        <w:t xml:space="preserve">Dans la filière animale, </w:t>
      </w:r>
      <w:r w:rsidR="00B12DA7">
        <w:rPr>
          <w:rFonts w:asciiTheme="minorBidi" w:hAnsiTheme="minorBidi" w:cstheme="minorBidi"/>
          <w:sz w:val="20"/>
          <w:szCs w:val="20"/>
        </w:rPr>
        <w:t>l’effort de reconstitution du cheptel</w:t>
      </w:r>
      <w:r w:rsidR="00976C61">
        <w:rPr>
          <w:rFonts w:asciiTheme="minorBidi" w:hAnsiTheme="minorBidi" w:cstheme="minorBidi"/>
          <w:sz w:val="20"/>
          <w:szCs w:val="20"/>
        </w:rPr>
        <w:t>,</w:t>
      </w:r>
      <w:r w:rsidR="00B12DA7">
        <w:rPr>
          <w:rFonts w:asciiTheme="minorBidi" w:hAnsiTheme="minorBidi" w:cstheme="minorBidi"/>
          <w:sz w:val="20"/>
          <w:szCs w:val="20"/>
        </w:rPr>
        <w:t xml:space="preserve"> après le repli </w:t>
      </w:r>
      <w:r w:rsidR="00976C61">
        <w:rPr>
          <w:rFonts w:asciiTheme="minorBidi" w:hAnsiTheme="minorBidi" w:cstheme="minorBidi"/>
          <w:sz w:val="20"/>
          <w:szCs w:val="20"/>
        </w:rPr>
        <w:t xml:space="preserve">sensible </w:t>
      </w:r>
      <w:r w:rsidR="00B12DA7">
        <w:rPr>
          <w:rFonts w:asciiTheme="minorBidi" w:hAnsiTheme="minorBidi" w:cstheme="minorBidi"/>
          <w:sz w:val="20"/>
          <w:szCs w:val="20"/>
        </w:rPr>
        <w:t>enregistré pendant les trois dernières années</w:t>
      </w:r>
      <w:r w:rsidR="00976C61">
        <w:rPr>
          <w:rFonts w:asciiTheme="minorBidi" w:hAnsiTheme="minorBidi" w:cstheme="minorBidi"/>
          <w:sz w:val="20"/>
          <w:szCs w:val="20"/>
        </w:rPr>
        <w:t>,</w:t>
      </w:r>
      <w:r w:rsidR="00B12DA7">
        <w:rPr>
          <w:rFonts w:asciiTheme="minorBidi" w:hAnsiTheme="minorBidi" w:cstheme="minorBidi"/>
          <w:sz w:val="20"/>
          <w:szCs w:val="20"/>
        </w:rPr>
        <w:t xml:space="preserve"> aurait </w:t>
      </w:r>
      <w:r w:rsidR="00B12DA7" w:rsidRPr="004F4F23">
        <w:rPr>
          <w:rFonts w:asciiTheme="minorBidi" w:hAnsiTheme="minorBidi" w:cstheme="minorBidi"/>
          <w:sz w:val="20"/>
          <w:szCs w:val="20"/>
        </w:rPr>
        <w:t>été</w:t>
      </w:r>
      <w:r w:rsidR="005B2BAD" w:rsidRPr="004F4F23">
        <w:rPr>
          <w:rFonts w:asciiTheme="minorBidi" w:hAnsiTheme="minorBidi" w:cstheme="minorBidi"/>
          <w:sz w:val="20"/>
          <w:szCs w:val="20"/>
        </w:rPr>
        <w:t>,</w:t>
      </w:r>
      <w:r w:rsidR="00B12DA7" w:rsidRPr="004F4F23">
        <w:rPr>
          <w:rFonts w:asciiTheme="minorBidi" w:hAnsiTheme="minorBidi" w:cstheme="minorBidi"/>
          <w:sz w:val="20"/>
          <w:szCs w:val="20"/>
        </w:rPr>
        <w:t xml:space="preserve"> </w:t>
      </w:r>
      <w:r w:rsidR="00976C61" w:rsidRPr="004F4F23">
        <w:rPr>
          <w:rFonts w:asciiTheme="minorBidi" w:hAnsiTheme="minorBidi" w:cstheme="minorBidi"/>
          <w:sz w:val="20"/>
          <w:szCs w:val="20"/>
        </w:rPr>
        <w:t>également</w:t>
      </w:r>
      <w:r w:rsidR="005B2BAD" w:rsidRPr="004F4F23">
        <w:rPr>
          <w:rFonts w:asciiTheme="minorBidi" w:hAnsiTheme="minorBidi" w:cstheme="minorBidi"/>
          <w:sz w:val="20"/>
          <w:szCs w:val="20"/>
        </w:rPr>
        <w:t>,</w:t>
      </w:r>
      <w:r w:rsidR="00976C61">
        <w:rPr>
          <w:rFonts w:asciiTheme="minorBidi" w:hAnsiTheme="minorBidi" w:cstheme="minorBidi"/>
          <w:sz w:val="20"/>
          <w:szCs w:val="20"/>
        </w:rPr>
        <w:t xml:space="preserve"> compromis par la dégradation des parcours végétatifs et le</w:t>
      </w:r>
      <w:r w:rsidRPr="00F4120C">
        <w:rPr>
          <w:rFonts w:asciiTheme="minorBidi" w:hAnsiTheme="minorBidi" w:cstheme="minorBidi"/>
          <w:sz w:val="20"/>
          <w:szCs w:val="20"/>
        </w:rPr>
        <w:t xml:space="preserve"> déficit pluviométrique prolongé </w:t>
      </w:r>
      <w:r w:rsidR="00976C61">
        <w:rPr>
          <w:rFonts w:asciiTheme="minorBidi" w:hAnsiTheme="minorBidi" w:cstheme="minorBidi"/>
          <w:sz w:val="20"/>
          <w:szCs w:val="20"/>
        </w:rPr>
        <w:t>sur</w:t>
      </w:r>
      <w:r w:rsidR="00B12DA7">
        <w:rPr>
          <w:rFonts w:asciiTheme="minorBidi" w:hAnsiTheme="minorBidi" w:cstheme="minorBidi"/>
          <w:sz w:val="20"/>
          <w:szCs w:val="20"/>
        </w:rPr>
        <w:t xml:space="preserve"> </w:t>
      </w:r>
      <w:r w:rsidR="00B12DA7" w:rsidRPr="00F4120C">
        <w:rPr>
          <w:rFonts w:asciiTheme="minorBidi" w:hAnsiTheme="minorBidi" w:cstheme="minorBidi"/>
          <w:sz w:val="20"/>
          <w:szCs w:val="20"/>
        </w:rPr>
        <w:t>les cinq premiers</w:t>
      </w:r>
      <w:r w:rsidR="00B12DA7">
        <w:rPr>
          <w:rFonts w:asciiTheme="minorBidi" w:hAnsiTheme="minorBidi" w:cstheme="minorBidi"/>
          <w:sz w:val="20"/>
          <w:szCs w:val="20"/>
        </w:rPr>
        <w:t xml:space="preserve"> mois</w:t>
      </w:r>
      <w:r w:rsidR="00B12DA7" w:rsidRPr="00F4120C">
        <w:rPr>
          <w:rFonts w:asciiTheme="minorBidi" w:hAnsiTheme="minorBidi" w:cstheme="minorBidi"/>
          <w:sz w:val="20"/>
          <w:szCs w:val="20"/>
        </w:rPr>
        <w:t xml:space="preserve"> de la campagne</w:t>
      </w:r>
      <w:r w:rsidR="00976C61">
        <w:rPr>
          <w:rFonts w:asciiTheme="minorBidi" w:hAnsiTheme="minorBidi" w:cstheme="minorBidi"/>
          <w:sz w:val="20"/>
          <w:szCs w:val="20"/>
        </w:rPr>
        <w:t xml:space="preserve">. </w:t>
      </w:r>
      <w:r w:rsidR="002C6CA2">
        <w:rPr>
          <w:rFonts w:asciiTheme="minorBidi" w:hAnsiTheme="minorBidi" w:cstheme="minorBidi"/>
          <w:sz w:val="20"/>
          <w:szCs w:val="20"/>
        </w:rPr>
        <w:t xml:space="preserve">La relance de la production locale de viande rouge </w:t>
      </w:r>
      <w:r w:rsidR="008D0F11">
        <w:rPr>
          <w:rFonts w:asciiTheme="minorBidi" w:hAnsiTheme="minorBidi" w:cstheme="minorBidi"/>
          <w:sz w:val="20"/>
          <w:szCs w:val="20"/>
        </w:rPr>
        <w:t>aurait été différée et l</w:t>
      </w:r>
      <w:r w:rsidRPr="00F4120C">
        <w:rPr>
          <w:rFonts w:asciiTheme="minorBidi" w:hAnsiTheme="minorBidi" w:cstheme="minorBidi"/>
          <w:sz w:val="20"/>
          <w:szCs w:val="20"/>
        </w:rPr>
        <w:t xml:space="preserve">'approvisionnement </w:t>
      </w:r>
      <w:r w:rsidR="008D0F11">
        <w:rPr>
          <w:rFonts w:asciiTheme="minorBidi" w:hAnsiTheme="minorBidi" w:cstheme="minorBidi"/>
          <w:sz w:val="20"/>
          <w:szCs w:val="20"/>
        </w:rPr>
        <w:t>du marché local</w:t>
      </w:r>
      <w:r w:rsidRPr="00F4120C">
        <w:rPr>
          <w:rFonts w:asciiTheme="minorBidi" w:hAnsiTheme="minorBidi" w:cstheme="minorBidi"/>
          <w:sz w:val="20"/>
          <w:szCs w:val="20"/>
        </w:rPr>
        <w:t xml:space="preserve"> </w:t>
      </w:r>
      <w:r w:rsidR="008D0F11">
        <w:rPr>
          <w:rFonts w:asciiTheme="minorBidi" w:hAnsiTheme="minorBidi" w:cstheme="minorBidi"/>
          <w:sz w:val="20"/>
          <w:szCs w:val="20"/>
        </w:rPr>
        <w:t>serait resté dopé</w:t>
      </w:r>
      <w:r w:rsidR="006B5FB3">
        <w:rPr>
          <w:rFonts w:asciiTheme="minorBidi" w:hAnsiTheme="minorBidi" w:cstheme="minorBidi"/>
          <w:sz w:val="20"/>
          <w:szCs w:val="20"/>
        </w:rPr>
        <w:t>,</w:t>
      </w:r>
      <w:r w:rsidRPr="00F4120C">
        <w:rPr>
          <w:rFonts w:asciiTheme="minorBidi" w:hAnsiTheme="minorBidi" w:cstheme="minorBidi"/>
          <w:sz w:val="20"/>
          <w:szCs w:val="20"/>
        </w:rPr>
        <w:t xml:space="preserve"> </w:t>
      </w:r>
      <w:r w:rsidR="00976C61">
        <w:rPr>
          <w:rFonts w:asciiTheme="minorBidi" w:hAnsiTheme="minorBidi" w:cstheme="minorBidi"/>
          <w:sz w:val="20"/>
          <w:szCs w:val="20"/>
        </w:rPr>
        <w:t>pour l’essentiel</w:t>
      </w:r>
      <w:r w:rsidR="006B5FB3">
        <w:rPr>
          <w:rFonts w:asciiTheme="minorBidi" w:hAnsiTheme="minorBidi" w:cstheme="minorBidi"/>
          <w:sz w:val="20"/>
          <w:szCs w:val="20"/>
        </w:rPr>
        <w:t>,</w:t>
      </w:r>
      <w:r w:rsidR="00B12DA7">
        <w:rPr>
          <w:rFonts w:asciiTheme="minorBidi" w:hAnsiTheme="minorBidi" w:cstheme="minorBidi"/>
          <w:sz w:val="20"/>
          <w:szCs w:val="20"/>
        </w:rPr>
        <w:t xml:space="preserve"> </w:t>
      </w:r>
      <w:r w:rsidR="008D0F11">
        <w:rPr>
          <w:rFonts w:asciiTheme="minorBidi" w:hAnsiTheme="minorBidi" w:cstheme="minorBidi"/>
          <w:sz w:val="20"/>
          <w:szCs w:val="20"/>
        </w:rPr>
        <w:t>par</w:t>
      </w:r>
      <w:r w:rsidRPr="00F4120C">
        <w:rPr>
          <w:rFonts w:asciiTheme="minorBidi" w:hAnsiTheme="minorBidi" w:cstheme="minorBidi"/>
          <w:sz w:val="20"/>
          <w:szCs w:val="20"/>
        </w:rPr>
        <w:t xml:space="preserve"> les importations de bovins et d'ovins. </w:t>
      </w:r>
      <w:r w:rsidR="008D0F11">
        <w:rPr>
          <w:rFonts w:asciiTheme="minorBidi" w:hAnsiTheme="minorBidi" w:cstheme="minorBidi"/>
          <w:sz w:val="20"/>
          <w:szCs w:val="20"/>
        </w:rPr>
        <w:t>A l’inverse</w:t>
      </w:r>
      <w:r w:rsidRPr="00F4120C">
        <w:rPr>
          <w:rFonts w:asciiTheme="minorBidi" w:hAnsiTheme="minorBidi" w:cstheme="minorBidi"/>
          <w:sz w:val="20"/>
          <w:szCs w:val="20"/>
        </w:rPr>
        <w:t xml:space="preserve">, les perspectives de croissance de la viande blanche se seraient </w:t>
      </w:r>
      <w:r w:rsidR="008D0F11">
        <w:rPr>
          <w:rFonts w:asciiTheme="minorBidi" w:hAnsiTheme="minorBidi" w:cstheme="minorBidi"/>
          <w:sz w:val="20"/>
          <w:szCs w:val="20"/>
        </w:rPr>
        <w:t xml:space="preserve">relativement </w:t>
      </w:r>
      <w:r w:rsidRPr="00F4120C">
        <w:rPr>
          <w:rFonts w:asciiTheme="minorBidi" w:hAnsiTheme="minorBidi" w:cstheme="minorBidi"/>
          <w:sz w:val="20"/>
          <w:szCs w:val="20"/>
        </w:rPr>
        <w:t xml:space="preserve">améliorées dans un contexte de repli du prix </w:t>
      </w:r>
      <w:r w:rsidR="00676251">
        <w:rPr>
          <w:rFonts w:asciiTheme="minorBidi" w:hAnsiTheme="minorBidi" w:cstheme="minorBidi"/>
          <w:sz w:val="20"/>
          <w:szCs w:val="20"/>
        </w:rPr>
        <w:t>des aliments composés</w:t>
      </w:r>
      <w:r w:rsidRPr="00F4120C">
        <w:rPr>
          <w:rFonts w:asciiTheme="minorBidi" w:hAnsiTheme="minorBidi" w:cstheme="minorBidi"/>
          <w:sz w:val="20"/>
          <w:szCs w:val="20"/>
        </w:rPr>
        <w:t xml:space="preserve">, en ligne avec la baisse </w:t>
      </w:r>
      <w:r w:rsidR="00676251">
        <w:rPr>
          <w:rFonts w:asciiTheme="minorBidi" w:hAnsiTheme="minorBidi" w:cstheme="minorBidi"/>
          <w:sz w:val="20"/>
          <w:szCs w:val="20"/>
        </w:rPr>
        <w:t>du</w:t>
      </w:r>
      <w:r w:rsidRPr="00F4120C">
        <w:rPr>
          <w:rFonts w:asciiTheme="minorBidi" w:hAnsiTheme="minorBidi" w:cstheme="minorBidi"/>
          <w:sz w:val="20"/>
          <w:szCs w:val="20"/>
        </w:rPr>
        <w:t xml:space="preserve"> cours international </w:t>
      </w:r>
      <w:r w:rsidR="00676251">
        <w:rPr>
          <w:rFonts w:asciiTheme="minorBidi" w:hAnsiTheme="minorBidi" w:cstheme="minorBidi"/>
          <w:sz w:val="20"/>
          <w:szCs w:val="20"/>
        </w:rPr>
        <w:t xml:space="preserve">du maïs </w:t>
      </w:r>
      <w:r w:rsidRPr="00F4120C">
        <w:rPr>
          <w:rFonts w:asciiTheme="minorBidi" w:hAnsiTheme="minorBidi" w:cstheme="minorBidi"/>
          <w:sz w:val="20"/>
          <w:szCs w:val="20"/>
        </w:rPr>
        <w:t>de 35,5%</w:t>
      </w:r>
      <w:r w:rsidR="005B2BAD">
        <w:rPr>
          <w:rFonts w:asciiTheme="minorBidi" w:hAnsiTheme="minorBidi" w:cstheme="minorBidi"/>
          <w:sz w:val="20"/>
          <w:szCs w:val="20"/>
        </w:rPr>
        <w:t xml:space="preserve"> </w:t>
      </w:r>
      <w:r w:rsidRPr="00F4120C">
        <w:rPr>
          <w:rFonts w:asciiTheme="minorBidi" w:hAnsiTheme="minorBidi" w:cstheme="minorBidi"/>
          <w:sz w:val="20"/>
          <w:szCs w:val="20"/>
        </w:rPr>
        <w:t>au premier trimestre 2024, au lieu de -2,4% une année plus tôt, en variations annuelles. La production des viande</w:t>
      </w:r>
      <w:r w:rsidR="00692C2D">
        <w:rPr>
          <w:rFonts w:asciiTheme="minorBidi" w:hAnsiTheme="minorBidi" w:cstheme="minorBidi"/>
          <w:sz w:val="20"/>
          <w:szCs w:val="20"/>
        </w:rPr>
        <w:t xml:space="preserve">s de poulet de chair se serait </w:t>
      </w:r>
      <w:r w:rsidRPr="00F4120C">
        <w:rPr>
          <w:rFonts w:asciiTheme="minorBidi" w:hAnsiTheme="minorBidi" w:cstheme="minorBidi"/>
          <w:sz w:val="20"/>
          <w:szCs w:val="20"/>
        </w:rPr>
        <w:t>accrue de 2,5%, en variation annuelle, au premier trimestre 2024, au lieu de +2,4% la même période de l’année précédente.</w:t>
      </w:r>
    </w:p>
    <w:p w:rsidR="00F4120C" w:rsidRDefault="00F4120C" w:rsidP="00692C2D">
      <w:pPr>
        <w:autoSpaceDE w:val="0"/>
        <w:autoSpaceDN w:val="0"/>
        <w:adjustRightInd w:val="0"/>
        <w:spacing w:before="240" w:after="240" w:line="240" w:lineRule="exact"/>
        <w:jc w:val="both"/>
        <w:rPr>
          <w:rFonts w:asciiTheme="minorBidi" w:hAnsiTheme="minorBidi" w:cstheme="minorBidi"/>
          <w:sz w:val="20"/>
          <w:szCs w:val="20"/>
        </w:rPr>
      </w:pPr>
      <w:r w:rsidRPr="00F4120C">
        <w:rPr>
          <w:rFonts w:asciiTheme="minorBidi" w:hAnsiTheme="minorBidi" w:cstheme="minorBidi"/>
          <w:sz w:val="20"/>
          <w:szCs w:val="20"/>
        </w:rPr>
        <w:lastRenderedPageBreak/>
        <w:t xml:space="preserve"> </w:t>
      </w:r>
    </w:p>
    <w:p w:rsidR="00676251" w:rsidRPr="00363C44" w:rsidRDefault="008D0F11" w:rsidP="00363C44">
      <w:pPr>
        <w:autoSpaceDE w:val="0"/>
        <w:autoSpaceDN w:val="0"/>
        <w:adjustRightInd w:val="0"/>
        <w:spacing w:before="240" w:after="240" w:line="240" w:lineRule="exact"/>
        <w:jc w:val="both"/>
        <w:rPr>
          <w:rFonts w:asciiTheme="minorBidi" w:hAnsiTheme="minorBidi" w:cstheme="minorBidi"/>
          <w:b/>
          <w:bCs/>
          <w:color w:val="C00000"/>
          <w:sz w:val="20"/>
          <w:szCs w:val="20"/>
        </w:rPr>
      </w:pPr>
      <w:r w:rsidRPr="008D0F11">
        <w:rPr>
          <w:rFonts w:asciiTheme="minorBidi" w:hAnsiTheme="minorBidi" w:cstheme="minorBidi"/>
          <w:b/>
          <w:bCs/>
          <w:color w:val="C00000"/>
          <w:sz w:val="20"/>
          <w:szCs w:val="20"/>
        </w:rPr>
        <w:t>Résilience</w:t>
      </w:r>
      <w:r w:rsidR="00CB72EC" w:rsidRPr="008D0F11">
        <w:rPr>
          <w:rFonts w:asciiTheme="minorBidi" w:hAnsiTheme="minorBidi" w:cstheme="minorBidi"/>
          <w:b/>
          <w:bCs/>
          <w:color w:val="C00000"/>
          <w:sz w:val="20"/>
          <w:szCs w:val="20"/>
        </w:rPr>
        <w:t xml:space="preserve"> </w:t>
      </w:r>
      <w:r>
        <w:rPr>
          <w:rFonts w:asciiTheme="minorBidi" w:hAnsiTheme="minorBidi" w:cstheme="minorBidi"/>
          <w:b/>
          <w:bCs/>
          <w:color w:val="C00000"/>
          <w:sz w:val="20"/>
          <w:szCs w:val="20"/>
        </w:rPr>
        <w:t xml:space="preserve">de l’activité </w:t>
      </w:r>
      <w:r w:rsidR="00B5264C">
        <w:rPr>
          <w:rFonts w:asciiTheme="minorBidi" w:hAnsiTheme="minorBidi" w:cstheme="minorBidi"/>
          <w:b/>
          <w:bCs/>
          <w:color w:val="C00000"/>
          <w:sz w:val="20"/>
          <w:szCs w:val="20"/>
        </w:rPr>
        <w:t xml:space="preserve">économique </w:t>
      </w:r>
      <w:r w:rsidR="008D5279" w:rsidRPr="008D0F11">
        <w:rPr>
          <w:rFonts w:asciiTheme="minorBidi" w:hAnsiTheme="minorBidi" w:cstheme="minorBidi"/>
          <w:b/>
          <w:bCs/>
          <w:color w:val="C00000"/>
          <w:sz w:val="20"/>
          <w:szCs w:val="20"/>
        </w:rPr>
        <w:t>hors agricultur</w:t>
      </w:r>
      <w:r w:rsidR="001E49E7" w:rsidRPr="008D0F11">
        <w:rPr>
          <w:rFonts w:asciiTheme="minorBidi" w:hAnsiTheme="minorBidi" w:cstheme="minorBidi"/>
          <w:b/>
          <w:bCs/>
          <w:color w:val="C00000"/>
          <w:sz w:val="20"/>
          <w:szCs w:val="20"/>
        </w:rPr>
        <w:t>e</w:t>
      </w:r>
    </w:p>
    <w:p w:rsidR="00676251" w:rsidRPr="00F4120C" w:rsidRDefault="00676251" w:rsidP="00363C44">
      <w:pPr>
        <w:jc w:val="both"/>
        <w:rPr>
          <w:rFonts w:asciiTheme="minorBidi" w:hAnsiTheme="minorBidi" w:cstheme="minorBidi"/>
          <w:sz w:val="20"/>
          <w:szCs w:val="20"/>
        </w:rPr>
      </w:pPr>
      <w:r w:rsidRPr="00F4120C">
        <w:rPr>
          <w:rFonts w:asciiTheme="minorBidi" w:hAnsiTheme="minorBidi" w:cstheme="minorBidi"/>
          <w:sz w:val="20"/>
          <w:szCs w:val="20"/>
        </w:rPr>
        <w:t xml:space="preserve">La hausse de la valeur ajoutée </w:t>
      </w:r>
      <w:r w:rsidR="00363C44">
        <w:rPr>
          <w:rFonts w:asciiTheme="minorBidi" w:hAnsiTheme="minorBidi" w:cstheme="minorBidi"/>
          <w:sz w:val="20"/>
          <w:szCs w:val="20"/>
        </w:rPr>
        <w:t>du secteur secondaire</w:t>
      </w:r>
      <w:r w:rsidRPr="00F4120C">
        <w:rPr>
          <w:rFonts w:asciiTheme="minorBidi" w:hAnsiTheme="minorBidi" w:cstheme="minorBidi"/>
          <w:sz w:val="20"/>
          <w:szCs w:val="20"/>
        </w:rPr>
        <w:t xml:space="preserve"> aurait</w:t>
      </w:r>
      <w:r>
        <w:rPr>
          <w:rFonts w:asciiTheme="minorBidi" w:hAnsiTheme="minorBidi" w:cstheme="minorBidi"/>
          <w:sz w:val="20"/>
          <w:szCs w:val="20"/>
        </w:rPr>
        <w:t xml:space="preserve"> atteint</w:t>
      </w:r>
      <w:r w:rsidRPr="00EB4387">
        <w:rPr>
          <w:rFonts w:asciiTheme="minorBidi" w:hAnsiTheme="minorBidi" w:cstheme="minorBidi"/>
          <w:sz w:val="20"/>
          <w:szCs w:val="20"/>
        </w:rPr>
        <w:t xml:space="preserve"> +6,</w:t>
      </w:r>
      <w:r>
        <w:rPr>
          <w:rFonts w:asciiTheme="minorBidi" w:hAnsiTheme="minorBidi" w:cstheme="minorBidi"/>
          <w:sz w:val="20"/>
          <w:szCs w:val="20"/>
        </w:rPr>
        <w:t>3</w:t>
      </w:r>
      <w:r w:rsidRPr="00EB4387">
        <w:rPr>
          <w:rFonts w:asciiTheme="minorBidi" w:hAnsiTheme="minorBidi" w:cstheme="minorBidi"/>
          <w:sz w:val="20"/>
          <w:szCs w:val="20"/>
        </w:rPr>
        <w:t xml:space="preserve">% </w:t>
      </w:r>
      <w:r w:rsidRPr="00F4120C">
        <w:rPr>
          <w:rFonts w:asciiTheme="minorBidi" w:hAnsiTheme="minorBidi" w:cstheme="minorBidi"/>
          <w:sz w:val="20"/>
          <w:szCs w:val="20"/>
        </w:rPr>
        <w:t>au premier trimestre 2024</w:t>
      </w:r>
      <w:r w:rsidR="00363C44">
        <w:rPr>
          <w:rFonts w:asciiTheme="minorBidi" w:hAnsiTheme="minorBidi" w:cstheme="minorBidi"/>
          <w:sz w:val="20"/>
          <w:szCs w:val="20"/>
        </w:rPr>
        <w:t xml:space="preserve">, dopée par les </w:t>
      </w:r>
      <w:r w:rsidR="00363C44" w:rsidRPr="00363C44">
        <w:rPr>
          <w:rFonts w:asciiTheme="minorBidi" w:hAnsiTheme="minorBidi" w:cstheme="minorBidi"/>
          <w:sz w:val="20"/>
          <w:szCs w:val="20"/>
        </w:rPr>
        <w:t>effets d’entraînement du r</w:t>
      </w:r>
      <w:r w:rsidR="00363C44">
        <w:rPr>
          <w:rFonts w:asciiTheme="minorBidi" w:hAnsiTheme="minorBidi" w:cstheme="minorBidi"/>
          <w:sz w:val="20"/>
          <w:szCs w:val="20"/>
        </w:rPr>
        <w:t>ebond technique des industries extractives</w:t>
      </w:r>
      <w:r w:rsidR="00363C44" w:rsidRPr="00363C44">
        <w:rPr>
          <w:rFonts w:asciiTheme="minorBidi" w:hAnsiTheme="minorBidi" w:cstheme="minorBidi"/>
          <w:sz w:val="20"/>
          <w:szCs w:val="20"/>
        </w:rPr>
        <w:t xml:space="preserve"> sur les autres branches</w:t>
      </w:r>
      <w:r w:rsidRPr="00EB4387">
        <w:rPr>
          <w:rFonts w:asciiTheme="minorBidi" w:hAnsiTheme="minorBidi" w:cstheme="minorBidi"/>
          <w:sz w:val="20"/>
          <w:szCs w:val="20"/>
        </w:rPr>
        <w:t xml:space="preserve">. </w:t>
      </w:r>
      <w:r w:rsidR="00363C44">
        <w:rPr>
          <w:rFonts w:asciiTheme="minorBidi" w:hAnsiTheme="minorBidi" w:cstheme="minorBidi"/>
          <w:sz w:val="20"/>
          <w:szCs w:val="20"/>
        </w:rPr>
        <w:t xml:space="preserve">En variation annuelle, </w:t>
      </w:r>
      <w:r w:rsidR="00363C44" w:rsidRPr="00EB4387">
        <w:rPr>
          <w:rFonts w:asciiTheme="minorBidi" w:hAnsiTheme="minorBidi" w:cstheme="minorBidi"/>
          <w:sz w:val="20"/>
          <w:szCs w:val="20"/>
        </w:rPr>
        <w:t>la</w:t>
      </w:r>
      <w:r w:rsidRPr="00EB4387">
        <w:rPr>
          <w:rFonts w:asciiTheme="minorBidi" w:hAnsiTheme="minorBidi" w:cstheme="minorBidi"/>
          <w:sz w:val="20"/>
          <w:szCs w:val="20"/>
        </w:rPr>
        <w:t xml:space="preserve"> valeur ajoutée </w:t>
      </w:r>
      <w:r w:rsidR="00363C44">
        <w:rPr>
          <w:rFonts w:asciiTheme="minorBidi" w:hAnsiTheme="minorBidi" w:cstheme="minorBidi"/>
          <w:sz w:val="20"/>
          <w:szCs w:val="20"/>
        </w:rPr>
        <w:t>minière</w:t>
      </w:r>
      <w:r w:rsidRPr="00F4120C">
        <w:rPr>
          <w:rFonts w:asciiTheme="minorBidi" w:hAnsiTheme="minorBidi" w:cstheme="minorBidi"/>
          <w:sz w:val="20"/>
          <w:szCs w:val="20"/>
        </w:rPr>
        <w:t xml:space="preserve"> se serait accrue de </w:t>
      </w:r>
      <w:r>
        <w:rPr>
          <w:rFonts w:asciiTheme="minorBidi" w:hAnsiTheme="minorBidi" w:cstheme="minorBidi"/>
          <w:sz w:val="20"/>
          <w:szCs w:val="20"/>
        </w:rPr>
        <w:t xml:space="preserve">11,2%, </w:t>
      </w:r>
      <w:r w:rsidR="00363C44">
        <w:rPr>
          <w:rFonts w:asciiTheme="minorBidi" w:hAnsiTheme="minorBidi" w:cstheme="minorBidi"/>
          <w:sz w:val="20"/>
          <w:szCs w:val="20"/>
        </w:rPr>
        <w:t>après</w:t>
      </w:r>
      <w:r>
        <w:rPr>
          <w:rFonts w:asciiTheme="minorBidi" w:hAnsiTheme="minorBidi" w:cstheme="minorBidi"/>
          <w:sz w:val="20"/>
          <w:szCs w:val="20"/>
        </w:rPr>
        <w:t xml:space="preserve"> </w:t>
      </w:r>
      <w:r w:rsidR="00363C44">
        <w:rPr>
          <w:rFonts w:asciiTheme="minorBidi" w:hAnsiTheme="minorBidi" w:cstheme="minorBidi"/>
          <w:sz w:val="20"/>
          <w:szCs w:val="20"/>
        </w:rPr>
        <w:t>-</w:t>
      </w:r>
      <w:r w:rsidRPr="00F4120C">
        <w:rPr>
          <w:rFonts w:asciiTheme="minorBidi" w:hAnsiTheme="minorBidi" w:cstheme="minorBidi"/>
          <w:sz w:val="20"/>
          <w:szCs w:val="20"/>
        </w:rPr>
        <w:t xml:space="preserve">11,8% une année plus tôt. Cette </w:t>
      </w:r>
      <w:r w:rsidR="00363C44">
        <w:rPr>
          <w:rFonts w:asciiTheme="minorBidi" w:hAnsiTheme="minorBidi" w:cstheme="minorBidi"/>
          <w:sz w:val="20"/>
          <w:szCs w:val="20"/>
        </w:rPr>
        <w:t xml:space="preserve">dynamique </w:t>
      </w:r>
      <w:r w:rsidR="002B1F3C">
        <w:rPr>
          <w:rFonts w:asciiTheme="minorBidi" w:hAnsiTheme="minorBidi" w:cstheme="minorBidi"/>
          <w:sz w:val="20"/>
          <w:szCs w:val="20"/>
        </w:rPr>
        <w:t xml:space="preserve">aurait été portée par une expansion </w:t>
      </w:r>
      <w:r w:rsidRPr="00F4120C">
        <w:rPr>
          <w:rFonts w:asciiTheme="minorBidi" w:hAnsiTheme="minorBidi" w:cstheme="minorBidi"/>
          <w:sz w:val="20"/>
          <w:szCs w:val="20"/>
        </w:rPr>
        <w:t xml:space="preserve">de 28,3% de la production phosphatée, </w:t>
      </w:r>
      <w:r>
        <w:rPr>
          <w:rFonts w:asciiTheme="minorBidi" w:hAnsiTheme="minorBidi" w:cstheme="minorBidi"/>
          <w:sz w:val="20"/>
          <w:szCs w:val="20"/>
        </w:rPr>
        <w:t>tiré par le</w:t>
      </w:r>
      <w:r w:rsidRPr="00F4120C">
        <w:rPr>
          <w:rFonts w:asciiTheme="minorBidi" w:hAnsiTheme="minorBidi" w:cstheme="minorBidi"/>
          <w:sz w:val="20"/>
          <w:szCs w:val="20"/>
        </w:rPr>
        <w:t xml:space="preserve"> renforcement de la demande des industries locales de transformation. Le bas niveau des stocks en engrais dans les pays de l’Amérique du Nord et la vigueur de la demande </w:t>
      </w:r>
      <w:r>
        <w:rPr>
          <w:rFonts w:asciiTheme="minorBidi" w:hAnsiTheme="minorBidi" w:cstheme="minorBidi"/>
          <w:sz w:val="20"/>
          <w:szCs w:val="20"/>
        </w:rPr>
        <w:t>du</w:t>
      </w:r>
      <w:r w:rsidRPr="00F4120C">
        <w:rPr>
          <w:rFonts w:asciiTheme="minorBidi" w:hAnsiTheme="minorBidi" w:cstheme="minorBidi"/>
          <w:sz w:val="20"/>
          <w:szCs w:val="20"/>
        </w:rPr>
        <w:t xml:space="preserve"> Brésil auraient alimenté le regain du commerce international de fertilisants, favorisant une hausse des expéditions nationales de phosphate brut de </w:t>
      </w:r>
      <w:r w:rsidRPr="00EB4387">
        <w:rPr>
          <w:rFonts w:asciiTheme="minorBidi" w:hAnsiTheme="minorBidi" w:cstheme="minorBidi"/>
          <w:sz w:val="20"/>
          <w:szCs w:val="20"/>
        </w:rPr>
        <w:t>54,7% au</w:t>
      </w:r>
      <w:r w:rsidRPr="00F4120C">
        <w:rPr>
          <w:rFonts w:asciiTheme="minorBidi" w:hAnsiTheme="minorBidi" w:cstheme="minorBidi"/>
          <w:sz w:val="20"/>
          <w:szCs w:val="20"/>
        </w:rPr>
        <w:t xml:space="preserve"> premier trimestre 2024, en variation annuelle. </w:t>
      </w:r>
    </w:p>
    <w:p w:rsidR="00676251" w:rsidRPr="00F4120C" w:rsidRDefault="00676251" w:rsidP="00676251">
      <w:pPr>
        <w:jc w:val="both"/>
        <w:rPr>
          <w:rFonts w:asciiTheme="minorBidi" w:hAnsiTheme="minorBidi" w:cstheme="minorBidi"/>
          <w:sz w:val="20"/>
          <w:szCs w:val="20"/>
        </w:rPr>
      </w:pPr>
    </w:p>
    <w:p w:rsidR="00676251" w:rsidRDefault="00676251" w:rsidP="006B5FB3">
      <w:pPr>
        <w:jc w:val="both"/>
        <w:rPr>
          <w:rFonts w:asciiTheme="minorBidi" w:hAnsiTheme="minorBidi" w:cstheme="minorBidi"/>
          <w:sz w:val="20"/>
          <w:szCs w:val="20"/>
        </w:rPr>
      </w:pPr>
      <w:r w:rsidRPr="009A2013">
        <w:rPr>
          <w:rFonts w:asciiTheme="minorBidi" w:hAnsiTheme="minorBidi" w:cstheme="minorBidi"/>
          <w:sz w:val="20"/>
          <w:szCs w:val="20"/>
        </w:rPr>
        <w:t>L’</w:t>
      </w:r>
      <w:r w:rsidR="00363C44">
        <w:rPr>
          <w:rFonts w:asciiTheme="minorBidi" w:hAnsiTheme="minorBidi" w:cstheme="minorBidi"/>
          <w:sz w:val="20"/>
          <w:szCs w:val="20"/>
        </w:rPr>
        <w:t>industrie manufacturière aurait</w:t>
      </w:r>
      <w:r w:rsidR="00D27E20">
        <w:rPr>
          <w:rFonts w:asciiTheme="minorBidi" w:hAnsiTheme="minorBidi" w:cstheme="minorBidi"/>
          <w:sz w:val="20"/>
          <w:szCs w:val="20"/>
        </w:rPr>
        <w:t>,</w:t>
      </w:r>
      <w:r w:rsidR="00363C44">
        <w:rPr>
          <w:rFonts w:asciiTheme="minorBidi" w:hAnsiTheme="minorBidi" w:cstheme="minorBidi"/>
          <w:sz w:val="20"/>
          <w:szCs w:val="20"/>
        </w:rPr>
        <w:t xml:space="preserve"> pour sa part</w:t>
      </w:r>
      <w:r w:rsidR="00D27E20">
        <w:rPr>
          <w:rFonts w:asciiTheme="minorBidi" w:hAnsiTheme="minorBidi" w:cstheme="minorBidi"/>
          <w:sz w:val="20"/>
          <w:szCs w:val="20"/>
        </w:rPr>
        <w:t>,</w:t>
      </w:r>
      <w:r w:rsidR="00363C44">
        <w:rPr>
          <w:rFonts w:asciiTheme="minorBidi" w:hAnsiTheme="minorBidi" w:cstheme="minorBidi"/>
          <w:sz w:val="20"/>
          <w:szCs w:val="20"/>
        </w:rPr>
        <w:t xml:space="preserve"> affiché </w:t>
      </w:r>
      <w:r w:rsidRPr="009A2013">
        <w:rPr>
          <w:rFonts w:asciiTheme="minorBidi" w:hAnsiTheme="minorBidi" w:cstheme="minorBidi"/>
          <w:sz w:val="20"/>
          <w:szCs w:val="20"/>
        </w:rPr>
        <w:t>une progression de 6,8%</w:t>
      </w:r>
      <w:r w:rsidR="00D27E20">
        <w:rPr>
          <w:rFonts w:asciiTheme="minorBidi" w:hAnsiTheme="minorBidi" w:cstheme="minorBidi"/>
          <w:sz w:val="20"/>
          <w:szCs w:val="20"/>
        </w:rPr>
        <w:t>,</w:t>
      </w:r>
      <w:r w:rsidRPr="009A2013">
        <w:rPr>
          <w:rFonts w:asciiTheme="minorBidi" w:hAnsiTheme="minorBidi" w:cstheme="minorBidi"/>
          <w:sz w:val="20"/>
          <w:szCs w:val="20"/>
        </w:rPr>
        <w:t xml:space="preserve"> en variation annuelle</w:t>
      </w:r>
      <w:r w:rsidR="00D27E20">
        <w:rPr>
          <w:rFonts w:asciiTheme="minorBidi" w:hAnsiTheme="minorBidi" w:cstheme="minorBidi"/>
          <w:sz w:val="20"/>
          <w:szCs w:val="20"/>
        </w:rPr>
        <w:t>,</w:t>
      </w:r>
      <w:r w:rsidRPr="009A2013">
        <w:rPr>
          <w:rFonts w:asciiTheme="minorBidi" w:hAnsiTheme="minorBidi" w:cstheme="minorBidi"/>
          <w:sz w:val="20"/>
          <w:szCs w:val="20"/>
        </w:rPr>
        <w:t xml:space="preserve"> au premier trim</w:t>
      </w:r>
      <w:r w:rsidR="00363C44">
        <w:rPr>
          <w:rFonts w:asciiTheme="minorBidi" w:hAnsiTheme="minorBidi" w:cstheme="minorBidi"/>
          <w:sz w:val="20"/>
          <w:szCs w:val="20"/>
        </w:rPr>
        <w:t>estre de 2024. Cette croissance</w:t>
      </w:r>
      <w:r w:rsidRPr="009A2013">
        <w:rPr>
          <w:rFonts w:asciiTheme="minorBidi" w:hAnsiTheme="minorBidi" w:cstheme="minorBidi"/>
          <w:sz w:val="20"/>
          <w:szCs w:val="20"/>
        </w:rPr>
        <w:t xml:space="preserve">, attribuable en partie à un effet de base mécanique, </w:t>
      </w:r>
      <w:r w:rsidR="00E1536B">
        <w:rPr>
          <w:rFonts w:asciiTheme="minorBidi" w:hAnsiTheme="minorBidi" w:cstheme="minorBidi"/>
          <w:sz w:val="20"/>
          <w:szCs w:val="20"/>
        </w:rPr>
        <w:t>aurait été</w:t>
      </w:r>
      <w:r w:rsidR="006B5FB3">
        <w:rPr>
          <w:rFonts w:asciiTheme="minorBidi" w:hAnsiTheme="minorBidi" w:cstheme="minorBidi"/>
          <w:sz w:val="20"/>
          <w:szCs w:val="20"/>
        </w:rPr>
        <w:t>,</w:t>
      </w:r>
      <w:r w:rsidR="00E1536B">
        <w:rPr>
          <w:rFonts w:asciiTheme="minorBidi" w:hAnsiTheme="minorBidi" w:cstheme="minorBidi"/>
          <w:sz w:val="20"/>
          <w:szCs w:val="20"/>
        </w:rPr>
        <w:t xml:space="preserve"> principalement</w:t>
      </w:r>
      <w:r w:rsidR="006B5FB3">
        <w:rPr>
          <w:rFonts w:asciiTheme="minorBidi" w:hAnsiTheme="minorBidi" w:cstheme="minorBidi"/>
          <w:sz w:val="20"/>
          <w:szCs w:val="20"/>
        </w:rPr>
        <w:t>,</w:t>
      </w:r>
      <w:r w:rsidR="00E1536B">
        <w:rPr>
          <w:rFonts w:asciiTheme="minorBidi" w:hAnsiTheme="minorBidi" w:cstheme="minorBidi"/>
          <w:sz w:val="20"/>
          <w:szCs w:val="20"/>
        </w:rPr>
        <w:t xml:space="preserve"> le fait</w:t>
      </w:r>
      <w:r w:rsidRPr="009A2013">
        <w:rPr>
          <w:rFonts w:asciiTheme="minorBidi" w:hAnsiTheme="minorBidi" w:cstheme="minorBidi"/>
          <w:sz w:val="20"/>
          <w:szCs w:val="20"/>
        </w:rPr>
        <w:t xml:space="preserve"> des filières </w:t>
      </w:r>
      <w:r w:rsidR="00363C44">
        <w:rPr>
          <w:rFonts w:asciiTheme="minorBidi" w:hAnsiTheme="minorBidi" w:cstheme="minorBidi"/>
          <w:sz w:val="20"/>
          <w:szCs w:val="20"/>
        </w:rPr>
        <w:t xml:space="preserve">de la chimie, </w:t>
      </w:r>
      <w:r w:rsidR="006B5FB3">
        <w:rPr>
          <w:rFonts w:asciiTheme="minorBidi" w:hAnsiTheme="minorBidi" w:cstheme="minorBidi"/>
          <w:sz w:val="20"/>
          <w:szCs w:val="20"/>
        </w:rPr>
        <w:t>du matériel de transport,</w:t>
      </w:r>
      <w:r w:rsidR="00363C44">
        <w:rPr>
          <w:rFonts w:asciiTheme="minorBidi" w:hAnsiTheme="minorBidi" w:cstheme="minorBidi"/>
          <w:sz w:val="20"/>
          <w:szCs w:val="20"/>
        </w:rPr>
        <w:t xml:space="preserve"> </w:t>
      </w:r>
      <w:r w:rsidRPr="009A2013">
        <w:rPr>
          <w:rFonts w:asciiTheme="minorBidi" w:hAnsiTheme="minorBidi" w:cstheme="minorBidi"/>
          <w:sz w:val="20"/>
          <w:szCs w:val="20"/>
        </w:rPr>
        <w:t xml:space="preserve">du caoutchouc </w:t>
      </w:r>
      <w:r w:rsidR="00363C44">
        <w:rPr>
          <w:rFonts w:asciiTheme="minorBidi" w:hAnsiTheme="minorBidi" w:cstheme="minorBidi"/>
          <w:sz w:val="20"/>
          <w:szCs w:val="20"/>
        </w:rPr>
        <w:t>et des plastiques</w:t>
      </w:r>
      <w:r w:rsidRPr="009A2013">
        <w:rPr>
          <w:rFonts w:asciiTheme="minorBidi" w:hAnsiTheme="minorBidi" w:cstheme="minorBidi"/>
          <w:sz w:val="20"/>
          <w:szCs w:val="20"/>
        </w:rPr>
        <w:t xml:space="preserve">. Les deux premiers mois du </w:t>
      </w:r>
      <w:r>
        <w:rPr>
          <w:rFonts w:asciiTheme="minorBidi" w:hAnsiTheme="minorBidi" w:cstheme="minorBidi"/>
          <w:sz w:val="20"/>
          <w:szCs w:val="20"/>
        </w:rPr>
        <w:t xml:space="preserve">premier </w:t>
      </w:r>
      <w:r w:rsidRPr="009A2013">
        <w:rPr>
          <w:rFonts w:asciiTheme="minorBidi" w:hAnsiTheme="minorBidi" w:cstheme="minorBidi"/>
          <w:sz w:val="20"/>
          <w:szCs w:val="20"/>
        </w:rPr>
        <w:t>trimestre auraient été</w:t>
      </w:r>
      <w:r w:rsidR="00E1536B">
        <w:rPr>
          <w:rFonts w:asciiTheme="minorBidi" w:hAnsiTheme="minorBidi" w:cstheme="minorBidi"/>
          <w:sz w:val="20"/>
          <w:szCs w:val="20"/>
        </w:rPr>
        <w:t>, en effet,</w:t>
      </w:r>
      <w:r w:rsidRPr="009A2013">
        <w:rPr>
          <w:rFonts w:asciiTheme="minorBidi" w:hAnsiTheme="minorBidi" w:cstheme="minorBidi"/>
          <w:sz w:val="20"/>
          <w:szCs w:val="20"/>
        </w:rPr>
        <w:t xml:space="preserve"> marqués </w:t>
      </w:r>
      <w:r w:rsidR="00CD6175">
        <w:rPr>
          <w:rFonts w:asciiTheme="minorBidi" w:hAnsiTheme="minorBidi" w:cstheme="minorBidi"/>
          <w:sz w:val="20"/>
          <w:szCs w:val="20"/>
        </w:rPr>
        <w:t xml:space="preserve">par </w:t>
      </w:r>
      <w:r w:rsidR="00E1536B">
        <w:rPr>
          <w:rFonts w:asciiTheme="minorBidi" w:hAnsiTheme="minorBidi" w:cstheme="minorBidi"/>
          <w:sz w:val="20"/>
          <w:szCs w:val="20"/>
        </w:rPr>
        <w:t>un</w:t>
      </w:r>
      <w:r w:rsidRPr="009A2013">
        <w:rPr>
          <w:rFonts w:asciiTheme="minorBidi" w:hAnsiTheme="minorBidi" w:cstheme="minorBidi"/>
          <w:sz w:val="20"/>
          <w:szCs w:val="20"/>
        </w:rPr>
        <w:t xml:space="preserve"> quasi-doublement des expéditions de tubes et tuyaux en plastique, une hausse d</w:t>
      </w:r>
      <w:r>
        <w:rPr>
          <w:rFonts w:asciiTheme="minorBidi" w:hAnsiTheme="minorBidi" w:cstheme="minorBidi"/>
          <w:sz w:val="20"/>
          <w:szCs w:val="20"/>
        </w:rPr>
        <w:t>e 48,6% des matières plastiques</w:t>
      </w:r>
      <w:r w:rsidRPr="009A2013">
        <w:rPr>
          <w:rFonts w:asciiTheme="minorBidi" w:hAnsiTheme="minorBidi" w:cstheme="minorBidi"/>
          <w:sz w:val="20"/>
          <w:szCs w:val="20"/>
        </w:rPr>
        <w:t xml:space="preserve"> et une augmentation de 33,5% pour les engrais. Les </w:t>
      </w:r>
      <w:r w:rsidRPr="00E1536B">
        <w:rPr>
          <w:rFonts w:asciiTheme="minorBidi" w:hAnsiTheme="minorBidi" w:cstheme="minorBidi"/>
          <w:sz w:val="20"/>
          <w:szCs w:val="20"/>
        </w:rPr>
        <w:t>ventes extérieures</w:t>
      </w:r>
      <w:r>
        <w:rPr>
          <w:rFonts w:asciiTheme="minorBidi" w:hAnsiTheme="minorBidi" w:cstheme="minorBidi"/>
          <w:sz w:val="20"/>
          <w:szCs w:val="20"/>
        </w:rPr>
        <w:t xml:space="preserve"> </w:t>
      </w:r>
      <w:r w:rsidR="00D27E20">
        <w:rPr>
          <w:rFonts w:asciiTheme="minorBidi" w:hAnsiTheme="minorBidi" w:cstheme="minorBidi"/>
          <w:sz w:val="20"/>
          <w:szCs w:val="20"/>
        </w:rPr>
        <w:t>des</w:t>
      </w:r>
      <w:r w:rsidRPr="009A2013">
        <w:rPr>
          <w:rFonts w:asciiTheme="minorBidi" w:hAnsiTheme="minorBidi" w:cstheme="minorBidi"/>
          <w:sz w:val="20"/>
          <w:szCs w:val="20"/>
        </w:rPr>
        <w:t xml:space="preserve"> secteur</w:t>
      </w:r>
      <w:r w:rsidR="00D27E20">
        <w:rPr>
          <w:rFonts w:asciiTheme="minorBidi" w:hAnsiTheme="minorBidi" w:cstheme="minorBidi"/>
          <w:sz w:val="20"/>
          <w:szCs w:val="20"/>
        </w:rPr>
        <w:t>s</w:t>
      </w:r>
      <w:r w:rsidRPr="009A2013">
        <w:rPr>
          <w:rFonts w:asciiTheme="minorBidi" w:hAnsiTheme="minorBidi" w:cstheme="minorBidi"/>
          <w:sz w:val="20"/>
          <w:szCs w:val="20"/>
        </w:rPr>
        <w:t xml:space="preserve"> automobile et aéronautique</w:t>
      </w:r>
      <w:r w:rsidR="00760128">
        <w:rPr>
          <w:rFonts w:asciiTheme="minorBidi" w:hAnsiTheme="minorBidi" w:cstheme="minorBidi"/>
          <w:sz w:val="20"/>
          <w:szCs w:val="20"/>
        </w:rPr>
        <w:t xml:space="preserve"> </w:t>
      </w:r>
      <w:r w:rsidR="00760128" w:rsidRPr="009A2013">
        <w:rPr>
          <w:rFonts w:asciiTheme="minorBidi" w:hAnsiTheme="minorBidi" w:cstheme="minorBidi"/>
          <w:sz w:val="20"/>
          <w:szCs w:val="20"/>
        </w:rPr>
        <w:t>se seraient inscrites en hausse</w:t>
      </w:r>
      <w:r w:rsidRPr="009A2013">
        <w:rPr>
          <w:rFonts w:asciiTheme="minorBidi" w:hAnsiTheme="minorBidi" w:cstheme="minorBidi"/>
          <w:sz w:val="20"/>
          <w:szCs w:val="20"/>
        </w:rPr>
        <w:t xml:space="preserve">, </w:t>
      </w:r>
      <w:r w:rsidR="006B5FB3">
        <w:rPr>
          <w:rFonts w:asciiTheme="minorBidi" w:hAnsiTheme="minorBidi" w:cstheme="minorBidi"/>
          <w:sz w:val="20"/>
          <w:szCs w:val="20"/>
        </w:rPr>
        <w:t>p</w:t>
      </w:r>
      <w:r w:rsidR="00760128">
        <w:rPr>
          <w:rFonts w:asciiTheme="minorBidi" w:hAnsiTheme="minorBidi" w:cstheme="minorBidi"/>
          <w:sz w:val="20"/>
          <w:szCs w:val="20"/>
        </w:rPr>
        <w:t>o</w:t>
      </w:r>
      <w:r w:rsidR="006B5FB3">
        <w:rPr>
          <w:rFonts w:asciiTheme="minorBidi" w:hAnsiTheme="minorBidi" w:cstheme="minorBidi"/>
          <w:sz w:val="20"/>
          <w:szCs w:val="20"/>
        </w:rPr>
        <w:t>r</w:t>
      </w:r>
      <w:r w:rsidR="00760128">
        <w:rPr>
          <w:rFonts w:asciiTheme="minorBidi" w:hAnsiTheme="minorBidi" w:cstheme="minorBidi"/>
          <w:sz w:val="20"/>
          <w:szCs w:val="20"/>
        </w:rPr>
        <w:t>tées</w:t>
      </w:r>
      <w:r w:rsidR="006B5FB3">
        <w:rPr>
          <w:rFonts w:asciiTheme="minorBidi" w:hAnsiTheme="minorBidi" w:cstheme="minorBidi"/>
          <w:sz w:val="20"/>
          <w:szCs w:val="20"/>
        </w:rPr>
        <w:t>,</w:t>
      </w:r>
      <w:r w:rsidR="00760128">
        <w:rPr>
          <w:rFonts w:asciiTheme="minorBidi" w:hAnsiTheme="minorBidi" w:cstheme="minorBidi"/>
          <w:sz w:val="20"/>
          <w:szCs w:val="20"/>
        </w:rPr>
        <w:t xml:space="preserve"> </w:t>
      </w:r>
      <w:r w:rsidRPr="009A2013">
        <w:rPr>
          <w:rFonts w:asciiTheme="minorBidi" w:hAnsiTheme="minorBidi" w:cstheme="minorBidi"/>
          <w:sz w:val="20"/>
          <w:szCs w:val="20"/>
        </w:rPr>
        <w:t>notamment</w:t>
      </w:r>
      <w:r w:rsidR="006B5FB3">
        <w:rPr>
          <w:rFonts w:asciiTheme="minorBidi" w:hAnsiTheme="minorBidi" w:cstheme="minorBidi"/>
          <w:sz w:val="20"/>
          <w:szCs w:val="20"/>
        </w:rPr>
        <w:t>,</w:t>
      </w:r>
      <w:r w:rsidR="00760128">
        <w:rPr>
          <w:rFonts w:asciiTheme="minorBidi" w:hAnsiTheme="minorBidi" w:cstheme="minorBidi"/>
          <w:sz w:val="20"/>
          <w:szCs w:val="20"/>
        </w:rPr>
        <w:t xml:space="preserve"> par l’augmentation du volume exporté d</w:t>
      </w:r>
      <w:r w:rsidRPr="009A2013">
        <w:rPr>
          <w:rFonts w:asciiTheme="minorBidi" w:hAnsiTheme="minorBidi" w:cstheme="minorBidi"/>
          <w:sz w:val="20"/>
          <w:szCs w:val="20"/>
        </w:rPr>
        <w:t xml:space="preserve">es voitures de tourisme </w:t>
      </w:r>
      <w:r w:rsidR="00760128" w:rsidRPr="009A2013">
        <w:rPr>
          <w:rFonts w:asciiTheme="minorBidi" w:hAnsiTheme="minorBidi" w:cstheme="minorBidi"/>
          <w:sz w:val="20"/>
          <w:szCs w:val="20"/>
        </w:rPr>
        <w:t xml:space="preserve">et </w:t>
      </w:r>
      <w:r w:rsidR="00760128">
        <w:rPr>
          <w:rFonts w:asciiTheme="minorBidi" w:hAnsiTheme="minorBidi" w:cstheme="minorBidi"/>
          <w:sz w:val="20"/>
          <w:szCs w:val="20"/>
        </w:rPr>
        <w:t>d</w:t>
      </w:r>
      <w:r w:rsidR="00760128" w:rsidRPr="009A2013">
        <w:rPr>
          <w:rFonts w:asciiTheme="minorBidi" w:hAnsiTheme="minorBidi" w:cstheme="minorBidi"/>
          <w:sz w:val="20"/>
          <w:szCs w:val="20"/>
        </w:rPr>
        <w:t xml:space="preserve">es parties et pièces d'avions </w:t>
      </w:r>
      <w:r w:rsidRPr="009A2013">
        <w:rPr>
          <w:rFonts w:asciiTheme="minorBidi" w:hAnsiTheme="minorBidi" w:cstheme="minorBidi"/>
          <w:sz w:val="20"/>
          <w:szCs w:val="20"/>
        </w:rPr>
        <w:t xml:space="preserve">de 20,8% </w:t>
      </w:r>
      <w:r w:rsidR="00760128">
        <w:rPr>
          <w:rFonts w:asciiTheme="minorBidi" w:hAnsiTheme="minorBidi" w:cstheme="minorBidi"/>
          <w:sz w:val="20"/>
          <w:szCs w:val="20"/>
        </w:rPr>
        <w:t>et</w:t>
      </w:r>
      <w:r w:rsidRPr="009A2013">
        <w:rPr>
          <w:rFonts w:asciiTheme="minorBidi" w:hAnsiTheme="minorBidi" w:cstheme="minorBidi"/>
          <w:sz w:val="20"/>
          <w:szCs w:val="20"/>
        </w:rPr>
        <w:t xml:space="preserve"> 25,4%</w:t>
      </w:r>
      <w:r w:rsidR="00760128">
        <w:rPr>
          <w:rFonts w:asciiTheme="minorBidi" w:hAnsiTheme="minorBidi" w:cstheme="minorBidi"/>
          <w:sz w:val="20"/>
          <w:szCs w:val="20"/>
        </w:rPr>
        <w:t xml:space="preserve"> respectivement</w:t>
      </w:r>
      <w:r w:rsidRPr="009A2013">
        <w:rPr>
          <w:rFonts w:asciiTheme="minorBidi" w:hAnsiTheme="minorBidi" w:cstheme="minorBidi"/>
          <w:sz w:val="20"/>
          <w:szCs w:val="20"/>
        </w:rPr>
        <w:t xml:space="preserve">. En revanche, l'activité de l'industrie agroalimentaire aurait </w:t>
      </w:r>
      <w:r w:rsidR="00E1536B">
        <w:rPr>
          <w:rFonts w:asciiTheme="minorBidi" w:hAnsiTheme="minorBidi" w:cstheme="minorBidi"/>
          <w:sz w:val="20"/>
          <w:szCs w:val="20"/>
        </w:rPr>
        <w:t>poursuivi son</w:t>
      </w:r>
      <w:r w:rsidRPr="009A2013">
        <w:rPr>
          <w:rFonts w:asciiTheme="minorBidi" w:hAnsiTheme="minorBidi" w:cstheme="minorBidi"/>
          <w:sz w:val="20"/>
          <w:szCs w:val="20"/>
        </w:rPr>
        <w:t xml:space="preserve"> déclin, bien qu</w:t>
      </w:r>
      <w:r w:rsidR="00E1536B">
        <w:rPr>
          <w:rFonts w:asciiTheme="minorBidi" w:hAnsiTheme="minorBidi" w:cstheme="minorBidi"/>
          <w:sz w:val="20"/>
          <w:szCs w:val="20"/>
        </w:rPr>
        <w:t>’</w:t>
      </w:r>
      <w:r w:rsidR="006B5FB3">
        <w:rPr>
          <w:rFonts w:asciiTheme="minorBidi" w:hAnsiTheme="minorBidi" w:cstheme="minorBidi"/>
          <w:sz w:val="20"/>
          <w:szCs w:val="20"/>
        </w:rPr>
        <w:t xml:space="preserve">à </w:t>
      </w:r>
      <w:r w:rsidR="00E1536B">
        <w:rPr>
          <w:rFonts w:asciiTheme="minorBidi" w:hAnsiTheme="minorBidi" w:cstheme="minorBidi"/>
          <w:sz w:val="20"/>
          <w:szCs w:val="20"/>
        </w:rPr>
        <w:t>un rythme</w:t>
      </w:r>
      <w:r w:rsidRPr="009A2013">
        <w:rPr>
          <w:rFonts w:asciiTheme="minorBidi" w:hAnsiTheme="minorBidi" w:cstheme="minorBidi"/>
          <w:sz w:val="20"/>
          <w:szCs w:val="20"/>
        </w:rPr>
        <w:t xml:space="preserve"> moins prononcé </w:t>
      </w:r>
      <w:r w:rsidR="006B5FB3">
        <w:rPr>
          <w:rFonts w:asciiTheme="minorBidi" w:hAnsiTheme="minorBidi" w:cstheme="minorBidi"/>
          <w:sz w:val="20"/>
          <w:szCs w:val="20"/>
        </w:rPr>
        <w:t>que la période précédente (-2,2%).</w:t>
      </w:r>
      <w:r w:rsidRPr="009A2013">
        <w:rPr>
          <w:rFonts w:asciiTheme="minorBidi" w:hAnsiTheme="minorBidi" w:cstheme="minorBidi"/>
          <w:sz w:val="20"/>
          <w:szCs w:val="20"/>
        </w:rPr>
        <w:t xml:space="preserve"> </w:t>
      </w:r>
      <w:r w:rsidR="006B5FB3" w:rsidRPr="009A2013">
        <w:rPr>
          <w:rFonts w:asciiTheme="minorBidi" w:hAnsiTheme="minorBidi" w:cstheme="minorBidi"/>
          <w:sz w:val="20"/>
          <w:szCs w:val="20"/>
        </w:rPr>
        <w:t>L’industrie</w:t>
      </w:r>
      <w:r w:rsidRPr="009A2013">
        <w:rPr>
          <w:rFonts w:asciiTheme="minorBidi" w:hAnsiTheme="minorBidi" w:cstheme="minorBidi"/>
          <w:sz w:val="20"/>
          <w:szCs w:val="20"/>
        </w:rPr>
        <w:t xml:space="preserve"> </w:t>
      </w:r>
      <w:r w:rsidR="00E1536B">
        <w:rPr>
          <w:rFonts w:asciiTheme="minorBidi" w:hAnsiTheme="minorBidi" w:cstheme="minorBidi"/>
          <w:sz w:val="20"/>
          <w:szCs w:val="20"/>
        </w:rPr>
        <w:t xml:space="preserve">du </w:t>
      </w:r>
      <w:r w:rsidRPr="009A2013">
        <w:rPr>
          <w:rFonts w:asciiTheme="minorBidi" w:hAnsiTheme="minorBidi" w:cstheme="minorBidi"/>
          <w:sz w:val="20"/>
          <w:szCs w:val="20"/>
        </w:rPr>
        <w:t xml:space="preserve">textile aurait maintenu sa trajectoire de baisse pour le troisième trimestre consécutif, en raison de la faible dynamique </w:t>
      </w:r>
      <w:r w:rsidR="00760128">
        <w:rPr>
          <w:rFonts w:asciiTheme="minorBidi" w:hAnsiTheme="minorBidi" w:cstheme="minorBidi"/>
          <w:sz w:val="20"/>
          <w:szCs w:val="20"/>
        </w:rPr>
        <w:t>de ses ventes.</w:t>
      </w:r>
    </w:p>
    <w:p w:rsidR="00676251" w:rsidRDefault="00676251" w:rsidP="00676251">
      <w:pPr>
        <w:jc w:val="both"/>
        <w:rPr>
          <w:rFonts w:asciiTheme="minorBidi" w:hAnsiTheme="minorBidi" w:cstheme="minorBidi"/>
          <w:sz w:val="20"/>
          <w:szCs w:val="20"/>
        </w:rPr>
      </w:pPr>
    </w:p>
    <w:p w:rsidR="00676251" w:rsidRDefault="00676251" w:rsidP="002B1F3C">
      <w:pPr>
        <w:jc w:val="both"/>
        <w:rPr>
          <w:rFonts w:asciiTheme="minorBidi" w:hAnsiTheme="minorBidi" w:cstheme="minorBidi"/>
          <w:sz w:val="20"/>
          <w:szCs w:val="20"/>
        </w:rPr>
      </w:pPr>
      <w:r>
        <w:rPr>
          <w:rFonts w:asciiTheme="minorBidi" w:hAnsiTheme="minorBidi" w:cstheme="minorBidi"/>
          <w:sz w:val="20"/>
          <w:szCs w:val="20"/>
        </w:rPr>
        <w:t>L’activité</w:t>
      </w:r>
      <w:r w:rsidRPr="00F4120C">
        <w:rPr>
          <w:rFonts w:asciiTheme="minorBidi" w:hAnsiTheme="minorBidi" w:cstheme="minorBidi"/>
          <w:sz w:val="20"/>
          <w:szCs w:val="20"/>
        </w:rPr>
        <w:t xml:space="preserve"> de la construction aurait</w:t>
      </w:r>
      <w:r w:rsidR="00816BC1">
        <w:rPr>
          <w:rFonts w:asciiTheme="minorBidi" w:hAnsiTheme="minorBidi" w:cstheme="minorBidi"/>
          <w:sz w:val="20"/>
          <w:szCs w:val="20"/>
        </w:rPr>
        <w:t xml:space="preserve">, </w:t>
      </w:r>
      <w:r w:rsidR="002B1F3C">
        <w:rPr>
          <w:rFonts w:asciiTheme="minorBidi" w:hAnsiTheme="minorBidi" w:cstheme="minorBidi"/>
          <w:sz w:val="20"/>
          <w:szCs w:val="20"/>
        </w:rPr>
        <w:t>également</w:t>
      </w:r>
      <w:r w:rsidR="00816BC1">
        <w:rPr>
          <w:rFonts w:asciiTheme="minorBidi" w:hAnsiTheme="minorBidi" w:cstheme="minorBidi"/>
          <w:sz w:val="20"/>
          <w:szCs w:val="20"/>
        </w:rPr>
        <w:t xml:space="preserve">, renoué avec une croissance plus robuste </w:t>
      </w:r>
      <w:r>
        <w:rPr>
          <w:rFonts w:asciiTheme="minorBidi" w:hAnsiTheme="minorBidi" w:cstheme="minorBidi"/>
          <w:sz w:val="20"/>
          <w:szCs w:val="20"/>
        </w:rPr>
        <w:t>au premier trimestre 2024</w:t>
      </w:r>
      <w:r w:rsidRPr="00F4120C">
        <w:rPr>
          <w:rFonts w:asciiTheme="minorBidi" w:hAnsiTheme="minorBidi" w:cstheme="minorBidi"/>
          <w:sz w:val="20"/>
          <w:szCs w:val="20"/>
        </w:rPr>
        <w:t xml:space="preserve">, enregistrant une progression de </w:t>
      </w:r>
      <w:r>
        <w:rPr>
          <w:rFonts w:asciiTheme="minorBidi" w:hAnsiTheme="minorBidi" w:cstheme="minorBidi"/>
          <w:sz w:val="20"/>
          <w:szCs w:val="20"/>
        </w:rPr>
        <w:t>3,7</w:t>
      </w:r>
      <w:r w:rsidRPr="00F4120C">
        <w:rPr>
          <w:rFonts w:asciiTheme="minorBidi" w:hAnsiTheme="minorBidi" w:cstheme="minorBidi"/>
          <w:sz w:val="20"/>
          <w:szCs w:val="20"/>
        </w:rPr>
        <w:t xml:space="preserve">%, </w:t>
      </w:r>
      <w:r>
        <w:rPr>
          <w:rFonts w:asciiTheme="minorBidi" w:hAnsiTheme="minorBidi" w:cstheme="minorBidi"/>
          <w:sz w:val="20"/>
          <w:szCs w:val="20"/>
        </w:rPr>
        <w:t xml:space="preserve">au lieu d’une baisse de </w:t>
      </w:r>
      <w:r w:rsidRPr="00EB4387">
        <w:rPr>
          <w:rFonts w:asciiTheme="minorBidi" w:hAnsiTheme="minorBidi" w:cstheme="minorBidi"/>
          <w:sz w:val="20"/>
          <w:szCs w:val="20"/>
        </w:rPr>
        <w:t>3,4%</w:t>
      </w:r>
      <w:r w:rsidRPr="00F4120C">
        <w:rPr>
          <w:rFonts w:asciiTheme="minorBidi" w:hAnsiTheme="minorBidi" w:cstheme="minorBidi"/>
          <w:sz w:val="20"/>
          <w:szCs w:val="20"/>
        </w:rPr>
        <w:t xml:space="preserve"> durant la même période de l'année précédente. Cette dynamique</w:t>
      </w:r>
      <w:r>
        <w:rPr>
          <w:rFonts w:asciiTheme="minorBidi" w:hAnsiTheme="minorBidi" w:cstheme="minorBidi"/>
          <w:sz w:val="20"/>
          <w:szCs w:val="20"/>
        </w:rPr>
        <w:t>,</w:t>
      </w:r>
      <w:r w:rsidRPr="00F4120C">
        <w:rPr>
          <w:rFonts w:asciiTheme="minorBidi" w:hAnsiTheme="minorBidi" w:cstheme="minorBidi"/>
          <w:sz w:val="20"/>
          <w:szCs w:val="20"/>
        </w:rPr>
        <w:t xml:space="preserve"> impulsée </w:t>
      </w:r>
      <w:r w:rsidR="004848D5">
        <w:rPr>
          <w:rFonts w:asciiTheme="minorBidi" w:hAnsiTheme="minorBidi" w:cstheme="minorBidi"/>
          <w:sz w:val="20"/>
          <w:szCs w:val="20"/>
        </w:rPr>
        <w:t xml:space="preserve">principalement </w:t>
      </w:r>
      <w:r w:rsidRPr="00F4120C">
        <w:rPr>
          <w:rFonts w:asciiTheme="minorBidi" w:hAnsiTheme="minorBidi" w:cstheme="minorBidi"/>
          <w:sz w:val="20"/>
          <w:szCs w:val="20"/>
        </w:rPr>
        <w:t>par les travaux publics, notamment les programmes de préparation pour la CAN 2025 et la coupe du monde 2030, ainsi que par les initiatives de reconstruction et de réhabilitation des zones affectées par le séisme d'EL Haouz</w:t>
      </w:r>
      <w:r>
        <w:rPr>
          <w:rFonts w:asciiTheme="minorBidi" w:hAnsiTheme="minorBidi" w:cstheme="minorBidi"/>
          <w:sz w:val="20"/>
          <w:szCs w:val="20"/>
        </w:rPr>
        <w:t xml:space="preserve">, </w:t>
      </w:r>
      <w:r w:rsidRPr="00F4120C">
        <w:rPr>
          <w:rFonts w:asciiTheme="minorBidi" w:hAnsiTheme="minorBidi" w:cstheme="minorBidi"/>
          <w:sz w:val="20"/>
          <w:szCs w:val="20"/>
        </w:rPr>
        <w:t xml:space="preserve">aurait été corroborée par une augmentation de l'utilisation des matériaux de construction, avec une hausse des ventes de ciment de 7,5%. </w:t>
      </w:r>
      <w:r>
        <w:rPr>
          <w:rFonts w:asciiTheme="minorBidi" w:hAnsiTheme="minorBidi" w:cstheme="minorBidi"/>
          <w:sz w:val="20"/>
          <w:szCs w:val="20"/>
        </w:rPr>
        <w:t>Ce</w:t>
      </w:r>
      <w:r w:rsidRPr="00F4120C">
        <w:rPr>
          <w:rFonts w:asciiTheme="minorBidi" w:hAnsiTheme="minorBidi" w:cstheme="minorBidi"/>
          <w:sz w:val="20"/>
          <w:szCs w:val="20"/>
        </w:rPr>
        <w:t xml:space="preserve"> regain d’activité serait resté</w:t>
      </w:r>
      <w:r>
        <w:rPr>
          <w:rFonts w:asciiTheme="minorBidi" w:hAnsiTheme="minorBidi" w:cstheme="minorBidi"/>
          <w:sz w:val="20"/>
          <w:szCs w:val="20"/>
        </w:rPr>
        <w:t>, toutefois,</w:t>
      </w:r>
      <w:r w:rsidRPr="00F4120C">
        <w:rPr>
          <w:rFonts w:asciiTheme="minorBidi" w:hAnsiTheme="minorBidi" w:cstheme="minorBidi"/>
          <w:sz w:val="20"/>
          <w:szCs w:val="20"/>
        </w:rPr>
        <w:t xml:space="preserve"> fragile</w:t>
      </w:r>
      <w:r w:rsidR="00760128">
        <w:rPr>
          <w:rFonts w:asciiTheme="minorBidi" w:hAnsiTheme="minorBidi" w:cstheme="minorBidi"/>
          <w:sz w:val="20"/>
          <w:szCs w:val="20"/>
        </w:rPr>
        <w:t>,</w:t>
      </w:r>
      <w:r w:rsidRPr="00F4120C">
        <w:rPr>
          <w:rFonts w:asciiTheme="minorBidi" w:hAnsiTheme="minorBidi" w:cstheme="minorBidi"/>
          <w:sz w:val="20"/>
          <w:szCs w:val="20"/>
        </w:rPr>
        <w:t xml:space="preserve"> au regard du </w:t>
      </w:r>
      <w:r w:rsidR="00B5264C">
        <w:rPr>
          <w:rFonts w:asciiTheme="minorBidi" w:hAnsiTheme="minorBidi" w:cstheme="minorBidi"/>
          <w:sz w:val="20"/>
          <w:szCs w:val="20"/>
        </w:rPr>
        <w:t>ralentissement</w:t>
      </w:r>
      <w:r w:rsidRPr="00F4120C">
        <w:rPr>
          <w:rFonts w:asciiTheme="minorBidi" w:hAnsiTheme="minorBidi" w:cstheme="minorBidi"/>
          <w:sz w:val="20"/>
          <w:szCs w:val="20"/>
        </w:rPr>
        <w:t xml:space="preserve"> continu</w:t>
      </w:r>
      <w:r>
        <w:rPr>
          <w:rFonts w:asciiTheme="minorBidi" w:hAnsiTheme="minorBidi" w:cstheme="minorBidi"/>
          <w:sz w:val="20"/>
          <w:szCs w:val="20"/>
        </w:rPr>
        <w:t xml:space="preserve"> de la demande des ménages. À</w:t>
      </w:r>
      <w:r w:rsidR="00760128">
        <w:rPr>
          <w:rFonts w:asciiTheme="minorBidi" w:hAnsiTheme="minorBidi" w:cstheme="minorBidi"/>
          <w:sz w:val="20"/>
          <w:szCs w:val="20"/>
        </w:rPr>
        <w:t xml:space="preserve"> fin</w:t>
      </w:r>
      <w:r w:rsidRPr="00F4120C">
        <w:rPr>
          <w:rFonts w:asciiTheme="minorBidi" w:hAnsiTheme="minorBidi" w:cstheme="minorBidi"/>
          <w:sz w:val="20"/>
          <w:szCs w:val="20"/>
        </w:rPr>
        <w:t xml:space="preserve"> février 2024, le rythme de croissance des crédits à l'habitat aurait reflué </w:t>
      </w:r>
      <w:r>
        <w:rPr>
          <w:rFonts w:asciiTheme="minorBidi" w:hAnsiTheme="minorBidi" w:cstheme="minorBidi"/>
          <w:sz w:val="20"/>
          <w:szCs w:val="20"/>
        </w:rPr>
        <w:t xml:space="preserve">à </w:t>
      </w:r>
      <w:r w:rsidRPr="00597C69">
        <w:rPr>
          <w:rFonts w:asciiTheme="minorBidi" w:hAnsiTheme="minorBidi" w:cstheme="minorBidi"/>
          <w:sz w:val="20"/>
          <w:szCs w:val="20"/>
        </w:rPr>
        <w:t>+1,6% en variation</w:t>
      </w:r>
      <w:r w:rsidRPr="00F4120C">
        <w:rPr>
          <w:rFonts w:asciiTheme="minorBidi" w:hAnsiTheme="minorBidi" w:cstheme="minorBidi"/>
          <w:sz w:val="20"/>
          <w:szCs w:val="20"/>
        </w:rPr>
        <w:t xml:space="preserve"> annuelle, atteignant</w:t>
      </w:r>
      <w:r>
        <w:rPr>
          <w:rFonts w:asciiTheme="minorBidi" w:hAnsiTheme="minorBidi" w:cstheme="minorBidi"/>
          <w:sz w:val="20"/>
          <w:szCs w:val="20"/>
        </w:rPr>
        <w:t>,</w:t>
      </w:r>
      <w:r w:rsidRPr="00F4120C">
        <w:rPr>
          <w:rFonts w:asciiTheme="minorBidi" w:hAnsiTheme="minorBidi" w:cstheme="minorBidi"/>
          <w:sz w:val="20"/>
          <w:szCs w:val="20"/>
        </w:rPr>
        <w:t xml:space="preserve"> ainsi</w:t>
      </w:r>
      <w:r>
        <w:rPr>
          <w:rFonts w:asciiTheme="minorBidi" w:hAnsiTheme="minorBidi" w:cstheme="minorBidi"/>
          <w:sz w:val="20"/>
          <w:szCs w:val="20"/>
        </w:rPr>
        <w:t>,</w:t>
      </w:r>
      <w:r w:rsidRPr="00F4120C">
        <w:rPr>
          <w:rFonts w:asciiTheme="minorBidi" w:hAnsiTheme="minorBidi" w:cstheme="minorBidi"/>
          <w:sz w:val="20"/>
          <w:szCs w:val="20"/>
        </w:rPr>
        <w:t xml:space="preserve"> son niveau le plus bas depuis mai 2020.</w:t>
      </w:r>
    </w:p>
    <w:p w:rsidR="00676251" w:rsidRDefault="00676251" w:rsidP="00676251">
      <w:pPr>
        <w:jc w:val="both"/>
        <w:rPr>
          <w:rFonts w:asciiTheme="minorBidi" w:hAnsiTheme="minorBidi" w:cstheme="minorBidi"/>
          <w:sz w:val="20"/>
          <w:szCs w:val="20"/>
        </w:rPr>
      </w:pPr>
    </w:p>
    <w:p w:rsidR="00F4120C" w:rsidRPr="00F4120C" w:rsidRDefault="00B5264C" w:rsidP="00AA2E0B">
      <w:pPr>
        <w:jc w:val="both"/>
        <w:rPr>
          <w:rFonts w:asciiTheme="minorBidi" w:hAnsiTheme="minorBidi" w:cstheme="minorBidi"/>
          <w:sz w:val="20"/>
          <w:szCs w:val="20"/>
        </w:rPr>
      </w:pPr>
      <w:r w:rsidRPr="00B5264C">
        <w:rPr>
          <w:rFonts w:asciiTheme="minorBidi" w:hAnsiTheme="minorBidi" w:cstheme="minorBidi"/>
          <w:sz w:val="20"/>
          <w:szCs w:val="20"/>
        </w:rPr>
        <w:t>Dans les branches tertiaires, l’activité aurait retrouvé depuis la mi-2023 son régime de croissance modérée d’avant 2020</w:t>
      </w:r>
      <w:r>
        <w:rPr>
          <w:rFonts w:asciiTheme="minorBidi" w:hAnsiTheme="minorBidi" w:cstheme="minorBidi"/>
          <w:sz w:val="20"/>
          <w:szCs w:val="20"/>
        </w:rPr>
        <w:t xml:space="preserve">, </w:t>
      </w:r>
      <w:r w:rsidR="00F4120C" w:rsidRPr="00B5264C">
        <w:rPr>
          <w:rFonts w:asciiTheme="minorBidi" w:hAnsiTheme="minorBidi" w:cstheme="minorBidi"/>
          <w:sz w:val="20"/>
          <w:szCs w:val="20"/>
        </w:rPr>
        <w:t xml:space="preserve">après la reprise vigoureuse qui avait marqué </w:t>
      </w:r>
      <w:r>
        <w:rPr>
          <w:rFonts w:asciiTheme="minorBidi" w:hAnsiTheme="minorBidi" w:cstheme="minorBidi"/>
          <w:sz w:val="20"/>
          <w:szCs w:val="20"/>
        </w:rPr>
        <w:t>les</w:t>
      </w:r>
      <w:r w:rsidR="00F4120C" w:rsidRPr="00B5264C">
        <w:rPr>
          <w:rFonts w:asciiTheme="minorBidi" w:hAnsiTheme="minorBidi" w:cstheme="minorBidi"/>
          <w:sz w:val="20"/>
          <w:szCs w:val="20"/>
        </w:rPr>
        <w:t xml:space="preserve"> trois dernières </w:t>
      </w:r>
      <w:r w:rsidRPr="00B5264C">
        <w:rPr>
          <w:rFonts w:asciiTheme="minorBidi" w:hAnsiTheme="minorBidi" w:cstheme="minorBidi"/>
          <w:sz w:val="20"/>
          <w:szCs w:val="20"/>
        </w:rPr>
        <w:t>années.</w:t>
      </w:r>
      <w:r w:rsidR="00F4120C" w:rsidRPr="00B5264C">
        <w:rPr>
          <w:rFonts w:asciiTheme="minorBidi" w:hAnsiTheme="minorBidi" w:cstheme="minorBidi"/>
          <w:sz w:val="20"/>
          <w:szCs w:val="20"/>
        </w:rPr>
        <w:t xml:space="preserve"> Les services aux entreprises auraient conservé de l’allant</w:t>
      </w:r>
      <w:r w:rsidR="00EB4387" w:rsidRPr="00B5264C">
        <w:rPr>
          <w:rFonts w:asciiTheme="minorBidi" w:hAnsiTheme="minorBidi" w:cstheme="minorBidi"/>
          <w:sz w:val="20"/>
          <w:szCs w:val="20"/>
        </w:rPr>
        <w:t>,</w:t>
      </w:r>
      <w:r w:rsidR="00F4120C" w:rsidRPr="00B5264C">
        <w:rPr>
          <w:rFonts w:asciiTheme="minorBidi" w:hAnsiTheme="minorBidi" w:cstheme="minorBidi"/>
          <w:sz w:val="20"/>
          <w:szCs w:val="20"/>
        </w:rPr>
        <w:t xml:space="preserve"> dans le sillage du redressement des activités industrielles, mais les services liés aux particuliers et l’activité du commerce auraient connu une croissance modérée.</w:t>
      </w:r>
      <w:r w:rsidR="00F4120C" w:rsidRPr="00F4120C">
        <w:rPr>
          <w:rFonts w:asciiTheme="minorBidi" w:hAnsiTheme="minorBidi" w:cstheme="minorBidi"/>
          <w:sz w:val="20"/>
          <w:szCs w:val="20"/>
        </w:rPr>
        <w:t xml:space="preserve"> Selon les dernières enquêtes de conjoncture, la tendance de la demande se serait maintenue à la hausse dans les services marchands non financiers, mais les commandes à passer au niveau du commerce de gros auraient ralenti</w:t>
      </w:r>
      <w:r w:rsidR="00EB4387">
        <w:rPr>
          <w:rFonts w:asciiTheme="minorBidi" w:hAnsiTheme="minorBidi" w:cstheme="minorBidi"/>
          <w:sz w:val="20"/>
          <w:szCs w:val="20"/>
        </w:rPr>
        <w:t>,</w:t>
      </w:r>
      <w:r w:rsidR="00F4120C" w:rsidRPr="00F4120C">
        <w:rPr>
          <w:rFonts w:asciiTheme="minorBidi" w:hAnsiTheme="minorBidi" w:cstheme="minorBidi"/>
          <w:sz w:val="20"/>
          <w:szCs w:val="20"/>
        </w:rPr>
        <w:t xml:space="preserve"> avec une augmentation des délais </w:t>
      </w:r>
      <w:r w:rsidR="00F4120C" w:rsidRPr="00B5264C">
        <w:rPr>
          <w:rFonts w:asciiTheme="minorBidi" w:hAnsiTheme="minorBidi" w:cstheme="minorBidi"/>
          <w:sz w:val="20"/>
          <w:szCs w:val="20"/>
        </w:rPr>
        <w:t xml:space="preserve">de </w:t>
      </w:r>
      <w:r>
        <w:rPr>
          <w:rFonts w:asciiTheme="minorBidi" w:hAnsiTheme="minorBidi" w:cstheme="minorBidi"/>
          <w:sz w:val="20"/>
          <w:szCs w:val="20"/>
        </w:rPr>
        <w:t xml:space="preserve">paiement des </w:t>
      </w:r>
      <w:r w:rsidR="00F4120C" w:rsidRPr="00F4120C">
        <w:rPr>
          <w:rFonts w:asciiTheme="minorBidi" w:hAnsiTheme="minorBidi" w:cstheme="minorBidi"/>
          <w:sz w:val="20"/>
          <w:szCs w:val="20"/>
        </w:rPr>
        <w:t xml:space="preserve">clients et </w:t>
      </w:r>
      <w:r>
        <w:rPr>
          <w:rFonts w:asciiTheme="minorBidi" w:hAnsiTheme="minorBidi" w:cstheme="minorBidi"/>
          <w:sz w:val="20"/>
          <w:szCs w:val="20"/>
        </w:rPr>
        <w:t xml:space="preserve">des </w:t>
      </w:r>
      <w:r w:rsidR="00F4120C" w:rsidRPr="00F4120C">
        <w:rPr>
          <w:rFonts w:asciiTheme="minorBidi" w:hAnsiTheme="minorBidi" w:cstheme="minorBidi"/>
          <w:sz w:val="20"/>
          <w:szCs w:val="20"/>
        </w:rPr>
        <w:t xml:space="preserve">fournisseurs. Dans l’ensemble, la valeur ajoutée des branches tertiaires aurait </w:t>
      </w:r>
      <w:r w:rsidR="005B2BAD" w:rsidRPr="00EB4387">
        <w:rPr>
          <w:rFonts w:asciiTheme="minorBidi" w:hAnsiTheme="minorBidi" w:cstheme="minorBidi"/>
          <w:sz w:val="20"/>
          <w:szCs w:val="20"/>
        </w:rPr>
        <w:t>crû</w:t>
      </w:r>
      <w:r w:rsidR="00F4120C" w:rsidRPr="00EB4387">
        <w:rPr>
          <w:rFonts w:asciiTheme="minorBidi" w:hAnsiTheme="minorBidi" w:cstheme="minorBidi"/>
          <w:sz w:val="20"/>
          <w:szCs w:val="20"/>
        </w:rPr>
        <w:t xml:space="preserve"> de</w:t>
      </w:r>
      <w:r w:rsidR="00F4120C" w:rsidRPr="00F4120C">
        <w:rPr>
          <w:rFonts w:asciiTheme="minorBidi" w:hAnsiTheme="minorBidi" w:cstheme="minorBidi"/>
          <w:sz w:val="20"/>
          <w:szCs w:val="20"/>
        </w:rPr>
        <w:t xml:space="preserve"> 3</w:t>
      </w:r>
      <w:r w:rsidR="00F82E3E">
        <w:rPr>
          <w:rFonts w:asciiTheme="minorBidi" w:hAnsiTheme="minorBidi" w:cstheme="minorBidi"/>
          <w:sz w:val="20"/>
          <w:szCs w:val="20"/>
        </w:rPr>
        <w:t>,1</w:t>
      </w:r>
      <w:r w:rsidR="00F4120C" w:rsidRPr="00F4120C">
        <w:rPr>
          <w:rFonts w:asciiTheme="minorBidi" w:hAnsiTheme="minorBidi" w:cstheme="minorBidi"/>
          <w:sz w:val="20"/>
          <w:szCs w:val="20"/>
        </w:rPr>
        <w:t>% au premier trimestre 2024, en variation annuelle</w:t>
      </w:r>
      <w:r w:rsidR="00F00795">
        <w:rPr>
          <w:rFonts w:asciiTheme="minorBidi" w:hAnsiTheme="minorBidi" w:cstheme="minorBidi"/>
          <w:sz w:val="20"/>
          <w:szCs w:val="20"/>
        </w:rPr>
        <w:t xml:space="preserve">, au lieu </w:t>
      </w:r>
      <w:r w:rsidR="00F00795" w:rsidRPr="00EB4387">
        <w:rPr>
          <w:rFonts w:asciiTheme="minorBidi" w:hAnsiTheme="minorBidi" w:cstheme="minorBidi"/>
          <w:sz w:val="20"/>
          <w:szCs w:val="20"/>
        </w:rPr>
        <w:t xml:space="preserve">de </w:t>
      </w:r>
      <w:r w:rsidR="005B2BAD" w:rsidRPr="00EB4387">
        <w:rPr>
          <w:rFonts w:asciiTheme="minorBidi" w:hAnsiTheme="minorBidi" w:cstheme="minorBidi"/>
          <w:sz w:val="20"/>
          <w:szCs w:val="20"/>
        </w:rPr>
        <w:t>+</w:t>
      </w:r>
      <w:r w:rsidR="00F00795" w:rsidRPr="00EB4387">
        <w:rPr>
          <w:rFonts w:asciiTheme="minorBidi" w:hAnsiTheme="minorBidi" w:cstheme="minorBidi"/>
          <w:sz w:val="20"/>
          <w:szCs w:val="20"/>
        </w:rPr>
        <w:t>5</w:t>
      </w:r>
      <w:r w:rsidR="00F00795">
        <w:rPr>
          <w:rFonts w:asciiTheme="minorBidi" w:hAnsiTheme="minorBidi" w:cstheme="minorBidi"/>
          <w:sz w:val="20"/>
          <w:szCs w:val="20"/>
        </w:rPr>
        <w:t>,4% une année plus tôt</w:t>
      </w:r>
      <w:r w:rsidR="00F4120C" w:rsidRPr="00F4120C">
        <w:rPr>
          <w:rFonts w:asciiTheme="minorBidi" w:hAnsiTheme="minorBidi" w:cstheme="minorBidi"/>
          <w:sz w:val="20"/>
          <w:szCs w:val="20"/>
        </w:rPr>
        <w:t xml:space="preserve">. </w:t>
      </w:r>
    </w:p>
    <w:bookmarkEnd w:id="1"/>
    <w:p w:rsidR="00E12B2A" w:rsidRDefault="00E12B2A" w:rsidP="00363C44">
      <w:pPr>
        <w:jc w:val="both"/>
        <w:rPr>
          <w:rFonts w:asciiTheme="minorBidi" w:hAnsiTheme="minorBidi" w:cstheme="minorBidi"/>
          <w:sz w:val="20"/>
          <w:szCs w:val="20"/>
        </w:rPr>
      </w:pPr>
    </w:p>
    <w:p w:rsidR="00E12B2A" w:rsidRPr="00E11814" w:rsidRDefault="00E12B2A" w:rsidP="00F2763F">
      <w:pPr>
        <w:jc w:val="both"/>
        <w:rPr>
          <w:rFonts w:asciiTheme="minorBidi" w:hAnsiTheme="minorBidi" w:cstheme="minorBidi"/>
          <w:sz w:val="20"/>
          <w:szCs w:val="20"/>
        </w:rPr>
      </w:pPr>
      <w:r w:rsidRPr="00E11814">
        <w:rPr>
          <w:rFonts w:asciiTheme="minorBidi" w:hAnsiTheme="minorBidi" w:cstheme="minorBidi"/>
          <w:sz w:val="20"/>
          <w:szCs w:val="20"/>
        </w:rPr>
        <w:t xml:space="preserve">Compte tenu des indicateurs collectés jusqu’à fin </w:t>
      </w:r>
      <w:r>
        <w:rPr>
          <w:rFonts w:asciiTheme="minorBidi" w:hAnsiTheme="minorBidi" w:cstheme="minorBidi"/>
          <w:sz w:val="20"/>
          <w:szCs w:val="20"/>
        </w:rPr>
        <w:t>mars</w:t>
      </w:r>
      <w:r w:rsidRPr="00E11814">
        <w:rPr>
          <w:rFonts w:asciiTheme="minorBidi" w:hAnsiTheme="minorBidi" w:cstheme="minorBidi"/>
          <w:sz w:val="20"/>
          <w:szCs w:val="20"/>
        </w:rPr>
        <w:t xml:space="preserve"> 202</w:t>
      </w:r>
      <w:r>
        <w:rPr>
          <w:rFonts w:asciiTheme="minorBidi" w:hAnsiTheme="minorBidi" w:cstheme="minorBidi"/>
          <w:sz w:val="20"/>
          <w:szCs w:val="20"/>
        </w:rPr>
        <w:t>4</w:t>
      </w:r>
      <w:r w:rsidRPr="00E11814">
        <w:rPr>
          <w:rFonts w:asciiTheme="minorBidi" w:hAnsiTheme="minorBidi" w:cstheme="minorBidi"/>
          <w:sz w:val="20"/>
          <w:szCs w:val="20"/>
        </w:rPr>
        <w:t>, la croissance</w:t>
      </w:r>
      <w:r>
        <w:rPr>
          <w:rFonts w:asciiTheme="minorBidi" w:hAnsiTheme="minorBidi" w:cstheme="minorBidi"/>
          <w:sz w:val="20"/>
          <w:szCs w:val="20"/>
        </w:rPr>
        <w:t xml:space="preserve"> économique nationale</w:t>
      </w:r>
      <w:r w:rsidRPr="00E11814">
        <w:rPr>
          <w:rFonts w:asciiTheme="minorBidi" w:hAnsiTheme="minorBidi" w:cstheme="minorBidi"/>
          <w:sz w:val="20"/>
          <w:szCs w:val="20"/>
        </w:rPr>
        <w:t xml:space="preserve"> se serait, ainsi, établie</w:t>
      </w:r>
      <w:r>
        <w:rPr>
          <w:rFonts w:asciiTheme="minorBidi" w:hAnsiTheme="minorBidi" w:cstheme="minorBidi"/>
          <w:sz w:val="20"/>
          <w:szCs w:val="20"/>
        </w:rPr>
        <w:t xml:space="preserve"> </w:t>
      </w:r>
      <w:r w:rsidRPr="00E11814">
        <w:rPr>
          <w:rFonts w:asciiTheme="minorBidi" w:hAnsiTheme="minorBidi" w:cstheme="minorBidi"/>
          <w:sz w:val="20"/>
          <w:szCs w:val="20"/>
        </w:rPr>
        <w:t>à +</w:t>
      </w:r>
      <w:r>
        <w:rPr>
          <w:rFonts w:asciiTheme="minorBidi" w:hAnsiTheme="minorBidi" w:cstheme="minorBidi"/>
          <w:sz w:val="20"/>
          <w:szCs w:val="20"/>
        </w:rPr>
        <w:t>2,9</w:t>
      </w:r>
      <w:r w:rsidRPr="00E11814">
        <w:rPr>
          <w:rFonts w:asciiTheme="minorBidi" w:hAnsiTheme="minorBidi" w:cstheme="minorBidi"/>
          <w:sz w:val="20"/>
          <w:szCs w:val="20"/>
        </w:rPr>
        <w:t xml:space="preserve">%, au </w:t>
      </w:r>
      <w:r>
        <w:rPr>
          <w:rFonts w:asciiTheme="minorBidi" w:hAnsiTheme="minorBidi" w:cstheme="minorBidi"/>
          <w:sz w:val="20"/>
          <w:szCs w:val="20"/>
        </w:rPr>
        <w:t>premier</w:t>
      </w:r>
      <w:r w:rsidRPr="00E11814">
        <w:rPr>
          <w:rFonts w:asciiTheme="minorBidi" w:hAnsiTheme="minorBidi" w:cstheme="minorBidi"/>
          <w:sz w:val="20"/>
          <w:szCs w:val="20"/>
        </w:rPr>
        <w:t xml:space="preserve"> trimestre 202</w:t>
      </w:r>
      <w:r>
        <w:rPr>
          <w:rFonts w:asciiTheme="minorBidi" w:hAnsiTheme="minorBidi" w:cstheme="minorBidi"/>
          <w:sz w:val="20"/>
          <w:szCs w:val="20"/>
        </w:rPr>
        <w:t>4, soutenue par la progression de 4% de la valeur ajoutée non-agricole.</w:t>
      </w:r>
    </w:p>
    <w:p w:rsidR="00F4120C" w:rsidRDefault="00B5264C" w:rsidP="00E11814">
      <w:pPr>
        <w:spacing w:before="240"/>
        <w:jc w:val="both"/>
        <w:rPr>
          <w:rFonts w:asciiTheme="minorBidi" w:hAnsiTheme="minorBidi" w:cstheme="minorBidi"/>
          <w:b/>
          <w:bCs/>
          <w:color w:val="C00000"/>
          <w:sz w:val="20"/>
          <w:szCs w:val="20"/>
        </w:rPr>
      </w:pPr>
      <w:r>
        <w:rPr>
          <w:rFonts w:asciiTheme="minorBidi" w:hAnsiTheme="minorBidi" w:cstheme="minorBidi"/>
          <w:b/>
          <w:bCs/>
          <w:color w:val="C00000"/>
          <w:sz w:val="20"/>
          <w:szCs w:val="20"/>
        </w:rPr>
        <w:t>Accélération</w:t>
      </w:r>
      <w:r w:rsidR="00F4120C" w:rsidRPr="00B5264C">
        <w:rPr>
          <w:rFonts w:asciiTheme="minorBidi" w:hAnsiTheme="minorBidi" w:cstheme="minorBidi"/>
          <w:b/>
          <w:bCs/>
          <w:color w:val="C00000"/>
          <w:sz w:val="20"/>
          <w:szCs w:val="20"/>
        </w:rPr>
        <w:t xml:space="preserve"> des crédits à l’économie</w:t>
      </w:r>
    </w:p>
    <w:p w:rsidR="00F4120C" w:rsidRDefault="00F4120C" w:rsidP="00F4120C">
      <w:pPr>
        <w:rPr>
          <w:rFonts w:asciiTheme="minorBidi" w:hAnsiTheme="minorBidi" w:cstheme="minorBidi"/>
          <w:sz w:val="20"/>
          <w:szCs w:val="20"/>
        </w:rPr>
      </w:pPr>
    </w:p>
    <w:p w:rsidR="00F4120C" w:rsidRPr="00F4120C" w:rsidRDefault="00F4120C" w:rsidP="00610C8F">
      <w:pPr>
        <w:jc w:val="both"/>
        <w:rPr>
          <w:rFonts w:asciiTheme="minorBidi" w:hAnsiTheme="minorBidi" w:cstheme="minorBidi"/>
          <w:sz w:val="20"/>
          <w:szCs w:val="20"/>
        </w:rPr>
      </w:pPr>
      <w:r w:rsidRPr="00F4120C">
        <w:rPr>
          <w:rFonts w:asciiTheme="minorBidi" w:hAnsiTheme="minorBidi" w:cstheme="minorBidi"/>
          <w:sz w:val="20"/>
          <w:szCs w:val="20"/>
        </w:rPr>
        <w:t xml:space="preserve">La masse monétaire </w:t>
      </w:r>
      <w:r w:rsidR="00B5264C">
        <w:rPr>
          <w:rFonts w:asciiTheme="minorBidi" w:hAnsiTheme="minorBidi" w:cstheme="minorBidi"/>
          <w:sz w:val="20"/>
          <w:szCs w:val="20"/>
        </w:rPr>
        <w:t>se serait accélérée</w:t>
      </w:r>
      <w:r w:rsidRPr="00F4120C">
        <w:rPr>
          <w:rFonts w:asciiTheme="minorBidi" w:hAnsiTheme="minorBidi" w:cstheme="minorBidi"/>
          <w:sz w:val="20"/>
          <w:szCs w:val="20"/>
        </w:rPr>
        <w:t xml:space="preserve"> au premier trimestre 2024, </w:t>
      </w:r>
      <w:r w:rsidR="009A22AC">
        <w:rPr>
          <w:rFonts w:asciiTheme="minorBidi" w:hAnsiTheme="minorBidi" w:cstheme="minorBidi"/>
          <w:sz w:val="20"/>
          <w:szCs w:val="20"/>
        </w:rPr>
        <w:t>affichant</w:t>
      </w:r>
      <w:r w:rsidRPr="00F4120C">
        <w:rPr>
          <w:rFonts w:asciiTheme="minorBidi" w:hAnsiTheme="minorBidi" w:cstheme="minorBidi"/>
          <w:sz w:val="20"/>
          <w:szCs w:val="20"/>
        </w:rPr>
        <w:t xml:space="preserve"> un accroissement de 4,4%, après +3,9% un trimestre auparavant, en glis</w:t>
      </w:r>
      <w:r w:rsidR="006B5FB3">
        <w:rPr>
          <w:rFonts w:asciiTheme="minorBidi" w:hAnsiTheme="minorBidi" w:cstheme="minorBidi"/>
          <w:sz w:val="20"/>
          <w:szCs w:val="20"/>
        </w:rPr>
        <w:t>sements annuels. Le besoin de</w:t>
      </w:r>
      <w:r w:rsidRPr="00F4120C">
        <w:rPr>
          <w:rFonts w:asciiTheme="minorBidi" w:hAnsiTheme="minorBidi" w:cstheme="minorBidi"/>
          <w:sz w:val="20"/>
          <w:szCs w:val="20"/>
        </w:rPr>
        <w:t xml:space="preserve"> liquidité des banques se serait remarquablement accentué, à la suite de la hausse de la circulation fiduciaire et de la faible croissance des réserves de change. Bank Al-Maghrib aurait</w:t>
      </w:r>
      <w:r w:rsidR="005B2BAD" w:rsidRPr="00610C8F">
        <w:rPr>
          <w:rFonts w:asciiTheme="minorBidi" w:hAnsiTheme="minorBidi" w:cstheme="minorBidi"/>
          <w:sz w:val="20"/>
          <w:szCs w:val="20"/>
        </w:rPr>
        <w:t>,</w:t>
      </w:r>
      <w:r w:rsidRPr="00610C8F">
        <w:rPr>
          <w:rFonts w:asciiTheme="minorBidi" w:hAnsiTheme="minorBidi" w:cstheme="minorBidi"/>
          <w:sz w:val="20"/>
          <w:szCs w:val="20"/>
        </w:rPr>
        <w:t xml:space="preserve"> ainsi</w:t>
      </w:r>
      <w:r w:rsidR="005B2BAD" w:rsidRPr="00610C8F">
        <w:rPr>
          <w:rFonts w:asciiTheme="minorBidi" w:hAnsiTheme="minorBidi" w:cstheme="minorBidi"/>
          <w:sz w:val="20"/>
          <w:szCs w:val="20"/>
        </w:rPr>
        <w:t>,</w:t>
      </w:r>
      <w:r w:rsidRPr="00F4120C">
        <w:rPr>
          <w:rFonts w:asciiTheme="minorBidi" w:hAnsiTheme="minorBidi" w:cstheme="minorBidi"/>
          <w:sz w:val="20"/>
          <w:szCs w:val="20"/>
        </w:rPr>
        <w:t xml:space="preserve"> élevé le volume de ses financements aux banques. Les avoirs officiels de réserve n’auraient augmenté que de 0,5%, malgré l’emprunt obligataire du Trésor opéré en 2023 sur le marché financier international. Les créances nettes sur l’administration centrale auraient poursuivi leur baisse, traduisant un désendettement monétaire partiel du Trésor de 1,3%.</w:t>
      </w:r>
    </w:p>
    <w:p w:rsidR="00F4120C" w:rsidRPr="00F4120C" w:rsidRDefault="00F4120C" w:rsidP="009A22AC">
      <w:pPr>
        <w:jc w:val="both"/>
        <w:rPr>
          <w:rFonts w:asciiTheme="minorBidi" w:hAnsiTheme="minorBidi" w:cstheme="minorBidi"/>
          <w:sz w:val="20"/>
          <w:szCs w:val="20"/>
        </w:rPr>
      </w:pPr>
    </w:p>
    <w:p w:rsidR="00CB5288" w:rsidRDefault="00F4120C" w:rsidP="00610C8F">
      <w:pPr>
        <w:jc w:val="both"/>
        <w:rPr>
          <w:rFonts w:asciiTheme="minorBidi" w:hAnsiTheme="minorBidi" w:cstheme="minorBidi"/>
          <w:sz w:val="20"/>
          <w:szCs w:val="20"/>
        </w:rPr>
      </w:pPr>
      <w:r w:rsidRPr="00F4120C">
        <w:rPr>
          <w:rFonts w:asciiTheme="minorBidi" w:hAnsiTheme="minorBidi" w:cstheme="minorBidi"/>
          <w:sz w:val="20"/>
          <w:szCs w:val="20"/>
        </w:rPr>
        <w:t>Les créances sur l’économie se seraient accélérées</w:t>
      </w:r>
      <w:r w:rsidR="009A22AC" w:rsidRPr="009A22AC">
        <w:rPr>
          <w:rFonts w:asciiTheme="minorBidi" w:hAnsiTheme="minorBidi" w:cstheme="minorBidi"/>
          <w:sz w:val="20"/>
          <w:szCs w:val="20"/>
        </w:rPr>
        <w:t xml:space="preserve"> </w:t>
      </w:r>
      <w:r w:rsidR="009A22AC" w:rsidRPr="00F4120C">
        <w:rPr>
          <w:rFonts w:asciiTheme="minorBidi" w:hAnsiTheme="minorBidi" w:cstheme="minorBidi"/>
          <w:sz w:val="20"/>
          <w:szCs w:val="20"/>
        </w:rPr>
        <w:t>au premier trimestre 2024</w:t>
      </w:r>
      <w:r w:rsidRPr="00F4120C">
        <w:rPr>
          <w:rFonts w:asciiTheme="minorBidi" w:hAnsiTheme="minorBidi" w:cstheme="minorBidi"/>
          <w:sz w:val="20"/>
          <w:szCs w:val="20"/>
        </w:rPr>
        <w:t>. Leur encours aurait augmenté de 6,5%</w:t>
      </w:r>
      <w:r w:rsidR="009A22AC">
        <w:rPr>
          <w:rFonts w:asciiTheme="minorBidi" w:hAnsiTheme="minorBidi" w:cstheme="minorBidi"/>
          <w:sz w:val="20"/>
          <w:szCs w:val="20"/>
        </w:rPr>
        <w:t xml:space="preserve"> </w:t>
      </w:r>
      <w:r w:rsidRPr="00F4120C">
        <w:rPr>
          <w:rFonts w:asciiTheme="minorBidi" w:hAnsiTheme="minorBidi" w:cstheme="minorBidi"/>
          <w:sz w:val="20"/>
          <w:szCs w:val="20"/>
        </w:rPr>
        <w:t xml:space="preserve">en glissement annuel, après +5,2% enregistré un trimestre plus tôt. Cette évolution </w:t>
      </w:r>
      <w:r w:rsidR="009A22AC">
        <w:rPr>
          <w:rFonts w:asciiTheme="minorBidi" w:hAnsiTheme="minorBidi" w:cstheme="minorBidi"/>
          <w:sz w:val="20"/>
          <w:szCs w:val="20"/>
        </w:rPr>
        <w:t>aurait été</w:t>
      </w:r>
      <w:r w:rsidRPr="00F4120C">
        <w:rPr>
          <w:rFonts w:asciiTheme="minorBidi" w:hAnsiTheme="minorBidi" w:cstheme="minorBidi"/>
          <w:sz w:val="20"/>
          <w:szCs w:val="20"/>
        </w:rPr>
        <w:t xml:space="preserve"> attribuable, notamment, à l’amélioration progressive des crédits de trésorerie aux entreprises et à l’accélération des crédits à leur équipement. Bank Al-Maghrib aurait </w:t>
      </w:r>
      <w:r w:rsidR="00610C8F" w:rsidRPr="00F4120C">
        <w:rPr>
          <w:rFonts w:asciiTheme="minorBidi" w:hAnsiTheme="minorBidi" w:cstheme="minorBidi"/>
          <w:sz w:val="20"/>
          <w:szCs w:val="20"/>
        </w:rPr>
        <w:t xml:space="preserve">continué </w:t>
      </w:r>
      <w:r w:rsidR="00610C8F">
        <w:rPr>
          <w:rFonts w:asciiTheme="minorBidi" w:hAnsiTheme="minorBidi" w:cstheme="minorBidi"/>
          <w:sz w:val="20"/>
          <w:szCs w:val="20"/>
        </w:rPr>
        <w:t>de</w:t>
      </w:r>
      <w:r w:rsidRPr="00610C8F">
        <w:rPr>
          <w:rFonts w:asciiTheme="minorBidi" w:hAnsiTheme="minorBidi" w:cstheme="minorBidi"/>
          <w:sz w:val="20"/>
          <w:szCs w:val="20"/>
        </w:rPr>
        <w:t xml:space="preserve"> </w:t>
      </w:r>
      <w:r w:rsidR="00B5264C">
        <w:rPr>
          <w:rFonts w:asciiTheme="minorBidi" w:hAnsiTheme="minorBidi" w:cstheme="minorBidi"/>
          <w:sz w:val="20"/>
          <w:szCs w:val="20"/>
        </w:rPr>
        <w:t>maintenir</w:t>
      </w:r>
      <w:r w:rsidRPr="00610C8F">
        <w:rPr>
          <w:rFonts w:asciiTheme="minorBidi" w:hAnsiTheme="minorBidi" w:cstheme="minorBidi"/>
          <w:sz w:val="20"/>
          <w:szCs w:val="20"/>
        </w:rPr>
        <w:t xml:space="preserve"> stable </w:t>
      </w:r>
      <w:r w:rsidRPr="00F4120C">
        <w:rPr>
          <w:rFonts w:asciiTheme="minorBidi" w:hAnsiTheme="minorBidi" w:cstheme="minorBidi"/>
          <w:sz w:val="20"/>
          <w:szCs w:val="20"/>
        </w:rPr>
        <w:t>son taux directeur à 3%</w:t>
      </w:r>
      <w:r w:rsidR="000026D4">
        <w:rPr>
          <w:rFonts w:asciiTheme="minorBidi" w:hAnsiTheme="minorBidi" w:cstheme="minorBidi"/>
          <w:sz w:val="20"/>
          <w:szCs w:val="20"/>
        </w:rPr>
        <w:t xml:space="preserve"> en mars 2024</w:t>
      </w:r>
      <w:r w:rsidRPr="00F4120C">
        <w:rPr>
          <w:rFonts w:asciiTheme="minorBidi" w:hAnsiTheme="minorBidi" w:cstheme="minorBidi"/>
          <w:sz w:val="20"/>
          <w:szCs w:val="20"/>
        </w:rPr>
        <w:t>. Cette démarche intervient dans une conjoncture de repli des tensions inflationnistes au niveau national. Les taux d’intérêt sur le marché interbancaire se seraient stabilisés au niveau du taux directeur, élevant leur niveau moyen de 44 points de base</w:t>
      </w:r>
      <w:r w:rsidR="006B5FB3">
        <w:rPr>
          <w:rFonts w:asciiTheme="minorBidi" w:hAnsiTheme="minorBidi" w:cstheme="minorBidi"/>
          <w:sz w:val="20"/>
          <w:szCs w:val="20"/>
        </w:rPr>
        <w:t>,</w:t>
      </w:r>
      <w:r w:rsidRPr="00F4120C">
        <w:rPr>
          <w:rFonts w:asciiTheme="minorBidi" w:hAnsiTheme="minorBidi" w:cstheme="minorBidi"/>
          <w:sz w:val="20"/>
          <w:szCs w:val="20"/>
        </w:rPr>
        <w:t xml:space="preserve"> en variation annuelle. Par contre, les taux auraient décru sur le marché des adjudications des bons </w:t>
      </w:r>
      <w:r w:rsidRPr="00F4120C">
        <w:rPr>
          <w:rFonts w:asciiTheme="minorBidi" w:hAnsiTheme="minorBidi" w:cstheme="minorBidi"/>
          <w:sz w:val="20"/>
          <w:szCs w:val="20"/>
        </w:rPr>
        <w:lastRenderedPageBreak/>
        <w:t>du Trésor, avec des baisses de 47 points, 57 points et 59 points de base respectivement pour les taux de maturité 1 an, 5 ans et 10 ans. Pour leur part, les taux créditeurs auraient limité leur croissance à 21 points de base en moyenne. Sur le marché de change, le dirham se serait apprécié de 2,7% et 1,6% respectivement vis-à-vis du dollar américain et de l’euro</w:t>
      </w:r>
      <w:r w:rsidR="009A22AC">
        <w:rPr>
          <w:rFonts w:asciiTheme="minorBidi" w:hAnsiTheme="minorBidi" w:cstheme="minorBidi"/>
          <w:sz w:val="20"/>
          <w:szCs w:val="20"/>
        </w:rPr>
        <w:t>.</w:t>
      </w:r>
    </w:p>
    <w:p w:rsidR="00F4120C" w:rsidRPr="00E11814" w:rsidRDefault="00F4120C" w:rsidP="00F4120C">
      <w:pPr>
        <w:jc w:val="both"/>
        <w:rPr>
          <w:rFonts w:asciiTheme="minorBidi" w:hAnsiTheme="minorBidi" w:cstheme="minorBidi"/>
          <w:sz w:val="20"/>
          <w:szCs w:val="20"/>
        </w:rPr>
      </w:pPr>
    </w:p>
    <w:p w:rsidR="008672CB" w:rsidRDefault="002826F6" w:rsidP="00CB5288">
      <w:pPr>
        <w:jc w:val="both"/>
        <w:rPr>
          <w:rFonts w:asciiTheme="minorBidi" w:hAnsiTheme="minorBidi" w:cstheme="minorBidi"/>
          <w:b/>
          <w:bCs/>
          <w:color w:val="C00000"/>
          <w:sz w:val="20"/>
          <w:szCs w:val="20"/>
        </w:rPr>
      </w:pPr>
      <w:r w:rsidRPr="002826F6">
        <w:rPr>
          <w:noProof/>
        </w:rPr>
        <w:drawing>
          <wp:anchor distT="0" distB="0" distL="114300" distR="114300" simplePos="0" relativeHeight="251669504" behindDoc="0" locked="0" layoutInCell="1" allowOverlap="1">
            <wp:simplePos x="0" y="0"/>
            <wp:positionH relativeFrom="column">
              <wp:posOffset>3244215</wp:posOffset>
            </wp:positionH>
            <wp:positionV relativeFrom="paragraph">
              <wp:posOffset>4445</wp:posOffset>
            </wp:positionV>
            <wp:extent cx="3213100" cy="2768600"/>
            <wp:effectExtent l="0" t="0" r="635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3100" cy="2768600"/>
                    </a:xfrm>
                    <a:prstGeom prst="rect">
                      <a:avLst/>
                    </a:prstGeom>
                    <a:noFill/>
                    <a:ln>
                      <a:noFill/>
                    </a:ln>
                  </pic:spPr>
                </pic:pic>
              </a:graphicData>
            </a:graphic>
          </wp:anchor>
        </w:drawing>
      </w:r>
      <w:r w:rsidR="00E569CC" w:rsidRPr="00E569CC">
        <w:rPr>
          <w:rFonts w:asciiTheme="minorBidi" w:hAnsiTheme="minorBidi" w:cstheme="minorBidi"/>
          <w:b/>
          <w:bCs/>
          <w:color w:val="C00000"/>
          <w:sz w:val="20"/>
          <w:szCs w:val="20"/>
        </w:rPr>
        <w:t>Nette amélioration</w:t>
      </w:r>
      <w:r w:rsidR="00F4120C" w:rsidRPr="00F4120C">
        <w:rPr>
          <w:rFonts w:asciiTheme="minorBidi" w:hAnsiTheme="minorBidi" w:cstheme="minorBidi"/>
          <w:b/>
          <w:bCs/>
          <w:color w:val="C00000"/>
          <w:sz w:val="20"/>
          <w:szCs w:val="20"/>
        </w:rPr>
        <w:t xml:space="preserve"> des indicateurs boursiers</w:t>
      </w:r>
    </w:p>
    <w:p w:rsidR="00F4120C" w:rsidRPr="00E11814" w:rsidRDefault="00F4120C" w:rsidP="00CB5288">
      <w:pPr>
        <w:jc w:val="both"/>
        <w:rPr>
          <w:rFonts w:ascii="Arial" w:hAnsi="Arial" w:cs="Arial"/>
          <w:sz w:val="20"/>
          <w:szCs w:val="20"/>
        </w:rPr>
      </w:pPr>
    </w:p>
    <w:p w:rsidR="00491C0E" w:rsidRPr="00E11814" w:rsidRDefault="00F4120C" w:rsidP="00B72048">
      <w:pPr>
        <w:jc w:val="both"/>
        <w:rPr>
          <w:rFonts w:ascii="Arial" w:hAnsi="Arial" w:cs="Arial"/>
          <w:sz w:val="20"/>
          <w:szCs w:val="20"/>
        </w:rPr>
      </w:pPr>
      <w:r w:rsidRPr="00F4120C">
        <w:rPr>
          <w:rFonts w:ascii="Arial" w:hAnsi="Arial" w:cs="Arial"/>
          <w:sz w:val="20"/>
          <w:szCs w:val="20"/>
        </w:rPr>
        <w:t>Le marché des actions aurait consolidé sa croissance au début</w:t>
      </w:r>
      <w:r w:rsidR="00610C8F">
        <w:rPr>
          <w:rFonts w:ascii="Arial" w:hAnsi="Arial" w:cs="Arial"/>
          <w:sz w:val="20"/>
          <w:szCs w:val="20"/>
        </w:rPr>
        <w:t xml:space="preserve"> de</w:t>
      </w:r>
      <w:r w:rsidRPr="00F4120C">
        <w:rPr>
          <w:rFonts w:ascii="Arial" w:hAnsi="Arial" w:cs="Arial"/>
          <w:sz w:val="20"/>
          <w:szCs w:val="20"/>
        </w:rPr>
        <w:t xml:space="preserve"> 2024, après une reprise enregistrée à partir du troisième trimestre 2023. Les investisseurs </w:t>
      </w:r>
      <w:r w:rsidR="009A22AC">
        <w:rPr>
          <w:rFonts w:ascii="Arial" w:hAnsi="Arial" w:cs="Arial"/>
          <w:sz w:val="20"/>
          <w:szCs w:val="20"/>
        </w:rPr>
        <w:t>auraient</w:t>
      </w:r>
      <w:r w:rsidRPr="00F4120C">
        <w:rPr>
          <w:rFonts w:ascii="Arial" w:hAnsi="Arial" w:cs="Arial"/>
          <w:sz w:val="20"/>
          <w:szCs w:val="20"/>
        </w:rPr>
        <w:t xml:space="preserve"> </w:t>
      </w:r>
      <w:r w:rsidR="00E569CC">
        <w:rPr>
          <w:rFonts w:ascii="Arial" w:hAnsi="Arial" w:cs="Arial"/>
          <w:sz w:val="20"/>
          <w:szCs w:val="20"/>
        </w:rPr>
        <w:t>maintenu</w:t>
      </w:r>
      <w:r w:rsidRPr="00F4120C">
        <w:rPr>
          <w:rFonts w:ascii="Arial" w:hAnsi="Arial" w:cs="Arial"/>
          <w:sz w:val="20"/>
          <w:szCs w:val="20"/>
        </w:rPr>
        <w:t xml:space="preserve"> leur perception positive envers le marché des actions, tout en renforçant leur confiance en bourse. La hausse des indices boursiers se serait manifestée par la progression des cours de plusieurs sociétés cotées, dans un environnement caractérisé par le repli persistant des tensions inflationnistes au niveau national et malgré</w:t>
      </w:r>
      <w:r w:rsidR="00DC1684">
        <w:rPr>
          <w:rFonts w:ascii="Arial" w:hAnsi="Arial" w:cs="Arial"/>
          <w:sz w:val="20"/>
          <w:szCs w:val="20"/>
        </w:rPr>
        <w:t xml:space="preserve"> le maintien des taux d’intérêt</w:t>
      </w:r>
      <w:r w:rsidRPr="00F4120C">
        <w:rPr>
          <w:rFonts w:ascii="Arial" w:hAnsi="Arial" w:cs="Arial"/>
          <w:sz w:val="20"/>
          <w:szCs w:val="20"/>
        </w:rPr>
        <w:t xml:space="preserve"> monétaires à un niveau relativement élevé. </w:t>
      </w:r>
      <w:r w:rsidR="004C5419" w:rsidRPr="00F4120C">
        <w:rPr>
          <w:rFonts w:ascii="Arial" w:hAnsi="Arial" w:cs="Arial"/>
          <w:sz w:val="20"/>
          <w:szCs w:val="20"/>
        </w:rPr>
        <w:t xml:space="preserve">L’indice </w:t>
      </w:r>
      <w:r w:rsidR="00E569CC">
        <w:rPr>
          <w:rFonts w:ascii="Arial" w:hAnsi="Arial" w:cs="Arial"/>
          <w:sz w:val="20"/>
          <w:szCs w:val="20"/>
        </w:rPr>
        <w:t xml:space="preserve">Masi </w:t>
      </w:r>
      <w:r w:rsidR="004C5419" w:rsidRPr="00F4120C">
        <w:rPr>
          <w:rFonts w:ascii="Arial" w:hAnsi="Arial" w:cs="Arial"/>
          <w:sz w:val="20"/>
          <w:szCs w:val="20"/>
        </w:rPr>
        <w:t>aurait</w:t>
      </w:r>
      <w:r w:rsidRPr="00F4120C">
        <w:rPr>
          <w:rFonts w:ascii="Arial" w:hAnsi="Arial" w:cs="Arial"/>
          <w:sz w:val="20"/>
          <w:szCs w:val="20"/>
        </w:rPr>
        <w:t xml:space="preserve"> progressé de 25,2%, en glissement annuel, au premier tri</w:t>
      </w:r>
      <w:r w:rsidR="006B349A" w:rsidRPr="006B349A">
        <w:rPr>
          <w:rFonts w:ascii="Arial" w:hAnsi="Arial" w:cs="Arial"/>
          <w:sz w:val="20"/>
          <w:szCs w:val="20"/>
        </w:rPr>
        <w:t xml:space="preserve"> </w:t>
      </w:r>
      <w:r w:rsidRPr="00F4120C">
        <w:rPr>
          <w:rFonts w:ascii="Arial" w:hAnsi="Arial" w:cs="Arial"/>
          <w:sz w:val="20"/>
          <w:szCs w:val="20"/>
        </w:rPr>
        <w:t>mestre 2024, après une hausse de 12,8% un trimestre auparavant</w:t>
      </w:r>
      <w:r w:rsidR="009A22AC">
        <w:rPr>
          <w:rFonts w:ascii="Arial" w:hAnsi="Arial" w:cs="Arial"/>
          <w:sz w:val="20"/>
          <w:szCs w:val="20"/>
        </w:rPr>
        <w:t xml:space="preserve"> et l</w:t>
      </w:r>
      <w:r w:rsidRPr="00F4120C">
        <w:rPr>
          <w:rFonts w:ascii="Arial" w:hAnsi="Arial" w:cs="Arial"/>
          <w:sz w:val="20"/>
          <w:szCs w:val="20"/>
        </w:rPr>
        <w:t>a capitalisation boursière se serait appréciée de 23,9%. L’évolution du marché boursier traduirait, principalement, l’accroissement des cours boursiers d’une p</w:t>
      </w:r>
      <w:r w:rsidR="006B5FB3">
        <w:rPr>
          <w:rFonts w:ascii="Arial" w:hAnsi="Arial" w:cs="Arial"/>
          <w:sz w:val="20"/>
          <w:szCs w:val="20"/>
        </w:rPr>
        <w:t>artie importante des secteurs co</w:t>
      </w:r>
      <w:r w:rsidRPr="00F4120C">
        <w:rPr>
          <w:rFonts w:ascii="Arial" w:hAnsi="Arial" w:cs="Arial"/>
          <w:sz w:val="20"/>
          <w:szCs w:val="20"/>
        </w:rPr>
        <w:t xml:space="preserve">tés, </w:t>
      </w:r>
      <w:r w:rsidR="00E569CC">
        <w:rPr>
          <w:rFonts w:ascii="Arial" w:hAnsi="Arial" w:cs="Arial"/>
          <w:sz w:val="20"/>
          <w:szCs w:val="20"/>
        </w:rPr>
        <w:t xml:space="preserve">notamment </w:t>
      </w:r>
      <w:r w:rsidRPr="00F4120C">
        <w:rPr>
          <w:rFonts w:ascii="Arial" w:hAnsi="Arial" w:cs="Arial"/>
          <w:sz w:val="20"/>
          <w:szCs w:val="20"/>
        </w:rPr>
        <w:t xml:space="preserve">la promotion immobilière, la santé, </w:t>
      </w:r>
      <w:r w:rsidR="00E569CC">
        <w:rPr>
          <w:rFonts w:ascii="Arial" w:hAnsi="Arial" w:cs="Arial"/>
          <w:sz w:val="20"/>
          <w:szCs w:val="20"/>
        </w:rPr>
        <w:t>l</w:t>
      </w:r>
      <w:r w:rsidRPr="00F4120C">
        <w:rPr>
          <w:rFonts w:ascii="Arial" w:hAnsi="Arial" w:cs="Arial"/>
          <w:sz w:val="20"/>
          <w:szCs w:val="20"/>
        </w:rPr>
        <w:t xml:space="preserve">es loisirs et hôtels, </w:t>
      </w:r>
      <w:r w:rsidR="00E569CC">
        <w:rPr>
          <w:rFonts w:ascii="Arial" w:hAnsi="Arial" w:cs="Arial"/>
          <w:sz w:val="20"/>
          <w:szCs w:val="20"/>
        </w:rPr>
        <w:t xml:space="preserve">le </w:t>
      </w:r>
      <w:r w:rsidRPr="00F4120C">
        <w:rPr>
          <w:rFonts w:ascii="Arial" w:hAnsi="Arial" w:cs="Arial"/>
          <w:sz w:val="20"/>
          <w:szCs w:val="20"/>
        </w:rPr>
        <w:t xml:space="preserve">bâtiment et matériaux de construction, </w:t>
      </w:r>
      <w:r w:rsidR="00E569CC">
        <w:rPr>
          <w:rFonts w:ascii="Arial" w:hAnsi="Arial" w:cs="Arial"/>
          <w:sz w:val="20"/>
          <w:szCs w:val="20"/>
        </w:rPr>
        <w:t>l</w:t>
      </w:r>
      <w:r w:rsidRPr="00F4120C">
        <w:rPr>
          <w:rFonts w:ascii="Arial" w:hAnsi="Arial" w:cs="Arial"/>
          <w:sz w:val="20"/>
          <w:szCs w:val="20"/>
        </w:rPr>
        <w:t xml:space="preserve">es holdings, </w:t>
      </w:r>
      <w:r w:rsidR="00E569CC">
        <w:rPr>
          <w:rFonts w:ascii="Arial" w:hAnsi="Arial" w:cs="Arial"/>
          <w:sz w:val="20"/>
          <w:szCs w:val="20"/>
        </w:rPr>
        <w:t>l</w:t>
      </w:r>
      <w:r w:rsidRPr="00F4120C">
        <w:rPr>
          <w:rFonts w:ascii="Arial" w:hAnsi="Arial" w:cs="Arial"/>
          <w:sz w:val="20"/>
          <w:szCs w:val="20"/>
        </w:rPr>
        <w:t xml:space="preserve">es services de transport et </w:t>
      </w:r>
      <w:r w:rsidR="00E569CC">
        <w:rPr>
          <w:rFonts w:ascii="Arial" w:hAnsi="Arial" w:cs="Arial"/>
          <w:sz w:val="20"/>
          <w:szCs w:val="20"/>
        </w:rPr>
        <w:t>le</w:t>
      </w:r>
      <w:r w:rsidRPr="00F4120C">
        <w:rPr>
          <w:rFonts w:ascii="Arial" w:hAnsi="Arial" w:cs="Arial"/>
          <w:sz w:val="20"/>
          <w:szCs w:val="20"/>
        </w:rPr>
        <w:t xml:space="preserve"> secteur bancaire. La liquidité du marché boursier aurait poursuivi </w:t>
      </w:r>
      <w:r w:rsidR="00E569CC">
        <w:rPr>
          <w:rFonts w:ascii="Arial" w:hAnsi="Arial" w:cs="Arial"/>
          <w:sz w:val="20"/>
          <w:szCs w:val="20"/>
        </w:rPr>
        <w:t>son affermissement</w:t>
      </w:r>
      <w:r w:rsidRPr="00F4120C">
        <w:rPr>
          <w:rFonts w:ascii="Arial" w:hAnsi="Arial" w:cs="Arial"/>
          <w:sz w:val="20"/>
          <w:szCs w:val="20"/>
        </w:rPr>
        <w:t xml:space="preserve"> et le volume des transactions se serait accru de 82,8%, en variation annuelle, au premier trimestre 2024.</w:t>
      </w:r>
      <w:r w:rsidR="0081798D" w:rsidRPr="00E11814">
        <w:rPr>
          <w:rFonts w:ascii="Arial" w:hAnsi="Arial" w:cs="Arial"/>
          <w:sz w:val="20"/>
          <w:szCs w:val="20"/>
        </w:rPr>
        <w:t xml:space="preserve"> </w:t>
      </w:r>
    </w:p>
    <w:p w:rsidR="0056754D" w:rsidRPr="00E11814" w:rsidRDefault="0056754D" w:rsidP="0056754D">
      <w:pPr>
        <w:jc w:val="both"/>
        <w:rPr>
          <w:rFonts w:ascii="Arial" w:hAnsi="Arial" w:cs="Arial"/>
          <w:sz w:val="20"/>
          <w:szCs w:val="20"/>
        </w:rPr>
      </w:pPr>
    </w:p>
    <w:p w:rsidR="0097276B" w:rsidRPr="00E11814" w:rsidRDefault="000967B8" w:rsidP="003F7E9D">
      <w:pPr>
        <w:spacing w:after="240" w:line="240" w:lineRule="exact"/>
        <w:jc w:val="both"/>
        <w:rPr>
          <w:rFonts w:asciiTheme="minorBidi" w:hAnsiTheme="minorBidi" w:cstheme="minorBidi"/>
          <w:b/>
          <w:bCs/>
          <w:color w:val="C00000"/>
          <w:sz w:val="20"/>
          <w:szCs w:val="20"/>
        </w:rPr>
      </w:pPr>
      <w:r w:rsidRPr="00E11814">
        <w:rPr>
          <w:rFonts w:asciiTheme="minorBidi" w:hAnsiTheme="minorBidi" w:cstheme="minorBidi"/>
          <w:b/>
          <w:bCs/>
          <w:color w:val="C00000"/>
          <w:sz w:val="20"/>
          <w:szCs w:val="20"/>
        </w:rPr>
        <w:t xml:space="preserve">Perspectives </w:t>
      </w:r>
      <w:r w:rsidR="00B6323F" w:rsidRPr="00E11814">
        <w:rPr>
          <w:rFonts w:asciiTheme="minorBidi" w:hAnsiTheme="minorBidi" w:cstheme="minorBidi"/>
          <w:b/>
          <w:bCs/>
          <w:color w:val="C00000"/>
          <w:sz w:val="20"/>
          <w:szCs w:val="20"/>
        </w:rPr>
        <w:t xml:space="preserve">de </w:t>
      </w:r>
      <w:r w:rsidR="003F7E9D">
        <w:rPr>
          <w:rFonts w:asciiTheme="minorBidi" w:hAnsiTheme="minorBidi" w:cstheme="minorBidi"/>
          <w:b/>
          <w:bCs/>
          <w:color w:val="C00000"/>
          <w:sz w:val="20"/>
          <w:szCs w:val="20"/>
        </w:rPr>
        <w:t xml:space="preserve">poursuite </w:t>
      </w:r>
      <w:r w:rsidR="007E6ED6">
        <w:rPr>
          <w:rFonts w:asciiTheme="minorBidi" w:hAnsiTheme="minorBidi" w:cstheme="minorBidi"/>
          <w:b/>
          <w:bCs/>
          <w:color w:val="C00000"/>
          <w:sz w:val="20"/>
          <w:szCs w:val="20"/>
        </w:rPr>
        <w:t>d’amélioration</w:t>
      </w:r>
      <w:r w:rsidR="00B6323F" w:rsidRPr="00E11814">
        <w:rPr>
          <w:rFonts w:asciiTheme="minorBidi" w:hAnsiTheme="minorBidi" w:cstheme="minorBidi"/>
          <w:b/>
          <w:bCs/>
          <w:color w:val="C00000"/>
          <w:sz w:val="20"/>
          <w:szCs w:val="20"/>
        </w:rPr>
        <w:t xml:space="preserve"> de la croissance économique</w:t>
      </w:r>
      <w:r w:rsidR="00C4390F" w:rsidRPr="00E11814">
        <w:rPr>
          <w:rFonts w:asciiTheme="minorBidi" w:hAnsiTheme="minorBidi" w:cstheme="minorBidi"/>
          <w:b/>
          <w:bCs/>
          <w:color w:val="C00000"/>
          <w:sz w:val="20"/>
          <w:szCs w:val="20"/>
        </w:rPr>
        <w:t xml:space="preserve"> au </w:t>
      </w:r>
      <w:r w:rsidR="00F4120C">
        <w:rPr>
          <w:rFonts w:asciiTheme="minorBidi" w:hAnsiTheme="minorBidi" w:cstheme="minorBidi"/>
          <w:b/>
          <w:bCs/>
          <w:color w:val="C00000"/>
          <w:sz w:val="20"/>
          <w:szCs w:val="20"/>
        </w:rPr>
        <w:t>deuxième</w:t>
      </w:r>
      <w:r w:rsidR="00A35229" w:rsidRPr="00E11814">
        <w:rPr>
          <w:rFonts w:asciiTheme="minorBidi" w:hAnsiTheme="minorBidi" w:cstheme="minorBidi"/>
          <w:b/>
          <w:bCs/>
          <w:color w:val="C00000"/>
          <w:sz w:val="20"/>
          <w:szCs w:val="20"/>
        </w:rPr>
        <w:t xml:space="preserve"> trimestre 202</w:t>
      </w:r>
      <w:r w:rsidR="00C4390F" w:rsidRPr="00E11814">
        <w:rPr>
          <w:rFonts w:asciiTheme="minorBidi" w:hAnsiTheme="minorBidi" w:cstheme="minorBidi"/>
          <w:b/>
          <w:bCs/>
          <w:color w:val="C00000"/>
          <w:sz w:val="20"/>
          <w:szCs w:val="20"/>
        </w:rPr>
        <w:t xml:space="preserve">4 </w:t>
      </w:r>
    </w:p>
    <w:p w:rsidR="006004A5" w:rsidRDefault="00760128" w:rsidP="005060F6">
      <w:pPr>
        <w:spacing w:after="240"/>
        <w:jc w:val="both"/>
        <w:rPr>
          <w:rFonts w:asciiTheme="minorBidi" w:hAnsiTheme="minorBidi" w:cstheme="minorBidi"/>
          <w:color w:val="000000" w:themeColor="text1"/>
          <w:sz w:val="20"/>
          <w:szCs w:val="20"/>
        </w:rPr>
      </w:pPr>
      <w:r w:rsidRPr="006004A5">
        <w:rPr>
          <w:rFonts w:asciiTheme="minorBidi" w:hAnsiTheme="minorBidi" w:cstheme="minorBidi"/>
          <w:color w:val="000000" w:themeColor="text1"/>
          <w:sz w:val="20"/>
          <w:szCs w:val="20"/>
        </w:rPr>
        <w:t>Les</w:t>
      </w:r>
      <w:r w:rsidR="006004A5" w:rsidRPr="006004A5">
        <w:rPr>
          <w:rFonts w:asciiTheme="minorBidi" w:hAnsiTheme="minorBidi" w:cstheme="minorBidi"/>
          <w:color w:val="000000" w:themeColor="text1"/>
          <w:sz w:val="20"/>
          <w:szCs w:val="20"/>
        </w:rPr>
        <w:t xml:space="preserve"> perspectives </w:t>
      </w:r>
      <w:r w:rsidR="004F602E">
        <w:rPr>
          <w:rFonts w:asciiTheme="minorBidi" w:hAnsiTheme="minorBidi" w:cstheme="minorBidi"/>
          <w:color w:val="000000" w:themeColor="text1"/>
          <w:sz w:val="20"/>
          <w:szCs w:val="20"/>
        </w:rPr>
        <w:t>d’évolution de l’économie mondiale</w:t>
      </w:r>
      <w:r>
        <w:rPr>
          <w:rFonts w:asciiTheme="minorBidi" w:hAnsiTheme="minorBidi" w:cstheme="minorBidi"/>
          <w:color w:val="000000" w:themeColor="text1"/>
          <w:sz w:val="20"/>
          <w:szCs w:val="20"/>
        </w:rPr>
        <w:t xml:space="preserve"> pour le deuxième trimestre 2024</w:t>
      </w:r>
      <w:r w:rsidRPr="006004A5">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laissent</w:t>
      </w:r>
      <w:r w:rsidR="006004A5" w:rsidRPr="006004A5">
        <w:rPr>
          <w:rFonts w:asciiTheme="minorBidi" w:hAnsiTheme="minorBidi" w:cstheme="minorBidi"/>
          <w:color w:val="000000" w:themeColor="text1"/>
          <w:sz w:val="20"/>
          <w:szCs w:val="20"/>
        </w:rPr>
        <w:t xml:space="preserve"> augurer une poursuite d’une croissance modérée </w:t>
      </w:r>
      <w:r w:rsidR="004F602E">
        <w:rPr>
          <w:rFonts w:asciiTheme="minorBidi" w:hAnsiTheme="minorBidi" w:cstheme="minorBidi"/>
          <w:color w:val="000000" w:themeColor="text1"/>
          <w:sz w:val="20"/>
          <w:szCs w:val="20"/>
        </w:rPr>
        <w:t>aux alentours</w:t>
      </w:r>
      <w:r w:rsidR="003F7E9D">
        <w:rPr>
          <w:rFonts w:asciiTheme="minorBidi" w:hAnsiTheme="minorBidi" w:cstheme="minorBidi"/>
          <w:color w:val="000000" w:themeColor="text1"/>
          <w:sz w:val="20"/>
          <w:szCs w:val="20"/>
        </w:rPr>
        <w:t xml:space="preserve"> de </w:t>
      </w:r>
      <w:r w:rsidR="006004A5" w:rsidRPr="006004A5">
        <w:rPr>
          <w:rFonts w:asciiTheme="minorBidi" w:hAnsiTheme="minorBidi" w:cstheme="minorBidi"/>
          <w:color w:val="000000" w:themeColor="text1"/>
          <w:sz w:val="20"/>
          <w:szCs w:val="20"/>
        </w:rPr>
        <w:t>2,</w:t>
      </w:r>
      <w:r w:rsidR="00610C8F">
        <w:rPr>
          <w:rFonts w:asciiTheme="minorBidi" w:hAnsiTheme="minorBidi" w:cstheme="minorBidi"/>
          <w:color w:val="000000" w:themeColor="text1"/>
          <w:sz w:val="20"/>
          <w:szCs w:val="20"/>
        </w:rPr>
        <w:t>5%. Les enquêtes de conjoncture</w:t>
      </w:r>
      <w:r>
        <w:rPr>
          <w:rFonts w:asciiTheme="minorBidi" w:hAnsiTheme="minorBidi" w:cstheme="minorBidi"/>
          <w:color w:val="000000" w:themeColor="text1"/>
          <w:sz w:val="20"/>
          <w:szCs w:val="20"/>
        </w:rPr>
        <w:t>,</w:t>
      </w:r>
      <w:r w:rsidR="006004A5" w:rsidRPr="006004A5">
        <w:rPr>
          <w:rFonts w:asciiTheme="minorBidi" w:hAnsiTheme="minorBidi" w:cstheme="minorBidi"/>
          <w:color w:val="000000" w:themeColor="text1"/>
          <w:sz w:val="20"/>
          <w:szCs w:val="20"/>
        </w:rPr>
        <w:t xml:space="preserve"> ainsi que les indices PMI</w:t>
      </w:r>
      <w:r>
        <w:rPr>
          <w:rFonts w:asciiTheme="minorBidi" w:hAnsiTheme="minorBidi" w:cstheme="minorBidi"/>
          <w:color w:val="000000" w:themeColor="text1"/>
          <w:sz w:val="20"/>
          <w:szCs w:val="20"/>
        </w:rPr>
        <w:t>,</w:t>
      </w:r>
      <w:r w:rsidR="006004A5" w:rsidRPr="006004A5">
        <w:rPr>
          <w:rFonts w:asciiTheme="minorBidi" w:hAnsiTheme="minorBidi" w:cstheme="minorBidi"/>
          <w:color w:val="000000" w:themeColor="text1"/>
          <w:sz w:val="20"/>
          <w:szCs w:val="20"/>
        </w:rPr>
        <w:t xml:space="preserve"> prévoient une activité plus rigoureuse dans les services </w:t>
      </w:r>
      <w:r w:rsidR="003F7E9D">
        <w:rPr>
          <w:rFonts w:asciiTheme="minorBidi" w:hAnsiTheme="minorBidi" w:cstheme="minorBidi"/>
          <w:color w:val="000000" w:themeColor="text1"/>
          <w:sz w:val="20"/>
          <w:szCs w:val="20"/>
        </w:rPr>
        <w:t xml:space="preserve">par rapport au </w:t>
      </w:r>
      <w:r w:rsidR="006004A5" w:rsidRPr="006004A5">
        <w:rPr>
          <w:rFonts w:asciiTheme="minorBidi" w:hAnsiTheme="minorBidi" w:cstheme="minorBidi"/>
          <w:color w:val="000000" w:themeColor="text1"/>
          <w:sz w:val="20"/>
          <w:szCs w:val="20"/>
        </w:rPr>
        <w:t>secteur manufacturier</w:t>
      </w:r>
      <w:r w:rsidR="004F602E">
        <w:rPr>
          <w:rFonts w:asciiTheme="minorBidi" w:hAnsiTheme="minorBidi" w:cstheme="minorBidi"/>
          <w:color w:val="000000" w:themeColor="text1"/>
          <w:sz w:val="20"/>
          <w:szCs w:val="20"/>
        </w:rPr>
        <w:t> ;</w:t>
      </w:r>
      <w:r w:rsidR="006004A5" w:rsidRPr="006004A5">
        <w:rPr>
          <w:rFonts w:asciiTheme="minorBidi" w:hAnsiTheme="minorBidi" w:cstheme="minorBidi"/>
          <w:color w:val="000000" w:themeColor="text1"/>
          <w:sz w:val="20"/>
          <w:szCs w:val="20"/>
        </w:rPr>
        <w:t xml:space="preserve"> la production industrielle ayant stagné en dehors de la Chine au cours des derniers mois, </w:t>
      </w:r>
      <w:r w:rsidR="003F7E9D">
        <w:rPr>
          <w:rFonts w:asciiTheme="minorBidi" w:hAnsiTheme="minorBidi" w:cstheme="minorBidi"/>
          <w:color w:val="000000" w:themeColor="text1"/>
          <w:sz w:val="20"/>
          <w:szCs w:val="20"/>
        </w:rPr>
        <w:t>avec</w:t>
      </w:r>
      <w:r w:rsidR="006004A5" w:rsidRPr="006004A5">
        <w:rPr>
          <w:rFonts w:asciiTheme="minorBidi" w:hAnsiTheme="minorBidi" w:cstheme="minorBidi"/>
          <w:color w:val="000000" w:themeColor="text1"/>
          <w:sz w:val="20"/>
          <w:szCs w:val="20"/>
        </w:rPr>
        <w:t xml:space="preserve"> des évolutions divergentes entre pays. La croissance économique continuerait d’être relativement forte dans la plupart des pays émergents</w:t>
      </w:r>
      <w:r w:rsidR="003F7E9D">
        <w:rPr>
          <w:rFonts w:asciiTheme="minorBidi" w:hAnsiTheme="minorBidi" w:cstheme="minorBidi"/>
          <w:color w:val="000000" w:themeColor="text1"/>
          <w:sz w:val="20"/>
          <w:szCs w:val="20"/>
        </w:rPr>
        <w:t xml:space="preserve"> </w:t>
      </w:r>
      <w:r w:rsidR="006004A5" w:rsidRPr="006004A5">
        <w:rPr>
          <w:rFonts w:asciiTheme="minorBidi" w:hAnsiTheme="minorBidi" w:cstheme="minorBidi"/>
          <w:color w:val="000000" w:themeColor="text1"/>
          <w:sz w:val="20"/>
          <w:szCs w:val="20"/>
        </w:rPr>
        <w:t xml:space="preserve">et modérée dans </w:t>
      </w:r>
      <w:r w:rsidR="005060F6">
        <w:rPr>
          <w:rFonts w:asciiTheme="minorBidi" w:hAnsiTheme="minorBidi" w:cstheme="minorBidi"/>
          <w:color w:val="000000" w:themeColor="text1"/>
          <w:sz w:val="20"/>
          <w:szCs w:val="20"/>
        </w:rPr>
        <w:t>l</w:t>
      </w:r>
      <w:r w:rsidR="006004A5" w:rsidRPr="006004A5">
        <w:rPr>
          <w:rFonts w:asciiTheme="minorBidi" w:hAnsiTheme="minorBidi" w:cstheme="minorBidi"/>
          <w:color w:val="000000" w:themeColor="text1"/>
          <w:sz w:val="20"/>
          <w:szCs w:val="20"/>
        </w:rPr>
        <w:t>es grandes économies. La confiance des consommateurs resterait dégradée par rapport à son ni</w:t>
      </w:r>
      <w:r w:rsidR="00815327">
        <w:rPr>
          <w:rFonts w:asciiTheme="minorBidi" w:hAnsiTheme="minorBidi" w:cstheme="minorBidi"/>
          <w:color w:val="000000" w:themeColor="text1"/>
          <w:sz w:val="20"/>
          <w:szCs w:val="20"/>
        </w:rPr>
        <w:t>veau tendanciel dans de nombreuses</w:t>
      </w:r>
      <w:r w:rsidR="006004A5" w:rsidRPr="006004A5">
        <w:rPr>
          <w:rFonts w:asciiTheme="minorBidi" w:hAnsiTheme="minorBidi" w:cstheme="minorBidi"/>
          <w:color w:val="000000" w:themeColor="text1"/>
          <w:sz w:val="20"/>
          <w:szCs w:val="20"/>
        </w:rPr>
        <w:t xml:space="preserve"> économies avancées</w:t>
      </w:r>
      <w:r w:rsidR="003F7E9D">
        <w:rPr>
          <w:rFonts w:asciiTheme="minorBidi" w:hAnsiTheme="minorBidi" w:cstheme="minorBidi"/>
          <w:color w:val="000000" w:themeColor="text1"/>
          <w:sz w:val="20"/>
          <w:szCs w:val="20"/>
        </w:rPr>
        <w:t xml:space="preserve"> et en</w:t>
      </w:r>
      <w:r w:rsidR="006004A5" w:rsidRPr="006004A5">
        <w:rPr>
          <w:rFonts w:asciiTheme="minorBidi" w:hAnsiTheme="minorBidi" w:cstheme="minorBidi"/>
          <w:color w:val="000000" w:themeColor="text1"/>
          <w:sz w:val="20"/>
          <w:szCs w:val="20"/>
        </w:rPr>
        <w:t xml:space="preserve"> Chine, mais continuerait de mieux résister </w:t>
      </w:r>
      <w:r w:rsidR="003F7E9D" w:rsidRPr="006004A5">
        <w:rPr>
          <w:rFonts w:asciiTheme="minorBidi" w:hAnsiTheme="minorBidi" w:cstheme="minorBidi"/>
          <w:color w:val="000000" w:themeColor="text1"/>
          <w:sz w:val="20"/>
          <w:szCs w:val="20"/>
        </w:rPr>
        <w:t xml:space="preserve">dans </w:t>
      </w:r>
      <w:r w:rsidR="003F7E9D">
        <w:rPr>
          <w:rFonts w:asciiTheme="minorBidi" w:hAnsiTheme="minorBidi" w:cstheme="minorBidi"/>
          <w:color w:val="000000" w:themeColor="text1"/>
          <w:sz w:val="20"/>
          <w:szCs w:val="20"/>
        </w:rPr>
        <w:t xml:space="preserve">les </w:t>
      </w:r>
      <w:r w:rsidR="006004A5" w:rsidRPr="006004A5">
        <w:rPr>
          <w:rFonts w:asciiTheme="minorBidi" w:hAnsiTheme="minorBidi" w:cstheme="minorBidi"/>
          <w:color w:val="000000" w:themeColor="text1"/>
          <w:sz w:val="20"/>
          <w:szCs w:val="20"/>
        </w:rPr>
        <w:t xml:space="preserve">économies émergentes. </w:t>
      </w:r>
      <w:r w:rsidR="003F7E9D">
        <w:rPr>
          <w:rFonts w:asciiTheme="minorBidi" w:hAnsiTheme="minorBidi" w:cstheme="minorBidi"/>
          <w:color w:val="000000" w:themeColor="text1"/>
          <w:sz w:val="20"/>
          <w:szCs w:val="20"/>
        </w:rPr>
        <w:t>La</w:t>
      </w:r>
      <w:r w:rsidR="006004A5" w:rsidRPr="006004A5">
        <w:rPr>
          <w:rFonts w:asciiTheme="minorBidi" w:hAnsiTheme="minorBidi" w:cstheme="minorBidi"/>
          <w:color w:val="000000" w:themeColor="text1"/>
          <w:sz w:val="20"/>
          <w:szCs w:val="20"/>
        </w:rPr>
        <w:t xml:space="preserve"> croissance </w:t>
      </w:r>
      <w:r w:rsidR="003F7E9D">
        <w:rPr>
          <w:rFonts w:asciiTheme="minorBidi" w:hAnsiTheme="minorBidi" w:cstheme="minorBidi"/>
          <w:color w:val="000000" w:themeColor="text1"/>
          <w:sz w:val="20"/>
          <w:szCs w:val="20"/>
        </w:rPr>
        <w:t>économique devrait</w:t>
      </w:r>
      <w:r w:rsidR="006004A5" w:rsidRPr="006004A5">
        <w:rPr>
          <w:rFonts w:asciiTheme="minorBidi" w:hAnsiTheme="minorBidi" w:cstheme="minorBidi"/>
          <w:color w:val="000000" w:themeColor="text1"/>
          <w:sz w:val="20"/>
          <w:szCs w:val="20"/>
        </w:rPr>
        <w:t xml:space="preserve"> s’établir à </w:t>
      </w:r>
      <w:r w:rsidR="000E4E2B">
        <w:rPr>
          <w:rFonts w:asciiTheme="minorBidi" w:hAnsiTheme="minorBidi" w:cstheme="minorBidi"/>
          <w:color w:val="000000" w:themeColor="text1"/>
          <w:sz w:val="20"/>
          <w:szCs w:val="20"/>
        </w:rPr>
        <w:t>+</w:t>
      </w:r>
      <w:r w:rsidR="006004A5" w:rsidRPr="006004A5">
        <w:rPr>
          <w:rFonts w:asciiTheme="minorBidi" w:hAnsiTheme="minorBidi" w:cstheme="minorBidi"/>
          <w:color w:val="000000" w:themeColor="text1"/>
          <w:sz w:val="20"/>
          <w:szCs w:val="20"/>
        </w:rPr>
        <w:t>2,4%</w:t>
      </w:r>
      <w:r w:rsidR="000E4E2B">
        <w:rPr>
          <w:rFonts w:asciiTheme="minorBidi" w:hAnsiTheme="minorBidi" w:cstheme="minorBidi"/>
          <w:color w:val="000000" w:themeColor="text1"/>
          <w:sz w:val="20"/>
          <w:szCs w:val="20"/>
        </w:rPr>
        <w:t>,</w:t>
      </w:r>
      <w:r w:rsidR="006004A5" w:rsidRPr="006004A5">
        <w:rPr>
          <w:rFonts w:asciiTheme="minorBidi" w:hAnsiTheme="minorBidi" w:cstheme="minorBidi"/>
          <w:color w:val="000000" w:themeColor="text1"/>
          <w:sz w:val="20"/>
          <w:szCs w:val="20"/>
        </w:rPr>
        <w:t xml:space="preserve"> </w:t>
      </w:r>
      <w:r w:rsidR="000E4E2B" w:rsidRPr="006004A5">
        <w:rPr>
          <w:rFonts w:asciiTheme="minorBidi" w:hAnsiTheme="minorBidi" w:cstheme="minorBidi"/>
          <w:color w:val="000000" w:themeColor="text1"/>
          <w:sz w:val="20"/>
          <w:szCs w:val="20"/>
        </w:rPr>
        <w:t xml:space="preserve">en </w:t>
      </w:r>
      <w:r w:rsidR="000E4E2B">
        <w:rPr>
          <w:rFonts w:asciiTheme="minorBidi" w:hAnsiTheme="minorBidi" w:cstheme="minorBidi"/>
          <w:color w:val="000000" w:themeColor="text1"/>
          <w:sz w:val="20"/>
          <w:szCs w:val="20"/>
        </w:rPr>
        <w:t xml:space="preserve">rythme </w:t>
      </w:r>
      <w:r w:rsidR="000E4E2B" w:rsidRPr="006004A5">
        <w:rPr>
          <w:rFonts w:asciiTheme="minorBidi" w:hAnsiTheme="minorBidi" w:cstheme="minorBidi"/>
          <w:color w:val="000000" w:themeColor="text1"/>
          <w:sz w:val="20"/>
          <w:szCs w:val="20"/>
        </w:rPr>
        <w:t>annuel</w:t>
      </w:r>
      <w:r w:rsidR="000E4E2B">
        <w:rPr>
          <w:rFonts w:asciiTheme="minorBidi" w:hAnsiTheme="minorBidi" w:cstheme="minorBidi"/>
          <w:color w:val="000000" w:themeColor="text1"/>
          <w:sz w:val="20"/>
          <w:szCs w:val="20"/>
        </w:rPr>
        <w:t>,</w:t>
      </w:r>
      <w:r w:rsidR="000E4E2B" w:rsidRPr="006004A5">
        <w:rPr>
          <w:rFonts w:asciiTheme="minorBidi" w:hAnsiTheme="minorBidi" w:cstheme="minorBidi"/>
          <w:color w:val="000000" w:themeColor="text1"/>
          <w:sz w:val="20"/>
          <w:szCs w:val="20"/>
        </w:rPr>
        <w:t xml:space="preserve"> </w:t>
      </w:r>
      <w:r w:rsidR="003F7E9D">
        <w:rPr>
          <w:rFonts w:asciiTheme="minorBidi" w:hAnsiTheme="minorBidi" w:cstheme="minorBidi"/>
          <w:color w:val="000000" w:themeColor="text1"/>
          <w:sz w:val="20"/>
          <w:szCs w:val="20"/>
        </w:rPr>
        <w:t>aux</w:t>
      </w:r>
      <w:r w:rsidR="003F7E9D" w:rsidRPr="006004A5">
        <w:rPr>
          <w:rFonts w:asciiTheme="minorBidi" w:hAnsiTheme="minorBidi" w:cstheme="minorBidi"/>
          <w:color w:val="000000" w:themeColor="text1"/>
          <w:sz w:val="20"/>
          <w:szCs w:val="20"/>
        </w:rPr>
        <w:t xml:space="preserve"> Etats-Unis</w:t>
      </w:r>
      <w:r w:rsidR="003F7E9D">
        <w:rPr>
          <w:rFonts w:asciiTheme="minorBidi" w:hAnsiTheme="minorBidi" w:cstheme="minorBidi"/>
          <w:color w:val="000000" w:themeColor="text1"/>
          <w:sz w:val="20"/>
          <w:szCs w:val="20"/>
        </w:rPr>
        <w:t>,</w:t>
      </w:r>
      <w:r w:rsidR="003F7E9D" w:rsidRPr="006004A5">
        <w:rPr>
          <w:rFonts w:asciiTheme="minorBidi" w:hAnsiTheme="minorBidi" w:cstheme="minorBidi"/>
          <w:color w:val="000000" w:themeColor="text1"/>
          <w:sz w:val="20"/>
          <w:szCs w:val="20"/>
        </w:rPr>
        <w:t xml:space="preserve"> </w:t>
      </w:r>
      <w:r w:rsidR="000E4E2B">
        <w:rPr>
          <w:rFonts w:asciiTheme="minorBidi" w:hAnsiTheme="minorBidi" w:cstheme="minorBidi"/>
          <w:color w:val="000000" w:themeColor="text1"/>
          <w:sz w:val="20"/>
          <w:szCs w:val="20"/>
        </w:rPr>
        <w:t xml:space="preserve">au </w:t>
      </w:r>
      <w:r w:rsidR="003F7E9D" w:rsidRPr="006004A5">
        <w:rPr>
          <w:rFonts w:asciiTheme="minorBidi" w:hAnsiTheme="minorBidi" w:cstheme="minorBidi"/>
          <w:color w:val="000000" w:themeColor="text1"/>
          <w:sz w:val="20"/>
          <w:szCs w:val="20"/>
        </w:rPr>
        <w:t>deuxième trimestre 2024</w:t>
      </w:r>
      <w:r w:rsidR="003F7E9D">
        <w:rPr>
          <w:rFonts w:asciiTheme="minorBidi" w:hAnsiTheme="minorBidi" w:cstheme="minorBidi"/>
          <w:color w:val="000000" w:themeColor="text1"/>
          <w:sz w:val="20"/>
          <w:szCs w:val="20"/>
        </w:rPr>
        <w:t xml:space="preserve">, </w:t>
      </w:r>
      <w:r w:rsidR="006004A5" w:rsidRPr="006004A5">
        <w:rPr>
          <w:rFonts w:asciiTheme="minorBidi" w:hAnsiTheme="minorBidi" w:cstheme="minorBidi"/>
          <w:color w:val="000000" w:themeColor="text1"/>
          <w:sz w:val="20"/>
          <w:szCs w:val="20"/>
        </w:rPr>
        <w:t>portée par l’expansion des dépenses publiques</w:t>
      </w:r>
      <w:r w:rsidR="000E4E2B">
        <w:rPr>
          <w:rFonts w:asciiTheme="minorBidi" w:hAnsiTheme="minorBidi" w:cstheme="minorBidi"/>
          <w:color w:val="000000" w:themeColor="text1"/>
          <w:sz w:val="20"/>
          <w:szCs w:val="20"/>
        </w:rPr>
        <w:t>, a</w:t>
      </w:r>
      <w:r w:rsidR="006004A5" w:rsidRPr="006004A5">
        <w:rPr>
          <w:rFonts w:asciiTheme="minorBidi" w:hAnsiTheme="minorBidi" w:cstheme="minorBidi"/>
          <w:color w:val="000000" w:themeColor="text1"/>
          <w:sz w:val="20"/>
          <w:szCs w:val="20"/>
        </w:rPr>
        <w:t xml:space="preserve">lors qu’en zone euro, la croissance </w:t>
      </w:r>
      <w:r w:rsidR="00636445">
        <w:rPr>
          <w:rFonts w:asciiTheme="minorBidi" w:hAnsiTheme="minorBidi" w:cstheme="minorBidi"/>
          <w:color w:val="000000" w:themeColor="text1"/>
          <w:sz w:val="20"/>
          <w:szCs w:val="20"/>
        </w:rPr>
        <w:t>s’accélérerait</w:t>
      </w:r>
      <w:r w:rsidR="006004A5" w:rsidRPr="006004A5">
        <w:rPr>
          <w:rFonts w:asciiTheme="minorBidi" w:hAnsiTheme="minorBidi" w:cstheme="minorBidi"/>
          <w:color w:val="000000" w:themeColor="text1"/>
          <w:sz w:val="20"/>
          <w:szCs w:val="20"/>
        </w:rPr>
        <w:t xml:space="preserve"> </w:t>
      </w:r>
      <w:r w:rsidR="00636445">
        <w:rPr>
          <w:rFonts w:asciiTheme="minorBidi" w:hAnsiTheme="minorBidi" w:cstheme="minorBidi"/>
          <w:color w:val="000000" w:themeColor="text1"/>
          <w:sz w:val="20"/>
          <w:szCs w:val="20"/>
        </w:rPr>
        <w:t>légèrement</w:t>
      </w:r>
      <w:r w:rsidR="000E4E2B">
        <w:rPr>
          <w:rFonts w:asciiTheme="minorBidi" w:hAnsiTheme="minorBidi" w:cstheme="minorBidi"/>
          <w:color w:val="000000" w:themeColor="text1"/>
          <w:sz w:val="20"/>
          <w:szCs w:val="20"/>
        </w:rPr>
        <w:t xml:space="preserve"> pour atteindre </w:t>
      </w:r>
      <w:r>
        <w:rPr>
          <w:rFonts w:asciiTheme="minorBidi" w:hAnsiTheme="minorBidi" w:cstheme="minorBidi"/>
          <w:color w:val="000000" w:themeColor="text1"/>
          <w:sz w:val="20"/>
          <w:szCs w:val="20"/>
        </w:rPr>
        <w:t>+</w:t>
      </w:r>
      <w:r w:rsidR="000E4E2B">
        <w:rPr>
          <w:rFonts w:asciiTheme="minorBidi" w:hAnsiTheme="minorBidi" w:cstheme="minorBidi"/>
          <w:color w:val="000000" w:themeColor="text1"/>
          <w:sz w:val="20"/>
          <w:szCs w:val="20"/>
        </w:rPr>
        <w:t>0,6%,</w:t>
      </w:r>
      <w:r w:rsidR="006004A5" w:rsidRPr="006004A5">
        <w:rPr>
          <w:rFonts w:asciiTheme="minorBidi" w:hAnsiTheme="minorBidi" w:cstheme="minorBidi"/>
          <w:color w:val="000000" w:themeColor="text1"/>
          <w:sz w:val="20"/>
          <w:szCs w:val="20"/>
        </w:rPr>
        <w:t xml:space="preserve"> </w:t>
      </w:r>
      <w:r w:rsidR="000E4E2B">
        <w:rPr>
          <w:rFonts w:asciiTheme="minorBidi" w:hAnsiTheme="minorBidi" w:cstheme="minorBidi"/>
          <w:color w:val="000000" w:themeColor="text1"/>
          <w:sz w:val="20"/>
          <w:szCs w:val="20"/>
        </w:rPr>
        <w:t>tirée par</w:t>
      </w:r>
      <w:r w:rsidR="00636445">
        <w:rPr>
          <w:rFonts w:asciiTheme="minorBidi" w:hAnsiTheme="minorBidi" w:cstheme="minorBidi"/>
          <w:color w:val="000000" w:themeColor="text1"/>
          <w:sz w:val="20"/>
          <w:szCs w:val="20"/>
        </w:rPr>
        <w:t xml:space="preserve"> l’</w:t>
      </w:r>
      <w:r w:rsidR="006004A5" w:rsidRPr="006004A5">
        <w:rPr>
          <w:rFonts w:asciiTheme="minorBidi" w:hAnsiTheme="minorBidi" w:cstheme="minorBidi"/>
          <w:color w:val="000000" w:themeColor="text1"/>
          <w:sz w:val="20"/>
          <w:szCs w:val="20"/>
        </w:rPr>
        <w:t xml:space="preserve">amélioration de l’activité </w:t>
      </w:r>
      <w:r w:rsidR="000E4E2B">
        <w:rPr>
          <w:rFonts w:asciiTheme="minorBidi" w:hAnsiTheme="minorBidi" w:cstheme="minorBidi"/>
          <w:color w:val="000000" w:themeColor="text1"/>
          <w:sz w:val="20"/>
          <w:szCs w:val="20"/>
        </w:rPr>
        <w:t xml:space="preserve">en </w:t>
      </w:r>
      <w:r w:rsidR="006004A5" w:rsidRPr="006004A5">
        <w:rPr>
          <w:rFonts w:asciiTheme="minorBidi" w:hAnsiTheme="minorBidi" w:cstheme="minorBidi"/>
          <w:color w:val="000000" w:themeColor="text1"/>
          <w:sz w:val="20"/>
          <w:szCs w:val="20"/>
        </w:rPr>
        <w:t xml:space="preserve">Allemagne et </w:t>
      </w:r>
      <w:r w:rsidR="000E4E2B">
        <w:rPr>
          <w:rFonts w:asciiTheme="minorBidi" w:hAnsiTheme="minorBidi" w:cstheme="minorBidi"/>
          <w:color w:val="000000" w:themeColor="text1"/>
          <w:sz w:val="20"/>
          <w:szCs w:val="20"/>
        </w:rPr>
        <w:t>en</w:t>
      </w:r>
      <w:r w:rsidR="006004A5" w:rsidRPr="006004A5">
        <w:rPr>
          <w:rFonts w:asciiTheme="minorBidi" w:hAnsiTheme="minorBidi" w:cstheme="minorBidi"/>
          <w:color w:val="000000" w:themeColor="text1"/>
          <w:sz w:val="20"/>
          <w:szCs w:val="20"/>
        </w:rPr>
        <w:t xml:space="preserve"> France. </w:t>
      </w:r>
    </w:p>
    <w:p w:rsidR="003F2F42" w:rsidRDefault="004F602E" w:rsidP="00610C8F">
      <w:pPr>
        <w:spacing w:after="240"/>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Les</w:t>
      </w:r>
      <w:r w:rsidR="00636445">
        <w:rPr>
          <w:rFonts w:asciiTheme="minorBidi" w:hAnsiTheme="minorBidi" w:cstheme="minorBidi"/>
          <w:color w:val="000000" w:themeColor="text1"/>
          <w:sz w:val="20"/>
          <w:szCs w:val="20"/>
        </w:rPr>
        <w:t xml:space="preserve"> perspectives de croissance du commerce mondial resteraient mieux </w:t>
      </w:r>
      <w:r w:rsidR="006E6FC1">
        <w:rPr>
          <w:rFonts w:asciiTheme="minorBidi" w:hAnsiTheme="minorBidi" w:cstheme="minorBidi"/>
          <w:color w:val="000000" w:themeColor="text1"/>
          <w:sz w:val="20"/>
          <w:szCs w:val="20"/>
        </w:rPr>
        <w:t xml:space="preserve">orientées, </w:t>
      </w:r>
      <w:r w:rsidR="006E6FC1" w:rsidRPr="006004A5">
        <w:rPr>
          <w:rFonts w:asciiTheme="minorBidi" w:hAnsiTheme="minorBidi" w:cstheme="minorBidi"/>
          <w:color w:val="000000" w:themeColor="text1"/>
          <w:sz w:val="20"/>
          <w:szCs w:val="20"/>
        </w:rPr>
        <w:t xml:space="preserve">profitant du retournement </w:t>
      </w:r>
      <w:r w:rsidR="006E6FC1">
        <w:rPr>
          <w:rFonts w:asciiTheme="minorBidi" w:hAnsiTheme="minorBidi" w:cstheme="minorBidi"/>
          <w:color w:val="000000" w:themeColor="text1"/>
          <w:sz w:val="20"/>
          <w:szCs w:val="20"/>
        </w:rPr>
        <w:t xml:space="preserve">à la hausse </w:t>
      </w:r>
      <w:r w:rsidR="006E6FC1" w:rsidRPr="006004A5">
        <w:rPr>
          <w:rFonts w:asciiTheme="minorBidi" w:hAnsiTheme="minorBidi" w:cstheme="minorBidi"/>
          <w:color w:val="000000" w:themeColor="text1"/>
          <w:sz w:val="20"/>
          <w:szCs w:val="20"/>
        </w:rPr>
        <w:t xml:space="preserve">de la production de semi-conducteurs et de produits électroniques en Asie et </w:t>
      </w:r>
      <w:r w:rsidR="006E6FC1">
        <w:rPr>
          <w:rFonts w:asciiTheme="minorBidi" w:hAnsiTheme="minorBidi" w:cstheme="minorBidi"/>
          <w:color w:val="000000" w:themeColor="text1"/>
          <w:sz w:val="20"/>
          <w:szCs w:val="20"/>
        </w:rPr>
        <w:t>du</w:t>
      </w:r>
      <w:r w:rsidR="006E6FC1" w:rsidRPr="006004A5">
        <w:rPr>
          <w:rFonts w:asciiTheme="minorBidi" w:hAnsiTheme="minorBidi" w:cstheme="minorBidi"/>
          <w:color w:val="000000" w:themeColor="text1"/>
          <w:sz w:val="20"/>
          <w:szCs w:val="20"/>
        </w:rPr>
        <w:t xml:space="preserve"> renforcement des ventes de véhicules automobiles</w:t>
      </w:r>
      <w:r w:rsidR="006E6FC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174612">
        <w:rPr>
          <w:rFonts w:asciiTheme="minorBidi" w:hAnsiTheme="minorBidi" w:cstheme="minorBidi"/>
          <w:color w:val="000000" w:themeColor="text1"/>
          <w:sz w:val="20"/>
          <w:szCs w:val="20"/>
        </w:rPr>
        <w:t>La</w:t>
      </w:r>
      <w:r w:rsidR="006E6FC1">
        <w:rPr>
          <w:rFonts w:asciiTheme="minorBidi" w:hAnsiTheme="minorBidi" w:cstheme="minorBidi"/>
          <w:color w:val="000000" w:themeColor="text1"/>
          <w:sz w:val="20"/>
          <w:szCs w:val="20"/>
        </w:rPr>
        <w:t xml:space="preserve"> demande étrangère adressée au Maroc</w:t>
      </w:r>
      <w:r w:rsidR="006E6FC1" w:rsidRPr="003F2F42">
        <w:rPr>
          <w:rFonts w:asciiTheme="minorBidi" w:hAnsiTheme="minorBidi" w:cstheme="minorBidi"/>
          <w:color w:val="000000" w:themeColor="text1"/>
          <w:sz w:val="20"/>
          <w:szCs w:val="20"/>
        </w:rPr>
        <w:t xml:space="preserve"> </w:t>
      </w:r>
      <w:r w:rsidR="006E6FC1">
        <w:rPr>
          <w:rFonts w:asciiTheme="minorBidi" w:hAnsiTheme="minorBidi" w:cstheme="minorBidi"/>
          <w:color w:val="000000" w:themeColor="text1"/>
          <w:sz w:val="20"/>
          <w:szCs w:val="20"/>
        </w:rPr>
        <w:t>s’améliorerait</w:t>
      </w:r>
      <w:r w:rsidR="00760128">
        <w:rPr>
          <w:rFonts w:asciiTheme="minorBidi" w:hAnsiTheme="minorBidi" w:cstheme="minorBidi"/>
          <w:color w:val="000000" w:themeColor="text1"/>
          <w:sz w:val="20"/>
          <w:szCs w:val="20"/>
        </w:rPr>
        <w:t>,</w:t>
      </w:r>
      <w:r w:rsidR="006E6FC1">
        <w:rPr>
          <w:rFonts w:asciiTheme="minorBidi" w:hAnsiTheme="minorBidi" w:cstheme="minorBidi"/>
          <w:color w:val="000000" w:themeColor="text1"/>
          <w:sz w:val="20"/>
          <w:szCs w:val="20"/>
        </w:rPr>
        <w:t xml:space="preserve"> </w:t>
      </w:r>
      <w:r w:rsidR="00174612">
        <w:rPr>
          <w:rFonts w:asciiTheme="minorBidi" w:hAnsiTheme="minorBidi" w:cstheme="minorBidi"/>
          <w:color w:val="000000" w:themeColor="text1"/>
          <w:sz w:val="20"/>
          <w:szCs w:val="20"/>
        </w:rPr>
        <w:t>ainsi</w:t>
      </w:r>
      <w:r w:rsidR="00760128">
        <w:rPr>
          <w:rFonts w:asciiTheme="minorBidi" w:hAnsiTheme="minorBidi" w:cstheme="minorBidi"/>
          <w:color w:val="000000" w:themeColor="text1"/>
          <w:sz w:val="20"/>
          <w:szCs w:val="20"/>
        </w:rPr>
        <w:t>,</w:t>
      </w:r>
      <w:r w:rsidR="00174612">
        <w:rPr>
          <w:rFonts w:asciiTheme="minorBidi" w:hAnsiTheme="minorBidi" w:cstheme="minorBidi"/>
          <w:color w:val="000000" w:themeColor="text1"/>
          <w:sz w:val="20"/>
          <w:szCs w:val="20"/>
        </w:rPr>
        <w:t xml:space="preserve"> </w:t>
      </w:r>
      <w:r w:rsidR="006E6FC1">
        <w:rPr>
          <w:rFonts w:asciiTheme="minorBidi" w:hAnsiTheme="minorBidi" w:cstheme="minorBidi"/>
          <w:color w:val="000000" w:themeColor="text1"/>
          <w:sz w:val="20"/>
          <w:szCs w:val="20"/>
        </w:rPr>
        <w:t xml:space="preserve">progressivement et les </w:t>
      </w:r>
      <w:r w:rsidR="003F2F42" w:rsidRPr="003F2F42">
        <w:rPr>
          <w:rFonts w:asciiTheme="minorBidi" w:hAnsiTheme="minorBidi" w:cstheme="minorBidi"/>
          <w:color w:val="000000" w:themeColor="text1"/>
          <w:sz w:val="20"/>
          <w:szCs w:val="20"/>
        </w:rPr>
        <w:t xml:space="preserve">échanges extérieurs pèseraient moins lourdement sur la croissance </w:t>
      </w:r>
      <w:r w:rsidR="003F2F42">
        <w:rPr>
          <w:rFonts w:asciiTheme="minorBidi" w:hAnsiTheme="minorBidi" w:cstheme="minorBidi"/>
          <w:color w:val="000000" w:themeColor="text1"/>
          <w:sz w:val="20"/>
          <w:szCs w:val="20"/>
        </w:rPr>
        <w:t xml:space="preserve">économique nationale </w:t>
      </w:r>
      <w:r w:rsidR="003F2F42" w:rsidRPr="003F2F42">
        <w:rPr>
          <w:rFonts w:asciiTheme="minorBidi" w:hAnsiTheme="minorBidi" w:cstheme="minorBidi"/>
          <w:color w:val="000000" w:themeColor="text1"/>
          <w:sz w:val="20"/>
          <w:szCs w:val="20"/>
        </w:rPr>
        <w:t xml:space="preserve">qu’au premier trimestre 2024, avec une contribution réduite à </w:t>
      </w:r>
      <w:r w:rsidR="00610C8F">
        <w:rPr>
          <w:rFonts w:asciiTheme="minorBidi" w:hAnsiTheme="minorBidi" w:cstheme="minorBidi"/>
          <w:color w:val="000000" w:themeColor="text1"/>
          <w:sz w:val="20"/>
          <w:szCs w:val="20"/>
        </w:rPr>
        <w:t>-</w:t>
      </w:r>
      <w:r w:rsidR="006E6FC1">
        <w:rPr>
          <w:rFonts w:asciiTheme="minorBidi" w:hAnsiTheme="minorBidi" w:cstheme="minorBidi"/>
          <w:color w:val="000000" w:themeColor="text1"/>
          <w:sz w:val="20"/>
          <w:szCs w:val="20"/>
        </w:rPr>
        <w:t>3</w:t>
      </w:r>
      <w:r w:rsidR="003F2F42" w:rsidRPr="003F2F42">
        <w:rPr>
          <w:rFonts w:asciiTheme="minorBidi" w:hAnsiTheme="minorBidi" w:cstheme="minorBidi"/>
          <w:color w:val="000000" w:themeColor="text1"/>
          <w:sz w:val="20"/>
          <w:szCs w:val="20"/>
        </w:rPr>
        <w:t>,</w:t>
      </w:r>
      <w:r w:rsidR="006E6FC1">
        <w:rPr>
          <w:rFonts w:asciiTheme="minorBidi" w:hAnsiTheme="minorBidi" w:cstheme="minorBidi"/>
          <w:color w:val="000000" w:themeColor="text1"/>
          <w:sz w:val="20"/>
          <w:szCs w:val="20"/>
        </w:rPr>
        <w:t>1</w:t>
      </w:r>
      <w:r w:rsidR="003F2F42" w:rsidRPr="003F2F42">
        <w:rPr>
          <w:rFonts w:asciiTheme="minorBidi" w:hAnsiTheme="minorBidi" w:cstheme="minorBidi"/>
          <w:color w:val="000000" w:themeColor="text1"/>
          <w:sz w:val="20"/>
          <w:szCs w:val="20"/>
        </w:rPr>
        <w:t xml:space="preserve"> points au lieu de -</w:t>
      </w:r>
      <w:r w:rsidR="006E6FC1">
        <w:rPr>
          <w:rFonts w:asciiTheme="minorBidi" w:hAnsiTheme="minorBidi" w:cstheme="minorBidi"/>
          <w:color w:val="000000" w:themeColor="text1"/>
          <w:sz w:val="20"/>
          <w:szCs w:val="20"/>
        </w:rPr>
        <w:t>3</w:t>
      </w:r>
      <w:r w:rsidR="003F2F42" w:rsidRPr="003F2F42">
        <w:rPr>
          <w:rFonts w:asciiTheme="minorBidi" w:hAnsiTheme="minorBidi" w:cstheme="minorBidi"/>
          <w:color w:val="000000" w:themeColor="text1"/>
          <w:sz w:val="20"/>
          <w:szCs w:val="20"/>
        </w:rPr>
        <w:t>,</w:t>
      </w:r>
      <w:r w:rsidR="006E6FC1">
        <w:rPr>
          <w:rFonts w:asciiTheme="minorBidi" w:hAnsiTheme="minorBidi" w:cstheme="minorBidi"/>
          <w:color w:val="000000" w:themeColor="text1"/>
          <w:sz w:val="20"/>
          <w:szCs w:val="20"/>
        </w:rPr>
        <w:t>9</w:t>
      </w:r>
      <w:r w:rsidR="003F2F42" w:rsidRPr="003F2F42">
        <w:rPr>
          <w:rFonts w:asciiTheme="minorBidi" w:hAnsiTheme="minorBidi" w:cstheme="minorBidi"/>
          <w:color w:val="000000" w:themeColor="text1"/>
          <w:sz w:val="20"/>
          <w:szCs w:val="20"/>
        </w:rPr>
        <w:t xml:space="preserve"> points</w:t>
      </w:r>
      <w:r w:rsidR="006E6FC1">
        <w:rPr>
          <w:rFonts w:asciiTheme="minorBidi" w:hAnsiTheme="minorBidi" w:cstheme="minorBidi"/>
          <w:color w:val="000000" w:themeColor="text1"/>
          <w:sz w:val="20"/>
          <w:szCs w:val="20"/>
        </w:rPr>
        <w:t xml:space="preserve"> le trimestre antérieur</w:t>
      </w:r>
      <w:r w:rsidR="003F2F42" w:rsidRPr="003F2F42">
        <w:rPr>
          <w:rFonts w:asciiTheme="minorBidi" w:hAnsiTheme="minorBidi" w:cstheme="minorBidi"/>
          <w:color w:val="000000" w:themeColor="text1"/>
          <w:sz w:val="20"/>
          <w:szCs w:val="20"/>
        </w:rPr>
        <w:t xml:space="preserve">. Les exportations afficheraient une progression de </w:t>
      </w:r>
      <w:r w:rsidR="006E6FC1">
        <w:rPr>
          <w:rFonts w:asciiTheme="minorBidi" w:hAnsiTheme="minorBidi" w:cstheme="minorBidi"/>
          <w:color w:val="000000" w:themeColor="text1"/>
          <w:sz w:val="20"/>
          <w:szCs w:val="20"/>
        </w:rPr>
        <w:t>9</w:t>
      </w:r>
      <w:r w:rsidR="003F2F42" w:rsidRPr="003F2F42">
        <w:rPr>
          <w:rFonts w:asciiTheme="minorBidi" w:hAnsiTheme="minorBidi" w:cstheme="minorBidi"/>
          <w:color w:val="000000" w:themeColor="text1"/>
          <w:sz w:val="20"/>
          <w:szCs w:val="20"/>
        </w:rPr>
        <w:t xml:space="preserve">,1%, profitant du regain de </w:t>
      </w:r>
      <w:r w:rsidR="00610C8F">
        <w:rPr>
          <w:rFonts w:asciiTheme="minorBidi" w:hAnsiTheme="minorBidi" w:cstheme="minorBidi"/>
          <w:color w:val="000000" w:themeColor="text1"/>
          <w:sz w:val="20"/>
          <w:szCs w:val="20"/>
        </w:rPr>
        <w:t xml:space="preserve">la </w:t>
      </w:r>
      <w:r w:rsidR="003F2F42" w:rsidRPr="003F2F42">
        <w:rPr>
          <w:rFonts w:asciiTheme="minorBidi" w:hAnsiTheme="minorBidi" w:cstheme="minorBidi"/>
          <w:color w:val="000000" w:themeColor="text1"/>
          <w:sz w:val="20"/>
          <w:szCs w:val="20"/>
        </w:rPr>
        <w:t xml:space="preserve">demande étrangère, principalement européenne. Parallèlement, les importations conserveraient une vive allure, affichant une progression de </w:t>
      </w:r>
      <w:r w:rsidR="006E6FC1">
        <w:rPr>
          <w:rFonts w:asciiTheme="minorBidi" w:hAnsiTheme="minorBidi" w:cstheme="minorBidi"/>
          <w:color w:val="000000" w:themeColor="text1"/>
          <w:sz w:val="20"/>
          <w:szCs w:val="20"/>
        </w:rPr>
        <w:t>14,3</w:t>
      </w:r>
      <w:r w:rsidR="003F2F42" w:rsidRPr="003F2F42">
        <w:rPr>
          <w:rFonts w:asciiTheme="minorBidi" w:hAnsiTheme="minorBidi" w:cstheme="minorBidi"/>
          <w:color w:val="000000" w:themeColor="text1"/>
          <w:sz w:val="20"/>
          <w:szCs w:val="20"/>
        </w:rPr>
        <w:t>%, sur fond</w:t>
      </w:r>
      <w:r w:rsidR="00A5354B">
        <w:rPr>
          <w:rFonts w:asciiTheme="minorBidi" w:hAnsiTheme="minorBidi" w:cstheme="minorBidi"/>
          <w:color w:val="000000" w:themeColor="text1"/>
          <w:sz w:val="20"/>
          <w:szCs w:val="20"/>
        </w:rPr>
        <w:t xml:space="preserve"> d’</w:t>
      </w:r>
      <w:r w:rsidR="00636445">
        <w:rPr>
          <w:rFonts w:asciiTheme="minorBidi" w:hAnsiTheme="minorBidi" w:cstheme="minorBidi"/>
          <w:color w:val="000000" w:themeColor="text1"/>
          <w:sz w:val="20"/>
          <w:szCs w:val="20"/>
        </w:rPr>
        <w:t>alourdissement de la facture alimentaire et de</w:t>
      </w:r>
      <w:r w:rsidR="00610C8F">
        <w:rPr>
          <w:rFonts w:asciiTheme="minorBidi" w:hAnsiTheme="minorBidi" w:cstheme="minorBidi"/>
          <w:color w:val="000000" w:themeColor="text1"/>
          <w:sz w:val="20"/>
          <w:szCs w:val="20"/>
        </w:rPr>
        <w:t xml:space="preserve"> la</w:t>
      </w:r>
      <w:r w:rsidR="00636445">
        <w:rPr>
          <w:rFonts w:asciiTheme="minorBidi" w:hAnsiTheme="minorBidi" w:cstheme="minorBidi"/>
          <w:color w:val="000000" w:themeColor="text1"/>
          <w:sz w:val="20"/>
          <w:szCs w:val="20"/>
        </w:rPr>
        <w:t xml:space="preserve"> poursuite de la </w:t>
      </w:r>
      <w:r w:rsidR="005060F6">
        <w:rPr>
          <w:rFonts w:asciiTheme="minorBidi" w:hAnsiTheme="minorBidi" w:cstheme="minorBidi"/>
          <w:color w:val="000000" w:themeColor="text1"/>
          <w:sz w:val="20"/>
          <w:szCs w:val="20"/>
        </w:rPr>
        <w:t>reprise de la demande d’équipement</w:t>
      </w:r>
      <w:r w:rsidR="00636445">
        <w:rPr>
          <w:rFonts w:asciiTheme="minorBidi" w:hAnsiTheme="minorBidi" w:cstheme="minorBidi"/>
          <w:color w:val="000000" w:themeColor="text1"/>
          <w:sz w:val="20"/>
          <w:szCs w:val="20"/>
        </w:rPr>
        <w:t xml:space="preserve">. </w:t>
      </w:r>
    </w:p>
    <w:p w:rsidR="00636445" w:rsidRDefault="00636445" w:rsidP="003F2F42">
      <w:pPr>
        <w:spacing w:after="240"/>
        <w:jc w:val="both"/>
        <w:rPr>
          <w:rFonts w:asciiTheme="minorBidi" w:hAnsiTheme="minorBidi" w:cstheme="minorBidi"/>
          <w:color w:val="000000" w:themeColor="text1"/>
          <w:sz w:val="20"/>
          <w:szCs w:val="20"/>
        </w:rPr>
      </w:pPr>
      <w:r w:rsidRPr="00636445">
        <w:rPr>
          <w:rFonts w:asciiTheme="minorBidi" w:hAnsiTheme="minorBidi" w:cstheme="minorBidi"/>
          <w:color w:val="000000" w:themeColor="text1"/>
          <w:sz w:val="20"/>
          <w:szCs w:val="20"/>
        </w:rPr>
        <w:t>La demande intérieure resterait le socle de la croissance économique nationale au deuxième trimestre 2024. Les gains de pouvoir d’achat</w:t>
      </w:r>
      <w:r w:rsidR="004F602E">
        <w:rPr>
          <w:rFonts w:asciiTheme="minorBidi" w:hAnsiTheme="minorBidi" w:cstheme="minorBidi"/>
          <w:color w:val="000000" w:themeColor="text1"/>
          <w:sz w:val="20"/>
          <w:szCs w:val="20"/>
        </w:rPr>
        <w:t>,</w:t>
      </w:r>
      <w:r w:rsidRPr="00636445">
        <w:rPr>
          <w:rFonts w:asciiTheme="minorBidi" w:hAnsiTheme="minorBidi" w:cstheme="minorBidi"/>
          <w:color w:val="000000" w:themeColor="text1"/>
          <w:sz w:val="20"/>
          <w:szCs w:val="20"/>
        </w:rPr>
        <w:t xml:space="preserve"> permis par le reflux de l’inflation</w:t>
      </w:r>
      <w:r w:rsidR="004F602E">
        <w:rPr>
          <w:rFonts w:asciiTheme="minorBidi" w:hAnsiTheme="minorBidi" w:cstheme="minorBidi"/>
          <w:color w:val="000000" w:themeColor="text1"/>
          <w:sz w:val="20"/>
          <w:szCs w:val="20"/>
        </w:rPr>
        <w:t>,</w:t>
      </w:r>
      <w:r w:rsidRPr="00636445">
        <w:rPr>
          <w:rFonts w:asciiTheme="minorBidi" w:hAnsiTheme="minorBidi" w:cstheme="minorBidi"/>
          <w:color w:val="000000" w:themeColor="text1"/>
          <w:sz w:val="20"/>
          <w:szCs w:val="20"/>
        </w:rPr>
        <w:t xml:space="preserve"> et le</w:t>
      </w:r>
      <w:r w:rsidR="004F602E">
        <w:rPr>
          <w:rFonts w:asciiTheme="minorBidi" w:hAnsiTheme="minorBidi" w:cstheme="minorBidi"/>
          <w:color w:val="000000" w:themeColor="text1"/>
          <w:sz w:val="20"/>
          <w:szCs w:val="20"/>
        </w:rPr>
        <w:t xml:space="preserve"> recours intensifié à l’épargne </w:t>
      </w:r>
      <w:r w:rsidRPr="00636445">
        <w:rPr>
          <w:rFonts w:asciiTheme="minorBidi" w:hAnsiTheme="minorBidi" w:cstheme="minorBidi"/>
          <w:color w:val="000000" w:themeColor="text1"/>
          <w:sz w:val="20"/>
          <w:szCs w:val="20"/>
        </w:rPr>
        <w:t>soutiendrai</w:t>
      </w:r>
      <w:r w:rsidR="002822A3">
        <w:rPr>
          <w:rFonts w:asciiTheme="minorBidi" w:hAnsiTheme="minorBidi" w:cstheme="minorBidi"/>
          <w:color w:val="000000" w:themeColor="text1"/>
          <w:sz w:val="20"/>
          <w:szCs w:val="20"/>
        </w:rPr>
        <w:t>en</w:t>
      </w:r>
      <w:r w:rsidRPr="00636445">
        <w:rPr>
          <w:rFonts w:asciiTheme="minorBidi" w:hAnsiTheme="minorBidi" w:cstheme="minorBidi"/>
          <w:color w:val="000000" w:themeColor="text1"/>
          <w:sz w:val="20"/>
          <w:szCs w:val="20"/>
        </w:rPr>
        <w:t xml:space="preserve">t une augmentation de </w:t>
      </w:r>
      <w:r w:rsidR="001D43FF">
        <w:rPr>
          <w:rFonts w:asciiTheme="minorBidi" w:hAnsiTheme="minorBidi" w:cstheme="minorBidi"/>
          <w:color w:val="000000" w:themeColor="text1"/>
          <w:sz w:val="20"/>
          <w:szCs w:val="20"/>
        </w:rPr>
        <w:t>2,6</w:t>
      </w:r>
      <w:r w:rsidRPr="00636445">
        <w:rPr>
          <w:rFonts w:asciiTheme="minorBidi" w:hAnsiTheme="minorBidi" w:cstheme="minorBidi"/>
          <w:color w:val="000000" w:themeColor="text1"/>
          <w:sz w:val="20"/>
          <w:szCs w:val="20"/>
        </w:rPr>
        <w:t xml:space="preserve">% </w:t>
      </w:r>
      <w:r w:rsidR="004F602E">
        <w:rPr>
          <w:rFonts w:asciiTheme="minorBidi" w:hAnsiTheme="minorBidi" w:cstheme="minorBidi"/>
          <w:color w:val="000000" w:themeColor="text1"/>
          <w:sz w:val="20"/>
          <w:szCs w:val="20"/>
        </w:rPr>
        <w:t>de la</w:t>
      </w:r>
      <w:r w:rsidRPr="00636445">
        <w:rPr>
          <w:rFonts w:asciiTheme="minorBidi" w:hAnsiTheme="minorBidi" w:cstheme="minorBidi"/>
          <w:color w:val="000000" w:themeColor="text1"/>
          <w:sz w:val="20"/>
          <w:szCs w:val="20"/>
        </w:rPr>
        <w:t xml:space="preserve"> consommation des ménages. Les dépenses d’investissement conserveraient leur dynamique </w:t>
      </w:r>
      <w:r w:rsidR="00174612">
        <w:rPr>
          <w:rFonts w:asciiTheme="minorBidi" w:hAnsiTheme="minorBidi" w:cstheme="minorBidi"/>
          <w:color w:val="000000" w:themeColor="text1"/>
          <w:sz w:val="20"/>
          <w:szCs w:val="20"/>
        </w:rPr>
        <w:t>grâce au</w:t>
      </w:r>
      <w:r w:rsidRPr="00636445">
        <w:rPr>
          <w:rFonts w:asciiTheme="minorBidi" w:hAnsiTheme="minorBidi" w:cstheme="minorBidi"/>
          <w:color w:val="000000" w:themeColor="text1"/>
          <w:sz w:val="20"/>
          <w:szCs w:val="20"/>
        </w:rPr>
        <w:t xml:space="preserve"> renforcement des dépenses publiques et </w:t>
      </w:r>
      <w:r w:rsidR="00174612">
        <w:rPr>
          <w:rFonts w:asciiTheme="minorBidi" w:hAnsiTheme="minorBidi" w:cstheme="minorBidi"/>
          <w:color w:val="000000" w:themeColor="text1"/>
          <w:sz w:val="20"/>
          <w:szCs w:val="20"/>
        </w:rPr>
        <w:t xml:space="preserve">à </w:t>
      </w:r>
      <w:r w:rsidRPr="00636445">
        <w:rPr>
          <w:rFonts w:asciiTheme="minorBidi" w:hAnsiTheme="minorBidi" w:cstheme="minorBidi"/>
          <w:color w:val="000000" w:themeColor="text1"/>
          <w:sz w:val="20"/>
          <w:szCs w:val="20"/>
        </w:rPr>
        <w:t xml:space="preserve">la poursuite de l’effort d’équipement des entreprises, dans un contexte de reflux des prix à l’import des biens d’équipement industriel. A l’inverse, les investissements des ménages en logement resteraient en reflux, dans un contexte de persistance </w:t>
      </w:r>
      <w:r w:rsidR="002822A3">
        <w:rPr>
          <w:rFonts w:asciiTheme="minorBidi" w:hAnsiTheme="minorBidi" w:cstheme="minorBidi"/>
          <w:color w:val="000000" w:themeColor="text1"/>
          <w:sz w:val="20"/>
          <w:szCs w:val="20"/>
        </w:rPr>
        <w:t xml:space="preserve">des coûts élevés de </w:t>
      </w:r>
      <w:r w:rsidR="001D43FF">
        <w:rPr>
          <w:rFonts w:asciiTheme="minorBidi" w:hAnsiTheme="minorBidi" w:cstheme="minorBidi"/>
          <w:color w:val="000000" w:themeColor="text1"/>
          <w:sz w:val="20"/>
          <w:szCs w:val="20"/>
        </w:rPr>
        <w:t xml:space="preserve">crédit </w:t>
      </w:r>
      <w:r w:rsidR="001D43FF" w:rsidRPr="00636445">
        <w:rPr>
          <w:rFonts w:asciiTheme="minorBidi" w:hAnsiTheme="minorBidi" w:cstheme="minorBidi"/>
          <w:color w:val="000000" w:themeColor="text1"/>
          <w:sz w:val="20"/>
          <w:szCs w:val="20"/>
        </w:rPr>
        <w:t>comparativement</w:t>
      </w:r>
      <w:r w:rsidRPr="00636445">
        <w:rPr>
          <w:rFonts w:asciiTheme="minorBidi" w:hAnsiTheme="minorBidi" w:cstheme="minorBidi"/>
          <w:color w:val="000000" w:themeColor="text1"/>
          <w:sz w:val="20"/>
          <w:szCs w:val="20"/>
        </w:rPr>
        <w:t xml:space="preserve"> à la période d’avant 2022.  </w:t>
      </w:r>
    </w:p>
    <w:p w:rsidR="00636445" w:rsidRPr="00636445" w:rsidRDefault="006B349A" w:rsidP="008B7411">
      <w:pPr>
        <w:spacing w:after="240"/>
        <w:jc w:val="both"/>
        <w:rPr>
          <w:rFonts w:asciiTheme="minorBidi" w:hAnsiTheme="minorBidi" w:cstheme="minorBidi"/>
          <w:color w:val="000000" w:themeColor="text1"/>
          <w:sz w:val="20"/>
          <w:szCs w:val="20"/>
        </w:rPr>
      </w:pPr>
      <w:r w:rsidRPr="006B349A">
        <w:rPr>
          <w:noProof/>
        </w:rPr>
        <w:lastRenderedPageBreak/>
        <w:drawing>
          <wp:anchor distT="0" distB="0" distL="114300" distR="114300" simplePos="0" relativeHeight="251667456" behindDoc="0" locked="0" layoutInCell="1" allowOverlap="1">
            <wp:simplePos x="0" y="0"/>
            <wp:positionH relativeFrom="column">
              <wp:posOffset>3215640</wp:posOffset>
            </wp:positionH>
            <wp:positionV relativeFrom="paragraph">
              <wp:posOffset>120</wp:posOffset>
            </wp:positionV>
            <wp:extent cx="3237230" cy="2314575"/>
            <wp:effectExtent l="0" t="0" r="1270" b="952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7230" cy="2314575"/>
                    </a:xfrm>
                    <a:prstGeom prst="rect">
                      <a:avLst/>
                    </a:prstGeom>
                    <a:noFill/>
                    <a:ln>
                      <a:noFill/>
                    </a:ln>
                  </pic:spPr>
                </pic:pic>
              </a:graphicData>
            </a:graphic>
          </wp:anchor>
        </w:drawing>
      </w:r>
      <w:r w:rsidR="00636445">
        <w:rPr>
          <w:rFonts w:asciiTheme="minorBidi" w:hAnsiTheme="minorBidi" w:cstheme="minorBidi"/>
          <w:color w:val="000000" w:themeColor="text1"/>
          <w:sz w:val="20"/>
          <w:szCs w:val="20"/>
        </w:rPr>
        <w:t>Dans ces conditions</w:t>
      </w:r>
      <w:r w:rsidR="00636445" w:rsidRPr="00636445">
        <w:rPr>
          <w:rFonts w:asciiTheme="minorBidi" w:hAnsiTheme="minorBidi" w:cstheme="minorBidi"/>
          <w:color w:val="000000" w:themeColor="text1"/>
          <w:sz w:val="20"/>
          <w:szCs w:val="20"/>
        </w:rPr>
        <w:t>, la valeur ajoutée hors agriculture afficherait un accroissement de 3,</w:t>
      </w:r>
      <w:r w:rsidR="008B7411">
        <w:rPr>
          <w:rFonts w:asciiTheme="minorBidi" w:hAnsiTheme="minorBidi" w:cstheme="minorBidi"/>
          <w:color w:val="000000" w:themeColor="text1"/>
          <w:sz w:val="20"/>
          <w:szCs w:val="20"/>
        </w:rPr>
        <w:t>7</w:t>
      </w:r>
      <w:r w:rsidR="00636445" w:rsidRPr="00636445">
        <w:rPr>
          <w:rFonts w:asciiTheme="minorBidi" w:hAnsiTheme="minorBidi" w:cstheme="minorBidi"/>
          <w:color w:val="000000" w:themeColor="text1"/>
          <w:sz w:val="20"/>
          <w:szCs w:val="20"/>
        </w:rPr>
        <w:t xml:space="preserve">%, en glissement annuel. Les branches secondaires poursuivraient leur regain au rythme de </w:t>
      </w:r>
      <w:r w:rsidR="00537662">
        <w:rPr>
          <w:rFonts w:asciiTheme="minorBidi" w:hAnsiTheme="minorBidi" w:cstheme="minorBidi"/>
          <w:color w:val="000000" w:themeColor="text1"/>
          <w:sz w:val="20"/>
          <w:szCs w:val="20"/>
        </w:rPr>
        <w:t>5,</w:t>
      </w:r>
      <w:r w:rsidR="00537662">
        <w:rPr>
          <w:rFonts w:asciiTheme="minorBidi" w:hAnsiTheme="minorBidi" w:cstheme="minorBidi" w:hint="cs"/>
          <w:color w:val="000000" w:themeColor="text1"/>
          <w:sz w:val="20"/>
          <w:szCs w:val="20"/>
          <w:rtl/>
        </w:rPr>
        <w:t>3</w:t>
      </w:r>
      <w:r w:rsidR="00636445" w:rsidRPr="00636445">
        <w:rPr>
          <w:rFonts w:asciiTheme="minorBidi" w:hAnsiTheme="minorBidi" w:cstheme="minorBidi"/>
          <w:color w:val="000000" w:themeColor="text1"/>
          <w:sz w:val="20"/>
          <w:szCs w:val="20"/>
        </w:rPr>
        <w:t>%, grâce notamment à la poursuite du rétablissement des industries extractives et de la construction. La production manufacturière devrait demeurer bien orientée, profitant d’une demande extérieure plus vigoureuse pour les branches de la chimie et du matériel de transport. Le rythme de croissance de l’activité industrielle pourrait</w:t>
      </w:r>
      <w:r w:rsidR="006B5FB3">
        <w:rPr>
          <w:rFonts w:asciiTheme="minorBidi" w:hAnsiTheme="minorBidi" w:cstheme="minorBidi"/>
          <w:color w:val="000000" w:themeColor="text1"/>
          <w:sz w:val="20"/>
          <w:szCs w:val="20"/>
        </w:rPr>
        <w:t>,</w:t>
      </w:r>
      <w:r w:rsidR="00636445" w:rsidRPr="00636445">
        <w:rPr>
          <w:rFonts w:asciiTheme="minorBidi" w:hAnsiTheme="minorBidi" w:cstheme="minorBidi"/>
          <w:color w:val="000000" w:themeColor="text1"/>
          <w:sz w:val="20"/>
          <w:szCs w:val="20"/>
        </w:rPr>
        <w:t xml:space="preserve"> néanmoins</w:t>
      </w:r>
      <w:r w:rsidR="006B5FB3">
        <w:rPr>
          <w:rFonts w:asciiTheme="minorBidi" w:hAnsiTheme="minorBidi" w:cstheme="minorBidi"/>
          <w:color w:val="000000" w:themeColor="text1"/>
          <w:sz w:val="20"/>
          <w:szCs w:val="20"/>
        </w:rPr>
        <w:t>,</w:t>
      </w:r>
      <w:r w:rsidR="00636445" w:rsidRPr="00636445">
        <w:rPr>
          <w:rFonts w:asciiTheme="minorBidi" w:hAnsiTheme="minorBidi" w:cstheme="minorBidi"/>
          <w:color w:val="000000" w:themeColor="text1"/>
          <w:sz w:val="20"/>
          <w:szCs w:val="20"/>
        </w:rPr>
        <w:t xml:space="preserve"> s’infléchir comparativement au début de l’année, du fait de la faible dynamique du textile et de l’agroalimentaire. Quant aux services, leur rythme de croissance se maintiendrait </w:t>
      </w:r>
      <w:r w:rsidR="00174612">
        <w:rPr>
          <w:rFonts w:asciiTheme="minorBidi" w:hAnsiTheme="minorBidi" w:cstheme="minorBidi"/>
          <w:color w:val="000000" w:themeColor="text1"/>
          <w:sz w:val="20"/>
          <w:szCs w:val="20"/>
        </w:rPr>
        <w:t>aux environs de</w:t>
      </w:r>
      <w:r w:rsidR="00636445" w:rsidRPr="00636445">
        <w:rPr>
          <w:rFonts w:asciiTheme="minorBidi" w:hAnsiTheme="minorBidi" w:cstheme="minorBidi"/>
          <w:color w:val="000000" w:themeColor="text1"/>
          <w:sz w:val="20"/>
          <w:szCs w:val="20"/>
        </w:rPr>
        <w:t xml:space="preserve"> 3%, </w:t>
      </w:r>
      <w:r w:rsidR="001D43FF">
        <w:rPr>
          <w:rFonts w:asciiTheme="minorBidi" w:hAnsiTheme="minorBidi" w:cstheme="minorBidi"/>
          <w:color w:val="000000" w:themeColor="text1"/>
          <w:sz w:val="20"/>
          <w:szCs w:val="20"/>
        </w:rPr>
        <w:t>tiré</w:t>
      </w:r>
      <w:r w:rsidR="007667A7">
        <w:rPr>
          <w:rFonts w:asciiTheme="minorBidi" w:hAnsiTheme="minorBidi" w:cstheme="minorBidi"/>
          <w:color w:val="000000" w:themeColor="text1"/>
          <w:sz w:val="20"/>
          <w:szCs w:val="20"/>
        </w:rPr>
        <w:t xml:space="preserve"> principalement</w:t>
      </w:r>
      <w:r w:rsidR="00636445" w:rsidRPr="00636445">
        <w:rPr>
          <w:rFonts w:asciiTheme="minorBidi" w:hAnsiTheme="minorBidi" w:cstheme="minorBidi"/>
          <w:color w:val="000000" w:themeColor="text1"/>
          <w:sz w:val="20"/>
          <w:szCs w:val="20"/>
        </w:rPr>
        <w:t xml:space="preserve"> </w:t>
      </w:r>
      <w:r w:rsidR="001D43FF">
        <w:rPr>
          <w:rFonts w:asciiTheme="minorBidi" w:hAnsiTheme="minorBidi" w:cstheme="minorBidi"/>
          <w:color w:val="000000" w:themeColor="text1"/>
          <w:sz w:val="20"/>
          <w:szCs w:val="20"/>
        </w:rPr>
        <w:t xml:space="preserve">par </w:t>
      </w:r>
      <w:r w:rsidR="00174612">
        <w:rPr>
          <w:rFonts w:asciiTheme="minorBidi" w:hAnsiTheme="minorBidi" w:cstheme="minorBidi"/>
          <w:color w:val="000000" w:themeColor="text1"/>
          <w:sz w:val="20"/>
          <w:szCs w:val="20"/>
        </w:rPr>
        <w:t>les</w:t>
      </w:r>
      <w:r w:rsidR="00636445" w:rsidRPr="00636445">
        <w:rPr>
          <w:rFonts w:asciiTheme="minorBidi" w:hAnsiTheme="minorBidi" w:cstheme="minorBidi"/>
          <w:color w:val="000000" w:themeColor="text1"/>
          <w:sz w:val="20"/>
          <w:szCs w:val="20"/>
        </w:rPr>
        <w:t xml:space="preserve"> activités de l’hébergement et des services non marchands. </w:t>
      </w:r>
    </w:p>
    <w:p w:rsidR="00636445" w:rsidRPr="00DD11A3" w:rsidRDefault="00636445" w:rsidP="00595736">
      <w:pPr>
        <w:spacing w:after="240"/>
        <w:jc w:val="both"/>
        <w:rPr>
          <w:rFonts w:asciiTheme="minorBidi" w:hAnsiTheme="minorBidi" w:cstheme="minorBidi"/>
          <w:color w:val="000000" w:themeColor="text1"/>
          <w:sz w:val="20"/>
          <w:szCs w:val="20"/>
        </w:rPr>
      </w:pPr>
      <w:r w:rsidRPr="00636445">
        <w:rPr>
          <w:rFonts w:asciiTheme="minorBidi" w:hAnsiTheme="minorBidi" w:cstheme="minorBidi"/>
          <w:color w:val="000000" w:themeColor="text1"/>
          <w:sz w:val="20"/>
          <w:szCs w:val="20"/>
        </w:rPr>
        <w:t xml:space="preserve">Dans l’ensemble et compte tenu d’une baisse de </w:t>
      </w:r>
      <w:r w:rsidR="006A4474">
        <w:rPr>
          <w:rFonts w:asciiTheme="minorBidi" w:hAnsiTheme="minorBidi" w:cstheme="minorBidi"/>
          <w:color w:val="000000" w:themeColor="text1"/>
          <w:sz w:val="20"/>
          <w:szCs w:val="20"/>
        </w:rPr>
        <w:t>4,1</w:t>
      </w:r>
      <w:r w:rsidRPr="00636445">
        <w:rPr>
          <w:rFonts w:asciiTheme="minorBidi" w:hAnsiTheme="minorBidi" w:cstheme="minorBidi"/>
          <w:color w:val="000000" w:themeColor="text1"/>
          <w:sz w:val="20"/>
          <w:szCs w:val="20"/>
        </w:rPr>
        <w:t xml:space="preserve">% de la valeur ajoutée agricole, l’activité économique </w:t>
      </w:r>
      <w:r w:rsidR="006A4474">
        <w:rPr>
          <w:rFonts w:asciiTheme="minorBidi" w:hAnsiTheme="minorBidi" w:cstheme="minorBidi"/>
          <w:color w:val="000000" w:themeColor="text1"/>
          <w:sz w:val="20"/>
          <w:szCs w:val="20"/>
        </w:rPr>
        <w:t xml:space="preserve">nationale </w:t>
      </w:r>
      <w:r w:rsidRPr="00636445">
        <w:rPr>
          <w:rFonts w:asciiTheme="minorBidi" w:hAnsiTheme="minorBidi" w:cstheme="minorBidi"/>
          <w:color w:val="000000" w:themeColor="text1"/>
          <w:sz w:val="20"/>
          <w:szCs w:val="20"/>
        </w:rPr>
        <w:t>afficherait une croissance de 2,</w:t>
      </w:r>
      <w:r w:rsidR="00595736">
        <w:rPr>
          <w:rFonts w:asciiTheme="minorBidi" w:hAnsiTheme="minorBidi" w:cstheme="minorBidi"/>
          <w:color w:val="000000" w:themeColor="text1"/>
          <w:sz w:val="20"/>
          <w:szCs w:val="20"/>
        </w:rPr>
        <w:t>7</w:t>
      </w:r>
      <w:r w:rsidRPr="00636445">
        <w:rPr>
          <w:rFonts w:asciiTheme="minorBidi" w:hAnsiTheme="minorBidi" w:cstheme="minorBidi"/>
          <w:color w:val="000000" w:themeColor="text1"/>
          <w:sz w:val="20"/>
          <w:szCs w:val="20"/>
        </w:rPr>
        <w:t>%, au deuxième trimestre 2024, en variation annuelle</w:t>
      </w:r>
      <w:r w:rsidR="006A4474">
        <w:rPr>
          <w:rFonts w:asciiTheme="minorBidi" w:hAnsiTheme="minorBidi" w:cstheme="minorBidi"/>
          <w:color w:val="000000" w:themeColor="text1"/>
          <w:sz w:val="20"/>
          <w:szCs w:val="20"/>
        </w:rPr>
        <w:t xml:space="preserve">, au lieu de </w:t>
      </w:r>
      <w:r w:rsidR="00AA2E0B">
        <w:rPr>
          <w:rFonts w:asciiTheme="minorBidi" w:hAnsiTheme="minorBidi" w:cstheme="minorBidi"/>
          <w:color w:val="000000" w:themeColor="text1"/>
          <w:sz w:val="20"/>
          <w:szCs w:val="20"/>
        </w:rPr>
        <w:t>+</w:t>
      </w:r>
      <w:r w:rsidR="006A4474">
        <w:rPr>
          <w:rFonts w:asciiTheme="minorBidi" w:hAnsiTheme="minorBidi" w:cstheme="minorBidi"/>
          <w:color w:val="000000" w:themeColor="text1"/>
          <w:sz w:val="20"/>
          <w:szCs w:val="20"/>
        </w:rPr>
        <w:t>2,3% une année plus tôt</w:t>
      </w:r>
      <w:r w:rsidRPr="00636445">
        <w:rPr>
          <w:rFonts w:asciiTheme="minorBidi" w:hAnsiTheme="minorBidi" w:cstheme="minorBidi"/>
          <w:color w:val="000000" w:themeColor="text1"/>
          <w:sz w:val="20"/>
          <w:szCs w:val="20"/>
        </w:rPr>
        <w:t>.</w:t>
      </w:r>
      <w:r w:rsidR="004C5419" w:rsidRPr="004C5419">
        <w:rPr>
          <w:rFonts w:asciiTheme="minorBidi" w:hAnsiTheme="minorBidi" w:cstheme="minorBidi"/>
          <w:color w:val="000000" w:themeColor="text1"/>
          <w:sz w:val="20"/>
          <w:szCs w:val="20"/>
        </w:rPr>
        <w:t xml:space="preserve"> </w:t>
      </w:r>
    </w:p>
    <w:sectPr w:rsidR="00636445" w:rsidRPr="00DD11A3" w:rsidSect="0044640A">
      <w:footerReference w:type="even" r:id="rId15"/>
      <w:footerReference w:type="default" r:id="rId16"/>
      <w:headerReference w:type="first" r:id="rId17"/>
      <w:footerReference w:type="first" r:id="rId18"/>
      <w:pgSz w:w="11906" w:h="16838"/>
      <w:pgMar w:top="992" w:right="851"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ED6" w:rsidRDefault="00475ED6">
      <w:r>
        <w:separator/>
      </w:r>
    </w:p>
  </w:endnote>
  <w:endnote w:type="continuationSeparator" w:id="0">
    <w:p w:rsidR="00475ED6" w:rsidRDefault="00475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CS AL SHAMAL">
    <w:altName w:val="Times New Roman"/>
    <w:charset w:val="B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F16A0D" w:rsidP="00CB05C8">
    <w:pPr>
      <w:pStyle w:val="Pieddepage"/>
      <w:framePr w:wrap="auto" w:vAnchor="text" w:hAnchor="margin" w:xAlign="center" w:y="1"/>
      <w:rPr>
        <w:rStyle w:val="Numrodepage"/>
      </w:rPr>
    </w:pPr>
    <w:r>
      <w:rPr>
        <w:rStyle w:val="Numrodepage"/>
      </w:rPr>
      <w:fldChar w:fldCharType="begin"/>
    </w:r>
    <w:r w:rsidR="00382D39">
      <w:rPr>
        <w:rStyle w:val="Numrodepage"/>
      </w:rPr>
      <w:instrText xml:space="preserve">PAGE  </w:instrText>
    </w:r>
    <w:r>
      <w:rPr>
        <w:rStyle w:val="Numrodepage"/>
      </w:rPr>
      <w:fldChar w:fldCharType="end"/>
    </w:r>
  </w:p>
  <w:p w:rsidR="00382D39" w:rsidRDefault="00382D3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Pr="006D7FA4" w:rsidRDefault="00F16A0D"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382D39" w:rsidRPr="006D7FA4">
      <w:rPr>
        <w:rStyle w:val="Numrodepage"/>
        <w:sz w:val="20"/>
        <w:szCs w:val="20"/>
      </w:rPr>
      <w:instrText xml:space="preserve">PAGE  </w:instrText>
    </w:r>
    <w:r w:rsidRPr="006D7FA4">
      <w:rPr>
        <w:rStyle w:val="Numrodepage"/>
        <w:sz w:val="20"/>
        <w:szCs w:val="20"/>
      </w:rPr>
      <w:fldChar w:fldCharType="separate"/>
    </w:r>
    <w:r w:rsidR="00FA0956">
      <w:rPr>
        <w:rStyle w:val="Numrodepage"/>
        <w:noProof/>
        <w:sz w:val="20"/>
        <w:szCs w:val="20"/>
      </w:rPr>
      <w:t>2</w:t>
    </w:r>
    <w:r w:rsidRPr="006D7FA4">
      <w:rPr>
        <w:rStyle w:val="Numrodepage"/>
        <w:sz w:val="20"/>
        <w:szCs w:val="20"/>
      </w:rPr>
      <w:fldChar w:fldCharType="end"/>
    </w:r>
    <w:r w:rsidR="00382D39" w:rsidRPr="006D7FA4">
      <w:rPr>
        <w:rStyle w:val="Numrodepage"/>
        <w:sz w:val="20"/>
        <w:szCs w:val="20"/>
      </w:rPr>
      <w:t>/</w:t>
    </w:r>
    <w:r w:rsidRPr="006D7FA4">
      <w:rPr>
        <w:rStyle w:val="Numrodepage"/>
        <w:sz w:val="20"/>
        <w:szCs w:val="20"/>
      </w:rPr>
      <w:fldChar w:fldCharType="begin"/>
    </w:r>
    <w:r w:rsidR="00382D39" w:rsidRPr="006D7FA4">
      <w:rPr>
        <w:rStyle w:val="Numrodepage"/>
        <w:sz w:val="20"/>
        <w:szCs w:val="20"/>
      </w:rPr>
      <w:instrText xml:space="preserve"> NUMPAGES </w:instrText>
    </w:r>
    <w:r w:rsidRPr="006D7FA4">
      <w:rPr>
        <w:rStyle w:val="Numrodepage"/>
        <w:sz w:val="20"/>
        <w:szCs w:val="20"/>
      </w:rPr>
      <w:fldChar w:fldCharType="separate"/>
    </w:r>
    <w:r w:rsidR="00FA0956">
      <w:rPr>
        <w:rStyle w:val="Numrodepage"/>
        <w:noProof/>
        <w:sz w:val="20"/>
        <w:szCs w:val="20"/>
      </w:rPr>
      <w:t>6</w:t>
    </w:r>
    <w:r w:rsidRPr="006D7FA4">
      <w:rPr>
        <w:rStyle w:val="Numrodepage"/>
        <w:sz w:val="20"/>
        <w:szCs w:val="20"/>
      </w:rPr>
      <w:fldChar w:fldCharType="end"/>
    </w:r>
  </w:p>
  <w:p w:rsidR="00382D39" w:rsidRDefault="00382D3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F16A0D">
    <w:pPr>
      <w:pStyle w:val="Pieddepage"/>
    </w:pPr>
    <w:r>
      <w:rPr>
        <w:noProof/>
      </w:rPr>
      <w:pict>
        <v:shapetype id="_x0000_t202" coordsize="21600,21600" o:spt="202" path="m,l,21600r21600,l21600,xe">
          <v:stroke joinstyle="miter"/>
          <v:path gradientshapeok="t" o:connecttype="rect"/>
        </v:shapetype>
        <v:shape id="Text Box 5" o:spid="_x0000_s4102"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CC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MBI&#10;kQ5K9MAHj671gKYhO71xFTjdG3DzA2xDlWOkztxp+tkhpW9aorb8ylrdt5wwYJeFk8nZ0RHHBZBN&#10;/04zuIbsvI5AQ2O7kDpIBgJ0qNLjqTKBCoXNV7PpfJaCiYItz8p0Hs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D3xDCCggIA&#10;AA8FAAAOAAAAAAAAAAAAAAAAAC4CAABkcnMvZTJvRG9jLnhtbFBLAQItABQABgAIAAAAIQDHoIGW&#10;2wAAAAYBAAAPAAAAAAAAAAAAAAAAANwEAABkcnMvZG93bnJldi54bWxQSwUGAAAAAAQABADzAAAA&#10;5AUAAAAA&#10;" stroked="f">
          <v:textbox>
            <w:txbxContent>
              <w:p w:rsidR="00382D39" w:rsidRPr="00773F09" w:rsidRDefault="00382D39"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BP : 178 </w:t>
                </w:r>
              </w:p>
            </w:txbxContent>
          </v:textbox>
        </v:shape>
      </w:pict>
    </w:r>
    <w:r>
      <w:rPr>
        <w:noProof/>
      </w:rPr>
      <w:pict>
        <v:shape id="Text Box 6" o:spid="_x0000_s4101"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k&#10;UgZ/hgIAABYFAAAOAAAAAAAAAAAAAAAAAC4CAABkcnMvZTJvRG9jLnhtbFBLAQItABQABgAIAAAA&#10;IQB8SI/z3QAAAAcBAAAPAAAAAAAAAAAAAAAAAOAEAABkcnMvZG93bnJldi54bWxQSwUGAAAAAAQA&#10;BADzAAAA6gUAAAAA&#10;" stroked="f">
          <v:textbox>
            <w:txbxContent>
              <w:p w:rsidR="00382D39" w:rsidRPr="00F94487" w:rsidRDefault="00382D39"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4100"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rsidR="00382D39" w:rsidRPr="00350C40" w:rsidRDefault="00382D39"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4099"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rsidR="00382D39" w:rsidRPr="00350C40" w:rsidRDefault="00382D39"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4098"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rsidR="00382D39" w:rsidRPr="00773F09" w:rsidRDefault="00382D39"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الرباط–المغربص.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4097"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w:txbxContent>
              <w:p w:rsidR="00382D39" w:rsidRPr="00350C40" w:rsidRDefault="00382D39"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 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ED6" w:rsidRDefault="00475ED6">
      <w:r>
        <w:separator/>
      </w:r>
    </w:p>
  </w:footnote>
  <w:footnote w:type="continuationSeparator" w:id="0">
    <w:p w:rsidR="00475ED6" w:rsidRDefault="00475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382D39" w:rsidP="001C7C18">
    <w:pPr>
      <w:pStyle w:val="En-tte"/>
    </w:pPr>
    <w:r>
      <w:rPr>
        <w:noProof/>
      </w:rPr>
      <w:drawing>
        <wp:anchor distT="0" distB="0" distL="114300" distR="114300" simplePos="0" relativeHeight="251660800" behindDoc="0" locked="0" layoutInCell="1" allowOverlap="1">
          <wp:simplePos x="0" y="0"/>
          <wp:positionH relativeFrom="column">
            <wp:posOffset>-989330</wp:posOffset>
          </wp:positionH>
          <wp:positionV relativeFrom="paragraph">
            <wp:posOffset>-150495</wp:posOffset>
          </wp:positionV>
          <wp:extent cx="8707755" cy="5039995"/>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MA" w:vendorID="64" w:dllVersion="4096" w:nlCheck="1" w:checkStyle="0"/>
  <w:activeWritingStyle w:appName="MSWord" w:lang="fr-MA" w:vendorID="64" w:dllVersion="6" w:nlCheck="1" w:checkStyle="1"/>
  <w:activeWritingStyle w:appName="MSWord" w:lang="fr-FR" w:vendorID="64" w:dllVersion="131078" w:nlCheck="1" w:checkStyle="0"/>
  <w:activeWritingStyle w:appName="MSWord" w:lang="en-US" w:vendorID="64" w:dllVersion="131078" w:nlCheck="1" w:checkStyle="1"/>
  <w:activeWritingStyle w:appName="MSWord" w:lang="ar-MA" w:vendorID="64" w:dllVersion="131078" w:nlCheck="1" w:checkStyle="0"/>
  <w:stylePaneFormatFilter w:val="3F01"/>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2517"/>
    <w:rsid w:val="0000254D"/>
    <w:rsid w:val="000025B3"/>
    <w:rsid w:val="000026D4"/>
    <w:rsid w:val="00002878"/>
    <w:rsid w:val="00002B97"/>
    <w:rsid w:val="00002CA4"/>
    <w:rsid w:val="00003123"/>
    <w:rsid w:val="000033F0"/>
    <w:rsid w:val="00003529"/>
    <w:rsid w:val="00003601"/>
    <w:rsid w:val="000036B2"/>
    <w:rsid w:val="00003781"/>
    <w:rsid w:val="000037BD"/>
    <w:rsid w:val="000038EC"/>
    <w:rsid w:val="00003B57"/>
    <w:rsid w:val="0000471A"/>
    <w:rsid w:val="000050B7"/>
    <w:rsid w:val="0000510A"/>
    <w:rsid w:val="00005213"/>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592"/>
    <w:rsid w:val="0001261B"/>
    <w:rsid w:val="00012C41"/>
    <w:rsid w:val="000134E6"/>
    <w:rsid w:val="000135FC"/>
    <w:rsid w:val="0001390E"/>
    <w:rsid w:val="000139AC"/>
    <w:rsid w:val="00013A7F"/>
    <w:rsid w:val="00013C22"/>
    <w:rsid w:val="00013C29"/>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00"/>
    <w:rsid w:val="00016BD3"/>
    <w:rsid w:val="000171F0"/>
    <w:rsid w:val="0001741F"/>
    <w:rsid w:val="00017491"/>
    <w:rsid w:val="0001761A"/>
    <w:rsid w:val="000178C1"/>
    <w:rsid w:val="00017B37"/>
    <w:rsid w:val="00017FF8"/>
    <w:rsid w:val="00020254"/>
    <w:rsid w:val="000205FA"/>
    <w:rsid w:val="00020B08"/>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0B02"/>
    <w:rsid w:val="000318A7"/>
    <w:rsid w:val="00031B9A"/>
    <w:rsid w:val="00031D05"/>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5E7"/>
    <w:rsid w:val="0003680E"/>
    <w:rsid w:val="000368FA"/>
    <w:rsid w:val="000368FE"/>
    <w:rsid w:val="00036A4D"/>
    <w:rsid w:val="00036A9C"/>
    <w:rsid w:val="00036CA6"/>
    <w:rsid w:val="00036D6C"/>
    <w:rsid w:val="00037668"/>
    <w:rsid w:val="00037B80"/>
    <w:rsid w:val="000405AC"/>
    <w:rsid w:val="000408C3"/>
    <w:rsid w:val="00040953"/>
    <w:rsid w:val="00040D62"/>
    <w:rsid w:val="00041285"/>
    <w:rsid w:val="00041524"/>
    <w:rsid w:val="000415AD"/>
    <w:rsid w:val="0004185B"/>
    <w:rsid w:val="00041BAF"/>
    <w:rsid w:val="0004242A"/>
    <w:rsid w:val="0004242B"/>
    <w:rsid w:val="000425ED"/>
    <w:rsid w:val="0004281E"/>
    <w:rsid w:val="00042974"/>
    <w:rsid w:val="00042C94"/>
    <w:rsid w:val="0004311A"/>
    <w:rsid w:val="00043186"/>
    <w:rsid w:val="000431D8"/>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393"/>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CE4"/>
    <w:rsid w:val="0006213D"/>
    <w:rsid w:val="0006264E"/>
    <w:rsid w:val="00062745"/>
    <w:rsid w:val="00062880"/>
    <w:rsid w:val="000628A8"/>
    <w:rsid w:val="00062925"/>
    <w:rsid w:val="00062AFD"/>
    <w:rsid w:val="00062E48"/>
    <w:rsid w:val="00062F01"/>
    <w:rsid w:val="000632C2"/>
    <w:rsid w:val="000633F7"/>
    <w:rsid w:val="0006348D"/>
    <w:rsid w:val="0006383C"/>
    <w:rsid w:val="00063A3B"/>
    <w:rsid w:val="00063D36"/>
    <w:rsid w:val="00064386"/>
    <w:rsid w:val="000643FF"/>
    <w:rsid w:val="0006442F"/>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326"/>
    <w:rsid w:val="000674D7"/>
    <w:rsid w:val="00070037"/>
    <w:rsid w:val="0007055F"/>
    <w:rsid w:val="00070595"/>
    <w:rsid w:val="00070861"/>
    <w:rsid w:val="00071EFF"/>
    <w:rsid w:val="000721C3"/>
    <w:rsid w:val="00072320"/>
    <w:rsid w:val="000723B5"/>
    <w:rsid w:val="000725B3"/>
    <w:rsid w:val="000726DE"/>
    <w:rsid w:val="000727ED"/>
    <w:rsid w:val="000728D2"/>
    <w:rsid w:val="000728FA"/>
    <w:rsid w:val="000729F5"/>
    <w:rsid w:val="00072B60"/>
    <w:rsid w:val="00072B88"/>
    <w:rsid w:val="00072BF2"/>
    <w:rsid w:val="00072EBF"/>
    <w:rsid w:val="000730EC"/>
    <w:rsid w:val="00073136"/>
    <w:rsid w:val="00073155"/>
    <w:rsid w:val="000732CB"/>
    <w:rsid w:val="0007340C"/>
    <w:rsid w:val="00073805"/>
    <w:rsid w:val="000739C8"/>
    <w:rsid w:val="000740DE"/>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D70"/>
    <w:rsid w:val="00080192"/>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8B0"/>
    <w:rsid w:val="000859F9"/>
    <w:rsid w:val="00085DC6"/>
    <w:rsid w:val="00085E86"/>
    <w:rsid w:val="00085FAB"/>
    <w:rsid w:val="0008606C"/>
    <w:rsid w:val="000862E0"/>
    <w:rsid w:val="00086C43"/>
    <w:rsid w:val="00087075"/>
    <w:rsid w:val="000873C3"/>
    <w:rsid w:val="00087554"/>
    <w:rsid w:val="00087A30"/>
    <w:rsid w:val="00087F93"/>
    <w:rsid w:val="00090012"/>
    <w:rsid w:val="000900E8"/>
    <w:rsid w:val="000903A7"/>
    <w:rsid w:val="00090590"/>
    <w:rsid w:val="0009062C"/>
    <w:rsid w:val="000906B8"/>
    <w:rsid w:val="00090769"/>
    <w:rsid w:val="000909E7"/>
    <w:rsid w:val="00090B8B"/>
    <w:rsid w:val="00090C3A"/>
    <w:rsid w:val="00090DED"/>
    <w:rsid w:val="00091017"/>
    <w:rsid w:val="000910ED"/>
    <w:rsid w:val="000913B3"/>
    <w:rsid w:val="00091532"/>
    <w:rsid w:val="00091867"/>
    <w:rsid w:val="00091A3B"/>
    <w:rsid w:val="00091D36"/>
    <w:rsid w:val="00091E32"/>
    <w:rsid w:val="000921CD"/>
    <w:rsid w:val="00092466"/>
    <w:rsid w:val="0009254B"/>
    <w:rsid w:val="000926D5"/>
    <w:rsid w:val="00092EFE"/>
    <w:rsid w:val="000931A9"/>
    <w:rsid w:val="000931F8"/>
    <w:rsid w:val="000935C8"/>
    <w:rsid w:val="00093B91"/>
    <w:rsid w:val="00093D85"/>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647"/>
    <w:rsid w:val="000967B8"/>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2164"/>
    <w:rsid w:val="000A2876"/>
    <w:rsid w:val="000A3264"/>
    <w:rsid w:val="000A342C"/>
    <w:rsid w:val="000A3468"/>
    <w:rsid w:val="000A34BE"/>
    <w:rsid w:val="000A3B54"/>
    <w:rsid w:val="000A3BE9"/>
    <w:rsid w:val="000A4141"/>
    <w:rsid w:val="000A447D"/>
    <w:rsid w:val="000A4C3D"/>
    <w:rsid w:val="000A4CF5"/>
    <w:rsid w:val="000A4E25"/>
    <w:rsid w:val="000A4F68"/>
    <w:rsid w:val="000A51AD"/>
    <w:rsid w:val="000A5547"/>
    <w:rsid w:val="000A62B6"/>
    <w:rsid w:val="000A6449"/>
    <w:rsid w:val="000A6476"/>
    <w:rsid w:val="000A66F7"/>
    <w:rsid w:val="000A6C0F"/>
    <w:rsid w:val="000A6C97"/>
    <w:rsid w:val="000A6F23"/>
    <w:rsid w:val="000A6F7B"/>
    <w:rsid w:val="000A7249"/>
    <w:rsid w:val="000A7281"/>
    <w:rsid w:val="000A7660"/>
    <w:rsid w:val="000A79CD"/>
    <w:rsid w:val="000B0102"/>
    <w:rsid w:val="000B0183"/>
    <w:rsid w:val="000B01F4"/>
    <w:rsid w:val="000B0367"/>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C49"/>
    <w:rsid w:val="000B2C65"/>
    <w:rsid w:val="000B3183"/>
    <w:rsid w:val="000B31FB"/>
    <w:rsid w:val="000B37E4"/>
    <w:rsid w:val="000B3843"/>
    <w:rsid w:val="000B4618"/>
    <w:rsid w:val="000B46AD"/>
    <w:rsid w:val="000B4913"/>
    <w:rsid w:val="000B4EF4"/>
    <w:rsid w:val="000B55B3"/>
    <w:rsid w:val="000B56FE"/>
    <w:rsid w:val="000B66D4"/>
    <w:rsid w:val="000B6B77"/>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8B9"/>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219"/>
    <w:rsid w:val="000C672C"/>
    <w:rsid w:val="000C68E3"/>
    <w:rsid w:val="000C69DF"/>
    <w:rsid w:val="000C6BAB"/>
    <w:rsid w:val="000C6BCD"/>
    <w:rsid w:val="000C6DDA"/>
    <w:rsid w:val="000C6E52"/>
    <w:rsid w:val="000C6ED9"/>
    <w:rsid w:val="000C7031"/>
    <w:rsid w:val="000C7415"/>
    <w:rsid w:val="000C7682"/>
    <w:rsid w:val="000C76B5"/>
    <w:rsid w:val="000C770B"/>
    <w:rsid w:val="000C77AA"/>
    <w:rsid w:val="000C78F8"/>
    <w:rsid w:val="000C7A76"/>
    <w:rsid w:val="000C7E13"/>
    <w:rsid w:val="000C7E5E"/>
    <w:rsid w:val="000D0202"/>
    <w:rsid w:val="000D04BB"/>
    <w:rsid w:val="000D0544"/>
    <w:rsid w:val="000D0EDD"/>
    <w:rsid w:val="000D13F1"/>
    <w:rsid w:val="000D1406"/>
    <w:rsid w:val="000D1585"/>
    <w:rsid w:val="000D1756"/>
    <w:rsid w:val="000D181E"/>
    <w:rsid w:val="000D19DC"/>
    <w:rsid w:val="000D1CA0"/>
    <w:rsid w:val="000D1CBD"/>
    <w:rsid w:val="000D1D9A"/>
    <w:rsid w:val="000D1F90"/>
    <w:rsid w:val="000D209A"/>
    <w:rsid w:val="000D2442"/>
    <w:rsid w:val="000D25AF"/>
    <w:rsid w:val="000D2930"/>
    <w:rsid w:val="000D2D81"/>
    <w:rsid w:val="000D2EA1"/>
    <w:rsid w:val="000D3350"/>
    <w:rsid w:val="000D354F"/>
    <w:rsid w:val="000D3623"/>
    <w:rsid w:val="000D3736"/>
    <w:rsid w:val="000D3B05"/>
    <w:rsid w:val="000D3FC6"/>
    <w:rsid w:val="000D403A"/>
    <w:rsid w:val="000D4277"/>
    <w:rsid w:val="000D4B12"/>
    <w:rsid w:val="000D5297"/>
    <w:rsid w:val="000D53E5"/>
    <w:rsid w:val="000D57C6"/>
    <w:rsid w:val="000D595F"/>
    <w:rsid w:val="000D5971"/>
    <w:rsid w:val="000D6113"/>
    <w:rsid w:val="000D6400"/>
    <w:rsid w:val="000D6625"/>
    <w:rsid w:val="000D6757"/>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E08"/>
    <w:rsid w:val="000E3FF7"/>
    <w:rsid w:val="000E40AB"/>
    <w:rsid w:val="000E41EC"/>
    <w:rsid w:val="000E485F"/>
    <w:rsid w:val="000E4CB6"/>
    <w:rsid w:val="000E4E2B"/>
    <w:rsid w:val="000E4E59"/>
    <w:rsid w:val="000E4FE5"/>
    <w:rsid w:val="000E5A13"/>
    <w:rsid w:val="000E631F"/>
    <w:rsid w:val="000E6811"/>
    <w:rsid w:val="000E698E"/>
    <w:rsid w:val="000E6AF3"/>
    <w:rsid w:val="000E6F47"/>
    <w:rsid w:val="000E714E"/>
    <w:rsid w:val="000E7503"/>
    <w:rsid w:val="000E7614"/>
    <w:rsid w:val="000E76A1"/>
    <w:rsid w:val="000E7917"/>
    <w:rsid w:val="000E7BD0"/>
    <w:rsid w:val="000E7C55"/>
    <w:rsid w:val="000E7D34"/>
    <w:rsid w:val="000E7DA8"/>
    <w:rsid w:val="000E7EFA"/>
    <w:rsid w:val="000F0E30"/>
    <w:rsid w:val="000F0F00"/>
    <w:rsid w:val="000F0F24"/>
    <w:rsid w:val="000F101D"/>
    <w:rsid w:val="000F11B3"/>
    <w:rsid w:val="000F129A"/>
    <w:rsid w:val="000F1BCA"/>
    <w:rsid w:val="000F226B"/>
    <w:rsid w:val="000F2584"/>
    <w:rsid w:val="000F2714"/>
    <w:rsid w:val="000F29FB"/>
    <w:rsid w:val="000F2BD2"/>
    <w:rsid w:val="000F2C00"/>
    <w:rsid w:val="000F2C69"/>
    <w:rsid w:val="000F3330"/>
    <w:rsid w:val="000F33E1"/>
    <w:rsid w:val="000F36F9"/>
    <w:rsid w:val="000F3768"/>
    <w:rsid w:val="000F37F6"/>
    <w:rsid w:val="000F3899"/>
    <w:rsid w:val="000F38B1"/>
    <w:rsid w:val="000F3F1E"/>
    <w:rsid w:val="000F4256"/>
    <w:rsid w:val="000F42B2"/>
    <w:rsid w:val="000F4351"/>
    <w:rsid w:val="000F4582"/>
    <w:rsid w:val="000F476D"/>
    <w:rsid w:val="000F48F1"/>
    <w:rsid w:val="000F4A77"/>
    <w:rsid w:val="000F605C"/>
    <w:rsid w:val="000F64F3"/>
    <w:rsid w:val="000F6533"/>
    <w:rsid w:val="000F688B"/>
    <w:rsid w:val="000F68A4"/>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ED"/>
    <w:rsid w:val="0010454D"/>
    <w:rsid w:val="0010474F"/>
    <w:rsid w:val="00104865"/>
    <w:rsid w:val="00104A16"/>
    <w:rsid w:val="00104A59"/>
    <w:rsid w:val="00104FCA"/>
    <w:rsid w:val="00105259"/>
    <w:rsid w:val="00105452"/>
    <w:rsid w:val="0010548F"/>
    <w:rsid w:val="00105497"/>
    <w:rsid w:val="001056ED"/>
    <w:rsid w:val="0010584A"/>
    <w:rsid w:val="00105852"/>
    <w:rsid w:val="0010587F"/>
    <w:rsid w:val="00105AB2"/>
    <w:rsid w:val="001063C7"/>
    <w:rsid w:val="001064B3"/>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0E66"/>
    <w:rsid w:val="001115DA"/>
    <w:rsid w:val="0011192F"/>
    <w:rsid w:val="00111A12"/>
    <w:rsid w:val="00111B36"/>
    <w:rsid w:val="00111FE3"/>
    <w:rsid w:val="0011249B"/>
    <w:rsid w:val="001124F0"/>
    <w:rsid w:val="0011266E"/>
    <w:rsid w:val="00112E06"/>
    <w:rsid w:val="00113142"/>
    <w:rsid w:val="001134AF"/>
    <w:rsid w:val="00113610"/>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5D80"/>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CD0"/>
    <w:rsid w:val="00124D01"/>
    <w:rsid w:val="00124D81"/>
    <w:rsid w:val="00124DEE"/>
    <w:rsid w:val="001250B0"/>
    <w:rsid w:val="0012515E"/>
    <w:rsid w:val="0012549C"/>
    <w:rsid w:val="001255BA"/>
    <w:rsid w:val="00125635"/>
    <w:rsid w:val="001259F9"/>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27C78"/>
    <w:rsid w:val="0013025A"/>
    <w:rsid w:val="00130421"/>
    <w:rsid w:val="001305AD"/>
    <w:rsid w:val="00130995"/>
    <w:rsid w:val="00130A54"/>
    <w:rsid w:val="00130C4A"/>
    <w:rsid w:val="00131257"/>
    <w:rsid w:val="00131839"/>
    <w:rsid w:val="00131E9A"/>
    <w:rsid w:val="001321C9"/>
    <w:rsid w:val="00132203"/>
    <w:rsid w:val="001322B6"/>
    <w:rsid w:val="00132700"/>
    <w:rsid w:val="00132AE5"/>
    <w:rsid w:val="00132BCA"/>
    <w:rsid w:val="00132D5E"/>
    <w:rsid w:val="00132DD9"/>
    <w:rsid w:val="00132F46"/>
    <w:rsid w:val="001330FB"/>
    <w:rsid w:val="00133181"/>
    <w:rsid w:val="00133287"/>
    <w:rsid w:val="0013336C"/>
    <w:rsid w:val="001334EE"/>
    <w:rsid w:val="00133879"/>
    <w:rsid w:val="0013390F"/>
    <w:rsid w:val="00133938"/>
    <w:rsid w:val="00133A30"/>
    <w:rsid w:val="00133C95"/>
    <w:rsid w:val="00134284"/>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7B3"/>
    <w:rsid w:val="00135840"/>
    <w:rsid w:val="00135CDC"/>
    <w:rsid w:val="00135E71"/>
    <w:rsid w:val="00136243"/>
    <w:rsid w:val="001363AC"/>
    <w:rsid w:val="001364F4"/>
    <w:rsid w:val="001365F9"/>
    <w:rsid w:val="0013679C"/>
    <w:rsid w:val="00136ACA"/>
    <w:rsid w:val="00136AE5"/>
    <w:rsid w:val="00136E62"/>
    <w:rsid w:val="00136E6A"/>
    <w:rsid w:val="00136E97"/>
    <w:rsid w:val="00136F4D"/>
    <w:rsid w:val="00137169"/>
    <w:rsid w:val="00137442"/>
    <w:rsid w:val="00137652"/>
    <w:rsid w:val="001379C2"/>
    <w:rsid w:val="00137BD3"/>
    <w:rsid w:val="00137CAD"/>
    <w:rsid w:val="00137D8F"/>
    <w:rsid w:val="00137FF2"/>
    <w:rsid w:val="0014005F"/>
    <w:rsid w:val="00140148"/>
    <w:rsid w:val="00140182"/>
    <w:rsid w:val="00140432"/>
    <w:rsid w:val="001404C2"/>
    <w:rsid w:val="00140CD2"/>
    <w:rsid w:val="00140E1A"/>
    <w:rsid w:val="00140F4D"/>
    <w:rsid w:val="0014106B"/>
    <w:rsid w:val="00141170"/>
    <w:rsid w:val="001412C5"/>
    <w:rsid w:val="00141592"/>
    <w:rsid w:val="00141788"/>
    <w:rsid w:val="001417D4"/>
    <w:rsid w:val="00141D26"/>
    <w:rsid w:val="00141D75"/>
    <w:rsid w:val="0014289F"/>
    <w:rsid w:val="00142B0B"/>
    <w:rsid w:val="001430DC"/>
    <w:rsid w:val="0014338E"/>
    <w:rsid w:val="0014360D"/>
    <w:rsid w:val="001437B0"/>
    <w:rsid w:val="00143A0C"/>
    <w:rsid w:val="00143BBC"/>
    <w:rsid w:val="00144480"/>
    <w:rsid w:val="00144578"/>
    <w:rsid w:val="0014485F"/>
    <w:rsid w:val="00144B79"/>
    <w:rsid w:val="00144C0A"/>
    <w:rsid w:val="00144DBE"/>
    <w:rsid w:val="00145A0E"/>
    <w:rsid w:val="00145C07"/>
    <w:rsid w:val="00145EE4"/>
    <w:rsid w:val="00145F4D"/>
    <w:rsid w:val="0014628A"/>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072"/>
    <w:rsid w:val="001541B1"/>
    <w:rsid w:val="001545FC"/>
    <w:rsid w:val="0015477C"/>
    <w:rsid w:val="001547A3"/>
    <w:rsid w:val="00154A61"/>
    <w:rsid w:val="00154B18"/>
    <w:rsid w:val="00154B64"/>
    <w:rsid w:val="00154B92"/>
    <w:rsid w:val="00154F1C"/>
    <w:rsid w:val="00155095"/>
    <w:rsid w:val="001552F2"/>
    <w:rsid w:val="00155585"/>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DC8"/>
    <w:rsid w:val="00162E2E"/>
    <w:rsid w:val="00163073"/>
    <w:rsid w:val="001630F0"/>
    <w:rsid w:val="00163242"/>
    <w:rsid w:val="001632BC"/>
    <w:rsid w:val="0016342D"/>
    <w:rsid w:val="001634DC"/>
    <w:rsid w:val="0016363C"/>
    <w:rsid w:val="00163C0F"/>
    <w:rsid w:val="00163F02"/>
    <w:rsid w:val="001640A8"/>
    <w:rsid w:val="001640AC"/>
    <w:rsid w:val="0016441C"/>
    <w:rsid w:val="00164E14"/>
    <w:rsid w:val="0016504E"/>
    <w:rsid w:val="001659F8"/>
    <w:rsid w:val="00165D57"/>
    <w:rsid w:val="00165E41"/>
    <w:rsid w:val="0016600B"/>
    <w:rsid w:val="0016605D"/>
    <w:rsid w:val="00166479"/>
    <w:rsid w:val="0016658F"/>
    <w:rsid w:val="001666F0"/>
    <w:rsid w:val="00166A04"/>
    <w:rsid w:val="00166DA5"/>
    <w:rsid w:val="00166FF5"/>
    <w:rsid w:val="001670E4"/>
    <w:rsid w:val="00167CD8"/>
    <w:rsid w:val="00167F77"/>
    <w:rsid w:val="001701C0"/>
    <w:rsid w:val="001704B7"/>
    <w:rsid w:val="0017095D"/>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A45"/>
    <w:rsid w:val="00173BFF"/>
    <w:rsid w:val="00173DF2"/>
    <w:rsid w:val="00173E34"/>
    <w:rsid w:val="001741F2"/>
    <w:rsid w:val="00174612"/>
    <w:rsid w:val="00174719"/>
    <w:rsid w:val="0017480E"/>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643"/>
    <w:rsid w:val="001818AB"/>
    <w:rsid w:val="00181EFF"/>
    <w:rsid w:val="00182126"/>
    <w:rsid w:val="0018221C"/>
    <w:rsid w:val="001823AD"/>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CD5"/>
    <w:rsid w:val="00185088"/>
    <w:rsid w:val="00185174"/>
    <w:rsid w:val="0018598D"/>
    <w:rsid w:val="00185BC2"/>
    <w:rsid w:val="00185D58"/>
    <w:rsid w:val="00185D73"/>
    <w:rsid w:val="0018601D"/>
    <w:rsid w:val="00186202"/>
    <w:rsid w:val="00186259"/>
    <w:rsid w:val="00186D74"/>
    <w:rsid w:val="00186DD8"/>
    <w:rsid w:val="00186E82"/>
    <w:rsid w:val="001873B4"/>
    <w:rsid w:val="001878FD"/>
    <w:rsid w:val="00187BC3"/>
    <w:rsid w:val="00190068"/>
    <w:rsid w:val="0019029B"/>
    <w:rsid w:val="00190438"/>
    <w:rsid w:val="00190A05"/>
    <w:rsid w:val="00190FF5"/>
    <w:rsid w:val="0019122F"/>
    <w:rsid w:val="0019172A"/>
    <w:rsid w:val="00191798"/>
    <w:rsid w:val="00191FD1"/>
    <w:rsid w:val="00192295"/>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9C7"/>
    <w:rsid w:val="001A1A9C"/>
    <w:rsid w:val="001A1ABF"/>
    <w:rsid w:val="001A1B4C"/>
    <w:rsid w:val="001A1BE0"/>
    <w:rsid w:val="001A1CF6"/>
    <w:rsid w:val="001A23C1"/>
    <w:rsid w:val="001A3011"/>
    <w:rsid w:val="001A309F"/>
    <w:rsid w:val="001A33DE"/>
    <w:rsid w:val="001A3C1C"/>
    <w:rsid w:val="001A3C55"/>
    <w:rsid w:val="001A3E80"/>
    <w:rsid w:val="001A4339"/>
    <w:rsid w:val="001A43B7"/>
    <w:rsid w:val="001A447C"/>
    <w:rsid w:val="001A4A63"/>
    <w:rsid w:val="001A4DC4"/>
    <w:rsid w:val="001A4FEF"/>
    <w:rsid w:val="001A5156"/>
    <w:rsid w:val="001A5482"/>
    <w:rsid w:val="001A614A"/>
    <w:rsid w:val="001A6537"/>
    <w:rsid w:val="001A6617"/>
    <w:rsid w:val="001A68AB"/>
    <w:rsid w:val="001A6976"/>
    <w:rsid w:val="001A7093"/>
    <w:rsid w:val="001A711D"/>
    <w:rsid w:val="001A7936"/>
    <w:rsid w:val="001A7C7E"/>
    <w:rsid w:val="001B0040"/>
    <w:rsid w:val="001B06A4"/>
    <w:rsid w:val="001B07DC"/>
    <w:rsid w:val="001B081E"/>
    <w:rsid w:val="001B0903"/>
    <w:rsid w:val="001B0A39"/>
    <w:rsid w:val="001B0CB0"/>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B7B89"/>
    <w:rsid w:val="001C006D"/>
    <w:rsid w:val="001C0375"/>
    <w:rsid w:val="001C0799"/>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3D62"/>
    <w:rsid w:val="001C414F"/>
    <w:rsid w:val="001C41E7"/>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BF1"/>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CEC"/>
    <w:rsid w:val="001D3F51"/>
    <w:rsid w:val="001D4041"/>
    <w:rsid w:val="001D40D7"/>
    <w:rsid w:val="001D4212"/>
    <w:rsid w:val="001D43FF"/>
    <w:rsid w:val="001D479B"/>
    <w:rsid w:val="001D49CE"/>
    <w:rsid w:val="001D4D7B"/>
    <w:rsid w:val="001D4DBB"/>
    <w:rsid w:val="001D55C1"/>
    <w:rsid w:val="001D57E1"/>
    <w:rsid w:val="001D67FA"/>
    <w:rsid w:val="001D6B6A"/>
    <w:rsid w:val="001D6DD2"/>
    <w:rsid w:val="001D72FF"/>
    <w:rsid w:val="001D7311"/>
    <w:rsid w:val="001D74B0"/>
    <w:rsid w:val="001D793C"/>
    <w:rsid w:val="001D7A90"/>
    <w:rsid w:val="001E0012"/>
    <w:rsid w:val="001E020D"/>
    <w:rsid w:val="001E04AA"/>
    <w:rsid w:val="001E05D5"/>
    <w:rsid w:val="001E0852"/>
    <w:rsid w:val="001E0CBF"/>
    <w:rsid w:val="001E1036"/>
    <w:rsid w:val="001E13F3"/>
    <w:rsid w:val="001E1405"/>
    <w:rsid w:val="001E1780"/>
    <w:rsid w:val="001E1FE8"/>
    <w:rsid w:val="001E21E4"/>
    <w:rsid w:val="001E2204"/>
    <w:rsid w:val="001E2462"/>
    <w:rsid w:val="001E2469"/>
    <w:rsid w:val="001E250C"/>
    <w:rsid w:val="001E29C3"/>
    <w:rsid w:val="001E2CAE"/>
    <w:rsid w:val="001E2E19"/>
    <w:rsid w:val="001E3168"/>
    <w:rsid w:val="001E3430"/>
    <w:rsid w:val="001E36DE"/>
    <w:rsid w:val="001E37B2"/>
    <w:rsid w:val="001E3968"/>
    <w:rsid w:val="001E3B10"/>
    <w:rsid w:val="001E3CA2"/>
    <w:rsid w:val="001E3DF2"/>
    <w:rsid w:val="001E3E88"/>
    <w:rsid w:val="001E3F8B"/>
    <w:rsid w:val="001E4227"/>
    <w:rsid w:val="001E457D"/>
    <w:rsid w:val="001E45D1"/>
    <w:rsid w:val="001E46D8"/>
    <w:rsid w:val="001E483A"/>
    <w:rsid w:val="001E49CE"/>
    <w:rsid w:val="001E49E7"/>
    <w:rsid w:val="001E4A5F"/>
    <w:rsid w:val="001E4AC2"/>
    <w:rsid w:val="001E5505"/>
    <w:rsid w:val="001E5579"/>
    <w:rsid w:val="001E5C77"/>
    <w:rsid w:val="001E5D17"/>
    <w:rsid w:val="001E5F3D"/>
    <w:rsid w:val="001E6122"/>
    <w:rsid w:val="001E6432"/>
    <w:rsid w:val="001E6D5D"/>
    <w:rsid w:val="001E7076"/>
    <w:rsid w:val="001E70D5"/>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186"/>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4F7"/>
    <w:rsid w:val="002015A8"/>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2CD"/>
    <w:rsid w:val="00204307"/>
    <w:rsid w:val="00204366"/>
    <w:rsid w:val="002045F9"/>
    <w:rsid w:val="00204682"/>
    <w:rsid w:val="00204723"/>
    <w:rsid w:val="002048C2"/>
    <w:rsid w:val="00204C16"/>
    <w:rsid w:val="00204DA6"/>
    <w:rsid w:val="00204EAF"/>
    <w:rsid w:val="00204EC8"/>
    <w:rsid w:val="00204EF4"/>
    <w:rsid w:val="00204F0A"/>
    <w:rsid w:val="00204FDC"/>
    <w:rsid w:val="00205257"/>
    <w:rsid w:val="00205354"/>
    <w:rsid w:val="0020543C"/>
    <w:rsid w:val="00205484"/>
    <w:rsid w:val="00205812"/>
    <w:rsid w:val="00205A6A"/>
    <w:rsid w:val="002062EB"/>
    <w:rsid w:val="002063A8"/>
    <w:rsid w:val="00206591"/>
    <w:rsid w:val="00206623"/>
    <w:rsid w:val="00206659"/>
    <w:rsid w:val="00206A00"/>
    <w:rsid w:val="00206B20"/>
    <w:rsid w:val="00206BAE"/>
    <w:rsid w:val="00206EAD"/>
    <w:rsid w:val="00207097"/>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3E"/>
    <w:rsid w:val="00214F78"/>
    <w:rsid w:val="002152ED"/>
    <w:rsid w:val="0021541E"/>
    <w:rsid w:val="002155FC"/>
    <w:rsid w:val="0021563F"/>
    <w:rsid w:val="0021564B"/>
    <w:rsid w:val="0021573C"/>
    <w:rsid w:val="002157EF"/>
    <w:rsid w:val="0021608C"/>
    <w:rsid w:val="00216252"/>
    <w:rsid w:val="00216518"/>
    <w:rsid w:val="00216D2A"/>
    <w:rsid w:val="00216D9D"/>
    <w:rsid w:val="00217187"/>
    <w:rsid w:val="0021782D"/>
    <w:rsid w:val="00217999"/>
    <w:rsid w:val="00217BFE"/>
    <w:rsid w:val="0022007D"/>
    <w:rsid w:val="0022010C"/>
    <w:rsid w:val="00220131"/>
    <w:rsid w:val="00220549"/>
    <w:rsid w:val="002206A1"/>
    <w:rsid w:val="00220739"/>
    <w:rsid w:val="002207AB"/>
    <w:rsid w:val="00220DF6"/>
    <w:rsid w:val="00221087"/>
    <w:rsid w:val="0022116C"/>
    <w:rsid w:val="002215F0"/>
    <w:rsid w:val="00221633"/>
    <w:rsid w:val="002216F4"/>
    <w:rsid w:val="0022170D"/>
    <w:rsid w:val="00222462"/>
    <w:rsid w:val="002226BF"/>
    <w:rsid w:val="00222936"/>
    <w:rsid w:val="0022299E"/>
    <w:rsid w:val="00223229"/>
    <w:rsid w:val="0022326A"/>
    <w:rsid w:val="00223311"/>
    <w:rsid w:val="0022349A"/>
    <w:rsid w:val="00223553"/>
    <w:rsid w:val="002235C6"/>
    <w:rsid w:val="00223874"/>
    <w:rsid w:val="00223B71"/>
    <w:rsid w:val="00223D57"/>
    <w:rsid w:val="00223DAD"/>
    <w:rsid w:val="0022444A"/>
    <w:rsid w:val="00224F7F"/>
    <w:rsid w:val="0022525E"/>
    <w:rsid w:val="002255B8"/>
    <w:rsid w:val="00225611"/>
    <w:rsid w:val="0022562A"/>
    <w:rsid w:val="0022597E"/>
    <w:rsid w:val="00225B6C"/>
    <w:rsid w:val="002260D9"/>
    <w:rsid w:val="00226111"/>
    <w:rsid w:val="002267AE"/>
    <w:rsid w:val="00226BDC"/>
    <w:rsid w:val="00226C2A"/>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646"/>
    <w:rsid w:val="00240C9A"/>
    <w:rsid w:val="00240CC6"/>
    <w:rsid w:val="00240E27"/>
    <w:rsid w:val="00240FBB"/>
    <w:rsid w:val="0024106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07D"/>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0BB"/>
    <w:rsid w:val="002462D7"/>
    <w:rsid w:val="002462FC"/>
    <w:rsid w:val="002464E5"/>
    <w:rsid w:val="002465D0"/>
    <w:rsid w:val="00246839"/>
    <w:rsid w:val="00246CB7"/>
    <w:rsid w:val="00246D48"/>
    <w:rsid w:val="00246EE4"/>
    <w:rsid w:val="00247069"/>
    <w:rsid w:val="0024744A"/>
    <w:rsid w:val="00247675"/>
    <w:rsid w:val="00247766"/>
    <w:rsid w:val="0024789A"/>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85"/>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5D7F"/>
    <w:rsid w:val="0026609D"/>
    <w:rsid w:val="00266265"/>
    <w:rsid w:val="00266605"/>
    <w:rsid w:val="002667BA"/>
    <w:rsid w:val="00266E07"/>
    <w:rsid w:val="00267342"/>
    <w:rsid w:val="00267435"/>
    <w:rsid w:val="00267509"/>
    <w:rsid w:val="0026763A"/>
    <w:rsid w:val="00267A73"/>
    <w:rsid w:val="00267D1B"/>
    <w:rsid w:val="00267DD9"/>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610"/>
    <w:rsid w:val="00273DCB"/>
    <w:rsid w:val="00273FAF"/>
    <w:rsid w:val="0027408D"/>
    <w:rsid w:val="002743C5"/>
    <w:rsid w:val="00275817"/>
    <w:rsid w:val="002758A5"/>
    <w:rsid w:val="00275A92"/>
    <w:rsid w:val="00275F69"/>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A57"/>
    <w:rsid w:val="00281CA6"/>
    <w:rsid w:val="002822A3"/>
    <w:rsid w:val="00282592"/>
    <w:rsid w:val="002826F6"/>
    <w:rsid w:val="0028280E"/>
    <w:rsid w:val="0028291C"/>
    <w:rsid w:val="0028297C"/>
    <w:rsid w:val="00282A52"/>
    <w:rsid w:val="00282B8C"/>
    <w:rsid w:val="00282BA5"/>
    <w:rsid w:val="00282C9C"/>
    <w:rsid w:val="00282E6D"/>
    <w:rsid w:val="0028307D"/>
    <w:rsid w:val="002832B8"/>
    <w:rsid w:val="00283376"/>
    <w:rsid w:val="002833EA"/>
    <w:rsid w:val="0028349C"/>
    <w:rsid w:val="00283507"/>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B68"/>
    <w:rsid w:val="00286F23"/>
    <w:rsid w:val="00286F41"/>
    <w:rsid w:val="0028778B"/>
    <w:rsid w:val="00290055"/>
    <w:rsid w:val="00290292"/>
    <w:rsid w:val="002903E9"/>
    <w:rsid w:val="002907E8"/>
    <w:rsid w:val="002908CB"/>
    <w:rsid w:val="00290A03"/>
    <w:rsid w:val="00290B88"/>
    <w:rsid w:val="00290D9E"/>
    <w:rsid w:val="0029139F"/>
    <w:rsid w:val="00291911"/>
    <w:rsid w:val="00291A6C"/>
    <w:rsid w:val="00291DCB"/>
    <w:rsid w:val="00292008"/>
    <w:rsid w:val="0029207E"/>
    <w:rsid w:val="0029229A"/>
    <w:rsid w:val="0029257D"/>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28E"/>
    <w:rsid w:val="0029758C"/>
    <w:rsid w:val="00297812"/>
    <w:rsid w:val="0029785C"/>
    <w:rsid w:val="0029793C"/>
    <w:rsid w:val="00297ED3"/>
    <w:rsid w:val="002A02B0"/>
    <w:rsid w:val="002A05D8"/>
    <w:rsid w:val="002A0CCC"/>
    <w:rsid w:val="002A0F05"/>
    <w:rsid w:val="002A1027"/>
    <w:rsid w:val="002A1222"/>
    <w:rsid w:val="002A1315"/>
    <w:rsid w:val="002A13E6"/>
    <w:rsid w:val="002A14E5"/>
    <w:rsid w:val="002A1554"/>
    <w:rsid w:val="002A15A7"/>
    <w:rsid w:val="002A17AA"/>
    <w:rsid w:val="002A17F3"/>
    <w:rsid w:val="002A1C00"/>
    <w:rsid w:val="002A2203"/>
    <w:rsid w:val="002A25B2"/>
    <w:rsid w:val="002A2788"/>
    <w:rsid w:val="002A281B"/>
    <w:rsid w:val="002A297C"/>
    <w:rsid w:val="002A2A36"/>
    <w:rsid w:val="002A2ECE"/>
    <w:rsid w:val="002A30E4"/>
    <w:rsid w:val="002A32A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E4E"/>
    <w:rsid w:val="002A6F5D"/>
    <w:rsid w:val="002A6F8B"/>
    <w:rsid w:val="002A7103"/>
    <w:rsid w:val="002A75B1"/>
    <w:rsid w:val="002A75EA"/>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1F3C"/>
    <w:rsid w:val="002B2167"/>
    <w:rsid w:val="002B216C"/>
    <w:rsid w:val="002B2748"/>
    <w:rsid w:val="002B28FB"/>
    <w:rsid w:val="002B2A9A"/>
    <w:rsid w:val="002B2B2C"/>
    <w:rsid w:val="002B2C1F"/>
    <w:rsid w:val="002B336E"/>
    <w:rsid w:val="002B3931"/>
    <w:rsid w:val="002B396D"/>
    <w:rsid w:val="002B41DC"/>
    <w:rsid w:val="002B42B7"/>
    <w:rsid w:val="002B4CFA"/>
    <w:rsid w:val="002B5142"/>
    <w:rsid w:val="002B581E"/>
    <w:rsid w:val="002B59B8"/>
    <w:rsid w:val="002B5AF5"/>
    <w:rsid w:val="002B5D9D"/>
    <w:rsid w:val="002B5E6A"/>
    <w:rsid w:val="002B6019"/>
    <w:rsid w:val="002B6423"/>
    <w:rsid w:val="002B644C"/>
    <w:rsid w:val="002B67DF"/>
    <w:rsid w:val="002B6922"/>
    <w:rsid w:val="002B6CD7"/>
    <w:rsid w:val="002B6FC6"/>
    <w:rsid w:val="002B71E5"/>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CA2"/>
    <w:rsid w:val="002C6DD3"/>
    <w:rsid w:val="002C71B8"/>
    <w:rsid w:val="002C72BC"/>
    <w:rsid w:val="002C744D"/>
    <w:rsid w:val="002C7571"/>
    <w:rsid w:val="002C7605"/>
    <w:rsid w:val="002C784A"/>
    <w:rsid w:val="002C7EF3"/>
    <w:rsid w:val="002D0137"/>
    <w:rsid w:val="002D01FB"/>
    <w:rsid w:val="002D022C"/>
    <w:rsid w:val="002D0744"/>
    <w:rsid w:val="002D0908"/>
    <w:rsid w:val="002D0A0D"/>
    <w:rsid w:val="002D0D03"/>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92D"/>
    <w:rsid w:val="002D6DAA"/>
    <w:rsid w:val="002D7E52"/>
    <w:rsid w:val="002E00AA"/>
    <w:rsid w:val="002E0133"/>
    <w:rsid w:val="002E06CE"/>
    <w:rsid w:val="002E070B"/>
    <w:rsid w:val="002E07D6"/>
    <w:rsid w:val="002E0986"/>
    <w:rsid w:val="002E0A2D"/>
    <w:rsid w:val="002E0B77"/>
    <w:rsid w:val="002E0BDA"/>
    <w:rsid w:val="002E0CEE"/>
    <w:rsid w:val="002E0EAB"/>
    <w:rsid w:val="002E0FD6"/>
    <w:rsid w:val="002E112D"/>
    <w:rsid w:val="002E164D"/>
    <w:rsid w:val="002E16E5"/>
    <w:rsid w:val="002E16FB"/>
    <w:rsid w:val="002E1766"/>
    <w:rsid w:val="002E1DED"/>
    <w:rsid w:val="002E1FC1"/>
    <w:rsid w:val="002E253C"/>
    <w:rsid w:val="002E258C"/>
    <w:rsid w:val="002E2A2C"/>
    <w:rsid w:val="002E2D22"/>
    <w:rsid w:val="002E379A"/>
    <w:rsid w:val="002E37F1"/>
    <w:rsid w:val="002E3868"/>
    <w:rsid w:val="002E38E3"/>
    <w:rsid w:val="002E4117"/>
    <w:rsid w:val="002E4400"/>
    <w:rsid w:val="002E4502"/>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202C"/>
    <w:rsid w:val="002F21D5"/>
    <w:rsid w:val="002F25EC"/>
    <w:rsid w:val="002F278C"/>
    <w:rsid w:val="002F281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B99"/>
    <w:rsid w:val="002F4C17"/>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AFC"/>
    <w:rsid w:val="00302E86"/>
    <w:rsid w:val="00302EE3"/>
    <w:rsid w:val="003031AE"/>
    <w:rsid w:val="003032D8"/>
    <w:rsid w:val="00303912"/>
    <w:rsid w:val="0030397E"/>
    <w:rsid w:val="00303997"/>
    <w:rsid w:val="00303ACC"/>
    <w:rsid w:val="00303B25"/>
    <w:rsid w:val="00303DFC"/>
    <w:rsid w:val="00303F4A"/>
    <w:rsid w:val="00303F6F"/>
    <w:rsid w:val="003041C9"/>
    <w:rsid w:val="003043F8"/>
    <w:rsid w:val="00304CBB"/>
    <w:rsid w:val="00304D0C"/>
    <w:rsid w:val="0030513E"/>
    <w:rsid w:val="0030523C"/>
    <w:rsid w:val="00305641"/>
    <w:rsid w:val="00305AD7"/>
    <w:rsid w:val="00305C04"/>
    <w:rsid w:val="00305D9C"/>
    <w:rsid w:val="0030605C"/>
    <w:rsid w:val="00306378"/>
    <w:rsid w:val="003067BD"/>
    <w:rsid w:val="00306B9D"/>
    <w:rsid w:val="00306D78"/>
    <w:rsid w:val="00306E33"/>
    <w:rsid w:val="0030734E"/>
    <w:rsid w:val="003078AF"/>
    <w:rsid w:val="00307E8D"/>
    <w:rsid w:val="003101B1"/>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71F"/>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2E"/>
    <w:rsid w:val="00315AA2"/>
    <w:rsid w:val="00315E06"/>
    <w:rsid w:val="00316030"/>
    <w:rsid w:val="00316A57"/>
    <w:rsid w:val="00316F85"/>
    <w:rsid w:val="0031709A"/>
    <w:rsid w:val="0031735D"/>
    <w:rsid w:val="003173FC"/>
    <w:rsid w:val="003174FB"/>
    <w:rsid w:val="00317710"/>
    <w:rsid w:val="00317815"/>
    <w:rsid w:val="00317982"/>
    <w:rsid w:val="00317CDF"/>
    <w:rsid w:val="003204A1"/>
    <w:rsid w:val="003207C5"/>
    <w:rsid w:val="003208CE"/>
    <w:rsid w:val="00320A3E"/>
    <w:rsid w:val="00320C2D"/>
    <w:rsid w:val="00321028"/>
    <w:rsid w:val="00321061"/>
    <w:rsid w:val="003210B5"/>
    <w:rsid w:val="0032191A"/>
    <w:rsid w:val="00321991"/>
    <w:rsid w:val="00321A72"/>
    <w:rsid w:val="00321DAB"/>
    <w:rsid w:val="00321E42"/>
    <w:rsid w:val="00321FC9"/>
    <w:rsid w:val="00322323"/>
    <w:rsid w:val="00322496"/>
    <w:rsid w:val="003227A2"/>
    <w:rsid w:val="00322AF4"/>
    <w:rsid w:val="00322DA8"/>
    <w:rsid w:val="0032376B"/>
    <w:rsid w:val="00323A39"/>
    <w:rsid w:val="00323CF1"/>
    <w:rsid w:val="00323F5F"/>
    <w:rsid w:val="00323F90"/>
    <w:rsid w:val="0032434D"/>
    <w:rsid w:val="003243B5"/>
    <w:rsid w:val="003244DB"/>
    <w:rsid w:val="00324633"/>
    <w:rsid w:val="003249E4"/>
    <w:rsid w:val="00324D5E"/>
    <w:rsid w:val="003250AB"/>
    <w:rsid w:val="003254A9"/>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18B4"/>
    <w:rsid w:val="003321FA"/>
    <w:rsid w:val="003323DB"/>
    <w:rsid w:val="00332422"/>
    <w:rsid w:val="00332D84"/>
    <w:rsid w:val="003331B9"/>
    <w:rsid w:val="0033332D"/>
    <w:rsid w:val="00333418"/>
    <w:rsid w:val="00333880"/>
    <w:rsid w:val="003339D9"/>
    <w:rsid w:val="00333F22"/>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7B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D2D"/>
    <w:rsid w:val="00347E46"/>
    <w:rsid w:val="00347E5D"/>
    <w:rsid w:val="00350073"/>
    <w:rsid w:val="003501AB"/>
    <w:rsid w:val="00350534"/>
    <w:rsid w:val="003506BE"/>
    <w:rsid w:val="00350C40"/>
    <w:rsid w:val="00350E9E"/>
    <w:rsid w:val="00350F79"/>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39B"/>
    <w:rsid w:val="00353517"/>
    <w:rsid w:val="0035366C"/>
    <w:rsid w:val="00353C8C"/>
    <w:rsid w:val="0035465E"/>
    <w:rsid w:val="0035470D"/>
    <w:rsid w:val="00354790"/>
    <w:rsid w:val="0035497E"/>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6B1"/>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3079"/>
    <w:rsid w:val="0036317B"/>
    <w:rsid w:val="0036329C"/>
    <w:rsid w:val="003634A8"/>
    <w:rsid w:val="00363BCF"/>
    <w:rsid w:val="00363C44"/>
    <w:rsid w:val="00363CB8"/>
    <w:rsid w:val="00363DD9"/>
    <w:rsid w:val="00363F52"/>
    <w:rsid w:val="0036416B"/>
    <w:rsid w:val="003641E8"/>
    <w:rsid w:val="0036426E"/>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6784A"/>
    <w:rsid w:val="0037024F"/>
    <w:rsid w:val="00370A87"/>
    <w:rsid w:val="00370B1D"/>
    <w:rsid w:val="00370DBC"/>
    <w:rsid w:val="00370EBA"/>
    <w:rsid w:val="003711BC"/>
    <w:rsid w:val="003717DF"/>
    <w:rsid w:val="00371955"/>
    <w:rsid w:val="003719E6"/>
    <w:rsid w:val="00371C99"/>
    <w:rsid w:val="00371FFD"/>
    <w:rsid w:val="003724E0"/>
    <w:rsid w:val="00372AB3"/>
    <w:rsid w:val="00373371"/>
    <w:rsid w:val="00373477"/>
    <w:rsid w:val="003736E1"/>
    <w:rsid w:val="00374013"/>
    <w:rsid w:val="00374196"/>
    <w:rsid w:val="00374461"/>
    <w:rsid w:val="00374467"/>
    <w:rsid w:val="00374B86"/>
    <w:rsid w:val="00374C7B"/>
    <w:rsid w:val="00374CE1"/>
    <w:rsid w:val="00374D2A"/>
    <w:rsid w:val="00374DFD"/>
    <w:rsid w:val="00374EDB"/>
    <w:rsid w:val="00375144"/>
    <w:rsid w:val="003754B5"/>
    <w:rsid w:val="003755A7"/>
    <w:rsid w:val="00375953"/>
    <w:rsid w:val="00375B55"/>
    <w:rsid w:val="00375CCC"/>
    <w:rsid w:val="003761C7"/>
    <w:rsid w:val="0037671D"/>
    <w:rsid w:val="00376957"/>
    <w:rsid w:val="00376C2C"/>
    <w:rsid w:val="00376C2D"/>
    <w:rsid w:val="00376C4A"/>
    <w:rsid w:val="00376C4F"/>
    <w:rsid w:val="00376EDC"/>
    <w:rsid w:val="003776C3"/>
    <w:rsid w:val="00377B07"/>
    <w:rsid w:val="00377BE3"/>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D39"/>
    <w:rsid w:val="00382F66"/>
    <w:rsid w:val="00382F7F"/>
    <w:rsid w:val="00383005"/>
    <w:rsid w:val="0038300E"/>
    <w:rsid w:val="003830C6"/>
    <w:rsid w:val="00383421"/>
    <w:rsid w:val="00383865"/>
    <w:rsid w:val="00383E16"/>
    <w:rsid w:val="00383EDF"/>
    <w:rsid w:val="003847E7"/>
    <w:rsid w:val="00384882"/>
    <w:rsid w:val="00384A77"/>
    <w:rsid w:val="00384AEA"/>
    <w:rsid w:val="00384DB9"/>
    <w:rsid w:val="00384E7F"/>
    <w:rsid w:val="00385013"/>
    <w:rsid w:val="003853A9"/>
    <w:rsid w:val="00385A65"/>
    <w:rsid w:val="00385F12"/>
    <w:rsid w:val="00385FA7"/>
    <w:rsid w:val="003864C8"/>
    <w:rsid w:val="00386634"/>
    <w:rsid w:val="0038690B"/>
    <w:rsid w:val="0038698C"/>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408"/>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D01"/>
    <w:rsid w:val="00396DD4"/>
    <w:rsid w:val="00397186"/>
    <w:rsid w:val="0039771B"/>
    <w:rsid w:val="003977A3"/>
    <w:rsid w:val="003978C5"/>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50C7"/>
    <w:rsid w:val="003A50D5"/>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8A1"/>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1E0D"/>
    <w:rsid w:val="003C29C0"/>
    <w:rsid w:val="003C2B72"/>
    <w:rsid w:val="003C2E24"/>
    <w:rsid w:val="003C2E9B"/>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87"/>
    <w:rsid w:val="003D2643"/>
    <w:rsid w:val="003D26B1"/>
    <w:rsid w:val="003D28BE"/>
    <w:rsid w:val="003D2CC6"/>
    <w:rsid w:val="003D30DB"/>
    <w:rsid w:val="003D312F"/>
    <w:rsid w:val="003D31DC"/>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D7BDA"/>
    <w:rsid w:val="003E0073"/>
    <w:rsid w:val="003E0453"/>
    <w:rsid w:val="003E0947"/>
    <w:rsid w:val="003E0A4E"/>
    <w:rsid w:val="003E1216"/>
    <w:rsid w:val="003E137C"/>
    <w:rsid w:val="003E1380"/>
    <w:rsid w:val="003E147D"/>
    <w:rsid w:val="003E15E5"/>
    <w:rsid w:val="003E1A40"/>
    <w:rsid w:val="003E1AD6"/>
    <w:rsid w:val="003E1CB0"/>
    <w:rsid w:val="003E1CF4"/>
    <w:rsid w:val="003E1E39"/>
    <w:rsid w:val="003E1E85"/>
    <w:rsid w:val="003E208F"/>
    <w:rsid w:val="003E2190"/>
    <w:rsid w:val="003E2641"/>
    <w:rsid w:val="003E2BA3"/>
    <w:rsid w:val="003E2D4B"/>
    <w:rsid w:val="003E30F0"/>
    <w:rsid w:val="003E3169"/>
    <w:rsid w:val="003E3668"/>
    <w:rsid w:val="003E382E"/>
    <w:rsid w:val="003E3929"/>
    <w:rsid w:val="003E3BFB"/>
    <w:rsid w:val="003E3CCF"/>
    <w:rsid w:val="003E3D8C"/>
    <w:rsid w:val="003E3E03"/>
    <w:rsid w:val="003E424F"/>
    <w:rsid w:val="003E4267"/>
    <w:rsid w:val="003E43BB"/>
    <w:rsid w:val="003E44E7"/>
    <w:rsid w:val="003E451F"/>
    <w:rsid w:val="003E4C2D"/>
    <w:rsid w:val="003E4E84"/>
    <w:rsid w:val="003E51D3"/>
    <w:rsid w:val="003E524A"/>
    <w:rsid w:val="003E53D9"/>
    <w:rsid w:val="003E5425"/>
    <w:rsid w:val="003E54B9"/>
    <w:rsid w:val="003E5DDB"/>
    <w:rsid w:val="003E65BF"/>
    <w:rsid w:val="003E6DA1"/>
    <w:rsid w:val="003E6F76"/>
    <w:rsid w:val="003E705C"/>
    <w:rsid w:val="003E74B7"/>
    <w:rsid w:val="003E79A3"/>
    <w:rsid w:val="003E7AAD"/>
    <w:rsid w:val="003E7BC6"/>
    <w:rsid w:val="003F019A"/>
    <w:rsid w:val="003F0294"/>
    <w:rsid w:val="003F0336"/>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2F42"/>
    <w:rsid w:val="003F33B2"/>
    <w:rsid w:val="003F3A5C"/>
    <w:rsid w:val="003F3BD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E9D"/>
    <w:rsid w:val="003F7FE1"/>
    <w:rsid w:val="00400081"/>
    <w:rsid w:val="0040014D"/>
    <w:rsid w:val="004001A2"/>
    <w:rsid w:val="004002E2"/>
    <w:rsid w:val="0040055D"/>
    <w:rsid w:val="004006E8"/>
    <w:rsid w:val="004007AB"/>
    <w:rsid w:val="00400B36"/>
    <w:rsid w:val="00400B86"/>
    <w:rsid w:val="00400C34"/>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5D5A"/>
    <w:rsid w:val="004062D3"/>
    <w:rsid w:val="004063F2"/>
    <w:rsid w:val="004068D4"/>
    <w:rsid w:val="00406CD4"/>
    <w:rsid w:val="00407226"/>
    <w:rsid w:val="0040728C"/>
    <w:rsid w:val="00407302"/>
    <w:rsid w:val="00407629"/>
    <w:rsid w:val="00407ABE"/>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560"/>
    <w:rsid w:val="004117BE"/>
    <w:rsid w:val="00411BE5"/>
    <w:rsid w:val="00411CD5"/>
    <w:rsid w:val="00411FC3"/>
    <w:rsid w:val="00411FE7"/>
    <w:rsid w:val="004123F4"/>
    <w:rsid w:val="004126E9"/>
    <w:rsid w:val="004128B1"/>
    <w:rsid w:val="00412C11"/>
    <w:rsid w:val="004133BF"/>
    <w:rsid w:val="00413815"/>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2F6"/>
    <w:rsid w:val="0042082C"/>
    <w:rsid w:val="00420961"/>
    <w:rsid w:val="00420BD2"/>
    <w:rsid w:val="00420DFA"/>
    <w:rsid w:val="00420FEA"/>
    <w:rsid w:val="0042115D"/>
    <w:rsid w:val="004211DA"/>
    <w:rsid w:val="004218F0"/>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6AF"/>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4A"/>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1CF"/>
    <w:rsid w:val="004342E2"/>
    <w:rsid w:val="004346C0"/>
    <w:rsid w:val="00434CBC"/>
    <w:rsid w:val="00435045"/>
    <w:rsid w:val="00435537"/>
    <w:rsid w:val="00435C3D"/>
    <w:rsid w:val="00435CCC"/>
    <w:rsid w:val="004364B6"/>
    <w:rsid w:val="004365EB"/>
    <w:rsid w:val="004366D6"/>
    <w:rsid w:val="004367EB"/>
    <w:rsid w:val="00436CB8"/>
    <w:rsid w:val="004371C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DC8"/>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40A"/>
    <w:rsid w:val="00446509"/>
    <w:rsid w:val="004466E3"/>
    <w:rsid w:val="00446A1A"/>
    <w:rsid w:val="00446A28"/>
    <w:rsid w:val="00446A4A"/>
    <w:rsid w:val="00446AD6"/>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1C11"/>
    <w:rsid w:val="00451FC0"/>
    <w:rsid w:val="0045217B"/>
    <w:rsid w:val="004522B2"/>
    <w:rsid w:val="004523B1"/>
    <w:rsid w:val="00452677"/>
    <w:rsid w:val="00452886"/>
    <w:rsid w:val="004528E3"/>
    <w:rsid w:val="00452C0A"/>
    <w:rsid w:val="00453384"/>
    <w:rsid w:val="0045354D"/>
    <w:rsid w:val="004535A6"/>
    <w:rsid w:val="0045402C"/>
    <w:rsid w:val="004541B3"/>
    <w:rsid w:val="004541B8"/>
    <w:rsid w:val="0045487C"/>
    <w:rsid w:val="004554D5"/>
    <w:rsid w:val="0045573B"/>
    <w:rsid w:val="00455925"/>
    <w:rsid w:val="00455990"/>
    <w:rsid w:val="00455C09"/>
    <w:rsid w:val="0045601C"/>
    <w:rsid w:val="004567ED"/>
    <w:rsid w:val="00456A74"/>
    <w:rsid w:val="00456BFC"/>
    <w:rsid w:val="00457672"/>
    <w:rsid w:val="0045794E"/>
    <w:rsid w:val="00457CE6"/>
    <w:rsid w:val="00457D12"/>
    <w:rsid w:val="00457E66"/>
    <w:rsid w:val="00457E78"/>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56"/>
    <w:rsid w:val="004634A4"/>
    <w:rsid w:val="00463534"/>
    <w:rsid w:val="00463870"/>
    <w:rsid w:val="00463E58"/>
    <w:rsid w:val="00464601"/>
    <w:rsid w:val="004649AB"/>
    <w:rsid w:val="00464D1E"/>
    <w:rsid w:val="00464E9F"/>
    <w:rsid w:val="0046547E"/>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35D"/>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ED6"/>
    <w:rsid w:val="00475F22"/>
    <w:rsid w:val="004762F5"/>
    <w:rsid w:val="0047676F"/>
    <w:rsid w:val="004768CD"/>
    <w:rsid w:val="00476BD6"/>
    <w:rsid w:val="00476D92"/>
    <w:rsid w:val="004771B9"/>
    <w:rsid w:val="004778FB"/>
    <w:rsid w:val="00477ECC"/>
    <w:rsid w:val="004800BF"/>
    <w:rsid w:val="0048015E"/>
    <w:rsid w:val="00480191"/>
    <w:rsid w:val="004802DA"/>
    <w:rsid w:val="00480767"/>
    <w:rsid w:val="004807C4"/>
    <w:rsid w:val="004809A0"/>
    <w:rsid w:val="00480F0B"/>
    <w:rsid w:val="00481173"/>
    <w:rsid w:val="0048146B"/>
    <w:rsid w:val="004814EB"/>
    <w:rsid w:val="004815BC"/>
    <w:rsid w:val="004816CB"/>
    <w:rsid w:val="004819DD"/>
    <w:rsid w:val="00481E24"/>
    <w:rsid w:val="004825E6"/>
    <w:rsid w:val="00482804"/>
    <w:rsid w:val="004829F7"/>
    <w:rsid w:val="00482B28"/>
    <w:rsid w:val="00482D95"/>
    <w:rsid w:val="00483229"/>
    <w:rsid w:val="00483348"/>
    <w:rsid w:val="004834D9"/>
    <w:rsid w:val="004834E5"/>
    <w:rsid w:val="004836D2"/>
    <w:rsid w:val="004838EF"/>
    <w:rsid w:val="00483F9B"/>
    <w:rsid w:val="004843D0"/>
    <w:rsid w:val="0048459B"/>
    <w:rsid w:val="004845A8"/>
    <w:rsid w:val="004845EB"/>
    <w:rsid w:val="00484750"/>
    <w:rsid w:val="004848D5"/>
    <w:rsid w:val="00484C20"/>
    <w:rsid w:val="00484E8D"/>
    <w:rsid w:val="00484F08"/>
    <w:rsid w:val="00485022"/>
    <w:rsid w:val="00485131"/>
    <w:rsid w:val="0048521D"/>
    <w:rsid w:val="004853CB"/>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0C6A"/>
    <w:rsid w:val="004910AC"/>
    <w:rsid w:val="004912A5"/>
    <w:rsid w:val="00491321"/>
    <w:rsid w:val="004914C9"/>
    <w:rsid w:val="004918D3"/>
    <w:rsid w:val="00491B58"/>
    <w:rsid w:val="00491C0E"/>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1A93"/>
    <w:rsid w:val="004A208E"/>
    <w:rsid w:val="004A225B"/>
    <w:rsid w:val="004A238E"/>
    <w:rsid w:val="004A2535"/>
    <w:rsid w:val="004A2542"/>
    <w:rsid w:val="004A25B1"/>
    <w:rsid w:val="004A2613"/>
    <w:rsid w:val="004A2710"/>
    <w:rsid w:val="004A2951"/>
    <w:rsid w:val="004A2955"/>
    <w:rsid w:val="004A2FCB"/>
    <w:rsid w:val="004A30D2"/>
    <w:rsid w:val="004A3487"/>
    <w:rsid w:val="004A352F"/>
    <w:rsid w:val="004A3701"/>
    <w:rsid w:val="004A3D3C"/>
    <w:rsid w:val="004A3F0F"/>
    <w:rsid w:val="004A40D2"/>
    <w:rsid w:val="004A40E2"/>
    <w:rsid w:val="004A4111"/>
    <w:rsid w:val="004A4332"/>
    <w:rsid w:val="004A4361"/>
    <w:rsid w:val="004A43FA"/>
    <w:rsid w:val="004A4451"/>
    <w:rsid w:val="004A4D8D"/>
    <w:rsid w:val="004A4DD3"/>
    <w:rsid w:val="004A4FBA"/>
    <w:rsid w:val="004A4FD7"/>
    <w:rsid w:val="004A50BB"/>
    <w:rsid w:val="004A5999"/>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247"/>
    <w:rsid w:val="004B171C"/>
    <w:rsid w:val="004B1B53"/>
    <w:rsid w:val="004B1DAB"/>
    <w:rsid w:val="004B1FE7"/>
    <w:rsid w:val="004B2602"/>
    <w:rsid w:val="004B2746"/>
    <w:rsid w:val="004B28E9"/>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8DF"/>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A5"/>
    <w:rsid w:val="004C0779"/>
    <w:rsid w:val="004C086C"/>
    <w:rsid w:val="004C0B41"/>
    <w:rsid w:val="004C0DC3"/>
    <w:rsid w:val="004C0E56"/>
    <w:rsid w:val="004C159A"/>
    <w:rsid w:val="004C1793"/>
    <w:rsid w:val="004C17C2"/>
    <w:rsid w:val="004C193D"/>
    <w:rsid w:val="004C1BCA"/>
    <w:rsid w:val="004C1E17"/>
    <w:rsid w:val="004C2259"/>
    <w:rsid w:val="004C2335"/>
    <w:rsid w:val="004C233E"/>
    <w:rsid w:val="004C260C"/>
    <w:rsid w:val="004C2B5A"/>
    <w:rsid w:val="004C2BF2"/>
    <w:rsid w:val="004C2C6D"/>
    <w:rsid w:val="004C2C6F"/>
    <w:rsid w:val="004C309D"/>
    <w:rsid w:val="004C3190"/>
    <w:rsid w:val="004C3426"/>
    <w:rsid w:val="004C35F7"/>
    <w:rsid w:val="004C3F70"/>
    <w:rsid w:val="004C40C5"/>
    <w:rsid w:val="004C43FD"/>
    <w:rsid w:val="004C4566"/>
    <w:rsid w:val="004C4B13"/>
    <w:rsid w:val="004C4C7E"/>
    <w:rsid w:val="004C4E56"/>
    <w:rsid w:val="004C4E85"/>
    <w:rsid w:val="004C51CB"/>
    <w:rsid w:val="004C537A"/>
    <w:rsid w:val="004C5419"/>
    <w:rsid w:val="004C54F5"/>
    <w:rsid w:val="004C5776"/>
    <w:rsid w:val="004C59B0"/>
    <w:rsid w:val="004C5CEF"/>
    <w:rsid w:val="004C5DC8"/>
    <w:rsid w:val="004C614E"/>
    <w:rsid w:val="004C6301"/>
    <w:rsid w:val="004C7217"/>
    <w:rsid w:val="004C7369"/>
    <w:rsid w:val="004C7620"/>
    <w:rsid w:val="004C7908"/>
    <w:rsid w:val="004C7AA3"/>
    <w:rsid w:val="004C7BD9"/>
    <w:rsid w:val="004D0159"/>
    <w:rsid w:val="004D0500"/>
    <w:rsid w:val="004D0524"/>
    <w:rsid w:val="004D053D"/>
    <w:rsid w:val="004D062D"/>
    <w:rsid w:val="004D08F1"/>
    <w:rsid w:val="004D0A4A"/>
    <w:rsid w:val="004D0A75"/>
    <w:rsid w:val="004D0EDA"/>
    <w:rsid w:val="004D0F30"/>
    <w:rsid w:val="004D10F8"/>
    <w:rsid w:val="004D116B"/>
    <w:rsid w:val="004D12F5"/>
    <w:rsid w:val="004D12FA"/>
    <w:rsid w:val="004D1451"/>
    <w:rsid w:val="004D1454"/>
    <w:rsid w:val="004D1698"/>
    <w:rsid w:val="004D1A09"/>
    <w:rsid w:val="004D2005"/>
    <w:rsid w:val="004D231A"/>
    <w:rsid w:val="004D2A8F"/>
    <w:rsid w:val="004D2DFF"/>
    <w:rsid w:val="004D2F70"/>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646"/>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26B"/>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F014F"/>
    <w:rsid w:val="004F0392"/>
    <w:rsid w:val="004F04BD"/>
    <w:rsid w:val="004F0B46"/>
    <w:rsid w:val="004F0C84"/>
    <w:rsid w:val="004F0CAD"/>
    <w:rsid w:val="004F0DD4"/>
    <w:rsid w:val="004F0E48"/>
    <w:rsid w:val="004F1302"/>
    <w:rsid w:val="004F15D1"/>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D2E"/>
    <w:rsid w:val="004F4F21"/>
    <w:rsid w:val="004F4F23"/>
    <w:rsid w:val="004F52C0"/>
    <w:rsid w:val="004F572F"/>
    <w:rsid w:val="004F57F8"/>
    <w:rsid w:val="004F59B2"/>
    <w:rsid w:val="004F5A08"/>
    <w:rsid w:val="004F5C0C"/>
    <w:rsid w:val="004F5C12"/>
    <w:rsid w:val="004F5C70"/>
    <w:rsid w:val="004F5DB6"/>
    <w:rsid w:val="004F5E34"/>
    <w:rsid w:val="004F602E"/>
    <w:rsid w:val="004F60D4"/>
    <w:rsid w:val="004F636D"/>
    <w:rsid w:val="004F64C0"/>
    <w:rsid w:val="004F6524"/>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C2"/>
    <w:rsid w:val="00501BEF"/>
    <w:rsid w:val="00502240"/>
    <w:rsid w:val="00502E10"/>
    <w:rsid w:val="00502F61"/>
    <w:rsid w:val="00503373"/>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0F6"/>
    <w:rsid w:val="00506280"/>
    <w:rsid w:val="005065A3"/>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BA4"/>
    <w:rsid w:val="00511C9B"/>
    <w:rsid w:val="00511E3A"/>
    <w:rsid w:val="00512007"/>
    <w:rsid w:val="005120A2"/>
    <w:rsid w:val="0051210E"/>
    <w:rsid w:val="00512470"/>
    <w:rsid w:val="00512668"/>
    <w:rsid w:val="005126CC"/>
    <w:rsid w:val="005129BA"/>
    <w:rsid w:val="00512B7E"/>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5C"/>
    <w:rsid w:val="00516BC3"/>
    <w:rsid w:val="00516D1B"/>
    <w:rsid w:val="00516EAB"/>
    <w:rsid w:val="00516EEC"/>
    <w:rsid w:val="00517225"/>
    <w:rsid w:val="005174A3"/>
    <w:rsid w:val="005178FE"/>
    <w:rsid w:val="00517A35"/>
    <w:rsid w:val="00517F8F"/>
    <w:rsid w:val="00517FA3"/>
    <w:rsid w:val="00520095"/>
    <w:rsid w:val="00520678"/>
    <w:rsid w:val="00520726"/>
    <w:rsid w:val="00520978"/>
    <w:rsid w:val="00520B6D"/>
    <w:rsid w:val="00520D97"/>
    <w:rsid w:val="00520E00"/>
    <w:rsid w:val="005210FB"/>
    <w:rsid w:val="00521796"/>
    <w:rsid w:val="0052189E"/>
    <w:rsid w:val="00521CE1"/>
    <w:rsid w:val="00521F90"/>
    <w:rsid w:val="00522350"/>
    <w:rsid w:val="00522566"/>
    <w:rsid w:val="00522657"/>
    <w:rsid w:val="005226AE"/>
    <w:rsid w:val="00522BC8"/>
    <w:rsid w:val="005232E9"/>
    <w:rsid w:val="00523375"/>
    <w:rsid w:val="0052339B"/>
    <w:rsid w:val="00523617"/>
    <w:rsid w:val="005239D6"/>
    <w:rsid w:val="00523BEF"/>
    <w:rsid w:val="00523C13"/>
    <w:rsid w:val="00523CF9"/>
    <w:rsid w:val="005241AB"/>
    <w:rsid w:val="00524745"/>
    <w:rsid w:val="0052493B"/>
    <w:rsid w:val="005249F5"/>
    <w:rsid w:val="00524BFD"/>
    <w:rsid w:val="00524E49"/>
    <w:rsid w:val="0052535D"/>
    <w:rsid w:val="005254B4"/>
    <w:rsid w:val="0052577D"/>
    <w:rsid w:val="00525941"/>
    <w:rsid w:val="005259E4"/>
    <w:rsid w:val="005259E6"/>
    <w:rsid w:val="00526208"/>
    <w:rsid w:val="0052635A"/>
    <w:rsid w:val="0052665E"/>
    <w:rsid w:val="005270F8"/>
    <w:rsid w:val="00527C5E"/>
    <w:rsid w:val="00527EE8"/>
    <w:rsid w:val="00527F15"/>
    <w:rsid w:val="00530011"/>
    <w:rsid w:val="005303DB"/>
    <w:rsid w:val="005304DD"/>
    <w:rsid w:val="0053071C"/>
    <w:rsid w:val="00530BE8"/>
    <w:rsid w:val="00530F4A"/>
    <w:rsid w:val="005310AA"/>
    <w:rsid w:val="005311B1"/>
    <w:rsid w:val="005312C1"/>
    <w:rsid w:val="005316F4"/>
    <w:rsid w:val="00531793"/>
    <w:rsid w:val="0053190B"/>
    <w:rsid w:val="00531CEF"/>
    <w:rsid w:val="00531DB5"/>
    <w:rsid w:val="00532127"/>
    <w:rsid w:val="005322FC"/>
    <w:rsid w:val="00532376"/>
    <w:rsid w:val="0053266A"/>
    <w:rsid w:val="0053288F"/>
    <w:rsid w:val="005328B3"/>
    <w:rsid w:val="00532B0C"/>
    <w:rsid w:val="00532F80"/>
    <w:rsid w:val="00533025"/>
    <w:rsid w:val="00533186"/>
    <w:rsid w:val="00533262"/>
    <w:rsid w:val="0053330B"/>
    <w:rsid w:val="005336EB"/>
    <w:rsid w:val="00533891"/>
    <w:rsid w:val="00533A1E"/>
    <w:rsid w:val="00534786"/>
    <w:rsid w:val="00534D18"/>
    <w:rsid w:val="00535864"/>
    <w:rsid w:val="0053598F"/>
    <w:rsid w:val="0053600F"/>
    <w:rsid w:val="00536292"/>
    <w:rsid w:val="00536B5C"/>
    <w:rsid w:val="00536F47"/>
    <w:rsid w:val="00536FD6"/>
    <w:rsid w:val="0053726A"/>
    <w:rsid w:val="005374F4"/>
    <w:rsid w:val="00537662"/>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A51"/>
    <w:rsid w:val="00542C97"/>
    <w:rsid w:val="00542DDD"/>
    <w:rsid w:val="00542DFE"/>
    <w:rsid w:val="00542E3A"/>
    <w:rsid w:val="0054307C"/>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A4D"/>
    <w:rsid w:val="00545C73"/>
    <w:rsid w:val="00546389"/>
    <w:rsid w:val="00546560"/>
    <w:rsid w:val="0054685C"/>
    <w:rsid w:val="00546F75"/>
    <w:rsid w:val="005471D9"/>
    <w:rsid w:val="00547442"/>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242"/>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9DB"/>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E86"/>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3FF"/>
    <w:rsid w:val="0056754D"/>
    <w:rsid w:val="005676A8"/>
    <w:rsid w:val="00567B37"/>
    <w:rsid w:val="00567EE8"/>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8B"/>
    <w:rsid w:val="00571D9E"/>
    <w:rsid w:val="0057211F"/>
    <w:rsid w:val="0057221F"/>
    <w:rsid w:val="00572A7F"/>
    <w:rsid w:val="00572B0E"/>
    <w:rsid w:val="00572E80"/>
    <w:rsid w:val="00572F78"/>
    <w:rsid w:val="00572FCB"/>
    <w:rsid w:val="0057360B"/>
    <w:rsid w:val="00573997"/>
    <w:rsid w:val="00573A5B"/>
    <w:rsid w:val="00573DDE"/>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6F17"/>
    <w:rsid w:val="00577110"/>
    <w:rsid w:val="0057727E"/>
    <w:rsid w:val="0057736E"/>
    <w:rsid w:val="00577560"/>
    <w:rsid w:val="00577736"/>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36D"/>
    <w:rsid w:val="00585C22"/>
    <w:rsid w:val="00585EC9"/>
    <w:rsid w:val="00585F2C"/>
    <w:rsid w:val="00586142"/>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36"/>
    <w:rsid w:val="00595770"/>
    <w:rsid w:val="00595855"/>
    <w:rsid w:val="00595FD2"/>
    <w:rsid w:val="005965D9"/>
    <w:rsid w:val="005967D8"/>
    <w:rsid w:val="005968B1"/>
    <w:rsid w:val="00596AF9"/>
    <w:rsid w:val="00596EDF"/>
    <w:rsid w:val="00596FDB"/>
    <w:rsid w:val="00597046"/>
    <w:rsid w:val="005974C2"/>
    <w:rsid w:val="00597776"/>
    <w:rsid w:val="0059781C"/>
    <w:rsid w:val="00597B7D"/>
    <w:rsid w:val="00597C69"/>
    <w:rsid w:val="00597DAB"/>
    <w:rsid w:val="00597F2E"/>
    <w:rsid w:val="00597F8A"/>
    <w:rsid w:val="005A0670"/>
    <w:rsid w:val="005A07A8"/>
    <w:rsid w:val="005A0DE0"/>
    <w:rsid w:val="005A0E1D"/>
    <w:rsid w:val="005A10FB"/>
    <w:rsid w:val="005A1289"/>
    <w:rsid w:val="005A1331"/>
    <w:rsid w:val="005A1792"/>
    <w:rsid w:val="005A1982"/>
    <w:rsid w:val="005A1C09"/>
    <w:rsid w:val="005A2410"/>
    <w:rsid w:val="005A26C1"/>
    <w:rsid w:val="005A2B74"/>
    <w:rsid w:val="005A2D5B"/>
    <w:rsid w:val="005A2DF4"/>
    <w:rsid w:val="005A3042"/>
    <w:rsid w:val="005A3203"/>
    <w:rsid w:val="005A35AF"/>
    <w:rsid w:val="005A35C7"/>
    <w:rsid w:val="005A3943"/>
    <w:rsid w:val="005A3CA5"/>
    <w:rsid w:val="005A3D80"/>
    <w:rsid w:val="005A41A6"/>
    <w:rsid w:val="005A424D"/>
    <w:rsid w:val="005A442B"/>
    <w:rsid w:val="005A497F"/>
    <w:rsid w:val="005A4F47"/>
    <w:rsid w:val="005A53A0"/>
    <w:rsid w:val="005A540A"/>
    <w:rsid w:val="005A557B"/>
    <w:rsid w:val="005A56F8"/>
    <w:rsid w:val="005A6161"/>
    <w:rsid w:val="005A66A0"/>
    <w:rsid w:val="005A69D5"/>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8E4"/>
    <w:rsid w:val="005B29E3"/>
    <w:rsid w:val="005B2B0F"/>
    <w:rsid w:val="005B2BAD"/>
    <w:rsid w:val="005B2C05"/>
    <w:rsid w:val="005B2C7A"/>
    <w:rsid w:val="005B32CD"/>
    <w:rsid w:val="005B3AFB"/>
    <w:rsid w:val="005B3B08"/>
    <w:rsid w:val="005B3B12"/>
    <w:rsid w:val="005B3E98"/>
    <w:rsid w:val="005B401B"/>
    <w:rsid w:val="005B48EA"/>
    <w:rsid w:val="005B48F5"/>
    <w:rsid w:val="005B5344"/>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61E"/>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2D5B"/>
    <w:rsid w:val="005C3179"/>
    <w:rsid w:val="005C318A"/>
    <w:rsid w:val="005C3493"/>
    <w:rsid w:val="005C4751"/>
    <w:rsid w:val="005C4965"/>
    <w:rsid w:val="005C4CAC"/>
    <w:rsid w:val="005C4E0C"/>
    <w:rsid w:val="005C50F9"/>
    <w:rsid w:val="005C5AA1"/>
    <w:rsid w:val="005C5E68"/>
    <w:rsid w:val="005C5FA7"/>
    <w:rsid w:val="005C6137"/>
    <w:rsid w:val="005C6181"/>
    <w:rsid w:val="005C62BA"/>
    <w:rsid w:val="005C63A9"/>
    <w:rsid w:val="005C65F9"/>
    <w:rsid w:val="005C65FA"/>
    <w:rsid w:val="005C67E6"/>
    <w:rsid w:val="005C686E"/>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403"/>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647"/>
    <w:rsid w:val="005D2708"/>
    <w:rsid w:val="005D31F4"/>
    <w:rsid w:val="005D3C7D"/>
    <w:rsid w:val="005D3C80"/>
    <w:rsid w:val="005D3F6F"/>
    <w:rsid w:val="005D43C3"/>
    <w:rsid w:val="005D4424"/>
    <w:rsid w:val="005D4739"/>
    <w:rsid w:val="005D47FD"/>
    <w:rsid w:val="005D49EC"/>
    <w:rsid w:val="005D548D"/>
    <w:rsid w:val="005D564A"/>
    <w:rsid w:val="005D5CE6"/>
    <w:rsid w:val="005D5EB6"/>
    <w:rsid w:val="005D606D"/>
    <w:rsid w:val="005D69BB"/>
    <w:rsid w:val="005D6AA2"/>
    <w:rsid w:val="005D6D05"/>
    <w:rsid w:val="005D6DA6"/>
    <w:rsid w:val="005D6DB1"/>
    <w:rsid w:val="005D6DF1"/>
    <w:rsid w:val="005D6FDE"/>
    <w:rsid w:val="005D71A1"/>
    <w:rsid w:val="005D723F"/>
    <w:rsid w:val="005D72D0"/>
    <w:rsid w:val="005D7374"/>
    <w:rsid w:val="005D741C"/>
    <w:rsid w:val="005D7B30"/>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794"/>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957"/>
    <w:rsid w:val="005E7AEA"/>
    <w:rsid w:val="005E7B70"/>
    <w:rsid w:val="005F0372"/>
    <w:rsid w:val="005F0BF2"/>
    <w:rsid w:val="005F0D4C"/>
    <w:rsid w:val="005F0D9A"/>
    <w:rsid w:val="005F0D9F"/>
    <w:rsid w:val="005F1297"/>
    <w:rsid w:val="005F1682"/>
    <w:rsid w:val="005F16CC"/>
    <w:rsid w:val="005F1A43"/>
    <w:rsid w:val="005F1B26"/>
    <w:rsid w:val="005F20FD"/>
    <w:rsid w:val="005F2239"/>
    <w:rsid w:val="005F22F2"/>
    <w:rsid w:val="005F2599"/>
    <w:rsid w:val="005F25F1"/>
    <w:rsid w:val="005F2947"/>
    <w:rsid w:val="005F2952"/>
    <w:rsid w:val="005F2AAF"/>
    <w:rsid w:val="005F2C8D"/>
    <w:rsid w:val="005F3D95"/>
    <w:rsid w:val="005F3F2E"/>
    <w:rsid w:val="005F4575"/>
    <w:rsid w:val="005F459F"/>
    <w:rsid w:val="005F4A65"/>
    <w:rsid w:val="005F4BB3"/>
    <w:rsid w:val="005F52E5"/>
    <w:rsid w:val="005F52E8"/>
    <w:rsid w:val="005F5300"/>
    <w:rsid w:val="005F5349"/>
    <w:rsid w:val="005F55B7"/>
    <w:rsid w:val="005F5933"/>
    <w:rsid w:val="005F5AB2"/>
    <w:rsid w:val="005F6195"/>
    <w:rsid w:val="005F62E3"/>
    <w:rsid w:val="005F659B"/>
    <w:rsid w:val="005F6EAC"/>
    <w:rsid w:val="005F7442"/>
    <w:rsid w:val="005F74A4"/>
    <w:rsid w:val="005F7658"/>
    <w:rsid w:val="005F79B1"/>
    <w:rsid w:val="005F7AF5"/>
    <w:rsid w:val="005F7D05"/>
    <w:rsid w:val="0060033C"/>
    <w:rsid w:val="00600415"/>
    <w:rsid w:val="006004A5"/>
    <w:rsid w:val="00600575"/>
    <w:rsid w:val="00600916"/>
    <w:rsid w:val="006009E4"/>
    <w:rsid w:val="00600D44"/>
    <w:rsid w:val="00600D9A"/>
    <w:rsid w:val="00601054"/>
    <w:rsid w:val="006015C2"/>
    <w:rsid w:val="00601C3D"/>
    <w:rsid w:val="00601E14"/>
    <w:rsid w:val="0060242D"/>
    <w:rsid w:val="00602711"/>
    <w:rsid w:val="00602875"/>
    <w:rsid w:val="0060300E"/>
    <w:rsid w:val="0060304D"/>
    <w:rsid w:val="006030E6"/>
    <w:rsid w:val="006032ED"/>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C7F"/>
    <w:rsid w:val="00607EBF"/>
    <w:rsid w:val="00610072"/>
    <w:rsid w:val="00610118"/>
    <w:rsid w:val="0061096B"/>
    <w:rsid w:val="00610ADF"/>
    <w:rsid w:val="00610BCB"/>
    <w:rsid w:val="00610C29"/>
    <w:rsid w:val="00610C8F"/>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246"/>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57"/>
    <w:rsid w:val="00614DF1"/>
    <w:rsid w:val="00614F78"/>
    <w:rsid w:val="006159F2"/>
    <w:rsid w:val="00616250"/>
    <w:rsid w:val="006163B4"/>
    <w:rsid w:val="0061640B"/>
    <w:rsid w:val="00616872"/>
    <w:rsid w:val="00616A49"/>
    <w:rsid w:val="00616BAF"/>
    <w:rsid w:val="00616F0F"/>
    <w:rsid w:val="00617202"/>
    <w:rsid w:val="006175B7"/>
    <w:rsid w:val="006176F1"/>
    <w:rsid w:val="00617863"/>
    <w:rsid w:val="00617888"/>
    <w:rsid w:val="00617895"/>
    <w:rsid w:val="00617D0E"/>
    <w:rsid w:val="00617DA7"/>
    <w:rsid w:val="00617DFF"/>
    <w:rsid w:val="006201D1"/>
    <w:rsid w:val="0062037E"/>
    <w:rsid w:val="00620769"/>
    <w:rsid w:val="0062093D"/>
    <w:rsid w:val="00620CFC"/>
    <w:rsid w:val="00620D8A"/>
    <w:rsid w:val="006211E2"/>
    <w:rsid w:val="00621336"/>
    <w:rsid w:val="006214D2"/>
    <w:rsid w:val="00621607"/>
    <w:rsid w:val="0062181A"/>
    <w:rsid w:val="00621B22"/>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3A"/>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1E3"/>
    <w:rsid w:val="00632480"/>
    <w:rsid w:val="00632505"/>
    <w:rsid w:val="00632665"/>
    <w:rsid w:val="006326AF"/>
    <w:rsid w:val="00632A3D"/>
    <w:rsid w:val="00632AFA"/>
    <w:rsid w:val="00632CC9"/>
    <w:rsid w:val="00632FC5"/>
    <w:rsid w:val="006330C9"/>
    <w:rsid w:val="00633614"/>
    <w:rsid w:val="00633726"/>
    <w:rsid w:val="00633846"/>
    <w:rsid w:val="00633897"/>
    <w:rsid w:val="006338AB"/>
    <w:rsid w:val="00633B21"/>
    <w:rsid w:val="00633BBA"/>
    <w:rsid w:val="00633D84"/>
    <w:rsid w:val="0063416F"/>
    <w:rsid w:val="00634232"/>
    <w:rsid w:val="00634285"/>
    <w:rsid w:val="00634FE2"/>
    <w:rsid w:val="00635566"/>
    <w:rsid w:val="00635854"/>
    <w:rsid w:val="00635AEC"/>
    <w:rsid w:val="00635CD1"/>
    <w:rsid w:val="006362FD"/>
    <w:rsid w:val="006363A0"/>
    <w:rsid w:val="00636445"/>
    <w:rsid w:val="00636825"/>
    <w:rsid w:val="00636BAD"/>
    <w:rsid w:val="00636F25"/>
    <w:rsid w:val="006372CF"/>
    <w:rsid w:val="00637491"/>
    <w:rsid w:val="0063762D"/>
    <w:rsid w:val="00637C83"/>
    <w:rsid w:val="00637DAB"/>
    <w:rsid w:val="006400CF"/>
    <w:rsid w:val="006404E0"/>
    <w:rsid w:val="00640680"/>
    <w:rsid w:val="006406CE"/>
    <w:rsid w:val="006408D7"/>
    <w:rsid w:val="00640B07"/>
    <w:rsid w:val="00640FA1"/>
    <w:rsid w:val="00640FFE"/>
    <w:rsid w:val="00641472"/>
    <w:rsid w:val="00641781"/>
    <w:rsid w:val="006418B5"/>
    <w:rsid w:val="0064197E"/>
    <w:rsid w:val="00641B1D"/>
    <w:rsid w:val="00641E3D"/>
    <w:rsid w:val="00641EAB"/>
    <w:rsid w:val="0064202F"/>
    <w:rsid w:val="0064214F"/>
    <w:rsid w:val="0064246B"/>
    <w:rsid w:val="00642552"/>
    <w:rsid w:val="006426A1"/>
    <w:rsid w:val="006428DA"/>
    <w:rsid w:val="00642A16"/>
    <w:rsid w:val="00642AA4"/>
    <w:rsid w:val="00642D86"/>
    <w:rsid w:val="00643791"/>
    <w:rsid w:val="00643945"/>
    <w:rsid w:val="006439F3"/>
    <w:rsid w:val="00643B9E"/>
    <w:rsid w:val="00643BDC"/>
    <w:rsid w:val="0064406F"/>
    <w:rsid w:val="00644330"/>
    <w:rsid w:val="006443AC"/>
    <w:rsid w:val="0064491C"/>
    <w:rsid w:val="00644ECB"/>
    <w:rsid w:val="00645646"/>
    <w:rsid w:val="00645D28"/>
    <w:rsid w:val="00645ED5"/>
    <w:rsid w:val="006464CA"/>
    <w:rsid w:val="0064685B"/>
    <w:rsid w:val="00646C5B"/>
    <w:rsid w:val="0064707E"/>
    <w:rsid w:val="00647198"/>
    <w:rsid w:val="006471A4"/>
    <w:rsid w:val="006471BF"/>
    <w:rsid w:val="00647227"/>
    <w:rsid w:val="0064758E"/>
    <w:rsid w:val="006476A1"/>
    <w:rsid w:val="006478A4"/>
    <w:rsid w:val="006478F0"/>
    <w:rsid w:val="006479A5"/>
    <w:rsid w:val="00647DBC"/>
    <w:rsid w:val="00647E2C"/>
    <w:rsid w:val="00647FAA"/>
    <w:rsid w:val="00650073"/>
    <w:rsid w:val="006508D0"/>
    <w:rsid w:val="00650A4D"/>
    <w:rsid w:val="00650B09"/>
    <w:rsid w:val="00650DB0"/>
    <w:rsid w:val="00650FBE"/>
    <w:rsid w:val="0065188B"/>
    <w:rsid w:val="00651D7C"/>
    <w:rsid w:val="00651E31"/>
    <w:rsid w:val="006523B2"/>
    <w:rsid w:val="00652513"/>
    <w:rsid w:val="006528C9"/>
    <w:rsid w:val="0065295A"/>
    <w:rsid w:val="00652BF3"/>
    <w:rsid w:val="00652F3E"/>
    <w:rsid w:val="00653403"/>
    <w:rsid w:val="0065342C"/>
    <w:rsid w:val="006536C5"/>
    <w:rsid w:val="00653952"/>
    <w:rsid w:val="00653A4F"/>
    <w:rsid w:val="00653C41"/>
    <w:rsid w:val="00653DD0"/>
    <w:rsid w:val="006542A4"/>
    <w:rsid w:val="006549E5"/>
    <w:rsid w:val="00654B72"/>
    <w:rsid w:val="00654F57"/>
    <w:rsid w:val="00654FD5"/>
    <w:rsid w:val="006553B3"/>
    <w:rsid w:val="0065541F"/>
    <w:rsid w:val="0065563C"/>
    <w:rsid w:val="006558A7"/>
    <w:rsid w:val="006558BE"/>
    <w:rsid w:val="00655993"/>
    <w:rsid w:val="00655E0A"/>
    <w:rsid w:val="00655E2E"/>
    <w:rsid w:val="006560C3"/>
    <w:rsid w:val="00656271"/>
    <w:rsid w:val="0065672A"/>
    <w:rsid w:val="00656750"/>
    <w:rsid w:val="00656983"/>
    <w:rsid w:val="00656986"/>
    <w:rsid w:val="00656A68"/>
    <w:rsid w:val="00656D23"/>
    <w:rsid w:val="00656EDF"/>
    <w:rsid w:val="00657376"/>
    <w:rsid w:val="006573C1"/>
    <w:rsid w:val="00657995"/>
    <w:rsid w:val="00657EFF"/>
    <w:rsid w:val="00660122"/>
    <w:rsid w:val="0066022E"/>
    <w:rsid w:val="00660337"/>
    <w:rsid w:val="00660463"/>
    <w:rsid w:val="0066053B"/>
    <w:rsid w:val="00660AB4"/>
    <w:rsid w:val="00661353"/>
    <w:rsid w:val="006616BF"/>
    <w:rsid w:val="006616D1"/>
    <w:rsid w:val="00661780"/>
    <w:rsid w:val="00661B0F"/>
    <w:rsid w:val="00661B48"/>
    <w:rsid w:val="00661C69"/>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4CD"/>
    <w:rsid w:val="006645C3"/>
    <w:rsid w:val="0066489E"/>
    <w:rsid w:val="00664E25"/>
    <w:rsid w:val="00665010"/>
    <w:rsid w:val="00665088"/>
    <w:rsid w:val="00665592"/>
    <w:rsid w:val="006655BD"/>
    <w:rsid w:val="00665FD1"/>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188D"/>
    <w:rsid w:val="00671B6B"/>
    <w:rsid w:val="00671C60"/>
    <w:rsid w:val="00671E0E"/>
    <w:rsid w:val="0067205A"/>
    <w:rsid w:val="0067273C"/>
    <w:rsid w:val="006728DA"/>
    <w:rsid w:val="00672B17"/>
    <w:rsid w:val="00672B1E"/>
    <w:rsid w:val="00672BC6"/>
    <w:rsid w:val="00672D01"/>
    <w:rsid w:val="006730B2"/>
    <w:rsid w:val="00673274"/>
    <w:rsid w:val="006732B3"/>
    <w:rsid w:val="0067340E"/>
    <w:rsid w:val="0067341D"/>
    <w:rsid w:val="00673A9E"/>
    <w:rsid w:val="00673BCC"/>
    <w:rsid w:val="00673C5F"/>
    <w:rsid w:val="00674001"/>
    <w:rsid w:val="00674172"/>
    <w:rsid w:val="006741C8"/>
    <w:rsid w:val="0067420B"/>
    <w:rsid w:val="006743CB"/>
    <w:rsid w:val="006749F2"/>
    <w:rsid w:val="00674DF2"/>
    <w:rsid w:val="00674F7E"/>
    <w:rsid w:val="0067531C"/>
    <w:rsid w:val="00675429"/>
    <w:rsid w:val="006754FF"/>
    <w:rsid w:val="0067556B"/>
    <w:rsid w:val="006755B5"/>
    <w:rsid w:val="00675759"/>
    <w:rsid w:val="00675E6D"/>
    <w:rsid w:val="00676251"/>
    <w:rsid w:val="00676FF0"/>
    <w:rsid w:val="00677037"/>
    <w:rsid w:val="006774BC"/>
    <w:rsid w:val="006776D8"/>
    <w:rsid w:val="006800AE"/>
    <w:rsid w:val="006802A9"/>
    <w:rsid w:val="006809B9"/>
    <w:rsid w:val="00680FE1"/>
    <w:rsid w:val="00681327"/>
    <w:rsid w:val="00681481"/>
    <w:rsid w:val="006816D9"/>
    <w:rsid w:val="00681765"/>
    <w:rsid w:val="00681C32"/>
    <w:rsid w:val="00681CFA"/>
    <w:rsid w:val="00681DD0"/>
    <w:rsid w:val="00681E1E"/>
    <w:rsid w:val="00681F11"/>
    <w:rsid w:val="00682878"/>
    <w:rsid w:val="00682B29"/>
    <w:rsid w:val="00682D4E"/>
    <w:rsid w:val="00682DA0"/>
    <w:rsid w:val="00682E8A"/>
    <w:rsid w:val="00682F1B"/>
    <w:rsid w:val="00683489"/>
    <w:rsid w:val="0068349F"/>
    <w:rsid w:val="006838A7"/>
    <w:rsid w:val="006839DE"/>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24"/>
    <w:rsid w:val="00690248"/>
    <w:rsid w:val="00690258"/>
    <w:rsid w:val="00690427"/>
    <w:rsid w:val="00690640"/>
    <w:rsid w:val="00690733"/>
    <w:rsid w:val="00690CED"/>
    <w:rsid w:val="00691217"/>
    <w:rsid w:val="0069135B"/>
    <w:rsid w:val="00691365"/>
    <w:rsid w:val="006914C9"/>
    <w:rsid w:val="006917D1"/>
    <w:rsid w:val="00691865"/>
    <w:rsid w:val="00691D31"/>
    <w:rsid w:val="00691DF8"/>
    <w:rsid w:val="00691FCE"/>
    <w:rsid w:val="0069212D"/>
    <w:rsid w:val="00692275"/>
    <w:rsid w:val="0069250A"/>
    <w:rsid w:val="00692513"/>
    <w:rsid w:val="00692552"/>
    <w:rsid w:val="006926DF"/>
    <w:rsid w:val="006927E3"/>
    <w:rsid w:val="006928F2"/>
    <w:rsid w:val="00692B9F"/>
    <w:rsid w:val="00692C2D"/>
    <w:rsid w:val="00692CF0"/>
    <w:rsid w:val="00692D55"/>
    <w:rsid w:val="00692DED"/>
    <w:rsid w:val="00692E3D"/>
    <w:rsid w:val="00693F2B"/>
    <w:rsid w:val="0069405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FE6"/>
    <w:rsid w:val="0069702A"/>
    <w:rsid w:val="00697484"/>
    <w:rsid w:val="00697B40"/>
    <w:rsid w:val="00697F0E"/>
    <w:rsid w:val="00697F38"/>
    <w:rsid w:val="006A0106"/>
    <w:rsid w:val="006A0727"/>
    <w:rsid w:val="006A0946"/>
    <w:rsid w:val="006A0973"/>
    <w:rsid w:val="006A0A53"/>
    <w:rsid w:val="006A0B31"/>
    <w:rsid w:val="006A0BDA"/>
    <w:rsid w:val="006A11ED"/>
    <w:rsid w:val="006A144C"/>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E86"/>
    <w:rsid w:val="006A41A0"/>
    <w:rsid w:val="006A4320"/>
    <w:rsid w:val="006A4474"/>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1CD"/>
    <w:rsid w:val="006A7259"/>
    <w:rsid w:val="006A7295"/>
    <w:rsid w:val="006A74F0"/>
    <w:rsid w:val="006A75B6"/>
    <w:rsid w:val="006A7EEF"/>
    <w:rsid w:val="006B0175"/>
    <w:rsid w:val="006B0420"/>
    <w:rsid w:val="006B04A7"/>
    <w:rsid w:val="006B0A62"/>
    <w:rsid w:val="006B0AE4"/>
    <w:rsid w:val="006B118A"/>
    <w:rsid w:val="006B120A"/>
    <w:rsid w:val="006B1616"/>
    <w:rsid w:val="006B1F9E"/>
    <w:rsid w:val="006B204C"/>
    <w:rsid w:val="006B2238"/>
    <w:rsid w:val="006B2AEC"/>
    <w:rsid w:val="006B349A"/>
    <w:rsid w:val="006B395B"/>
    <w:rsid w:val="006B3B74"/>
    <w:rsid w:val="006B3BBA"/>
    <w:rsid w:val="006B3EC5"/>
    <w:rsid w:val="006B3F3C"/>
    <w:rsid w:val="006B48EB"/>
    <w:rsid w:val="006B4BB6"/>
    <w:rsid w:val="006B4C20"/>
    <w:rsid w:val="006B4C4C"/>
    <w:rsid w:val="006B5297"/>
    <w:rsid w:val="006B5887"/>
    <w:rsid w:val="006B5EE6"/>
    <w:rsid w:val="006B5F0C"/>
    <w:rsid w:val="006B5F68"/>
    <w:rsid w:val="006B5FB3"/>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B6C"/>
    <w:rsid w:val="006C3F20"/>
    <w:rsid w:val="006C3FF5"/>
    <w:rsid w:val="006C4129"/>
    <w:rsid w:val="006C41A0"/>
    <w:rsid w:val="006C41F8"/>
    <w:rsid w:val="006C423F"/>
    <w:rsid w:val="006C4458"/>
    <w:rsid w:val="006C458E"/>
    <w:rsid w:val="006C48D4"/>
    <w:rsid w:val="006C4D6D"/>
    <w:rsid w:val="006C5037"/>
    <w:rsid w:val="006C5241"/>
    <w:rsid w:val="006C5DA3"/>
    <w:rsid w:val="006C5F2E"/>
    <w:rsid w:val="006C6113"/>
    <w:rsid w:val="006C6900"/>
    <w:rsid w:val="006C6AC0"/>
    <w:rsid w:val="006C6EF7"/>
    <w:rsid w:val="006C7193"/>
    <w:rsid w:val="006C7233"/>
    <w:rsid w:val="006C72DD"/>
    <w:rsid w:val="006C7993"/>
    <w:rsid w:val="006C79BF"/>
    <w:rsid w:val="006C7A12"/>
    <w:rsid w:val="006C7D68"/>
    <w:rsid w:val="006D01DE"/>
    <w:rsid w:val="006D0575"/>
    <w:rsid w:val="006D05AB"/>
    <w:rsid w:val="006D06B3"/>
    <w:rsid w:val="006D0727"/>
    <w:rsid w:val="006D0A89"/>
    <w:rsid w:val="006D0B63"/>
    <w:rsid w:val="006D0B99"/>
    <w:rsid w:val="006D16D1"/>
    <w:rsid w:val="006D173B"/>
    <w:rsid w:val="006D1AAA"/>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BF"/>
    <w:rsid w:val="006D48F7"/>
    <w:rsid w:val="006D4B30"/>
    <w:rsid w:val="006D4F49"/>
    <w:rsid w:val="006D5885"/>
    <w:rsid w:val="006D590B"/>
    <w:rsid w:val="006D5D7D"/>
    <w:rsid w:val="006D5EE4"/>
    <w:rsid w:val="006D5F16"/>
    <w:rsid w:val="006D60D1"/>
    <w:rsid w:val="006D636C"/>
    <w:rsid w:val="006D658A"/>
    <w:rsid w:val="006D6BDA"/>
    <w:rsid w:val="006D6D9B"/>
    <w:rsid w:val="006D6DF1"/>
    <w:rsid w:val="006D6DFA"/>
    <w:rsid w:val="006D6E1A"/>
    <w:rsid w:val="006D6F8C"/>
    <w:rsid w:val="006D720A"/>
    <w:rsid w:val="006D73AF"/>
    <w:rsid w:val="006D74F0"/>
    <w:rsid w:val="006D7718"/>
    <w:rsid w:val="006D7856"/>
    <w:rsid w:val="006D78B9"/>
    <w:rsid w:val="006D7ACB"/>
    <w:rsid w:val="006D7AEF"/>
    <w:rsid w:val="006D7F55"/>
    <w:rsid w:val="006D7FA4"/>
    <w:rsid w:val="006E00C1"/>
    <w:rsid w:val="006E0232"/>
    <w:rsid w:val="006E074F"/>
    <w:rsid w:val="006E08B7"/>
    <w:rsid w:val="006E0D8F"/>
    <w:rsid w:val="006E0E57"/>
    <w:rsid w:val="006E1163"/>
    <w:rsid w:val="006E124F"/>
    <w:rsid w:val="006E15F6"/>
    <w:rsid w:val="006E1814"/>
    <w:rsid w:val="006E1889"/>
    <w:rsid w:val="006E1B88"/>
    <w:rsid w:val="006E1D00"/>
    <w:rsid w:val="006E1D54"/>
    <w:rsid w:val="006E1E10"/>
    <w:rsid w:val="006E1E35"/>
    <w:rsid w:val="006E2194"/>
    <w:rsid w:val="006E2337"/>
    <w:rsid w:val="006E24D8"/>
    <w:rsid w:val="006E2B01"/>
    <w:rsid w:val="006E2C7A"/>
    <w:rsid w:val="006E32D6"/>
    <w:rsid w:val="006E3D14"/>
    <w:rsid w:val="006E42DC"/>
    <w:rsid w:val="006E445C"/>
    <w:rsid w:val="006E44FB"/>
    <w:rsid w:val="006E456F"/>
    <w:rsid w:val="006E4651"/>
    <w:rsid w:val="006E4A47"/>
    <w:rsid w:val="006E524F"/>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6FC1"/>
    <w:rsid w:val="006E725F"/>
    <w:rsid w:val="006E7452"/>
    <w:rsid w:val="006E746E"/>
    <w:rsid w:val="006E7909"/>
    <w:rsid w:val="006E7AA2"/>
    <w:rsid w:val="006E7B1F"/>
    <w:rsid w:val="006E7D8C"/>
    <w:rsid w:val="006E7F29"/>
    <w:rsid w:val="006F019B"/>
    <w:rsid w:val="006F0B44"/>
    <w:rsid w:val="006F0BA3"/>
    <w:rsid w:val="006F0C3E"/>
    <w:rsid w:val="006F1041"/>
    <w:rsid w:val="006F1442"/>
    <w:rsid w:val="006F1448"/>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5C85"/>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22FE"/>
    <w:rsid w:val="007027CD"/>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B6B"/>
    <w:rsid w:val="00707CC9"/>
    <w:rsid w:val="00707F72"/>
    <w:rsid w:val="007100FB"/>
    <w:rsid w:val="007103A1"/>
    <w:rsid w:val="00710794"/>
    <w:rsid w:val="007108E3"/>
    <w:rsid w:val="00710911"/>
    <w:rsid w:val="007110A3"/>
    <w:rsid w:val="00711E6F"/>
    <w:rsid w:val="00711F41"/>
    <w:rsid w:val="00711F7D"/>
    <w:rsid w:val="00712234"/>
    <w:rsid w:val="007123A3"/>
    <w:rsid w:val="0071247E"/>
    <w:rsid w:val="00712709"/>
    <w:rsid w:val="00712A73"/>
    <w:rsid w:val="00712D0E"/>
    <w:rsid w:val="0071313E"/>
    <w:rsid w:val="007132BD"/>
    <w:rsid w:val="007132C8"/>
    <w:rsid w:val="00713497"/>
    <w:rsid w:val="00713575"/>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179EA"/>
    <w:rsid w:val="007206D4"/>
    <w:rsid w:val="007207CA"/>
    <w:rsid w:val="00720DF4"/>
    <w:rsid w:val="0072137D"/>
    <w:rsid w:val="00721384"/>
    <w:rsid w:val="007213A3"/>
    <w:rsid w:val="00721647"/>
    <w:rsid w:val="0072179D"/>
    <w:rsid w:val="00721969"/>
    <w:rsid w:val="00721CAE"/>
    <w:rsid w:val="00721F69"/>
    <w:rsid w:val="007222F1"/>
    <w:rsid w:val="00722337"/>
    <w:rsid w:val="00722C53"/>
    <w:rsid w:val="00722CD2"/>
    <w:rsid w:val="00722FCA"/>
    <w:rsid w:val="00723355"/>
    <w:rsid w:val="00723BF9"/>
    <w:rsid w:val="00723EE0"/>
    <w:rsid w:val="007241CC"/>
    <w:rsid w:val="00724645"/>
    <w:rsid w:val="007248E6"/>
    <w:rsid w:val="00724DD4"/>
    <w:rsid w:val="00725032"/>
    <w:rsid w:val="00725403"/>
    <w:rsid w:val="00725508"/>
    <w:rsid w:val="007255E7"/>
    <w:rsid w:val="0072576F"/>
    <w:rsid w:val="00725A96"/>
    <w:rsid w:val="00725C78"/>
    <w:rsid w:val="0072692D"/>
    <w:rsid w:val="00726E93"/>
    <w:rsid w:val="007270C9"/>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753"/>
    <w:rsid w:val="00733931"/>
    <w:rsid w:val="007339F9"/>
    <w:rsid w:val="00733B08"/>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962"/>
    <w:rsid w:val="00743A7F"/>
    <w:rsid w:val="00743B56"/>
    <w:rsid w:val="0074404A"/>
    <w:rsid w:val="00744075"/>
    <w:rsid w:val="0074443B"/>
    <w:rsid w:val="007445BE"/>
    <w:rsid w:val="00744808"/>
    <w:rsid w:val="0074486C"/>
    <w:rsid w:val="00744A10"/>
    <w:rsid w:val="0074531D"/>
    <w:rsid w:val="00745EE9"/>
    <w:rsid w:val="0074646E"/>
    <w:rsid w:val="0074690B"/>
    <w:rsid w:val="007469FE"/>
    <w:rsid w:val="00746A5F"/>
    <w:rsid w:val="00746A98"/>
    <w:rsid w:val="00746F9A"/>
    <w:rsid w:val="00747017"/>
    <w:rsid w:val="00747175"/>
    <w:rsid w:val="007477EC"/>
    <w:rsid w:val="00747A0A"/>
    <w:rsid w:val="00747F35"/>
    <w:rsid w:val="007503A7"/>
    <w:rsid w:val="007503DB"/>
    <w:rsid w:val="00750565"/>
    <w:rsid w:val="0075089B"/>
    <w:rsid w:val="00750C51"/>
    <w:rsid w:val="00751086"/>
    <w:rsid w:val="00751D33"/>
    <w:rsid w:val="00751DBE"/>
    <w:rsid w:val="00751E14"/>
    <w:rsid w:val="00752224"/>
    <w:rsid w:val="007523A5"/>
    <w:rsid w:val="007528EA"/>
    <w:rsid w:val="00752A94"/>
    <w:rsid w:val="00752B53"/>
    <w:rsid w:val="00752E42"/>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6FC4"/>
    <w:rsid w:val="0075702B"/>
    <w:rsid w:val="007575A9"/>
    <w:rsid w:val="0075766A"/>
    <w:rsid w:val="0075790C"/>
    <w:rsid w:val="00760128"/>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042"/>
    <w:rsid w:val="00764371"/>
    <w:rsid w:val="00764853"/>
    <w:rsid w:val="0076491A"/>
    <w:rsid w:val="007649B9"/>
    <w:rsid w:val="00764C18"/>
    <w:rsid w:val="00764DAE"/>
    <w:rsid w:val="00764F45"/>
    <w:rsid w:val="0076520C"/>
    <w:rsid w:val="0076550C"/>
    <w:rsid w:val="0076555B"/>
    <w:rsid w:val="007662C1"/>
    <w:rsid w:val="0076644D"/>
    <w:rsid w:val="007667A7"/>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0D"/>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12"/>
    <w:rsid w:val="00776576"/>
    <w:rsid w:val="007766F6"/>
    <w:rsid w:val="0077680F"/>
    <w:rsid w:val="00776F25"/>
    <w:rsid w:val="00776F26"/>
    <w:rsid w:val="007775DC"/>
    <w:rsid w:val="00777CDD"/>
    <w:rsid w:val="00777FA8"/>
    <w:rsid w:val="0078005A"/>
    <w:rsid w:val="00780464"/>
    <w:rsid w:val="007804D2"/>
    <w:rsid w:val="00780650"/>
    <w:rsid w:val="007807C7"/>
    <w:rsid w:val="00780EE2"/>
    <w:rsid w:val="00780F78"/>
    <w:rsid w:val="00781112"/>
    <w:rsid w:val="00781223"/>
    <w:rsid w:val="007813B4"/>
    <w:rsid w:val="0078182E"/>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859"/>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C4F"/>
    <w:rsid w:val="0079124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CEE"/>
    <w:rsid w:val="00793F3F"/>
    <w:rsid w:val="00794172"/>
    <w:rsid w:val="00794197"/>
    <w:rsid w:val="00794AF5"/>
    <w:rsid w:val="00794B9C"/>
    <w:rsid w:val="00794CE0"/>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20"/>
    <w:rsid w:val="0079799C"/>
    <w:rsid w:val="00797DE8"/>
    <w:rsid w:val="00797E37"/>
    <w:rsid w:val="007A011E"/>
    <w:rsid w:val="007A029F"/>
    <w:rsid w:val="007A02CA"/>
    <w:rsid w:val="007A0401"/>
    <w:rsid w:val="007A042E"/>
    <w:rsid w:val="007A0832"/>
    <w:rsid w:val="007A0B4A"/>
    <w:rsid w:val="007A0EA5"/>
    <w:rsid w:val="007A101D"/>
    <w:rsid w:val="007A1411"/>
    <w:rsid w:val="007A163D"/>
    <w:rsid w:val="007A17C9"/>
    <w:rsid w:val="007A1A5D"/>
    <w:rsid w:val="007A1AF2"/>
    <w:rsid w:val="007A1D44"/>
    <w:rsid w:val="007A21AA"/>
    <w:rsid w:val="007A24DB"/>
    <w:rsid w:val="007A26A2"/>
    <w:rsid w:val="007A287F"/>
    <w:rsid w:val="007A29C6"/>
    <w:rsid w:val="007A2A0C"/>
    <w:rsid w:val="007A2A30"/>
    <w:rsid w:val="007A2ACF"/>
    <w:rsid w:val="007A32DB"/>
    <w:rsid w:val="007A338F"/>
    <w:rsid w:val="007A353D"/>
    <w:rsid w:val="007A36BB"/>
    <w:rsid w:val="007A3834"/>
    <w:rsid w:val="007A3A90"/>
    <w:rsid w:val="007A3E8E"/>
    <w:rsid w:val="007A4361"/>
    <w:rsid w:val="007A466F"/>
    <w:rsid w:val="007A4A18"/>
    <w:rsid w:val="007A4B1E"/>
    <w:rsid w:val="007A4B3D"/>
    <w:rsid w:val="007A4BAD"/>
    <w:rsid w:val="007A4F07"/>
    <w:rsid w:val="007A4F0D"/>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7D9"/>
    <w:rsid w:val="007B5A71"/>
    <w:rsid w:val="007B5CF1"/>
    <w:rsid w:val="007B5F3B"/>
    <w:rsid w:val="007B68AF"/>
    <w:rsid w:val="007B68B0"/>
    <w:rsid w:val="007B6986"/>
    <w:rsid w:val="007B6AC3"/>
    <w:rsid w:val="007B6DCF"/>
    <w:rsid w:val="007B6DD9"/>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222"/>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0C8A"/>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9E9"/>
    <w:rsid w:val="007D3FAD"/>
    <w:rsid w:val="007D4080"/>
    <w:rsid w:val="007D40B3"/>
    <w:rsid w:val="007D4262"/>
    <w:rsid w:val="007D485D"/>
    <w:rsid w:val="007D4DE4"/>
    <w:rsid w:val="007D4FC1"/>
    <w:rsid w:val="007D5A80"/>
    <w:rsid w:val="007D64FE"/>
    <w:rsid w:val="007D687F"/>
    <w:rsid w:val="007D6B1B"/>
    <w:rsid w:val="007D6BCF"/>
    <w:rsid w:val="007D6CB5"/>
    <w:rsid w:val="007D7010"/>
    <w:rsid w:val="007D7087"/>
    <w:rsid w:val="007D796F"/>
    <w:rsid w:val="007D79DB"/>
    <w:rsid w:val="007D7F9B"/>
    <w:rsid w:val="007E0253"/>
    <w:rsid w:val="007E035F"/>
    <w:rsid w:val="007E04A4"/>
    <w:rsid w:val="007E053C"/>
    <w:rsid w:val="007E05C4"/>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D18"/>
    <w:rsid w:val="007E34C7"/>
    <w:rsid w:val="007E34D7"/>
    <w:rsid w:val="007E3956"/>
    <w:rsid w:val="007E3DA9"/>
    <w:rsid w:val="007E3F23"/>
    <w:rsid w:val="007E4292"/>
    <w:rsid w:val="007E43DE"/>
    <w:rsid w:val="007E466F"/>
    <w:rsid w:val="007E4742"/>
    <w:rsid w:val="007E474D"/>
    <w:rsid w:val="007E47FC"/>
    <w:rsid w:val="007E49BB"/>
    <w:rsid w:val="007E4C1E"/>
    <w:rsid w:val="007E54DE"/>
    <w:rsid w:val="007E5D63"/>
    <w:rsid w:val="007E5E97"/>
    <w:rsid w:val="007E6587"/>
    <w:rsid w:val="007E66FB"/>
    <w:rsid w:val="007E691C"/>
    <w:rsid w:val="007E6A4A"/>
    <w:rsid w:val="007E6C40"/>
    <w:rsid w:val="007E6ED6"/>
    <w:rsid w:val="007E6FD4"/>
    <w:rsid w:val="007E7034"/>
    <w:rsid w:val="007E714E"/>
    <w:rsid w:val="007E79CC"/>
    <w:rsid w:val="007E7F89"/>
    <w:rsid w:val="007F0535"/>
    <w:rsid w:val="007F05FB"/>
    <w:rsid w:val="007F061E"/>
    <w:rsid w:val="007F1377"/>
    <w:rsid w:val="007F1778"/>
    <w:rsid w:val="007F2350"/>
    <w:rsid w:val="007F2A06"/>
    <w:rsid w:val="007F2F02"/>
    <w:rsid w:val="007F379F"/>
    <w:rsid w:val="007F39EE"/>
    <w:rsid w:val="007F3ACC"/>
    <w:rsid w:val="007F3C8C"/>
    <w:rsid w:val="007F3D50"/>
    <w:rsid w:val="007F3E6D"/>
    <w:rsid w:val="007F3F12"/>
    <w:rsid w:val="007F40E8"/>
    <w:rsid w:val="007F42E8"/>
    <w:rsid w:val="007F475F"/>
    <w:rsid w:val="007F478E"/>
    <w:rsid w:val="007F4A8D"/>
    <w:rsid w:val="007F4F30"/>
    <w:rsid w:val="007F4FFB"/>
    <w:rsid w:val="007F5000"/>
    <w:rsid w:val="007F586B"/>
    <w:rsid w:val="007F5A28"/>
    <w:rsid w:val="007F5E60"/>
    <w:rsid w:val="007F6255"/>
    <w:rsid w:val="007F646D"/>
    <w:rsid w:val="007F66C2"/>
    <w:rsid w:val="007F6898"/>
    <w:rsid w:val="007F7753"/>
    <w:rsid w:val="007F795A"/>
    <w:rsid w:val="007F79CE"/>
    <w:rsid w:val="007F7ABF"/>
    <w:rsid w:val="00800287"/>
    <w:rsid w:val="0080084F"/>
    <w:rsid w:val="00800C85"/>
    <w:rsid w:val="00801178"/>
    <w:rsid w:val="00801679"/>
    <w:rsid w:val="00801871"/>
    <w:rsid w:val="00801A48"/>
    <w:rsid w:val="00801DB9"/>
    <w:rsid w:val="00801DEB"/>
    <w:rsid w:val="00801EBA"/>
    <w:rsid w:val="00801FBE"/>
    <w:rsid w:val="0080272D"/>
    <w:rsid w:val="0080308C"/>
    <w:rsid w:val="00803256"/>
    <w:rsid w:val="00803479"/>
    <w:rsid w:val="0080364D"/>
    <w:rsid w:val="008036C2"/>
    <w:rsid w:val="008039AD"/>
    <w:rsid w:val="00803FC2"/>
    <w:rsid w:val="0080444B"/>
    <w:rsid w:val="008048FE"/>
    <w:rsid w:val="00804F88"/>
    <w:rsid w:val="0080511F"/>
    <w:rsid w:val="008053AA"/>
    <w:rsid w:val="0080560D"/>
    <w:rsid w:val="0080593A"/>
    <w:rsid w:val="008059B8"/>
    <w:rsid w:val="008059E3"/>
    <w:rsid w:val="00805A1F"/>
    <w:rsid w:val="00805E3A"/>
    <w:rsid w:val="00805F17"/>
    <w:rsid w:val="00806349"/>
    <w:rsid w:val="008065D7"/>
    <w:rsid w:val="00806641"/>
    <w:rsid w:val="008066E4"/>
    <w:rsid w:val="00806744"/>
    <w:rsid w:val="008068C9"/>
    <w:rsid w:val="0080690E"/>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DE"/>
    <w:rsid w:val="008120ED"/>
    <w:rsid w:val="008121ED"/>
    <w:rsid w:val="008123C0"/>
    <w:rsid w:val="008127E4"/>
    <w:rsid w:val="00812826"/>
    <w:rsid w:val="0081282F"/>
    <w:rsid w:val="0081287C"/>
    <w:rsid w:val="008128A1"/>
    <w:rsid w:val="008128E9"/>
    <w:rsid w:val="00812DBB"/>
    <w:rsid w:val="00812E34"/>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327"/>
    <w:rsid w:val="0081564E"/>
    <w:rsid w:val="00816054"/>
    <w:rsid w:val="00816377"/>
    <w:rsid w:val="00816740"/>
    <w:rsid w:val="0081695C"/>
    <w:rsid w:val="008169DF"/>
    <w:rsid w:val="00816BC1"/>
    <w:rsid w:val="00816D0C"/>
    <w:rsid w:val="00816E32"/>
    <w:rsid w:val="00817695"/>
    <w:rsid w:val="00817905"/>
    <w:rsid w:val="0081798D"/>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2FB9"/>
    <w:rsid w:val="00823B04"/>
    <w:rsid w:val="00823FFD"/>
    <w:rsid w:val="0082437F"/>
    <w:rsid w:val="0082446C"/>
    <w:rsid w:val="008247C4"/>
    <w:rsid w:val="00824B3B"/>
    <w:rsid w:val="00824BC4"/>
    <w:rsid w:val="00825039"/>
    <w:rsid w:val="0082570F"/>
    <w:rsid w:val="00825885"/>
    <w:rsid w:val="00825B71"/>
    <w:rsid w:val="00825BA0"/>
    <w:rsid w:val="00825C5E"/>
    <w:rsid w:val="00825DFA"/>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0A"/>
    <w:rsid w:val="00827860"/>
    <w:rsid w:val="00827BE1"/>
    <w:rsid w:val="00827E6D"/>
    <w:rsid w:val="00827FC2"/>
    <w:rsid w:val="00830520"/>
    <w:rsid w:val="00830675"/>
    <w:rsid w:val="00830681"/>
    <w:rsid w:val="008307B6"/>
    <w:rsid w:val="0083082C"/>
    <w:rsid w:val="00830D75"/>
    <w:rsid w:val="00830F41"/>
    <w:rsid w:val="00831290"/>
    <w:rsid w:val="00831319"/>
    <w:rsid w:val="00831629"/>
    <w:rsid w:val="008317AF"/>
    <w:rsid w:val="008317DB"/>
    <w:rsid w:val="00831D54"/>
    <w:rsid w:val="00831F27"/>
    <w:rsid w:val="008320B5"/>
    <w:rsid w:val="00832695"/>
    <w:rsid w:val="008328CD"/>
    <w:rsid w:val="00832AB5"/>
    <w:rsid w:val="00832D5C"/>
    <w:rsid w:val="00832E42"/>
    <w:rsid w:val="0083301D"/>
    <w:rsid w:val="00833F87"/>
    <w:rsid w:val="00834CAC"/>
    <w:rsid w:val="0083531B"/>
    <w:rsid w:val="00835847"/>
    <w:rsid w:val="00835853"/>
    <w:rsid w:val="008359E9"/>
    <w:rsid w:val="00835AE2"/>
    <w:rsid w:val="00835B52"/>
    <w:rsid w:val="00835DAE"/>
    <w:rsid w:val="00835DEC"/>
    <w:rsid w:val="00836588"/>
    <w:rsid w:val="0083660E"/>
    <w:rsid w:val="00836C38"/>
    <w:rsid w:val="00836D5F"/>
    <w:rsid w:val="00836F1C"/>
    <w:rsid w:val="00837218"/>
    <w:rsid w:val="00837259"/>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2CED"/>
    <w:rsid w:val="008432FC"/>
    <w:rsid w:val="0084345A"/>
    <w:rsid w:val="0084387B"/>
    <w:rsid w:val="00843C20"/>
    <w:rsid w:val="00843CA9"/>
    <w:rsid w:val="008440FA"/>
    <w:rsid w:val="0084411F"/>
    <w:rsid w:val="00844358"/>
    <w:rsid w:val="00844766"/>
    <w:rsid w:val="00844ABF"/>
    <w:rsid w:val="00844B3E"/>
    <w:rsid w:val="00844E00"/>
    <w:rsid w:val="008457C5"/>
    <w:rsid w:val="00845A47"/>
    <w:rsid w:val="00845C57"/>
    <w:rsid w:val="00845CE7"/>
    <w:rsid w:val="00846115"/>
    <w:rsid w:val="00846DB2"/>
    <w:rsid w:val="008473BB"/>
    <w:rsid w:val="00847455"/>
    <w:rsid w:val="00847A13"/>
    <w:rsid w:val="00847D80"/>
    <w:rsid w:val="00847DF4"/>
    <w:rsid w:val="00850799"/>
    <w:rsid w:val="00850D1F"/>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D81"/>
    <w:rsid w:val="00856F45"/>
    <w:rsid w:val="008572C1"/>
    <w:rsid w:val="00857C77"/>
    <w:rsid w:val="00857E5F"/>
    <w:rsid w:val="00857F55"/>
    <w:rsid w:val="008604F7"/>
    <w:rsid w:val="00860A9E"/>
    <w:rsid w:val="00860B98"/>
    <w:rsid w:val="00860FC2"/>
    <w:rsid w:val="0086100A"/>
    <w:rsid w:val="008613EB"/>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CC1"/>
    <w:rsid w:val="00864E7F"/>
    <w:rsid w:val="0086535B"/>
    <w:rsid w:val="0086536B"/>
    <w:rsid w:val="0086584E"/>
    <w:rsid w:val="00865BEC"/>
    <w:rsid w:val="00865EC1"/>
    <w:rsid w:val="008663AA"/>
    <w:rsid w:val="00866410"/>
    <w:rsid w:val="00866462"/>
    <w:rsid w:val="008669B3"/>
    <w:rsid w:val="00866B44"/>
    <w:rsid w:val="00866E62"/>
    <w:rsid w:val="008672CB"/>
    <w:rsid w:val="00867A30"/>
    <w:rsid w:val="00867ABD"/>
    <w:rsid w:val="00867F82"/>
    <w:rsid w:val="00870033"/>
    <w:rsid w:val="008702BD"/>
    <w:rsid w:val="0087042E"/>
    <w:rsid w:val="00870432"/>
    <w:rsid w:val="008705DA"/>
    <w:rsid w:val="008705EE"/>
    <w:rsid w:val="0087094D"/>
    <w:rsid w:val="00870A96"/>
    <w:rsid w:val="00870EC7"/>
    <w:rsid w:val="008712A1"/>
    <w:rsid w:val="00871323"/>
    <w:rsid w:val="00871355"/>
    <w:rsid w:val="008716B8"/>
    <w:rsid w:val="00871B7F"/>
    <w:rsid w:val="00871CF0"/>
    <w:rsid w:val="008721FB"/>
    <w:rsid w:val="00872648"/>
    <w:rsid w:val="0087282F"/>
    <w:rsid w:val="00872A19"/>
    <w:rsid w:val="00872B55"/>
    <w:rsid w:val="00872BB0"/>
    <w:rsid w:val="00872CDB"/>
    <w:rsid w:val="0087314A"/>
    <w:rsid w:val="0087330E"/>
    <w:rsid w:val="00873491"/>
    <w:rsid w:val="0087350E"/>
    <w:rsid w:val="0087361F"/>
    <w:rsid w:val="008738CC"/>
    <w:rsid w:val="008739D1"/>
    <w:rsid w:val="00873AEF"/>
    <w:rsid w:val="00873F28"/>
    <w:rsid w:val="00873F8C"/>
    <w:rsid w:val="0087409F"/>
    <w:rsid w:val="0087429E"/>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03D"/>
    <w:rsid w:val="00876110"/>
    <w:rsid w:val="0087623D"/>
    <w:rsid w:val="008763DC"/>
    <w:rsid w:val="00876419"/>
    <w:rsid w:val="008765BF"/>
    <w:rsid w:val="00876F64"/>
    <w:rsid w:val="00876FCC"/>
    <w:rsid w:val="008770B3"/>
    <w:rsid w:val="008771F2"/>
    <w:rsid w:val="008772ED"/>
    <w:rsid w:val="0087736F"/>
    <w:rsid w:val="00877951"/>
    <w:rsid w:val="00877A6C"/>
    <w:rsid w:val="00877E3C"/>
    <w:rsid w:val="0088015C"/>
    <w:rsid w:val="00880251"/>
    <w:rsid w:val="008802BD"/>
    <w:rsid w:val="00880DCB"/>
    <w:rsid w:val="0088110C"/>
    <w:rsid w:val="00881D65"/>
    <w:rsid w:val="00881DD9"/>
    <w:rsid w:val="00882556"/>
    <w:rsid w:val="00882A1F"/>
    <w:rsid w:val="00883300"/>
    <w:rsid w:val="00883A19"/>
    <w:rsid w:val="00883A1F"/>
    <w:rsid w:val="00883AF5"/>
    <w:rsid w:val="0088413D"/>
    <w:rsid w:val="0088425B"/>
    <w:rsid w:val="0088425D"/>
    <w:rsid w:val="00884545"/>
    <w:rsid w:val="00884A8F"/>
    <w:rsid w:val="00884BC0"/>
    <w:rsid w:val="00884C20"/>
    <w:rsid w:val="008853CD"/>
    <w:rsid w:val="00885516"/>
    <w:rsid w:val="0088551A"/>
    <w:rsid w:val="008857D5"/>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71"/>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85"/>
    <w:rsid w:val="008A005D"/>
    <w:rsid w:val="008A0178"/>
    <w:rsid w:val="008A0284"/>
    <w:rsid w:val="008A0976"/>
    <w:rsid w:val="008A0A9E"/>
    <w:rsid w:val="008A0B0D"/>
    <w:rsid w:val="008A0D22"/>
    <w:rsid w:val="008A1041"/>
    <w:rsid w:val="008A15C7"/>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6FD"/>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1B53"/>
    <w:rsid w:val="008B2234"/>
    <w:rsid w:val="008B26FF"/>
    <w:rsid w:val="008B2A3E"/>
    <w:rsid w:val="008B2CB8"/>
    <w:rsid w:val="008B2F5F"/>
    <w:rsid w:val="008B3036"/>
    <w:rsid w:val="008B313C"/>
    <w:rsid w:val="008B32BE"/>
    <w:rsid w:val="008B32CA"/>
    <w:rsid w:val="008B3639"/>
    <w:rsid w:val="008B364A"/>
    <w:rsid w:val="008B365D"/>
    <w:rsid w:val="008B37C3"/>
    <w:rsid w:val="008B3804"/>
    <w:rsid w:val="008B396A"/>
    <w:rsid w:val="008B3B40"/>
    <w:rsid w:val="008B3E7A"/>
    <w:rsid w:val="008B42D1"/>
    <w:rsid w:val="008B464B"/>
    <w:rsid w:val="008B4BF7"/>
    <w:rsid w:val="008B4CE7"/>
    <w:rsid w:val="008B5548"/>
    <w:rsid w:val="008B56FB"/>
    <w:rsid w:val="008B574F"/>
    <w:rsid w:val="008B5AA3"/>
    <w:rsid w:val="008B5B75"/>
    <w:rsid w:val="008B5BB4"/>
    <w:rsid w:val="008B60B3"/>
    <w:rsid w:val="008B61F8"/>
    <w:rsid w:val="008B6643"/>
    <w:rsid w:val="008B6B16"/>
    <w:rsid w:val="008B6B6B"/>
    <w:rsid w:val="008B6BD0"/>
    <w:rsid w:val="008B6D4F"/>
    <w:rsid w:val="008B7411"/>
    <w:rsid w:val="008B75F4"/>
    <w:rsid w:val="008B79FF"/>
    <w:rsid w:val="008B7AA2"/>
    <w:rsid w:val="008B7BEF"/>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627"/>
    <w:rsid w:val="008C2B4C"/>
    <w:rsid w:val="008C2C3C"/>
    <w:rsid w:val="008C2D1C"/>
    <w:rsid w:val="008C317D"/>
    <w:rsid w:val="008C35B5"/>
    <w:rsid w:val="008C3605"/>
    <w:rsid w:val="008C364D"/>
    <w:rsid w:val="008C3CB5"/>
    <w:rsid w:val="008C417F"/>
    <w:rsid w:val="008C457B"/>
    <w:rsid w:val="008C4937"/>
    <w:rsid w:val="008C4A62"/>
    <w:rsid w:val="008C4E81"/>
    <w:rsid w:val="008C591D"/>
    <w:rsid w:val="008C5DF2"/>
    <w:rsid w:val="008C5ED2"/>
    <w:rsid w:val="008C6340"/>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E4F"/>
    <w:rsid w:val="008D0F11"/>
    <w:rsid w:val="008D0FBC"/>
    <w:rsid w:val="008D1B92"/>
    <w:rsid w:val="008D1D02"/>
    <w:rsid w:val="008D1ED5"/>
    <w:rsid w:val="008D22E4"/>
    <w:rsid w:val="008D25F8"/>
    <w:rsid w:val="008D2BB8"/>
    <w:rsid w:val="008D32C3"/>
    <w:rsid w:val="008D33AC"/>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279"/>
    <w:rsid w:val="008D5334"/>
    <w:rsid w:val="008D5342"/>
    <w:rsid w:val="008D5618"/>
    <w:rsid w:val="008D61B5"/>
    <w:rsid w:val="008D635B"/>
    <w:rsid w:val="008D6632"/>
    <w:rsid w:val="008D674C"/>
    <w:rsid w:val="008D67B9"/>
    <w:rsid w:val="008D6A3D"/>
    <w:rsid w:val="008D6B06"/>
    <w:rsid w:val="008D6F39"/>
    <w:rsid w:val="008D7448"/>
    <w:rsid w:val="008D75D5"/>
    <w:rsid w:val="008D767F"/>
    <w:rsid w:val="008D7681"/>
    <w:rsid w:val="008D7BDB"/>
    <w:rsid w:val="008D7DD8"/>
    <w:rsid w:val="008D7EA5"/>
    <w:rsid w:val="008E0D18"/>
    <w:rsid w:val="008E0E5D"/>
    <w:rsid w:val="008E12E1"/>
    <w:rsid w:val="008E1867"/>
    <w:rsid w:val="008E1C63"/>
    <w:rsid w:val="008E2284"/>
    <w:rsid w:val="008E23CE"/>
    <w:rsid w:val="008E2890"/>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55D"/>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608"/>
    <w:rsid w:val="00900744"/>
    <w:rsid w:val="00900B2E"/>
    <w:rsid w:val="00901240"/>
    <w:rsid w:val="00901758"/>
    <w:rsid w:val="009019FC"/>
    <w:rsid w:val="00901CF9"/>
    <w:rsid w:val="00901DAE"/>
    <w:rsid w:val="0090207E"/>
    <w:rsid w:val="0090211E"/>
    <w:rsid w:val="009021E7"/>
    <w:rsid w:val="0090232C"/>
    <w:rsid w:val="0090246C"/>
    <w:rsid w:val="009025B4"/>
    <w:rsid w:val="009027EF"/>
    <w:rsid w:val="009028BA"/>
    <w:rsid w:val="0090301E"/>
    <w:rsid w:val="00903594"/>
    <w:rsid w:val="009038CB"/>
    <w:rsid w:val="00903A2C"/>
    <w:rsid w:val="00903B71"/>
    <w:rsid w:val="00903E88"/>
    <w:rsid w:val="00903F16"/>
    <w:rsid w:val="00903F70"/>
    <w:rsid w:val="00903F9B"/>
    <w:rsid w:val="009040D6"/>
    <w:rsid w:val="00904A39"/>
    <w:rsid w:val="00904B67"/>
    <w:rsid w:val="00904F7F"/>
    <w:rsid w:val="00905036"/>
    <w:rsid w:val="009050E8"/>
    <w:rsid w:val="0090577B"/>
    <w:rsid w:val="0090596C"/>
    <w:rsid w:val="00905A4B"/>
    <w:rsid w:val="00905B2B"/>
    <w:rsid w:val="00905BF1"/>
    <w:rsid w:val="00905CE4"/>
    <w:rsid w:val="009060E9"/>
    <w:rsid w:val="00906159"/>
    <w:rsid w:val="00906472"/>
    <w:rsid w:val="00906588"/>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109B"/>
    <w:rsid w:val="009112B8"/>
    <w:rsid w:val="00911577"/>
    <w:rsid w:val="00911F09"/>
    <w:rsid w:val="009122EC"/>
    <w:rsid w:val="00912421"/>
    <w:rsid w:val="00912593"/>
    <w:rsid w:val="009126B7"/>
    <w:rsid w:val="00912A7D"/>
    <w:rsid w:val="00912B94"/>
    <w:rsid w:val="00912BDB"/>
    <w:rsid w:val="009131B4"/>
    <w:rsid w:val="009134F9"/>
    <w:rsid w:val="0091352F"/>
    <w:rsid w:val="00913532"/>
    <w:rsid w:val="00913585"/>
    <w:rsid w:val="0091387C"/>
    <w:rsid w:val="00913DEB"/>
    <w:rsid w:val="009148F7"/>
    <w:rsid w:val="009149E4"/>
    <w:rsid w:val="00914EF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0FB"/>
    <w:rsid w:val="00925211"/>
    <w:rsid w:val="0092524A"/>
    <w:rsid w:val="009254F7"/>
    <w:rsid w:val="00926036"/>
    <w:rsid w:val="00926521"/>
    <w:rsid w:val="0092680D"/>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6E34"/>
    <w:rsid w:val="0093719F"/>
    <w:rsid w:val="00937837"/>
    <w:rsid w:val="00937937"/>
    <w:rsid w:val="00937BE7"/>
    <w:rsid w:val="00937E8B"/>
    <w:rsid w:val="009400C7"/>
    <w:rsid w:val="009409F7"/>
    <w:rsid w:val="00940E3E"/>
    <w:rsid w:val="00940FFD"/>
    <w:rsid w:val="009412BF"/>
    <w:rsid w:val="00941791"/>
    <w:rsid w:val="009417A8"/>
    <w:rsid w:val="00941A72"/>
    <w:rsid w:val="00941E3F"/>
    <w:rsid w:val="0094247C"/>
    <w:rsid w:val="0094283F"/>
    <w:rsid w:val="00942AFC"/>
    <w:rsid w:val="009437FB"/>
    <w:rsid w:val="00943A91"/>
    <w:rsid w:val="00943DE8"/>
    <w:rsid w:val="00943F8F"/>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3EA"/>
    <w:rsid w:val="00946451"/>
    <w:rsid w:val="00946B1C"/>
    <w:rsid w:val="00947077"/>
    <w:rsid w:val="009470C1"/>
    <w:rsid w:val="009471A0"/>
    <w:rsid w:val="00947630"/>
    <w:rsid w:val="0094768B"/>
    <w:rsid w:val="009478FD"/>
    <w:rsid w:val="00947A1D"/>
    <w:rsid w:val="00947C72"/>
    <w:rsid w:val="0095031B"/>
    <w:rsid w:val="00950613"/>
    <w:rsid w:val="009507D4"/>
    <w:rsid w:val="00950A09"/>
    <w:rsid w:val="00950C4E"/>
    <w:rsid w:val="00950C9F"/>
    <w:rsid w:val="0095153B"/>
    <w:rsid w:val="009517ED"/>
    <w:rsid w:val="00951C62"/>
    <w:rsid w:val="0095204B"/>
    <w:rsid w:val="00952155"/>
    <w:rsid w:val="009522EE"/>
    <w:rsid w:val="009525D1"/>
    <w:rsid w:val="00952799"/>
    <w:rsid w:val="009529EE"/>
    <w:rsid w:val="00952D4B"/>
    <w:rsid w:val="00952DCB"/>
    <w:rsid w:val="00952E01"/>
    <w:rsid w:val="00952FF8"/>
    <w:rsid w:val="009531F3"/>
    <w:rsid w:val="00953307"/>
    <w:rsid w:val="00953434"/>
    <w:rsid w:val="009534A1"/>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46"/>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0FE4"/>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80B"/>
    <w:rsid w:val="00963CDD"/>
    <w:rsid w:val="0096426F"/>
    <w:rsid w:val="009647AF"/>
    <w:rsid w:val="00964C49"/>
    <w:rsid w:val="00964CAB"/>
    <w:rsid w:val="00965074"/>
    <w:rsid w:val="00965092"/>
    <w:rsid w:val="00965163"/>
    <w:rsid w:val="0096540B"/>
    <w:rsid w:val="00965576"/>
    <w:rsid w:val="009655EB"/>
    <w:rsid w:val="009656C1"/>
    <w:rsid w:val="009658FA"/>
    <w:rsid w:val="0096590C"/>
    <w:rsid w:val="00965931"/>
    <w:rsid w:val="00965B35"/>
    <w:rsid w:val="0096601E"/>
    <w:rsid w:val="009664DA"/>
    <w:rsid w:val="00966695"/>
    <w:rsid w:val="00966846"/>
    <w:rsid w:val="009668DB"/>
    <w:rsid w:val="00966D90"/>
    <w:rsid w:val="00966E2C"/>
    <w:rsid w:val="00966E3C"/>
    <w:rsid w:val="00967081"/>
    <w:rsid w:val="009670BB"/>
    <w:rsid w:val="00967213"/>
    <w:rsid w:val="009672CB"/>
    <w:rsid w:val="00967559"/>
    <w:rsid w:val="00967984"/>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441"/>
    <w:rsid w:val="009738E5"/>
    <w:rsid w:val="00973AF0"/>
    <w:rsid w:val="00973B5C"/>
    <w:rsid w:val="00973D65"/>
    <w:rsid w:val="00974017"/>
    <w:rsid w:val="009741FD"/>
    <w:rsid w:val="009742A5"/>
    <w:rsid w:val="009745A9"/>
    <w:rsid w:val="0097487B"/>
    <w:rsid w:val="009749D1"/>
    <w:rsid w:val="00974B79"/>
    <w:rsid w:val="00974CD3"/>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61"/>
    <w:rsid w:val="00976CEE"/>
    <w:rsid w:val="00976E91"/>
    <w:rsid w:val="00976FF6"/>
    <w:rsid w:val="00977143"/>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CD0"/>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A20"/>
    <w:rsid w:val="009871A3"/>
    <w:rsid w:val="00987408"/>
    <w:rsid w:val="009875D9"/>
    <w:rsid w:val="00987AB7"/>
    <w:rsid w:val="00987F1D"/>
    <w:rsid w:val="009901D1"/>
    <w:rsid w:val="009901F8"/>
    <w:rsid w:val="0099021E"/>
    <w:rsid w:val="0099042F"/>
    <w:rsid w:val="009904CA"/>
    <w:rsid w:val="009904EE"/>
    <w:rsid w:val="009908E2"/>
    <w:rsid w:val="00990909"/>
    <w:rsid w:val="00990995"/>
    <w:rsid w:val="009909B7"/>
    <w:rsid w:val="00990C6F"/>
    <w:rsid w:val="0099103B"/>
    <w:rsid w:val="0099141D"/>
    <w:rsid w:val="009914DB"/>
    <w:rsid w:val="00991769"/>
    <w:rsid w:val="009917A7"/>
    <w:rsid w:val="0099186B"/>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1FA"/>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BD5"/>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13"/>
    <w:rsid w:val="009A205F"/>
    <w:rsid w:val="009A22AC"/>
    <w:rsid w:val="009A28DF"/>
    <w:rsid w:val="009A2B72"/>
    <w:rsid w:val="009A2F32"/>
    <w:rsid w:val="009A2F6C"/>
    <w:rsid w:val="009A32C1"/>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3DF"/>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06E"/>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487"/>
    <w:rsid w:val="009B683A"/>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33C1"/>
    <w:rsid w:val="009C440C"/>
    <w:rsid w:val="009C446B"/>
    <w:rsid w:val="009C459B"/>
    <w:rsid w:val="009C4695"/>
    <w:rsid w:val="009C4A09"/>
    <w:rsid w:val="009C4BE3"/>
    <w:rsid w:val="009C5136"/>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C7CA8"/>
    <w:rsid w:val="009D0198"/>
    <w:rsid w:val="009D05C5"/>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41F"/>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925"/>
    <w:rsid w:val="009E19AC"/>
    <w:rsid w:val="009E1C5B"/>
    <w:rsid w:val="009E1EEE"/>
    <w:rsid w:val="009E2589"/>
    <w:rsid w:val="009E2A91"/>
    <w:rsid w:val="009E2E74"/>
    <w:rsid w:val="009E30D8"/>
    <w:rsid w:val="009E3200"/>
    <w:rsid w:val="009E335C"/>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B6B"/>
    <w:rsid w:val="009E5F8F"/>
    <w:rsid w:val="009E5FD1"/>
    <w:rsid w:val="009E60A2"/>
    <w:rsid w:val="009E61EB"/>
    <w:rsid w:val="009E6946"/>
    <w:rsid w:val="009E6D3C"/>
    <w:rsid w:val="009E6F7A"/>
    <w:rsid w:val="009E76B8"/>
    <w:rsid w:val="009E7807"/>
    <w:rsid w:val="009E7903"/>
    <w:rsid w:val="009E791E"/>
    <w:rsid w:val="009E7C4F"/>
    <w:rsid w:val="009E7C7D"/>
    <w:rsid w:val="009F0008"/>
    <w:rsid w:val="009F071E"/>
    <w:rsid w:val="009F0B4F"/>
    <w:rsid w:val="009F0B63"/>
    <w:rsid w:val="009F0DCB"/>
    <w:rsid w:val="009F106F"/>
    <w:rsid w:val="009F11E9"/>
    <w:rsid w:val="009F1428"/>
    <w:rsid w:val="009F1440"/>
    <w:rsid w:val="009F14D3"/>
    <w:rsid w:val="009F179F"/>
    <w:rsid w:val="009F1D7A"/>
    <w:rsid w:val="009F2222"/>
    <w:rsid w:val="009F22CC"/>
    <w:rsid w:val="009F22DD"/>
    <w:rsid w:val="009F231A"/>
    <w:rsid w:val="009F2709"/>
    <w:rsid w:val="009F2B7D"/>
    <w:rsid w:val="009F2EB5"/>
    <w:rsid w:val="009F3157"/>
    <w:rsid w:val="009F4274"/>
    <w:rsid w:val="009F427D"/>
    <w:rsid w:val="009F462C"/>
    <w:rsid w:val="009F4A78"/>
    <w:rsid w:val="009F4B78"/>
    <w:rsid w:val="009F4CB7"/>
    <w:rsid w:val="009F4E84"/>
    <w:rsid w:val="009F52BE"/>
    <w:rsid w:val="009F57D1"/>
    <w:rsid w:val="009F5840"/>
    <w:rsid w:val="009F5937"/>
    <w:rsid w:val="009F594B"/>
    <w:rsid w:val="009F5B2D"/>
    <w:rsid w:val="009F5BEB"/>
    <w:rsid w:val="009F6006"/>
    <w:rsid w:val="009F63E6"/>
    <w:rsid w:val="009F649D"/>
    <w:rsid w:val="009F6686"/>
    <w:rsid w:val="009F6834"/>
    <w:rsid w:val="009F6B6D"/>
    <w:rsid w:val="009F6D1D"/>
    <w:rsid w:val="009F723E"/>
    <w:rsid w:val="009F72A4"/>
    <w:rsid w:val="009F7731"/>
    <w:rsid w:val="009F77BA"/>
    <w:rsid w:val="009F795B"/>
    <w:rsid w:val="009F7A3A"/>
    <w:rsid w:val="009F7A71"/>
    <w:rsid w:val="009F7CAA"/>
    <w:rsid w:val="009F7D31"/>
    <w:rsid w:val="00A000A1"/>
    <w:rsid w:val="00A001A3"/>
    <w:rsid w:val="00A00290"/>
    <w:rsid w:val="00A003D5"/>
    <w:rsid w:val="00A005BD"/>
    <w:rsid w:val="00A009F9"/>
    <w:rsid w:val="00A00C10"/>
    <w:rsid w:val="00A00E5E"/>
    <w:rsid w:val="00A017A6"/>
    <w:rsid w:val="00A01C27"/>
    <w:rsid w:val="00A01F30"/>
    <w:rsid w:val="00A0201B"/>
    <w:rsid w:val="00A02420"/>
    <w:rsid w:val="00A02668"/>
    <w:rsid w:val="00A028B9"/>
    <w:rsid w:val="00A03537"/>
    <w:rsid w:val="00A0358E"/>
    <w:rsid w:val="00A035B2"/>
    <w:rsid w:val="00A0370E"/>
    <w:rsid w:val="00A037EB"/>
    <w:rsid w:val="00A03B6A"/>
    <w:rsid w:val="00A03BBB"/>
    <w:rsid w:val="00A0414B"/>
    <w:rsid w:val="00A043D2"/>
    <w:rsid w:val="00A045FC"/>
    <w:rsid w:val="00A04748"/>
    <w:rsid w:val="00A04784"/>
    <w:rsid w:val="00A0486A"/>
    <w:rsid w:val="00A050A2"/>
    <w:rsid w:val="00A0515E"/>
    <w:rsid w:val="00A051FE"/>
    <w:rsid w:val="00A0568D"/>
    <w:rsid w:val="00A057EE"/>
    <w:rsid w:val="00A05B34"/>
    <w:rsid w:val="00A05F01"/>
    <w:rsid w:val="00A0610E"/>
    <w:rsid w:val="00A0625E"/>
    <w:rsid w:val="00A064DA"/>
    <w:rsid w:val="00A06644"/>
    <w:rsid w:val="00A06745"/>
    <w:rsid w:val="00A06820"/>
    <w:rsid w:val="00A06843"/>
    <w:rsid w:val="00A06A1B"/>
    <w:rsid w:val="00A06BCD"/>
    <w:rsid w:val="00A06C65"/>
    <w:rsid w:val="00A06EF3"/>
    <w:rsid w:val="00A06F06"/>
    <w:rsid w:val="00A07365"/>
    <w:rsid w:val="00A07B72"/>
    <w:rsid w:val="00A07E32"/>
    <w:rsid w:val="00A07FCD"/>
    <w:rsid w:val="00A101EF"/>
    <w:rsid w:val="00A104DF"/>
    <w:rsid w:val="00A10B6F"/>
    <w:rsid w:val="00A10E11"/>
    <w:rsid w:val="00A112E0"/>
    <w:rsid w:val="00A113B3"/>
    <w:rsid w:val="00A114CB"/>
    <w:rsid w:val="00A11972"/>
    <w:rsid w:val="00A11B47"/>
    <w:rsid w:val="00A11B49"/>
    <w:rsid w:val="00A11B59"/>
    <w:rsid w:val="00A11C3F"/>
    <w:rsid w:val="00A11F9C"/>
    <w:rsid w:val="00A124D3"/>
    <w:rsid w:val="00A1281B"/>
    <w:rsid w:val="00A1286F"/>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017"/>
    <w:rsid w:val="00A1619E"/>
    <w:rsid w:val="00A16299"/>
    <w:rsid w:val="00A164B3"/>
    <w:rsid w:val="00A1659A"/>
    <w:rsid w:val="00A165EA"/>
    <w:rsid w:val="00A1671D"/>
    <w:rsid w:val="00A16DEC"/>
    <w:rsid w:val="00A17287"/>
    <w:rsid w:val="00A17294"/>
    <w:rsid w:val="00A172DC"/>
    <w:rsid w:val="00A17CEA"/>
    <w:rsid w:val="00A17DC7"/>
    <w:rsid w:val="00A17F2D"/>
    <w:rsid w:val="00A2045C"/>
    <w:rsid w:val="00A20C9A"/>
    <w:rsid w:val="00A20CC8"/>
    <w:rsid w:val="00A20F08"/>
    <w:rsid w:val="00A21298"/>
    <w:rsid w:val="00A21797"/>
    <w:rsid w:val="00A21820"/>
    <w:rsid w:val="00A21895"/>
    <w:rsid w:val="00A21E16"/>
    <w:rsid w:val="00A2211D"/>
    <w:rsid w:val="00A22283"/>
    <w:rsid w:val="00A223BF"/>
    <w:rsid w:val="00A224B6"/>
    <w:rsid w:val="00A225E1"/>
    <w:rsid w:val="00A23386"/>
    <w:rsid w:val="00A2394D"/>
    <w:rsid w:val="00A23E7C"/>
    <w:rsid w:val="00A24009"/>
    <w:rsid w:val="00A241BC"/>
    <w:rsid w:val="00A24433"/>
    <w:rsid w:val="00A24582"/>
    <w:rsid w:val="00A24F04"/>
    <w:rsid w:val="00A24F14"/>
    <w:rsid w:val="00A24F87"/>
    <w:rsid w:val="00A25010"/>
    <w:rsid w:val="00A250DB"/>
    <w:rsid w:val="00A2526E"/>
    <w:rsid w:val="00A2546D"/>
    <w:rsid w:val="00A2550D"/>
    <w:rsid w:val="00A2580D"/>
    <w:rsid w:val="00A25C09"/>
    <w:rsid w:val="00A25FE3"/>
    <w:rsid w:val="00A2612A"/>
    <w:rsid w:val="00A2658E"/>
    <w:rsid w:val="00A26781"/>
    <w:rsid w:val="00A26B95"/>
    <w:rsid w:val="00A26BFC"/>
    <w:rsid w:val="00A26C01"/>
    <w:rsid w:val="00A26D97"/>
    <w:rsid w:val="00A26F14"/>
    <w:rsid w:val="00A27103"/>
    <w:rsid w:val="00A2736E"/>
    <w:rsid w:val="00A273AA"/>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741"/>
    <w:rsid w:val="00A32949"/>
    <w:rsid w:val="00A3345D"/>
    <w:rsid w:val="00A33577"/>
    <w:rsid w:val="00A336B9"/>
    <w:rsid w:val="00A33AF2"/>
    <w:rsid w:val="00A33FD1"/>
    <w:rsid w:val="00A340F3"/>
    <w:rsid w:val="00A3434A"/>
    <w:rsid w:val="00A3453E"/>
    <w:rsid w:val="00A3456E"/>
    <w:rsid w:val="00A34AD2"/>
    <w:rsid w:val="00A34B80"/>
    <w:rsid w:val="00A34CC8"/>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50"/>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713"/>
    <w:rsid w:val="00A41B75"/>
    <w:rsid w:val="00A41CEE"/>
    <w:rsid w:val="00A41F8A"/>
    <w:rsid w:val="00A41FD5"/>
    <w:rsid w:val="00A42948"/>
    <w:rsid w:val="00A42964"/>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03C"/>
    <w:rsid w:val="00A511EB"/>
    <w:rsid w:val="00A5151F"/>
    <w:rsid w:val="00A51597"/>
    <w:rsid w:val="00A517F5"/>
    <w:rsid w:val="00A518BC"/>
    <w:rsid w:val="00A51E07"/>
    <w:rsid w:val="00A51EF8"/>
    <w:rsid w:val="00A52045"/>
    <w:rsid w:val="00A5235C"/>
    <w:rsid w:val="00A52A06"/>
    <w:rsid w:val="00A52B6A"/>
    <w:rsid w:val="00A52FB0"/>
    <w:rsid w:val="00A530BF"/>
    <w:rsid w:val="00A530D9"/>
    <w:rsid w:val="00A532A8"/>
    <w:rsid w:val="00A5354B"/>
    <w:rsid w:val="00A53856"/>
    <w:rsid w:val="00A53E7A"/>
    <w:rsid w:val="00A54073"/>
    <w:rsid w:val="00A543FE"/>
    <w:rsid w:val="00A544E0"/>
    <w:rsid w:val="00A54526"/>
    <w:rsid w:val="00A547F9"/>
    <w:rsid w:val="00A5496C"/>
    <w:rsid w:val="00A54AA0"/>
    <w:rsid w:val="00A54B2F"/>
    <w:rsid w:val="00A54DD5"/>
    <w:rsid w:val="00A54ECE"/>
    <w:rsid w:val="00A5511E"/>
    <w:rsid w:val="00A55655"/>
    <w:rsid w:val="00A55770"/>
    <w:rsid w:val="00A55AEF"/>
    <w:rsid w:val="00A55D3E"/>
    <w:rsid w:val="00A56246"/>
    <w:rsid w:val="00A56B98"/>
    <w:rsid w:val="00A57816"/>
    <w:rsid w:val="00A57A1D"/>
    <w:rsid w:val="00A57ADB"/>
    <w:rsid w:val="00A60023"/>
    <w:rsid w:val="00A60276"/>
    <w:rsid w:val="00A608D2"/>
    <w:rsid w:val="00A60DE6"/>
    <w:rsid w:val="00A60E89"/>
    <w:rsid w:val="00A60EAC"/>
    <w:rsid w:val="00A61025"/>
    <w:rsid w:val="00A610E0"/>
    <w:rsid w:val="00A61440"/>
    <w:rsid w:val="00A614AC"/>
    <w:rsid w:val="00A619EB"/>
    <w:rsid w:val="00A61B7D"/>
    <w:rsid w:val="00A61DC8"/>
    <w:rsid w:val="00A6210F"/>
    <w:rsid w:val="00A62B89"/>
    <w:rsid w:val="00A62D59"/>
    <w:rsid w:val="00A62DD4"/>
    <w:rsid w:val="00A62EAF"/>
    <w:rsid w:val="00A62F6B"/>
    <w:rsid w:val="00A63AB5"/>
    <w:rsid w:val="00A63CF9"/>
    <w:rsid w:val="00A63E0A"/>
    <w:rsid w:val="00A63F1A"/>
    <w:rsid w:val="00A63F50"/>
    <w:rsid w:val="00A64135"/>
    <w:rsid w:val="00A6430D"/>
    <w:rsid w:val="00A643DA"/>
    <w:rsid w:val="00A64A4D"/>
    <w:rsid w:val="00A64C36"/>
    <w:rsid w:val="00A6522F"/>
    <w:rsid w:val="00A6535C"/>
    <w:rsid w:val="00A65361"/>
    <w:rsid w:val="00A653A9"/>
    <w:rsid w:val="00A654D2"/>
    <w:rsid w:val="00A654F4"/>
    <w:rsid w:val="00A65734"/>
    <w:rsid w:val="00A65A35"/>
    <w:rsid w:val="00A65A3C"/>
    <w:rsid w:val="00A65D5E"/>
    <w:rsid w:val="00A65F6C"/>
    <w:rsid w:val="00A6601F"/>
    <w:rsid w:val="00A66217"/>
    <w:rsid w:val="00A66289"/>
    <w:rsid w:val="00A66350"/>
    <w:rsid w:val="00A6645A"/>
    <w:rsid w:val="00A6665F"/>
    <w:rsid w:val="00A669E4"/>
    <w:rsid w:val="00A66A6C"/>
    <w:rsid w:val="00A66B5D"/>
    <w:rsid w:val="00A66B93"/>
    <w:rsid w:val="00A66E90"/>
    <w:rsid w:val="00A67001"/>
    <w:rsid w:val="00A67401"/>
    <w:rsid w:val="00A67687"/>
    <w:rsid w:val="00A67771"/>
    <w:rsid w:val="00A67950"/>
    <w:rsid w:val="00A67AE3"/>
    <w:rsid w:val="00A67E5A"/>
    <w:rsid w:val="00A67E7D"/>
    <w:rsid w:val="00A7059D"/>
    <w:rsid w:val="00A7067D"/>
    <w:rsid w:val="00A706A1"/>
    <w:rsid w:val="00A7087C"/>
    <w:rsid w:val="00A708F1"/>
    <w:rsid w:val="00A709D8"/>
    <w:rsid w:val="00A70FE9"/>
    <w:rsid w:val="00A70FEB"/>
    <w:rsid w:val="00A7105C"/>
    <w:rsid w:val="00A7186B"/>
    <w:rsid w:val="00A71E95"/>
    <w:rsid w:val="00A71F03"/>
    <w:rsid w:val="00A71F2D"/>
    <w:rsid w:val="00A71F75"/>
    <w:rsid w:val="00A7205C"/>
    <w:rsid w:val="00A7269A"/>
    <w:rsid w:val="00A72BD6"/>
    <w:rsid w:val="00A72D03"/>
    <w:rsid w:val="00A730A9"/>
    <w:rsid w:val="00A73280"/>
    <w:rsid w:val="00A732D3"/>
    <w:rsid w:val="00A7332C"/>
    <w:rsid w:val="00A73847"/>
    <w:rsid w:val="00A74081"/>
    <w:rsid w:val="00A744B3"/>
    <w:rsid w:val="00A7488D"/>
    <w:rsid w:val="00A74905"/>
    <w:rsid w:val="00A74A2D"/>
    <w:rsid w:val="00A74BBA"/>
    <w:rsid w:val="00A74CC5"/>
    <w:rsid w:val="00A74F2D"/>
    <w:rsid w:val="00A74FA9"/>
    <w:rsid w:val="00A7526F"/>
    <w:rsid w:val="00A752DA"/>
    <w:rsid w:val="00A7532F"/>
    <w:rsid w:val="00A75CAA"/>
    <w:rsid w:val="00A75CC4"/>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C0"/>
    <w:rsid w:val="00A834E9"/>
    <w:rsid w:val="00A83B15"/>
    <w:rsid w:val="00A84082"/>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8A"/>
    <w:rsid w:val="00A9075A"/>
    <w:rsid w:val="00A90B9B"/>
    <w:rsid w:val="00A90F07"/>
    <w:rsid w:val="00A90F91"/>
    <w:rsid w:val="00A91052"/>
    <w:rsid w:val="00A91090"/>
    <w:rsid w:val="00A9109C"/>
    <w:rsid w:val="00A9152E"/>
    <w:rsid w:val="00A918AD"/>
    <w:rsid w:val="00A9206F"/>
    <w:rsid w:val="00A926D4"/>
    <w:rsid w:val="00A92757"/>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C1"/>
    <w:rsid w:val="00A97CA9"/>
    <w:rsid w:val="00A97FDD"/>
    <w:rsid w:val="00AA08D3"/>
    <w:rsid w:val="00AA0CA6"/>
    <w:rsid w:val="00AA1162"/>
    <w:rsid w:val="00AA131D"/>
    <w:rsid w:val="00AA152B"/>
    <w:rsid w:val="00AA186D"/>
    <w:rsid w:val="00AA19F2"/>
    <w:rsid w:val="00AA1EF9"/>
    <w:rsid w:val="00AA2E0B"/>
    <w:rsid w:val="00AA3221"/>
    <w:rsid w:val="00AA355C"/>
    <w:rsid w:val="00AA3575"/>
    <w:rsid w:val="00AA38EE"/>
    <w:rsid w:val="00AA39AB"/>
    <w:rsid w:val="00AA3E6A"/>
    <w:rsid w:val="00AA40C0"/>
    <w:rsid w:val="00AA42BE"/>
    <w:rsid w:val="00AA4652"/>
    <w:rsid w:val="00AA46C6"/>
    <w:rsid w:val="00AA47A8"/>
    <w:rsid w:val="00AA48F7"/>
    <w:rsid w:val="00AA4918"/>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C39"/>
    <w:rsid w:val="00AA7E61"/>
    <w:rsid w:val="00AA7F83"/>
    <w:rsid w:val="00AB0413"/>
    <w:rsid w:val="00AB04A3"/>
    <w:rsid w:val="00AB05FD"/>
    <w:rsid w:val="00AB0953"/>
    <w:rsid w:val="00AB0F57"/>
    <w:rsid w:val="00AB11EF"/>
    <w:rsid w:val="00AB1266"/>
    <w:rsid w:val="00AB12B8"/>
    <w:rsid w:val="00AB15CA"/>
    <w:rsid w:val="00AB16AA"/>
    <w:rsid w:val="00AB19DD"/>
    <w:rsid w:val="00AB1A2A"/>
    <w:rsid w:val="00AB1A79"/>
    <w:rsid w:val="00AB1AB6"/>
    <w:rsid w:val="00AB1C13"/>
    <w:rsid w:val="00AB1F28"/>
    <w:rsid w:val="00AB1F8F"/>
    <w:rsid w:val="00AB1FCD"/>
    <w:rsid w:val="00AB2336"/>
    <w:rsid w:val="00AB23D0"/>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78C"/>
    <w:rsid w:val="00AB78D2"/>
    <w:rsid w:val="00AB78D7"/>
    <w:rsid w:val="00AB7CFD"/>
    <w:rsid w:val="00AB7D99"/>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868"/>
    <w:rsid w:val="00AC288D"/>
    <w:rsid w:val="00AC28D7"/>
    <w:rsid w:val="00AC296E"/>
    <w:rsid w:val="00AC2CEC"/>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858"/>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5C2"/>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A22"/>
    <w:rsid w:val="00AD7B02"/>
    <w:rsid w:val="00AD7BD5"/>
    <w:rsid w:val="00AD7BD7"/>
    <w:rsid w:val="00AD7D28"/>
    <w:rsid w:val="00AD7DDC"/>
    <w:rsid w:val="00AE0197"/>
    <w:rsid w:val="00AE0310"/>
    <w:rsid w:val="00AE05A7"/>
    <w:rsid w:val="00AE111A"/>
    <w:rsid w:val="00AE138A"/>
    <w:rsid w:val="00AE1446"/>
    <w:rsid w:val="00AE1923"/>
    <w:rsid w:val="00AE1924"/>
    <w:rsid w:val="00AE1946"/>
    <w:rsid w:val="00AE2687"/>
    <w:rsid w:val="00AE28FF"/>
    <w:rsid w:val="00AE30BE"/>
    <w:rsid w:val="00AE31CF"/>
    <w:rsid w:val="00AE3C0B"/>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F01A8"/>
    <w:rsid w:val="00AF04BB"/>
    <w:rsid w:val="00AF05F1"/>
    <w:rsid w:val="00AF0851"/>
    <w:rsid w:val="00AF088A"/>
    <w:rsid w:val="00AF0938"/>
    <w:rsid w:val="00AF0F47"/>
    <w:rsid w:val="00AF14CD"/>
    <w:rsid w:val="00AF1935"/>
    <w:rsid w:val="00AF20E0"/>
    <w:rsid w:val="00AF20FC"/>
    <w:rsid w:val="00AF2337"/>
    <w:rsid w:val="00AF2A5A"/>
    <w:rsid w:val="00AF2C35"/>
    <w:rsid w:val="00AF2E10"/>
    <w:rsid w:val="00AF2E17"/>
    <w:rsid w:val="00AF2F70"/>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440"/>
    <w:rsid w:val="00AF68CE"/>
    <w:rsid w:val="00AF6A18"/>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DA7"/>
    <w:rsid w:val="00B12E09"/>
    <w:rsid w:val="00B12E19"/>
    <w:rsid w:val="00B12FAC"/>
    <w:rsid w:val="00B1336C"/>
    <w:rsid w:val="00B13438"/>
    <w:rsid w:val="00B1347D"/>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1F7"/>
    <w:rsid w:val="00B16763"/>
    <w:rsid w:val="00B1695B"/>
    <w:rsid w:val="00B16AFB"/>
    <w:rsid w:val="00B170F5"/>
    <w:rsid w:val="00B17224"/>
    <w:rsid w:val="00B17256"/>
    <w:rsid w:val="00B17613"/>
    <w:rsid w:val="00B17658"/>
    <w:rsid w:val="00B177D7"/>
    <w:rsid w:val="00B17DF2"/>
    <w:rsid w:val="00B17E09"/>
    <w:rsid w:val="00B17E98"/>
    <w:rsid w:val="00B20194"/>
    <w:rsid w:val="00B20A18"/>
    <w:rsid w:val="00B20BD1"/>
    <w:rsid w:val="00B20D93"/>
    <w:rsid w:val="00B20EAB"/>
    <w:rsid w:val="00B210CD"/>
    <w:rsid w:val="00B21272"/>
    <w:rsid w:val="00B2137E"/>
    <w:rsid w:val="00B215FB"/>
    <w:rsid w:val="00B217B3"/>
    <w:rsid w:val="00B21EE3"/>
    <w:rsid w:val="00B21F76"/>
    <w:rsid w:val="00B22328"/>
    <w:rsid w:val="00B226CB"/>
    <w:rsid w:val="00B22D0A"/>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D66"/>
    <w:rsid w:val="00B27EB7"/>
    <w:rsid w:val="00B3027A"/>
    <w:rsid w:val="00B303A7"/>
    <w:rsid w:val="00B30537"/>
    <w:rsid w:val="00B306B2"/>
    <w:rsid w:val="00B307C7"/>
    <w:rsid w:val="00B30962"/>
    <w:rsid w:val="00B309BF"/>
    <w:rsid w:val="00B30BD5"/>
    <w:rsid w:val="00B30DF6"/>
    <w:rsid w:val="00B30F7E"/>
    <w:rsid w:val="00B31022"/>
    <w:rsid w:val="00B316FF"/>
    <w:rsid w:val="00B317EB"/>
    <w:rsid w:val="00B31A6F"/>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AFE"/>
    <w:rsid w:val="00B33C41"/>
    <w:rsid w:val="00B33E28"/>
    <w:rsid w:val="00B33ECB"/>
    <w:rsid w:val="00B33F17"/>
    <w:rsid w:val="00B33F65"/>
    <w:rsid w:val="00B3418E"/>
    <w:rsid w:val="00B3432B"/>
    <w:rsid w:val="00B3432C"/>
    <w:rsid w:val="00B345B7"/>
    <w:rsid w:val="00B34BF5"/>
    <w:rsid w:val="00B34C56"/>
    <w:rsid w:val="00B34CF8"/>
    <w:rsid w:val="00B34EB4"/>
    <w:rsid w:val="00B34FE6"/>
    <w:rsid w:val="00B35013"/>
    <w:rsid w:val="00B350D0"/>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94F"/>
    <w:rsid w:val="00B37AA5"/>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C5F"/>
    <w:rsid w:val="00B43D6E"/>
    <w:rsid w:val="00B43FE2"/>
    <w:rsid w:val="00B44036"/>
    <w:rsid w:val="00B4407D"/>
    <w:rsid w:val="00B4429C"/>
    <w:rsid w:val="00B44501"/>
    <w:rsid w:val="00B44646"/>
    <w:rsid w:val="00B4473D"/>
    <w:rsid w:val="00B448D0"/>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64C"/>
    <w:rsid w:val="00B52A61"/>
    <w:rsid w:val="00B52C89"/>
    <w:rsid w:val="00B53108"/>
    <w:rsid w:val="00B53181"/>
    <w:rsid w:val="00B531F3"/>
    <w:rsid w:val="00B53261"/>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2AA"/>
    <w:rsid w:val="00B567F2"/>
    <w:rsid w:val="00B56C49"/>
    <w:rsid w:val="00B56D8A"/>
    <w:rsid w:val="00B56EBC"/>
    <w:rsid w:val="00B56F2F"/>
    <w:rsid w:val="00B57068"/>
    <w:rsid w:val="00B570B7"/>
    <w:rsid w:val="00B573FE"/>
    <w:rsid w:val="00B57412"/>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94"/>
    <w:rsid w:val="00B6323F"/>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048"/>
    <w:rsid w:val="00B7230E"/>
    <w:rsid w:val="00B727A0"/>
    <w:rsid w:val="00B730BF"/>
    <w:rsid w:val="00B7319F"/>
    <w:rsid w:val="00B73205"/>
    <w:rsid w:val="00B7326B"/>
    <w:rsid w:val="00B733A1"/>
    <w:rsid w:val="00B7387C"/>
    <w:rsid w:val="00B73939"/>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C25"/>
    <w:rsid w:val="00B77D5B"/>
    <w:rsid w:val="00B77FA2"/>
    <w:rsid w:val="00B800D1"/>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83C"/>
    <w:rsid w:val="00B85A11"/>
    <w:rsid w:val="00B8692F"/>
    <w:rsid w:val="00B86CCC"/>
    <w:rsid w:val="00B86CF5"/>
    <w:rsid w:val="00B87354"/>
    <w:rsid w:val="00B8754B"/>
    <w:rsid w:val="00B8762B"/>
    <w:rsid w:val="00B87D92"/>
    <w:rsid w:val="00B9043C"/>
    <w:rsid w:val="00B9087D"/>
    <w:rsid w:val="00B90AAF"/>
    <w:rsid w:val="00B910BF"/>
    <w:rsid w:val="00B910C2"/>
    <w:rsid w:val="00B910FC"/>
    <w:rsid w:val="00B918FD"/>
    <w:rsid w:val="00B91CCA"/>
    <w:rsid w:val="00B92336"/>
    <w:rsid w:val="00B929FB"/>
    <w:rsid w:val="00B92A9A"/>
    <w:rsid w:val="00B92AB1"/>
    <w:rsid w:val="00B92E43"/>
    <w:rsid w:val="00B92FF0"/>
    <w:rsid w:val="00B936D3"/>
    <w:rsid w:val="00B937A6"/>
    <w:rsid w:val="00B9383C"/>
    <w:rsid w:val="00B93A6C"/>
    <w:rsid w:val="00B93BB4"/>
    <w:rsid w:val="00B93C2A"/>
    <w:rsid w:val="00B94055"/>
    <w:rsid w:val="00B9409D"/>
    <w:rsid w:val="00B94413"/>
    <w:rsid w:val="00B9479E"/>
    <w:rsid w:val="00B94AEE"/>
    <w:rsid w:val="00B94F06"/>
    <w:rsid w:val="00B94F2C"/>
    <w:rsid w:val="00B95147"/>
    <w:rsid w:val="00B959A3"/>
    <w:rsid w:val="00B95D0A"/>
    <w:rsid w:val="00B9677D"/>
    <w:rsid w:val="00B967DA"/>
    <w:rsid w:val="00B96A21"/>
    <w:rsid w:val="00B96A5A"/>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40"/>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4F88"/>
    <w:rsid w:val="00BA508A"/>
    <w:rsid w:val="00BA5165"/>
    <w:rsid w:val="00BA5318"/>
    <w:rsid w:val="00BA56A5"/>
    <w:rsid w:val="00BA56AF"/>
    <w:rsid w:val="00BA571C"/>
    <w:rsid w:val="00BA5D08"/>
    <w:rsid w:val="00BA5F9D"/>
    <w:rsid w:val="00BA6F7E"/>
    <w:rsid w:val="00BA7B91"/>
    <w:rsid w:val="00BA7C22"/>
    <w:rsid w:val="00BA7EE2"/>
    <w:rsid w:val="00BA7EF4"/>
    <w:rsid w:val="00BB054C"/>
    <w:rsid w:val="00BB0A9C"/>
    <w:rsid w:val="00BB0AFF"/>
    <w:rsid w:val="00BB0B61"/>
    <w:rsid w:val="00BB0CDD"/>
    <w:rsid w:val="00BB101C"/>
    <w:rsid w:val="00BB10DE"/>
    <w:rsid w:val="00BB110B"/>
    <w:rsid w:val="00BB136F"/>
    <w:rsid w:val="00BB138F"/>
    <w:rsid w:val="00BB1523"/>
    <w:rsid w:val="00BB1783"/>
    <w:rsid w:val="00BB17F8"/>
    <w:rsid w:val="00BB20EE"/>
    <w:rsid w:val="00BB2551"/>
    <w:rsid w:val="00BB2656"/>
    <w:rsid w:val="00BB27CA"/>
    <w:rsid w:val="00BB2867"/>
    <w:rsid w:val="00BB28E1"/>
    <w:rsid w:val="00BB2A17"/>
    <w:rsid w:val="00BB2A63"/>
    <w:rsid w:val="00BB2BCF"/>
    <w:rsid w:val="00BB2C9C"/>
    <w:rsid w:val="00BB2DB4"/>
    <w:rsid w:val="00BB30B7"/>
    <w:rsid w:val="00BB32AB"/>
    <w:rsid w:val="00BB3A83"/>
    <w:rsid w:val="00BB3AB1"/>
    <w:rsid w:val="00BB3C89"/>
    <w:rsid w:val="00BB4410"/>
    <w:rsid w:val="00BB4602"/>
    <w:rsid w:val="00BB4980"/>
    <w:rsid w:val="00BB4AAB"/>
    <w:rsid w:val="00BB57A1"/>
    <w:rsid w:val="00BB5B2B"/>
    <w:rsid w:val="00BB5BA8"/>
    <w:rsid w:val="00BB5E91"/>
    <w:rsid w:val="00BB5EB6"/>
    <w:rsid w:val="00BB6756"/>
    <w:rsid w:val="00BB682A"/>
    <w:rsid w:val="00BB6D68"/>
    <w:rsid w:val="00BB6F89"/>
    <w:rsid w:val="00BB725A"/>
    <w:rsid w:val="00BB738E"/>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5AE"/>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5233"/>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A1E"/>
    <w:rsid w:val="00BD7B29"/>
    <w:rsid w:val="00BD7BA6"/>
    <w:rsid w:val="00BD7C55"/>
    <w:rsid w:val="00BD7ECE"/>
    <w:rsid w:val="00BE0402"/>
    <w:rsid w:val="00BE0534"/>
    <w:rsid w:val="00BE0DAA"/>
    <w:rsid w:val="00BE11ED"/>
    <w:rsid w:val="00BE12C8"/>
    <w:rsid w:val="00BE1844"/>
    <w:rsid w:val="00BE1B2C"/>
    <w:rsid w:val="00BE1B5A"/>
    <w:rsid w:val="00BE1C12"/>
    <w:rsid w:val="00BE218B"/>
    <w:rsid w:val="00BE22EB"/>
    <w:rsid w:val="00BE289F"/>
    <w:rsid w:val="00BE29E3"/>
    <w:rsid w:val="00BE2F9F"/>
    <w:rsid w:val="00BE379E"/>
    <w:rsid w:val="00BE3E66"/>
    <w:rsid w:val="00BE42CB"/>
    <w:rsid w:val="00BE4908"/>
    <w:rsid w:val="00BE4CB0"/>
    <w:rsid w:val="00BE4DAF"/>
    <w:rsid w:val="00BE5301"/>
    <w:rsid w:val="00BE535E"/>
    <w:rsid w:val="00BE53D6"/>
    <w:rsid w:val="00BE5591"/>
    <w:rsid w:val="00BE57E5"/>
    <w:rsid w:val="00BE5941"/>
    <w:rsid w:val="00BE5DAB"/>
    <w:rsid w:val="00BE5EF9"/>
    <w:rsid w:val="00BE61B9"/>
    <w:rsid w:val="00BE62D5"/>
    <w:rsid w:val="00BE6BC1"/>
    <w:rsid w:val="00BE6DCC"/>
    <w:rsid w:val="00BE748F"/>
    <w:rsid w:val="00BE7A15"/>
    <w:rsid w:val="00BE7A8A"/>
    <w:rsid w:val="00BE7D13"/>
    <w:rsid w:val="00BE7E58"/>
    <w:rsid w:val="00BF001F"/>
    <w:rsid w:val="00BF00D5"/>
    <w:rsid w:val="00BF0173"/>
    <w:rsid w:val="00BF0415"/>
    <w:rsid w:val="00BF0587"/>
    <w:rsid w:val="00BF05A2"/>
    <w:rsid w:val="00BF17BA"/>
    <w:rsid w:val="00BF183B"/>
    <w:rsid w:val="00BF193D"/>
    <w:rsid w:val="00BF20F8"/>
    <w:rsid w:val="00BF29C0"/>
    <w:rsid w:val="00BF2AAD"/>
    <w:rsid w:val="00BF2EE4"/>
    <w:rsid w:val="00BF316B"/>
    <w:rsid w:val="00BF3218"/>
    <w:rsid w:val="00BF3C40"/>
    <w:rsid w:val="00BF3D94"/>
    <w:rsid w:val="00BF3E30"/>
    <w:rsid w:val="00BF4012"/>
    <w:rsid w:val="00BF426A"/>
    <w:rsid w:val="00BF4A8F"/>
    <w:rsid w:val="00BF4F9E"/>
    <w:rsid w:val="00BF52F0"/>
    <w:rsid w:val="00BF5337"/>
    <w:rsid w:val="00BF54E6"/>
    <w:rsid w:val="00BF58D8"/>
    <w:rsid w:val="00BF5960"/>
    <w:rsid w:val="00BF5B30"/>
    <w:rsid w:val="00BF5BB8"/>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F89"/>
    <w:rsid w:val="00C01091"/>
    <w:rsid w:val="00C011C4"/>
    <w:rsid w:val="00C013B5"/>
    <w:rsid w:val="00C01D94"/>
    <w:rsid w:val="00C01EAE"/>
    <w:rsid w:val="00C02084"/>
    <w:rsid w:val="00C02288"/>
    <w:rsid w:val="00C02430"/>
    <w:rsid w:val="00C026CC"/>
    <w:rsid w:val="00C02872"/>
    <w:rsid w:val="00C02B51"/>
    <w:rsid w:val="00C02B88"/>
    <w:rsid w:val="00C02BDF"/>
    <w:rsid w:val="00C0341D"/>
    <w:rsid w:val="00C035B6"/>
    <w:rsid w:val="00C037CF"/>
    <w:rsid w:val="00C03E14"/>
    <w:rsid w:val="00C03EB5"/>
    <w:rsid w:val="00C03EC8"/>
    <w:rsid w:val="00C03ECD"/>
    <w:rsid w:val="00C03F00"/>
    <w:rsid w:val="00C04019"/>
    <w:rsid w:val="00C0419C"/>
    <w:rsid w:val="00C0422A"/>
    <w:rsid w:val="00C04377"/>
    <w:rsid w:val="00C04484"/>
    <w:rsid w:val="00C04857"/>
    <w:rsid w:val="00C04C1E"/>
    <w:rsid w:val="00C04C8F"/>
    <w:rsid w:val="00C04E8F"/>
    <w:rsid w:val="00C051F2"/>
    <w:rsid w:val="00C0552A"/>
    <w:rsid w:val="00C055D7"/>
    <w:rsid w:val="00C05D52"/>
    <w:rsid w:val="00C069DB"/>
    <w:rsid w:val="00C06B80"/>
    <w:rsid w:val="00C06BAF"/>
    <w:rsid w:val="00C06E56"/>
    <w:rsid w:val="00C072DA"/>
    <w:rsid w:val="00C07A9D"/>
    <w:rsid w:val="00C07B2B"/>
    <w:rsid w:val="00C07D12"/>
    <w:rsid w:val="00C1026C"/>
    <w:rsid w:val="00C10294"/>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79"/>
    <w:rsid w:val="00C13992"/>
    <w:rsid w:val="00C13B39"/>
    <w:rsid w:val="00C13BF6"/>
    <w:rsid w:val="00C13C1D"/>
    <w:rsid w:val="00C1406E"/>
    <w:rsid w:val="00C141A1"/>
    <w:rsid w:val="00C14226"/>
    <w:rsid w:val="00C14295"/>
    <w:rsid w:val="00C145F5"/>
    <w:rsid w:val="00C147CF"/>
    <w:rsid w:val="00C147DD"/>
    <w:rsid w:val="00C1482E"/>
    <w:rsid w:val="00C14C69"/>
    <w:rsid w:val="00C14DCE"/>
    <w:rsid w:val="00C15017"/>
    <w:rsid w:val="00C15156"/>
    <w:rsid w:val="00C15313"/>
    <w:rsid w:val="00C15431"/>
    <w:rsid w:val="00C154A2"/>
    <w:rsid w:val="00C1553A"/>
    <w:rsid w:val="00C158F5"/>
    <w:rsid w:val="00C15A10"/>
    <w:rsid w:val="00C160E3"/>
    <w:rsid w:val="00C16751"/>
    <w:rsid w:val="00C16835"/>
    <w:rsid w:val="00C16D3B"/>
    <w:rsid w:val="00C16DEA"/>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240"/>
    <w:rsid w:val="00C25301"/>
    <w:rsid w:val="00C2540A"/>
    <w:rsid w:val="00C25A02"/>
    <w:rsid w:val="00C25D09"/>
    <w:rsid w:val="00C26145"/>
    <w:rsid w:val="00C2674E"/>
    <w:rsid w:val="00C269C3"/>
    <w:rsid w:val="00C26A70"/>
    <w:rsid w:val="00C26BF2"/>
    <w:rsid w:val="00C270F1"/>
    <w:rsid w:val="00C27362"/>
    <w:rsid w:val="00C2750A"/>
    <w:rsid w:val="00C276E6"/>
    <w:rsid w:val="00C27732"/>
    <w:rsid w:val="00C27F2A"/>
    <w:rsid w:val="00C30014"/>
    <w:rsid w:val="00C30900"/>
    <w:rsid w:val="00C30E11"/>
    <w:rsid w:val="00C31082"/>
    <w:rsid w:val="00C31290"/>
    <w:rsid w:val="00C316AE"/>
    <w:rsid w:val="00C31B7A"/>
    <w:rsid w:val="00C31C55"/>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4E59"/>
    <w:rsid w:val="00C35240"/>
    <w:rsid w:val="00C352A5"/>
    <w:rsid w:val="00C353A6"/>
    <w:rsid w:val="00C35696"/>
    <w:rsid w:val="00C35A75"/>
    <w:rsid w:val="00C35B4E"/>
    <w:rsid w:val="00C35CE9"/>
    <w:rsid w:val="00C35DF6"/>
    <w:rsid w:val="00C35F2F"/>
    <w:rsid w:val="00C36299"/>
    <w:rsid w:val="00C36349"/>
    <w:rsid w:val="00C36569"/>
    <w:rsid w:val="00C36612"/>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90F"/>
    <w:rsid w:val="00C43AEC"/>
    <w:rsid w:val="00C43B56"/>
    <w:rsid w:val="00C44510"/>
    <w:rsid w:val="00C44661"/>
    <w:rsid w:val="00C448E6"/>
    <w:rsid w:val="00C4514A"/>
    <w:rsid w:val="00C455CF"/>
    <w:rsid w:val="00C45986"/>
    <w:rsid w:val="00C45C93"/>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A0B"/>
    <w:rsid w:val="00C51B7D"/>
    <w:rsid w:val="00C51D9B"/>
    <w:rsid w:val="00C51F0E"/>
    <w:rsid w:val="00C52906"/>
    <w:rsid w:val="00C529F0"/>
    <w:rsid w:val="00C52C2C"/>
    <w:rsid w:val="00C52C96"/>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9B9"/>
    <w:rsid w:val="00C56C16"/>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D0B"/>
    <w:rsid w:val="00C70E81"/>
    <w:rsid w:val="00C712F8"/>
    <w:rsid w:val="00C71389"/>
    <w:rsid w:val="00C714C1"/>
    <w:rsid w:val="00C7155F"/>
    <w:rsid w:val="00C71606"/>
    <w:rsid w:val="00C71609"/>
    <w:rsid w:val="00C7176D"/>
    <w:rsid w:val="00C71B53"/>
    <w:rsid w:val="00C71B88"/>
    <w:rsid w:val="00C71C3C"/>
    <w:rsid w:val="00C720F5"/>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75E"/>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206A"/>
    <w:rsid w:val="00C920A6"/>
    <w:rsid w:val="00C9248C"/>
    <w:rsid w:val="00C92504"/>
    <w:rsid w:val="00C9298B"/>
    <w:rsid w:val="00C92B11"/>
    <w:rsid w:val="00C92E38"/>
    <w:rsid w:val="00C92E74"/>
    <w:rsid w:val="00C9303F"/>
    <w:rsid w:val="00C932A3"/>
    <w:rsid w:val="00C93876"/>
    <w:rsid w:val="00C93A23"/>
    <w:rsid w:val="00C93AC7"/>
    <w:rsid w:val="00C93C64"/>
    <w:rsid w:val="00C93CA9"/>
    <w:rsid w:val="00C945E9"/>
    <w:rsid w:val="00C9464E"/>
    <w:rsid w:val="00C949FA"/>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3CC"/>
    <w:rsid w:val="00CA0CAB"/>
    <w:rsid w:val="00CA0D82"/>
    <w:rsid w:val="00CA0F96"/>
    <w:rsid w:val="00CA113C"/>
    <w:rsid w:val="00CA1188"/>
    <w:rsid w:val="00CA11C8"/>
    <w:rsid w:val="00CA12BF"/>
    <w:rsid w:val="00CA1470"/>
    <w:rsid w:val="00CA15F0"/>
    <w:rsid w:val="00CA1C56"/>
    <w:rsid w:val="00CA1CEA"/>
    <w:rsid w:val="00CA2232"/>
    <w:rsid w:val="00CA228A"/>
    <w:rsid w:val="00CA2E2D"/>
    <w:rsid w:val="00CA2FD9"/>
    <w:rsid w:val="00CA32AD"/>
    <w:rsid w:val="00CA3386"/>
    <w:rsid w:val="00CA3392"/>
    <w:rsid w:val="00CA344A"/>
    <w:rsid w:val="00CA3520"/>
    <w:rsid w:val="00CA377E"/>
    <w:rsid w:val="00CA3AF3"/>
    <w:rsid w:val="00CA3B16"/>
    <w:rsid w:val="00CA3CC8"/>
    <w:rsid w:val="00CA3F70"/>
    <w:rsid w:val="00CA4202"/>
    <w:rsid w:val="00CA4537"/>
    <w:rsid w:val="00CA46B4"/>
    <w:rsid w:val="00CA48AE"/>
    <w:rsid w:val="00CA4D6A"/>
    <w:rsid w:val="00CA4DA3"/>
    <w:rsid w:val="00CA50DB"/>
    <w:rsid w:val="00CA599D"/>
    <w:rsid w:val="00CA5AF0"/>
    <w:rsid w:val="00CA6003"/>
    <w:rsid w:val="00CA6475"/>
    <w:rsid w:val="00CA6552"/>
    <w:rsid w:val="00CA69EF"/>
    <w:rsid w:val="00CA6F30"/>
    <w:rsid w:val="00CA713B"/>
    <w:rsid w:val="00CA720E"/>
    <w:rsid w:val="00CA7465"/>
    <w:rsid w:val="00CA75F7"/>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3"/>
    <w:rsid w:val="00CB4084"/>
    <w:rsid w:val="00CB41B9"/>
    <w:rsid w:val="00CB41C3"/>
    <w:rsid w:val="00CB4578"/>
    <w:rsid w:val="00CB48DE"/>
    <w:rsid w:val="00CB491D"/>
    <w:rsid w:val="00CB4A86"/>
    <w:rsid w:val="00CB4CE8"/>
    <w:rsid w:val="00CB4CF7"/>
    <w:rsid w:val="00CB4DCD"/>
    <w:rsid w:val="00CB5288"/>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F97"/>
    <w:rsid w:val="00CB70C6"/>
    <w:rsid w:val="00CB71C9"/>
    <w:rsid w:val="00CB72EC"/>
    <w:rsid w:val="00CB7371"/>
    <w:rsid w:val="00CB73FD"/>
    <w:rsid w:val="00CB7565"/>
    <w:rsid w:val="00CB7685"/>
    <w:rsid w:val="00CB7714"/>
    <w:rsid w:val="00CB7A53"/>
    <w:rsid w:val="00CC063F"/>
    <w:rsid w:val="00CC08FC"/>
    <w:rsid w:val="00CC0956"/>
    <w:rsid w:val="00CC0AF7"/>
    <w:rsid w:val="00CC0B59"/>
    <w:rsid w:val="00CC0D94"/>
    <w:rsid w:val="00CC0DED"/>
    <w:rsid w:val="00CC1232"/>
    <w:rsid w:val="00CC13E8"/>
    <w:rsid w:val="00CC154B"/>
    <w:rsid w:val="00CC15B8"/>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5ED"/>
    <w:rsid w:val="00CC5A17"/>
    <w:rsid w:val="00CC5D38"/>
    <w:rsid w:val="00CC5F3B"/>
    <w:rsid w:val="00CC60FC"/>
    <w:rsid w:val="00CC616B"/>
    <w:rsid w:val="00CC63B7"/>
    <w:rsid w:val="00CC6444"/>
    <w:rsid w:val="00CC64AB"/>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1"/>
    <w:rsid w:val="00CD578D"/>
    <w:rsid w:val="00CD592F"/>
    <w:rsid w:val="00CD5E65"/>
    <w:rsid w:val="00CD60FE"/>
    <w:rsid w:val="00CD6175"/>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1F"/>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AEA"/>
    <w:rsid w:val="00CE3C6F"/>
    <w:rsid w:val="00CE424E"/>
    <w:rsid w:val="00CE438D"/>
    <w:rsid w:val="00CE48B8"/>
    <w:rsid w:val="00CE4911"/>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21"/>
    <w:rsid w:val="00CF1184"/>
    <w:rsid w:val="00CF11AC"/>
    <w:rsid w:val="00CF1B01"/>
    <w:rsid w:val="00CF2243"/>
    <w:rsid w:val="00CF2541"/>
    <w:rsid w:val="00CF2CFD"/>
    <w:rsid w:val="00CF2D97"/>
    <w:rsid w:val="00CF2E27"/>
    <w:rsid w:val="00CF3217"/>
    <w:rsid w:val="00CF336B"/>
    <w:rsid w:val="00CF35FF"/>
    <w:rsid w:val="00CF3669"/>
    <w:rsid w:val="00CF373F"/>
    <w:rsid w:val="00CF38F0"/>
    <w:rsid w:val="00CF3D16"/>
    <w:rsid w:val="00CF4838"/>
    <w:rsid w:val="00CF4FE4"/>
    <w:rsid w:val="00CF522D"/>
    <w:rsid w:val="00CF56EA"/>
    <w:rsid w:val="00CF5941"/>
    <w:rsid w:val="00CF5996"/>
    <w:rsid w:val="00CF5B84"/>
    <w:rsid w:val="00CF61CB"/>
    <w:rsid w:val="00CF63E6"/>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05B"/>
    <w:rsid w:val="00D026DC"/>
    <w:rsid w:val="00D02984"/>
    <w:rsid w:val="00D02AA2"/>
    <w:rsid w:val="00D02EA1"/>
    <w:rsid w:val="00D02EC1"/>
    <w:rsid w:val="00D02FCA"/>
    <w:rsid w:val="00D0351E"/>
    <w:rsid w:val="00D038EA"/>
    <w:rsid w:val="00D03D68"/>
    <w:rsid w:val="00D03EC7"/>
    <w:rsid w:val="00D03F38"/>
    <w:rsid w:val="00D0402F"/>
    <w:rsid w:val="00D04DDB"/>
    <w:rsid w:val="00D05810"/>
    <w:rsid w:val="00D05825"/>
    <w:rsid w:val="00D06185"/>
    <w:rsid w:val="00D06667"/>
    <w:rsid w:val="00D06675"/>
    <w:rsid w:val="00D066FD"/>
    <w:rsid w:val="00D0678F"/>
    <w:rsid w:val="00D06B9D"/>
    <w:rsid w:val="00D07118"/>
    <w:rsid w:val="00D0727B"/>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66"/>
    <w:rsid w:val="00D14278"/>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49F"/>
    <w:rsid w:val="00D179D3"/>
    <w:rsid w:val="00D17BB8"/>
    <w:rsid w:val="00D17CDF"/>
    <w:rsid w:val="00D200DC"/>
    <w:rsid w:val="00D200F3"/>
    <w:rsid w:val="00D203D8"/>
    <w:rsid w:val="00D20588"/>
    <w:rsid w:val="00D208E7"/>
    <w:rsid w:val="00D20BD2"/>
    <w:rsid w:val="00D20D3B"/>
    <w:rsid w:val="00D20F77"/>
    <w:rsid w:val="00D21080"/>
    <w:rsid w:val="00D2111D"/>
    <w:rsid w:val="00D215B7"/>
    <w:rsid w:val="00D215C0"/>
    <w:rsid w:val="00D2172D"/>
    <w:rsid w:val="00D2193D"/>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829"/>
    <w:rsid w:val="00D24945"/>
    <w:rsid w:val="00D24C8D"/>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27E20"/>
    <w:rsid w:val="00D3029B"/>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876"/>
    <w:rsid w:val="00D34CE0"/>
    <w:rsid w:val="00D34F9F"/>
    <w:rsid w:val="00D34FD7"/>
    <w:rsid w:val="00D35398"/>
    <w:rsid w:val="00D3588A"/>
    <w:rsid w:val="00D35896"/>
    <w:rsid w:val="00D35D60"/>
    <w:rsid w:val="00D35F7F"/>
    <w:rsid w:val="00D361D5"/>
    <w:rsid w:val="00D36292"/>
    <w:rsid w:val="00D3639D"/>
    <w:rsid w:val="00D363F0"/>
    <w:rsid w:val="00D36875"/>
    <w:rsid w:val="00D36AF3"/>
    <w:rsid w:val="00D36BF1"/>
    <w:rsid w:val="00D36CDE"/>
    <w:rsid w:val="00D36D13"/>
    <w:rsid w:val="00D36EE5"/>
    <w:rsid w:val="00D36F43"/>
    <w:rsid w:val="00D37179"/>
    <w:rsid w:val="00D37430"/>
    <w:rsid w:val="00D37890"/>
    <w:rsid w:val="00D40102"/>
    <w:rsid w:val="00D40608"/>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788"/>
    <w:rsid w:val="00D43833"/>
    <w:rsid w:val="00D4417F"/>
    <w:rsid w:val="00D44379"/>
    <w:rsid w:val="00D44396"/>
    <w:rsid w:val="00D446B6"/>
    <w:rsid w:val="00D44852"/>
    <w:rsid w:val="00D44987"/>
    <w:rsid w:val="00D44B7A"/>
    <w:rsid w:val="00D44EF6"/>
    <w:rsid w:val="00D450FB"/>
    <w:rsid w:val="00D45EB1"/>
    <w:rsid w:val="00D45F82"/>
    <w:rsid w:val="00D45FF8"/>
    <w:rsid w:val="00D463A7"/>
    <w:rsid w:val="00D46408"/>
    <w:rsid w:val="00D46CDA"/>
    <w:rsid w:val="00D46E38"/>
    <w:rsid w:val="00D472BF"/>
    <w:rsid w:val="00D4763E"/>
    <w:rsid w:val="00D47BA2"/>
    <w:rsid w:val="00D50B50"/>
    <w:rsid w:val="00D50F05"/>
    <w:rsid w:val="00D51AEB"/>
    <w:rsid w:val="00D51F66"/>
    <w:rsid w:val="00D52055"/>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1DF"/>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2F19"/>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670F"/>
    <w:rsid w:val="00D66840"/>
    <w:rsid w:val="00D668FD"/>
    <w:rsid w:val="00D669D3"/>
    <w:rsid w:val="00D66A3A"/>
    <w:rsid w:val="00D66ACA"/>
    <w:rsid w:val="00D66B66"/>
    <w:rsid w:val="00D66E4D"/>
    <w:rsid w:val="00D66E8B"/>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B5E"/>
    <w:rsid w:val="00D71FF6"/>
    <w:rsid w:val="00D72040"/>
    <w:rsid w:val="00D72B41"/>
    <w:rsid w:val="00D72BA3"/>
    <w:rsid w:val="00D72BA7"/>
    <w:rsid w:val="00D72CBA"/>
    <w:rsid w:val="00D72D7E"/>
    <w:rsid w:val="00D72DA2"/>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A47"/>
    <w:rsid w:val="00D76B17"/>
    <w:rsid w:val="00D76CDF"/>
    <w:rsid w:val="00D76E1F"/>
    <w:rsid w:val="00D770B9"/>
    <w:rsid w:val="00D77240"/>
    <w:rsid w:val="00D77544"/>
    <w:rsid w:val="00D77675"/>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87E7B"/>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C56"/>
    <w:rsid w:val="00D91ED1"/>
    <w:rsid w:val="00D91EE2"/>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38E"/>
    <w:rsid w:val="00DA0491"/>
    <w:rsid w:val="00DA0FA4"/>
    <w:rsid w:val="00DA10DF"/>
    <w:rsid w:val="00DA128F"/>
    <w:rsid w:val="00DA163F"/>
    <w:rsid w:val="00DA1BA9"/>
    <w:rsid w:val="00DA1CC3"/>
    <w:rsid w:val="00DA1F3C"/>
    <w:rsid w:val="00DA20B7"/>
    <w:rsid w:val="00DA2776"/>
    <w:rsid w:val="00DA288D"/>
    <w:rsid w:val="00DA2924"/>
    <w:rsid w:val="00DA2D08"/>
    <w:rsid w:val="00DA2DBF"/>
    <w:rsid w:val="00DA3421"/>
    <w:rsid w:val="00DA38EF"/>
    <w:rsid w:val="00DA3E6F"/>
    <w:rsid w:val="00DA49D4"/>
    <w:rsid w:val="00DA4CD6"/>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1E1"/>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623B"/>
    <w:rsid w:val="00DB6AB4"/>
    <w:rsid w:val="00DB6BA9"/>
    <w:rsid w:val="00DB6E82"/>
    <w:rsid w:val="00DB7C3F"/>
    <w:rsid w:val="00DB7E3E"/>
    <w:rsid w:val="00DC045E"/>
    <w:rsid w:val="00DC0C38"/>
    <w:rsid w:val="00DC0E7F"/>
    <w:rsid w:val="00DC10F4"/>
    <w:rsid w:val="00DC140E"/>
    <w:rsid w:val="00DC1684"/>
    <w:rsid w:val="00DC171B"/>
    <w:rsid w:val="00DC1879"/>
    <w:rsid w:val="00DC2418"/>
    <w:rsid w:val="00DC2772"/>
    <w:rsid w:val="00DC28D0"/>
    <w:rsid w:val="00DC2AAB"/>
    <w:rsid w:val="00DC3AD1"/>
    <w:rsid w:val="00DC3B45"/>
    <w:rsid w:val="00DC3C51"/>
    <w:rsid w:val="00DC3E98"/>
    <w:rsid w:val="00DC3EFD"/>
    <w:rsid w:val="00DC42DF"/>
    <w:rsid w:val="00DC454E"/>
    <w:rsid w:val="00DC4817"/>
    <w:rsid w:val="00DC4B2E"/>
    <w:rsid w:val="00DC4B4D"/>
    <w:rsid w:val="00DC4FC2"/>
    <w:rsid w:val="00DC509A"/>
    <w:rsid w:val="00DC5330"/>
    <w:rsid w:val="00DC53B6"/>
    <w:rsid w:val="00DC540D"/>
    <w:rsid w:val="00DC5768"/>
    <w:rsid w:val="00DC5C93"/>
    <w:rsid w:val="00DC5D2F"/>
    <w:rsid w:val="00DC5E6A"/>
    <w:rsid w:val="00DC5ED5"/>
    <w:rsid w:val="00DC63C6"/>
    <w:rsid w:val="00DC687D"/>
    <w:rsid w:val="00DC6A96"/>
    <w:rsid w:val="00DC6CCC"/>
    <w:rsid w:val="00DC71AF"/>
    <w:rsid w:val="00DC75E2"/>
    <w:rsid w:val="00DC7827"/>
    <w:rsid w:val="00DC7895"/>
    <w:rsid w:val="00DC7DB3"/>
    <w:rsid w:val="00DC7DE8"/>
    <w:rsid w:val="00DD044E"/>
    <w:rsid w:val="00DD0C04"/>
    <w:rsid w:val="00DD0D9C"/>
    <w:rsid w:val="00DD0E8A"/>
    <w:rsid w:val="00DD11A3"/>
    <w:rsid w:val="00DD1685"/>
    <w:rsid w:val="00DD260B"/>
    <w:rsid w:val="00DD3071"/>
    <w:rsid w:val="00DD324B"/>
    <w:rsid w:val="00DD3360"/>
    <w:rsid w:val="00DD340D"/>
    <w:rsid w:val="00DD3967"/>
    <w:rsid w:val="00DD3D43"/>
    <w:rsid w:val="00DD3D8E"/>
    <w:rsid w:val="00DD3E63"/>
    <w:rsid w:val="00DD3F39"/>
    <w:rsid w:val="00DD4048"/>
    <w:rsid w:val="00DD4328"/>
    <w:rsid w:val="00DD4344"/>
    <w:rsid w:val="00DD4371"/>
    <w:rsid w:val="00DD43F6"/>
    <w:rsid w:val="00DD4484"/>
    <w:rsid w:val="00DD47FC"/>
    <w:rsid w:val="00DD4B28"/>
    <w:rsid w:val="00DD4C30"/>
    <w:rsid w:val="00DD4C78"/>
    <w:rsid w:val="00DD4DA5"/>
    <w:rsid w:val="00DD4F9D"/>
    <w:rsid w:val="00DD5082"/>
    <w:rsid w:val="00DD522B"/>
    <w:rsid w:val="00DD57ED"/>
    <w:rsid w:val="00DD57FF"/>
    <w:rsid w:val="00DD584A"/>
    <w:rsid w:val="00DD5A2F"/>
    <w:rsid w:val="00DD5D24"/>
    <w:rsid w:val="00DD5EBE"/>
    <w:rsid w:val="00DD66D5"/>
    <w:rsid w:val="00DD745A"/>
    <w:rsid w:val="00DD751F"/>
    <w:rsid w:val="00DD79B0"/>
    <w:rsid w:val="00DD79B6"/>
    <w:rsid w:val="00DD7B66"/>
    <w:rsid w:val="00DD7C43"/>
    <w:rsid w:val="00DE061A"/>
    <w:rsid w:val="00DE061D"/>
    <w:rsid w:val="00DE07AC"/>
    <w:rsid w:val="00DE0862"/>
    <w:rsid w:val="00DE0E1E"/>
    <w:rsid w:val="00DE11BF"/>
    <w:rsid w:val="00DE12A1"/>
    <w:rsid w:val="00DE12B5"/>
    <w:rsid w:val="00DE17E4"/>
    <w:rsid w:val="00DE1986"/>
    <w:rsid w:val="00DE1ED9"/>
    <w:rsid w:val="00DE1EE4"/>
    <w:rsid w:val="00DE2490"/>
    <w:rsid w:val="00DE24C7"/>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681"/>
    <w:rsid w:val="00DE4783"/>
    <w:rsid w:val="00DE4C01"/>
    <w:rsid w:val="00DE4C5A"/>
    <w:rsid w:val="00DE55E7"/>
    <w:rsid w:val="00DE61C3"/>
    <w:rsid w:val="00DE635A"/>
    <w:rsid w:val="00DE657E"/>
    <w:rsid w:val="00DE675D"/>
    <w:rsid w:val="00DE67CC"/>
    <w:rsid w:val="00DE68BD"/>
    <w:rsid w:val="00DE6912"/>
    <w:rsid w:val="00DE7041"/>
    <w:rsid w:val="00DE70F9"/>
    <w:rsid w:val="00DE7286"/>
    <w:rsid w:val="00DE7347"/>
    <w:rsid w:val="00DE7437"/>
    <w:rsid w:val="00DE76B0"/>
    <w:rsid w:val="00DE7A69"/>
    <w:rsid w:val="00DE7B93"/>
    <w:rsid w:val="00DE7D32"/>
    <w:rsid w:val="00DE7E1E"/>
    <w:rsid w:val="00DF008E"/>
    <w:rsid w:val="00DF06EF"/>
    <w:rsid w:val="00DF079B"/>
    <w:rsid w:val="00DF08B0"/>
    <w:rsid w:val="00DF0ABB"/>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139"/>
    <w:rsid w:val="00DF44EC"/>
    <w:rsid w:val="00DF4653"/>
    <w:rsid w:val="00DF4F4E"/>
    <w:rsid w:val="00DF5061"/>
    <w:rsid w:val="00DF50FA"/>
    <w:rsid w:val="00DF58EB"/>
    <w:rsid w:val="00DF5B9B"/>
    <w:rsid w:val="00DF6160"/>
    <w:rsid w:val="00DF64CF"/>
    <w:rsid w:val="00DF6BD0"/>
    <w:rsid w:val="00DF6D83"/>
    <w:rsid w:val="00DF72FA"/>
    <w:rsid w:val="00DF72FC"/>
    <w:rsid w:val="00DF7473"/>
    <w:rsid w:val="00DF780D"/>
    <w:rsid w:val="00DF7A21"/>
    <w:rsid w:val="00DF7A73"/>
    <w:rsid w:val="00DF7D17"/>
    <w:rsid w:val="00DF7F9A"/>
    <w:rsid w:val="00E00084"/>
    <w:rsid w:val="00E00113"/>
    <w:rsid w:val="00E00210"/>
    <w:rsid w:val="00E0026E"/>
    <w:rsid w:val="00E005BE"/>
    <w:rsid w:val="00E005FF"/>
    <w:rsid w:val="00E006DF"/>
    <w:rsid w:val="00E0092C"/>
    <w:rsid w:val="00E00DDC"/>
    <w:rsid w:val="00E0129D"/>
    <w:rsid w:val="00E0153B"/>
    <w:rsid w:val="00E02240"/>
    <w:rsid w:val="00E022E3"/>
    <w:rsid w:val="00E023BD"/>
    <w:rsid w:val="00E02417"/>
    <w:rsid w:val="00E02455"/>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2AF"/>
    <w:rsid w:val="00E07497"/>
    <w:rsid w:val="00E07664"/>
    <w:rsid w:val="00E076B8"/>
    <w:rsid w:val="00E1014B"/>
    <w:rsid w:val="00E101DB"/>
    <w:rsid w:val="00E102E2"/>
    <w:rsid w:val="00E10519"/>
    <w:rsid w:val="00E10663"/>
    <w:rsid w:val="00E10773"/>
    <w:rsid w:val="00E111A5"/>
    <w:rsid w:val="00E1164B"/>
    <w:rsid w:val="00E11814"/>
    <w:rsid w:val="00E118A6"/>
    <w:rsid w:val="00E11968"/>
    <w:rsid w:val="00E12368"/>
    <w:rsid w:val="00E1269E"/>
    <w:rsid w:val="00E1280C"/>
    <w:rsid w:val="00E12B2A"/>
    <w:rsid w:val="00E12BA3"/>
    <w:rsid w:val="00E12DCE"/>
    <w:rsid w:val="00E139AF"/>
    <w:rsid w:val="00E13FA3"/>
    <w:rsid w:val="00E142B5"/>
    <w:rsid w:val="00E1478F"/>
    <w:rsid w:val="00E14A16"/>
    <w:rsid w:val="00E1506C"/>
    <w:rsid w:val="00E1536B"/>
    <w:rsid w:val="00E153EB"/>
    <w:rsid w:val="00E1582D"/>
    <w:rsid w:val="00E158CF"/>
    <w:rsid w:val="00E15CE1"/>
    <w:rsid w:val="00E15DA9"/>
    <w:rsid w:val="00E161F4"/>
    <w:rsid w:val="00E1692E"/>
    <w:rsid w:val="00E16941"/>
    <w:rsid w:val="00E16BA6"/>
    <w:rsid w:val="00E1711E"/>
    <w:rsid w:val="00E17499"/>
    <w:rsid w:val="00E17C2B"/>
    <w:rsid w:val="00E204CC"/>
    <w:rsid w:val="00E20AC8"/>
    <w:rsid w:val="00E2159A"/>
    <w:rsid w:val="00E21660"/>
    <w:rsid w:val="00E21AFF"/>
    <w:rsid w:val="00E21F3B"/>
    <w:rsid w:val="00E220AE"/>
    <w:rsid w:val="00E22397"/>
    <w:rsid w:val="00E22463"/>
    <w:rsid w:val="00E2252B"/>
    <w:rsid w:val="00E225AC"/>
    <w:rsid w:val="00E228B1"/>
    <w:rsid w:val="00E22DBE"/>
    <w:rsid w:val="00E22E08"/>
    <w:rsid w:val="00E22ED4"/>
    <w:rsid w:val="00E23194"/>
    <w:rsid w:val="00E236EB"/>
    <w:rsid w:val="00E23779"/>
    <w:rsid w:val="00E240A1"/>
    <w:rsid w:val="00E240E6"/>
    <w:rsid w:val="00E241A7"/>
    <w:rsid w:val="00E2452C"/>
    <w:rsid w:val="00E2472D"/>
    <w:rsid w:val="00E248E8"/>
    <w:rsid w:val="00E24BC6"/>
    <w:rsid w:val="00E24DC2"/>
    <w:rsid w:val="00E2585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F1"/>
    <w:rsid w:val="00E34556"/>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0"/>
    <w:rsid w:val="00E43037"/>
    <w:rsid w:val="00E4370A"/>
    <w:rsid w:val="00E43723"/>
    <w:rsid w:val="00E43736"/>
    <w:rsid w:val="00E4374C"/>
    <w:rsid w:val="00E43890"/>
    <w:rsid w:val="00E43973"/>
    <w:rsid w:val="00E43B4F"/>
    <w:rsid w:val="00E43EE2"/>
    <w:rsid w:val="00E4400B"/>
    <w:rsid w:val="00E44122"/>
    <w:rsid w:val="00E44307"/>
    <w:rsid w:val="00E443E4"/>
    <w:rsid w:val="00E44A3F"/>
    <w:rsid w:val="00E44C64"/>
    <w:rsid w:val="00E44DD4"/>
    <w:rsid w:val="00E4557B"/>
    <w:rsid w:val="00E457E3"/>
    <w:rsid w:val="00E45C9B"/>
    <w:rsid w:val="00E45D31"/>
    <w:rsid w:val="00E462C3"/>
    <w:rsid w:val="00E46700"/>
    <w:rsid w:val="00E4691D"/>
    <w:rsid w:val="00E46DA5"/>
    <w:rsid w:val="00E46DB1"/>
    <w:rsid w:val="00E4766E"/>
    <w:rsid w:val="00E478B1"/>
    <w:rsid w:val="00E47C54"/>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9ED"/>
    <w:rsid w:val="00E54BF6"/>
    <w:rsid w:val="00E54E88"/>
    <w:rsid w:val="00E5515A"/>
    <w:rsid w:val="00E5531B"/>
    <w:rsid w:val="00E55405"/>
    <w:rsid w:val="00E55428"/>
    <w:rsid w:val="00E55889"/>
    <w:rsid w:val="00E558E1"/>
    <w:rsid w:val="00E55994"/>
    <w:rsid w:val="00E55C0F"/>
    <w:rsid w:val="00E56361"/>
    <w:rsid w:val="00E56954"/>
    <w:rsid w:val="00E569CC"/>
    <w:rsid w:val="00E56BF6"/>
    <w:rsid w:val="00E56EF4"/>
    <w:rsid w:val="00E57308"/>
    <w:rsid w:val="00E5737F"/>
    <w:rsid w:val="00E57545"/>
    <w:rsid w:val="00E576A7"/>
    <w:rsid w:val="00E57AF4"/>
    <w:rsid w:val="00E57B49"/>
    <w:rsid w:val="00E57B7D"/>
    <w:rsid w:val="00E57BB6"/>
    <w:rsid w:val="00E60256"/>
    <w:rsid w:val="00E6029E"/>
    <w:rsid w:val="00E6054D"/>
    <w:rsid w:val="00E609FC"/>
    <w:rsid w:val="00E60F31"/>
    <w:rsid w:val="00E61285"/>
    <w:rsid w:val="00E612DB"/>
    <w:rsid w:val="00E61A5A"/>
    <w:rsid w:val="00E61D04"/>
    <w:rsid w:val="00E61E6E"/>
    <w:rsid w:val="00E61F5C"/>
    <w:rsid w:val="00E622A2"/>
    <w:rsid w:val="00E62952"/>
    <w:rsid w:val="00E62E93"/>
    <w:rsid w:val="00E62EFA"/>
    <w:rsid w:val="00E63126"/>
    <w:rsid w:val="00E63165"/>
    <w:rsid w:val="00E634B7"/>
    <w:rsid w:val="00E6398B"/>
    <w:rsid w:val="00E63AD0"/>
    <w:rsid w:val="00E63CDA"/>
    <w:rsid w:val="00E64216"/>
    <w:rsid w:val="00E64291"/>
    <w:rsid w:val="00E6440E"/>
    <w:rsid w:val="00E64816"/>
    <w:rsid w:val="00E648EC"/>
    <w:rsid w:val="00E64BBB"/>
    <w:rsid w:val="00E64D5C"/>
    <w:rsid w:val="00E64EE4"/>
    <w:rsid w:val="00E64F45"/>
    <w:rsid w:val="00E6507D"/>
    <w:rsid w:val="00E65125"/>
    <w:rsid w:val="00E65523"/>
    <w:rsid w:val="00E6596F"/>
    <w:rsid w:val="00E65BB8"/>
    <w:rsid w:val="00E65D35"/>
    <w:rsid w:val="00E65E35"/>
    <w:rsid w:val="00E66BE6"/>
    <w:rsid w:val="00E66D2C"/>
    <w:rsid w:val="00E66DD0"/>
    <w:rsid w:val="00E6711D"/>
    <w:rsid w:val="00E67561"/>
    <w:rsid w:val="00E67721"/>
    <w:rsid w:val="00E67949"/>
    <w:rsid w:val="00E679C6"/>
    <w:rsid w:val="00E7029B"/>
    <w:rsid w:val="00E703B9"/>
    <w:rsid w:val="00E7049B"/>
    <w:rsid w:val="00E70D66"/>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8F1"/>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5B18"/>
    <w:rsid w:val="00E85B25"/>
    <w:rsid w:val="00E85B28"/>
    <w:rsid w:val="00E86900"/>
    <w:rsid w:val="00E8691F"/>
    <w:rsid w:val="00E86B1E"/>
    <w:rsid w:val="00E86FBE"/>
    <w:rsid w:val="00E87367"/>
    <w:rsid w:val="00E87454"/>
    <w:rsid w:val="00E87C0C"/>
    <w:rsid w:val="00E87DC7"/>
    <w:rsid w:val="00E900C0"/>
    <w:rsid w:val="00E90450"/>
    <w:rsid w:val="00E907F0"/>
    <w:rsid w:val="00E9099F"/>
    <w:rsid w:val="00E90C05"/>
    <w:rsid w:val="00E91572"/>
    <w:rsid w:val="00E917D8"/>
    <w:rsid w:val="00E91931"/>
    <w:rsid w:val="00E91A7E"/>
    <w:rsid w:val="00E91B22"/>
    <w:rsid w:val="00E91C33"/>
    <w:rsid w:val="00E91D5B"/>
    <w:rsid w:val="00E91FD9"/>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CF1"/>
    <w:rsid w:val="00E93F69"/>
    <w:rsid w:val="00E93F78"/>
    <w:rsid w:val="00E94242"/>
    <w:rsid w:val="00E947A6"/>
    <w:rsid w:val="00E94866"/>
    <w:rsid w:val="00E9527F"/>
    <w:rsid w:val="00E95296"/>
    <w:rsid w:val="00E95480"/>
    <w:rsid w:val="00E957CF"/>
    <w:rsid w:val="00E959AA"/>
    <w:rsid w:val="00E96243"/>
    <w:rsid w:val="00E96565"/>
    <w:rsid w:val="00E96A74"/>
    <w:rsid w:val="00E96F7A"/>
    <w:rsid w:val="00E972CB"/>
    <w:rsid w:val="00E9733C"/>
    <w:rsid w:val="00E973A8"/>
    <w:rsid w:val="00E977F8"/>
    <w:rsid w:val="00E97B24"/>
    <w:rsid w:val="00E97FDD"/>
    <w:rsid w:val="00EA0499"/>
    <w:rsid w:val="00EA054E"/>
    <w:rsid w:val="00EA0653"/>
    <w:rsid w:val="00EA09F8"/>
    <w:rsid w:val="00EA0ADE"/>
    <w:rsid w:val="00EA0C50"/>
    <w:rsid w:val="00EA171D"/>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E8C"/>
    <w:rsid w:val="00EA5F34"/>
    <w:rsid w:val="00EA632D"/>
    <w:rsid w:val="00EA6559"/>
    <w:rsid w:val="00EA65D6"/>
    <w:rsid w:val="00EA67EA"/>
    <w:rsid w:val="00EA6ED6"/>
    <w:rsid w:val="00EA6F94"/>
    <w:rsid w:val="00EA7231"/>
    <w:rsid w:val="00EA7690"/>
    <w:rsid w:val="00EA7761"/>
    <w:rsid w:val="00EA7837"/>
    <w:rsid w:val="00EA78E3"/>
    <w:rsid w:val="00EA7A9F"/>
    <w:rsid w:val="00EB04E7"/>
    <w:rsid w:val="00EB0F9B"/>
    <w:rsid w:val="00EB12AB"/>
    <w:rsid w:val="00EB1648"/>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387"/>
    <w:rsid w:val="00EB48DF"/>
    <w:rsid w:val="00EB497B"/>
    <w:rsid w:val="00EB4C21"/>
    <w:rsid w:val="00EB4C3B"/>
    <w:rsid w:val="00EB4C77"/>
    <w:rsid w:val="00EB4CD2"/>
    <w:rsid w:val="00EB537F"/>
    <w:rsid w:val="00EB58BF"/>
    <w:rsid w:val="00EB5962"/>
    <w:rsid w:val="00EB5A8A"/>
    <w:rsid w:val="00EB5AC5"/>
    <w:rsid w:val="00EB61ED"/>
    <w:rsid w:val="00EB61FD"/>
    <w:rsid w:val="00EB6201"/>
    <w:rsid w:val="00EB6365"/>
    <w:rsid w:val="00EB6776"/>
    <w:rsid w:val="00EB68C5"/>
    <w:rsid w:val="00EB6F83"/>
    <w:rsid w:val="00EB73C3"/>
    <w:rsid w:val="00EB76DC"/>
    <w:rsid w:val="00EB7741"/>
    <w:rsid w:val="00EB77BC"/>
    <w:rsid w:val="00EB7898"/>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CB6"/>
    <w:rsid w:val="00EC1EA3"/>
    <w:rsid w:val="00EC2294"/>
    <w:rsid w:val="00EC2481"/>
    <w:rsid w:val="00EC2792"/>
    <w:rsid w:val="00EC2A2E"/>
    <w:rsid w:val="00EC2B44"/>
    <w:rsid w:val="00EC2BF4"/>
    <w:rsid w:val="00EC3068"/>
    <w:rsid w:val="00EC30DE"/>
    <w:rsid w:val="00EC313C"/>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C5"/>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C1F"/>
    <w:rsid w:val="00ED112B"/>
    <w:rsid w:val="00ED133A"/>
    <w:rsid w:val="00ED15ED"/>
    <w:rsid w:val="00ED19F6"/>
    <w:rsid w:val="00ED1E3B"/>
    <w:rsid w:val="00ED2166"/>
    <w:rsid w:val="00ED25DD"/>
    <w:rsid w:val="00ED2639"/>
    <w:rsid w:val="00ED2898"/>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70D"/>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A03"/>
    <w:rsid w:val="00EE5D39"/>
    <w:rsid w:val="00EE5F84"/>
    <w:rsid w:val="00EE5F8A"/>
    <w:rsid w:val="00EE5FEC"/>
    <w:rsid w:val="00EE64F9"/>
    <w:rsid w:val="00EE65EB"/>
    <w:rsid w:val="00EE6605"/>
    <w:rsid w:val="00EE6806"/>
    <w:rsid w:val="00EE6C1F"/>
    <w:rsid w:val="00EE6FC4"/>
    <w:rsid w:val="00EE7269"/>
    <w:rsid w:val="00EE72DE"/>
    <w:rsid w:val="00EE743E"/>
    <w:rsid w:val="00EE75E6"/>
    <w:rsid w:val="00EE76DE"/>
    <w:rsid w:val="00EE7718"/>
    <w:rsid w:val="00EE77C1"/>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661"/>
    <w:rsid w:val="00EF4B9F"/>
    <w:rsid w:val="00EF4D7F"/>
    <w:rsid w:val="00EF4DD6"/>
    <w:rsid w:val="00EF5133"/>
    <w:rsid w:val="00EF53F9"/>
    <w:rsid w:val="00EF5AA1"/>
    <w:rsid w:val="00EF5CE5"/>
    <w:rsid w:val="00EF6244"/>
    <w:rsid w:val="00EF6342"/>
    <w:rsid w:val="00EF6498"/>
    <w:rsid w:val="00EF64C7"/>
    <w:rsid w:val="00EF6EAC"/>
    <w:rsid w:val="00EF6F59"/>
    <w:rsid w:val="00EF6FF5"/>
    <w:rsid w:val="00EF75D7"/>
    <w:rsid w:val="00EF79AB"/>
    <w:rsid w:val="00F001A8"/>
    <w:rsid w:val="00F00777"/>
    <w:rsid w:val="00F00795"/>
    <w:rsid w:val="00F0090D"/>
    <w:rsid w:val="00F00CF6"/>
    <w:rsid w:val="00F00F6A"/>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867"/>
    <w:rsid w:val="00F03AD9"/>
    <w:rsid w:val="00F040CE"/>
    <w:rsid w:val="00F04275"/>
    <w:rsid w:val="00F0483D"/>
    <w:rsid w:val="00F05235"/>
    <w:rsid w:val="00F058A4"/>
    <w:rsid w:val="00F05BFE"/>
    <w:rsid w:val="00F05F8F"/>
    <w:rsid w:val="00F0628C"/>
    <w:rsid w:val="00F0655A"/>
    <w:rsid w:val="00F0657A"/>
    <w:rsid w:val="00F0673B"/>
    <w:rsid w:val="00F069F7"/>
    <w:rsid w:val="00F06A09"/>
    <w:rsid w:val="00F06AAF"/>
    <w:rsid w:val="00F06DD5"/>
    <w:rsid w:val="00F06F50"/>
    <w:rsid w:val="00F0707A"/>
    <w:rsid w:val="00F07375"/>
    <w:rsid w:val="00F077D1"/>
    <w:rsid w:val="00F07A77"/>
    <w:rsid w:val="00F1016F"/>
    <w:rsid w:val="00F10263"/>
    <w:rsid w:val="00F10579"/>
    <w:rsid w:val="00F1058A"/>
    <w:rsid w:val="00F10D19"/>
    <w:rsid w:val="00F10D76"/>
    <w:rsid w:val="00F10F1A"/>
    <w:rsid w:val="00F111A2"/>
    <w:rsid w:val="00F11331"/>
    <w:rsid w:val="00F11837"/>
    <w:rsid w:val="00F11855"/>
    <w:rsid w:val="00F11CE8"/>
    <w:rsid w:val="00F11D7C"/>
    <w:rsid w:val="00F11F19"/>
    <w:rsid w:val="00F11FB7"/>
    <w:rsid w:val="00F123E6"/>
    <w:rsid w:val="00F127BD"/>
    <w:rsid w:val="00F12D97"/>
    <w:rsid w:val="00F12EA8"/>
    <w:rsid w:val="00F13329"/>
    <w:rsid w:val="00F13493"/>
    <w:rsid w:val="00F13E42"/>
    <w:rsid w:val="00F144D0"/>
    <w:rsid w:val="00F146C7"/>
    <w:rsid w:val="00F14909"/>
    <w:rsid w:val="00F14A2C"/>
    <w:rsid w:val="00F14C82"/>
    <w:rsid w:val="00F14CCE"/>
    <w:rsid w:val="00F14DD0"/>
    <w:rsid w:val="00F14E37"/>
    <w:rsid w:val="00F15042"/>
    <w:rsid w:val="00F1508D"/>
    <w:rsid w:val="00F15329"/>
    <w:rsid w:val="00F15464"/>
    <w:rsid w:val="00F154BD"/>
    <w:rsid w:val="00F15891"/>
    <w:rsid w:val="00F15ABC"/>
    <w:rsid w:val="00F15BD0"/>
    <w:rsid w:val="00F15E3F"/>
    <w:rsid w:val="00F16012"/>
    <w:rsid w:val="00F16832"/>
    <w:rsid w:val="00F16A0D"/>
    <w:rsid w:val="00F16A6E"/>
    <w:rsid w:val="00F1768E"/>
    <w:rsid w:val="00F176D2"/>
    <w:rsid w:val="00F178F3"/>
    <w:rsid w:val="00F20117"/>
    <w:rsid w:val="00F20653"/>
    <w:rsid w:val="00F206F5"/>
    <w:rsid w:val="00F209A5"/>
    <w:rsid w:val="00F20B13"/>
    <w:rsid w:val="00F21106"/>
    <w:rsid w:val="00F21326"/>
    <w:rsid w:val="00F2162D"/>
    <w:rsid w:val="00F21672"/>
    <w:rsid w:val="00F21678"/>
    <w:rsid w:val="00F216DB"/>
    <w:rsid w:val="00F217C5"/>
    <w:rsid w:val="00F21AF2"/>
    <w:rsid w:val="00F21BE3"/>
    <w:rsid w:val="00F21F26"/>
    <w:rsid w:val="00F223AF"/>
    <w:rsid w:val="00F22A2C"/>
    <w:rsid w:val="00F22FED"/>
    <w:rsid w:val="00F230C1"/>
    <w:rsid w:val="00F2330B"/>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76B"/>
    <w:rsid w:val="00F26CBB"/>
    <w:rsid w:val="00F26EFC"/>
    <w:rsid w:val="00F2763F"/>
    <w:rsid w:val="00F27723"/>
    <w:rsid w:val="00F27878"/>
    <w:rsid w:val="00F27AD3"/>
    <w:rsid w:val="00F27C47"/>
    <w:rsid w:val="00F27E70"/>
    <w:rsid w:val="00F30054"/>
    <w:rsid w:val="00F30486"/>
    <w:rsid w:val="00F30658"/>
    <w:rsid w:val="00F30675"/>
    <w:rsid w:val="00F309E7"/>
    <w:rsid w:val="00F3102B"/>
    <w:rsid w:val="00F3108D"/>
    <w:rsid w:val="00F31458"/>
    <w:rsid w:val="00F314A9"/>
    <w:rsid w:val="00F3182D"/>
    <w:rsid w:val="00F31832"/>
    <w:rsid w:val="00F31974"/>
    <w:rsid w:val="00F31B33"/>
    <w:rsid w:val="00F31C2A"/>
    <w:rsid w:val="00F31D24"/>
    <w:rsid w:val="00F31E41"/>
    <w:rsid w:val="00F31E86"/>
    <w:rsid w:val="00F32286"/>
    <w:rsid w:val="00F322FD"/>
    <w:rsid w:val="00F32423"/>
    <w:rsid w:val="00F32EA0"/>
    <w:rsid w:val="00F3372F"/>
    <w:rsid w:val="00F337D7"/>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CEE"/>
    <w:rsid w:val="00F40E23"/>
    <w:rsid w:val="00F40F4B"/>
    <w:rsid w:val="00F4120C"/>
    <w:rsid w:val="00F4158C"/>
    <w:rsid w:val="00F41846"/>
    <w:rsid w:val="00F418B8"/>
    <w:rsid w:val="00F41AB2"/>
    <w:rsid w:val="00F41B3C"/>
    <w:rsid w:val="00F41E08"/>
    <w:rsid w:val="00F41FB6"/>
    <w:rsid w:val="00F420EA"/>
    <w:rsid w:val="00F42617"/>
    <w:rsid w:val="00F428CD"/>
    <w:rsid w:val="00F42DDB"/>
    <w:rsid w:val="00F4349A"/>
    <w:rsid w:val="00F437A3"/>
    <w:rsid w:val="00F43966"/>
    <w:rsid w:val="00F43DED"/>
    <w:rsid w:val="00F43F25"/>
    <w:rsid w:val="00F44095"/>
    <w:rsid w:val="00F4496D"/>
    <w:rsid w:val="00F4497C"/>
    <w:rsid w:val="00F44BF2"/>
    <w:rsid w:val="00F44CBA"/>
    <w:rsid w:val="00F44E13"/>
    <w:rsid w:val="00F451EC"/>
    <w:rsid w:val="00F452D4"/>
    <w:rsid w:val="00F45627"/>
    <w:rsid w:val="00F45B88"/>
    <w:rsid w:val="00F45CBB"/>
    <w:rsid w:val="00F45CCF"/>
    <w:rsid w:val="00F45CE5"/>
    <w:rsid w:val="00F45D73"/>
    <w:rsid w:val="00F46385"/>
    <w:rsid w:val="00F468FD"/>
    <w:rsid w:val="00F46BA6"/>
    <w:rsid w:val="00F46D78"/>
    <w:rsid w:val="00F4704E"/>
    <w:rsid w:val="00F4730F"/>
    <w:rsid w:val="00F47658"/>
    <w:rsid w:val="00F47A55"/>
    <w:rsid w:val="00F47A71"/>
    <w:rsid w:val="00F47BBE"/>
    <w:rsid w:val="00F47EB3"/>
    <w:rsid w:val="00F47EC6"/>
    <w:rsid w:val="00F50142"/>
    <w:rsid w:val="00F50473"/>
    <w:rsid w:val="00F50749"/>
    <w:rsid w:val="00F508F9"/>
    <w:rsid w:val="00F50A55"/>
    <w:rsid w:val="00F50AA4"/>
    <w:rsid w:val="00F50F10"/>
    <w:rsid w:val="00F51215"/>
    <w:rsid w:val="00F51606"/>
    <w:rsid w:val="00F51740"/>
    <w:rsid w:val="00F51BEF"/>
    <w:rsid w:val="00F51D6E"/>
    <w:rsid w:val="00F51F49"/>
    <w:rsid w:val="00F5235E"/>
    <w:rsid w:val="00F52760"/>
    <w:rsid w:val="00F52F2E"/>
    <w:rsid w:val="00F53009"/>
    <w:rsid w:val="00F5304E"/>
    <w:rsid w:val="00F53071"/>
    <w:rsid w:val="00F534A6"/>
    <w:rsid w:val="00F53523"/>
    <w:rsid w:val="00F536EC"/>
    <w:rsid w:val="00F53A63"/>
    <w:rsid w:val="00F53CE1"/>
    <w:rsid w:val="00F53D6B"/>
    <w:rsid w:val="00F54580"/>
    <w:rsid w:val="00F549CF"/>
    <w:rsid w:val="00F54F92"/>
    <w:rsid w:val="00F550AF"/>
    <w:rsid w:val="00F550D7"/>
    <w:rsid w:val="00F553B8"/>
    <w:rsid w:val="00F559DB"/>
    <w:rsid w:val="00F55B46"/>
    <w:rsid w:val="00F55D13"/>
    <w:rsid w:val="00F55DA1"/>
    <w:rsid w:val="00F55E2A"/>
    <w:rsid w:val="00F5610D"/>
    <w:rsid w:val="00F5622F"/>
    <w:rsid w:val="00F563FD"/>
    <w:rsid w:val="00F566E9"/>
    <w:rsid w:val="00F56BD5"/>
    <w:rsid w:val="00F5705C"/>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B30"/>
    <w:rsid w:val="00F61F18"/>
    <w:rsid w:val="00F61F8F"/>
    <w:rsid w:val="00F62072"/>
    <w:rsid w:val="00F62135"/>
    <w:rsid w:val="00F6227A"/>
    <w:rsid w:val="00F62338"/>
    <w:rsid w:val="00F6292D"/>
    <w:rsid w:val="00F62AED"/>
    <w:rsid w:val="00F62B30"/>
    <w:rsid w:val="00F62C95"/>
    <w:rsid w:val="00F63188"/>
    <w:rsid w:val="00F6354F"/>
    <w:rsid w:val="00F6366D"/>
    <w:rsid w:val="00F63896"/>
    <w:rsid w:val="00F6398F"/>
    <w:rsid w:val="00F63B2E"/>
    <w:rsid w:val="00F63D4D"/>
    <w:rsid w:val="00F63F30"/>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1379"/>
    <w:rsid w:val="00F71486"/>
    <w:rsid w:val="00F71651"/>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E3E"/>
    <w:rsid w:val="00F82F26"/>
    <w:rsid w:val="00F839A3"/>
    <w:rsid w:val="00F83A4A"/>
    <w:rsid w:val="00F83BD1"/>
    <w:rsid w:val="00F83F3C"/>
    <w:rsid w:val="00F841D2"/>
    <w:rsid w:val="00F84648"/>
    <w:rsid w:val="00F846BA"/>
    <w:rsid w:val="00F8487D"/>
    <w:rsid w:val="00F848AF"/>
    <w:rsid w:val="00F84AC3"/>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2E8"/>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956"/>
    <w:rsid w:val="00FA0B7D"/>
    <w:rsid w:val="00FA0D5D"/>
    <w:rsid w:val="00FA1111"/>
    <w:rsid w:val="00FA1545"/>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538"/>
    <w:rsid w:val="00FA561F"/>
    <w:rsid w:val="00FA57D0"/>
    <w:rsid w:val="00FA5B77"/>
    <w:rsid w:val="00FA5E02"/>
    <w:rsid w:val="00FA5E4D"/>
    <w:rsid w:val="00FA6242"/>
    <w:rsid w:val="00FA6473"/>
    <w:rsid w:val="00FA6910"/>
    <w:rsid w:val="00FA6A37"/>
    <w:rsid w:val="00FA6AFC"/>
    <w:rsid w:val="00FA6FEB"/>
    <w:rsid w:val="00FA7019"/>
    <w:rsid w:val="00FA71D6"/>
    <w:rsid w:val="00FA7BC3"/>
    <w:rsid w:val="00FA7EE6"/>
    <w:rsid w:val="00FB00B3"/>
    <w:rsid w:val="00FB0155"/>
    <w:rsid w:val="00FB0270"/>
    <w:rsid w:val="00FB043D"/>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A"/>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7D"/>
    <w:rsid w:val="00FB6551"/>
    <w:rsid w:val="00FB67F2"/>
    <w:rsid w:val="00FB69A5"/>
    <w:rsid w:val="00FB6C63"/>
    <w:rsid w:val="00FB6E37"/>
    <w:rsid w:val="00FB7041"/>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2A"/>
    <w:rsid w:val="00FC44F8"/>
    <w:rsid w:val="00FC450C"/>
    <w:rsid w:val="00FC45B5"/>
    <w:rsid w:val="00FC4633"/>
    <w:rsid w:val="00FC4647"/>
    <w:rsid w:val="00FC4779"/>
    <w:rsid w:val="00FC47A4"/>
    <w:rsid w:val="00FC4886"/>
    <w:rsid w:val="00FC48B8"/>
    <w:rsid w:val="00FC48C2"/>
    <w:rsid w:val="00FC4A26"/>
    <w:rsid w:val="00FC4B0A"/>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2F1"/>
    <w:rsid w:val="00FD03EC"/>
    <w:rsid w:val="00FD0507"/>
    <w:rsid w:val="00FD06B2"/>
    <w:rsid w:val="00FD07E0"/>
    <w:rsid w:val="00FD08B8"/>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A42"/>
    <w:rsid w:val="00FD2B5E"/>
    <w:rsid w:val="00FD2DA9"/>
    <w:rsid w:val="00FD307D"/>
    <w:rsid w:val="00FD3095"/>
    <w:rsid w:val="00FD3252"/>
    <w:rsid w:val="00FD353F"/>
    <w:rsid w:val="00FD3CCA"/>
    <w:rsid w:val="00FD3E9B"/>
    <w:rsid w:val="00FD4048"/>
    <w:rsid w:val="00FD458C"/>
    <w:rsid w:val="00FD45EA"/>
    <w:rsid w:val="00FD46D2"/>
    <w:rsid w:val="00FD4B0B"/>
    <w:rsid w:val="00FD4C31"/>
    <w:rsid w:val="00FD4E4C"/>
    <w:rsid w:val="00FD4E57"/>
    <w:rsid w:val="00FD4F5D"/>
    <w:rsid w:val="00FD58CB"/>
    <w:rsid w:val="00FD5A9A"/>
    <w:rsid w:val="00FD5ACF"/>
    <w:rsid w:val="00FD5C34"/>
    <w:rsid w:val="00FD60DA"/>
    <w:rsid w:val="00FD614F"/>
    <w:rsid w:val="00FD6256"/>
    <w:rsid w:val="00FD66AE"/>
    <w:rsid w:val="00FD6970"/>
    <w:rsid w:val="00FD6DF1"/>
    <w:rsid w:val="00FD6F01"/>
    <w:rsid w:val="00FD7373"/>
    <w:rsid w:val="00FD7697"/>
    <w:rsid w:val="00FD76E2"/>
    <w:rsid w:val="00FD7715"/>
    <w:rsid w:val="00FD7FA6"/>
    <w:rsid w:val="00FD7FD5"/>
    <w:rsid w:val="00FE0066"/>
    <w:rsid w:val="00FE027C"/>
    <w:rsid w:val="00FE08C1"/>
    <w:rsid w:val="00FE0957"/>
    <w:rsid w:val="00FE0D51"/>
    <w:rsid w:val="00FE1069"/>
    <w:rsid w:val="00FE1481"/>
    <w:rsid w:val="00FE16CD"/>
    <w:rsid w:val="00FE17A5"/>
    <w:rsid w:val="00FE18C9"/>
    <w:rsid w:val="00FE1FC9"/>
    <w:rsid w:val="00FE265B"/>
    <w:rsid w:val="00FE278C"/>
    <w:rsid w:val="00FE35CB"/>
    <w:rsid w:val="00FE36DE"/>
    <w:rsid w:val="00FE38CA"/>
    <w:rsid w:val="00FE3972"/>
    <w:rsid w:val="00FE4AC9"/>
    <w:rsid w:val="00FE5033"/>
    <w:rsid w:val="00FE5044"/>
    <w:rsid w:val="00FE51EC"/>
    <w:rsid w:val="00FE5374"/>
    <w:rsid w:val="00FE58A0"/>
    <w:rsid w:val="00FE5AF9"/>
    <w:rsid w:val="00FE5DD9"/>
    <w:rsid w:val="00FE5EAB"/>
    <w:rsid w:val="00FE6047"/>
    <w:rsid w:val="00FE619F"/>
    <w:rsid w:val="00FE6238"/>
    <w:rsid w:val="00FE690F"/>
    <w:rsid w:val="00FE6917"/>
    <w:rsid w:val="00FE6A9F"/>
    <w:rsid w:val="00FE6C49"/>
    <w:rsid w:val="00FE6E69"/>
    <w:rsid w:val="00FE7314"/>
    <w:rsid w:val="00FE751C"/>
    <w:rsid w:val="00FE77CA"/>
    <w:rsid w:val="00FE7A83"/>
    <w:rsid w:val="00FE7FE5"/>
    <w:rsid w:val="00FF05E6"/>
    <w:rsid w:val="00FF070B"/>
    <w:rsid w:val="00FF09AE"/>
    <w:rsid w:val="00FF0B11"/>
    <w:rsid w:val="00FF0C27"/>
    <w:rsid w:val="00FF0DB8"/>
    <w:rsid w:val="00FF109E"/>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4FC9"/>
    <w:rsid w:val="00FF5386"/>
    <w:rsid w:val="00FF5510"/>
    <w:rsid w:val="00FF5AA9"/>
    <w:rsid w:val="00FF5C48"/>
    <w:rsid w:val="00FF5D08"/>
    <w:rsid w:val="00FF5D46"/>
    <w:rsid w:val="00FF5E9E"/>
    <w:rsid w:val="00FF6708"/>
    <w:rsid w:val="00FF67B8"/>
    <w:rsid w:val="00FF6887"/>
    <w:rsid w:val="00FF6F4D"/>
    <w:rsid w:val="00FF71D3"/>
    <w:rsid w:val="00FF74D7"/>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 w:type="character" w:customStyle="1" w:styleId="fontstyle01">
    <w:name w:val="fontstyle01"/>
    <w:basedOn w:val="Policepardfaut"/>
    <w:rsid w:val="00F144D0"/>
    <w:rPr>
      <w:rFonts w:ascii="Helvetica" w:hAnsi="Helvetica" w:hint="default"/>
      <w:b w:val="0"/>
      <w:bCs w:val="0"/>
      <w:i/>
      <w:iCs/>
      <w:color w:val="242021"/>
      <w:sz w:val="20"/>
      <w:szCs w:val="20"/>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109126243">
      <w:bodyDiv w:val="1"/>
      <w:marLeft w:val="0"/>
      <w:marRight w:val="0"/>
      <w:marTop w:val="0"/>
      <w:marBottom w:val="0"/>
      <w:divBdr>
        <w:top w:val="none" w:sz="0" w:space="0" w:color="auto"/>
        <w:left w:val="none" w:sz="0" w:space="0" w:color="auto"/>
        <w:bottom w:val="none" w:sz="0" w:space="0" w:color="auto"/>
        <w:right w:val="none" w:sz="0" w:space="0" w:color="auto"/>
      </w:divBdr>
      <w:divsChild>
        <w:div w:id="956329571">
          <w:marLeft w:val="0"/>
          <w:marRight w:val="0"/>
          <w:marTop w:val="0"/>
          <w:marBottom w:val="0"/>
          <w:divBdr>
            <w:top w:val="none" w:sz="0" w:space="0" w:color="auto"/>
            <w:left w:val="none" w:sz="0" w:space="0" w:color="auto"/>
            <w:bottom w:val="none" w:sz="0" w:space="0" w:color="auto"/>
            <w:right w:val="none" w:sz="0" w:space="0" w:color="auto"/>
          </w:divBdr>
          <w:divsChild>
            <w:div w:id="1474129592">
              <w:marLeft w:val="0"/>
              <w:marRight w:val="0"/>
              <w:marTop w:val="0"/>
              <w:marBottom w:val="0"/>
              <w:divBdr>
                <w:top w:val="none" w:sz="0" w:space="0" w:color="auto"/>
                <w:left w:val="none" w:sz="0" w:space="0" w:color="auto"/>
                <w:bottom w:val="none" w:sz="0" w:space="0" w:color="auto"/>
                <w:right w:val="none" w:sz="0" w:space="0" w:color="auto"/>
              </w:divBdr>
              <w:divsChild>
                <w:div w:id="229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724180875">
      <w:bodyDiv w:val="1"/>
      <w:marLeft w:val="0"/>
      <w:marRight w:val="0"/>
      <w:marTop w:val="0"/>
      <w:marBottom w:val="0"/>
      <w:divBdr>
        <w:top w:val="none" w:sz="0" w:space="0" w:color="auto"/>
        <w:left w:val="none" w:sz="0" w:space="0" w:color="auto"/>
        <w:bottom w:val="none" w:sz="0" w:space="0" w:color="auto"/>
        <w:right w:val="none" w:sz="0" w:space="0" w:color="auto"/>
      </w:divBdr>
    </w:div>
    <w:div w:id="1108234080">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DB09-B441-4AC2-B2DF-27B21CAB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3628</Words>
  <Characters>19956</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Communiqué de presse_PC_45_janvier_2023</vt:lpstr>
      <vt:lpstr>ٌٌٌRedressement progressif de la FBCF durant 2010…</vt:lpstr>
    </vt:vector>
  </TitlesOfParts>
  <Company>Sweet</Company>
  <LinksUpToDate>false</LinksUpToDate>
  <CharactersWithSpaces>23537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presse_PC_45_janvier_2023</dc:title>
  <dc:creator>user</dc:creator>
  <cp:lastModifiedBy>HCP</cp:lastModifiedBy>
  <cp:revision>3</cp:revision>
  <cp:lastPrinted>2024-04-04T14:02:00Z</cp:lastPrinted>
  <dcterms:created xsi:type="dcterms:W3CDTF">2024-04-04T14:03:00Z</dcterms:created>
  <dcterms:modified xsi:type="dcterms:W3CDTF">2024-04-07T16:46:00Z</dcterms:modified>
</cp:coreProperties>
</file>