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976CA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976CA8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يونيو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17201E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</w:t>
      </w: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027EEA" w:rsidRDefault="00EC7B6A" w:rsidP="00E9325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1723C6">
        <w:rPr>
          <w:rFonts w:ascii="Arial" w:hAnsi="Arial" w:cs="Simplified Arabic" w:hint="cs"/>
          <w:sz w:val="28"/>
          <w:szCs w:val="28"/>
          <w:rtl/>
        </w:rPr>
        <w:t>انخفاضا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قدره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E9325C">
        <w:rPr>
          <w:rFonts w:ascii="Arial" w:hAnsi="Arial" w:cs="Simplified Arabic"/>
          <w:sz w:val="28"/>
          <w:szCs w:val="28"/>
        </w:rPr>
        <w:t>2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خلال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76CA8">
        <w:rPr>
          <w:rFonts w:ascii="Arial" w:hAnsi="Arial" w:cs="Simplified Arabic" w:hint="cs"/>
          <w:sz w:val="28"/>
          <w:szCs w:val="28"/>
          <w:rtl/>
        </w:rPr>
        <w:t>يونيو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76CA8">
        <w:rPr>
          <w:rFonts w:ascii="Arial" w:hAnsi="Arial" w:cs="Simplified Arabic" w:hint="cs"/>
          <w:sz w:val="28"/>
          <w:szCs w:val="28"/>
          <w:rtl/>
        </w:rPr>
        <w:t>ماي</w:t>
      </w:r>
      <w:r w:rsidR="00662FFF" w:rsidRPr="006A5E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662FFF" w:rsidRPr="006A5E41">
        <w:rPr>
          <w:rFonts w:ascii="Arial" w:hAnsi="Arial" w:cs="Simplified Arabic"/>
          <w:sz w:val="28"/>
          <w:szCs w:val="28"/>
        </w:rPr>
        <w:t xml:space="preserve"> 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B64F03">
        <w:rPr>
          <w:rFonts w:ascii="Arial" w:hAnsi="Arial" w:cs="Simplified Arabic" w:hint="cs"/>
          <w:sz w:val="28"/>
          <w:szCs w:val="28"/>
          <w:rtl/>
        </w:rPr>
        <w:t>الانخفاض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1723C6" w:rsidRPr="006A5E41" w:rsidRDefault="001723C6" w:rsidP="001723C6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1723C6" w:rsidRPr="006A5E41" w:rsidRDefault="001723C6" w:rsidP="000B0AC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Pr="006A5E41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3</w:t>
      </w:r>
      <w:r w:rsidRPr="006A5E41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1723C6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Pr="006A5E41">
        <w:rPr>
          <w:rFonts w:ascii="Arial" w:hAnsi="Arial" w:cs="Simplified Arabic" w:hint="cs"/>
          <w:sz w:val="28"/>
          <w:szCs w:val="28"/>
          <w:rtl/>
        </w:rPr>
        <w:t>" و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Pr="006A5E41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Pr="006A5E41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B0AC6">
        <w:rPr>
          <w:rFonts w:ascii="Arial" w:hAnsi="Arial" w:cs="Simplified Arabic" w:hint="cs"/>
          <w:sz w:val="28"/>
          <w:szCs w:val="28"/>
          <w:rtl/>
        </w:rPr>
        <w:t>في</w:t>
      </w:r>
      <w:r w:rsidR="000B0AC6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B0AC6">
        <w:rPr>
          <w:rFonts w:ascii="Arial" w:hAnsi="Arial" w:cs="Simplified Arabic" w:hint="cs"/>
          <w:sz w:val="28"/>
          <w:szCs w:val="28"/>
          <w:rtl/>
          <w:lang w:bidi="ar-MA"/>
        </w:rPr>
        <w:t>"</w:t>
      </w:r>
      <w:r w:rsidR="000B0AC6" w:rsidRPr="001723C6">
        <w:rPr>
          <w:rFonts w:ascii="Arial" w:hAnsi="Arial" w:cs="Simplified Arabic" w:hint="cs"/>
          <w:sz w:val="28"/>
          <w:szCs w:val="28"/>
          <w:rtl/>
        </w:rPr>
        <w:t>صناع</w:t>
      </w:r>
      <w:r w:rsidR="000B0AC6" w:rsidRPr="001723C6">
        <w:rPr>
          <w:rFonts w:ascii="Arial" w:hAnsi="Arial" w:cs="Simplified Arabic" w:hint="eastAsia"/>
          <w:sz w:val="28"/>
          <w:szCs w:val="28"/>
          <w:rtl/>
        </w:rPr>
        <w:t>ة</w:t>
      </w:r>
      <w:r w:rsidRPr="001723C6">
        <w:rPr>
          <w:rFonts w:ascii="Arial" w:hAnsi="Arial" w:cs="Simplified Arabic"/>
          <w:sz w:val="28"/>
          <w:szCs w:val="28"/>
          <w:rtl/>
        </w:rPr>
        <w:t xml:space="preserve"> منتجات معدنية</w:t>
      </w:r>
      <w:r w:rsidR="00BC31EB" w:rsidRPr="006A5E41">
        <w:rPr>
          <w:rFonts w:ascii="Arial" w:hAnsi="Arial" w:cs="Simplified Arabic" w:hint="cs"/>
          <w:sz w:val="28"/>
          <w:szCs w:val="28"/>
          <w:rtl/>
        </w:rPr>
        <w:t>"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و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1723C6">
        <w:rPr>
          <w:rFonts w:ascii="Arial" w:hAnsi="Arial" w:cs="Simplified Arabic" w:hint="cs"/>
          <w:sz w:val="28"/>
          <w:szCs w:val="28"/>
          <w:rtl/>
        </w:rPr>
        <w:t>في</w:t>
      </w:r>
      <w:r w:rsidRPr="001723C6">
        <w:rPr>
          <w:rFonts w:ascii="Arial" w:hAnsi="Arial" w:cs="Simplified Arabic"/>
          <w:sz w:val="28"/>
          <w:szCs w:val="28"/>
        </w:rPr>
        <w:t xml:space="preserve"> </w:t>
      </w:r>
      <w:r w:rsidRPr="001723C6">
        <w:rPr>
          <w:rFonts w:ascii="Arial" w:hAnsi="Arial" w:cs="Simplified Arabic" w:hint="cs"/>
          <w:sz w:val="28"/>
          <w:szCs w:val="28"/>
          <w:rtl/>
        </w:rPr>
        <w:t>"</w:t>
      </w:r>
      <w:r w:rsidRPr="001723C6">
        <w:rPr>
          <w:rFonts w:ascii="Arial" w:hAnsi="Arial" w:cs="Simplified Arabic"/>
          <w:sz w:val="28"/>
          <w:szCs w:val="28"/>
          <w:rtl/>
        </w:rPr>
        <w:t xml:space="preserve">صنع الأجهزة </w:t>
      </w:r>
      <w:r w:rsidRPr="001723C6">
        <w:rPr>
          <w:rFonts w:ascii="Arial" w:hAnsi="Arial" w:cs="Simplified Arabic" w:hint="cs"/>
          <w:sz w:val="28"/>
          <w:szCs w:val="28"/>
          <w:rtl/>
        </w:rPr>
        <w:t>الكهربائية"</w:t>
      </w:r>
      <w:r w:rsidRPr="006A5E41">
        <w:rPr>
          <w:rFonts w:ascii="Arial" w:hAnsi="Arial" w:cs="Simplified Arabic" w:hint="cs"/>
          <w:sz w:val="28"/>
          <w:szCs w:val="28"/>
          <w:rtl/>
        </w:rPr>
        <w:t>؛</w:t>
      </w:r>
    </w:p>
    <w:p w:rsidR="002535EC" w:rsidRPr="001723C6" w:rsidRDefault="002535EC" w:rsidP="002535E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2535EC" w:rsidRPr="006A5E41" w:rsidRDefault="002535EC" w:rsidP="001723C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222952" w:rsidRPr="006A5E41">
        <w:rPr>
          <w:rFonts w:ascii="Arial" w:hAnsi="Arial" w:cs="Simplified Arabic" w:hint="cs"/>
          <w:sz w:val="28"/>
          <w:szCs w:val="28"/>
          <w:rtl/>
        </w:rPr>
        <w:t xml:space="preserve">الأسعار </w:t>
      </w:r>
      <w:r w:rsidR="00222952" w:rsidRPr="006A5E41">
        <w:rPr>
          <w:rFonts w:ascii="Arial" w:hAnsi="Arial" w:cs="Simplified Arabic"/>
          <w:sz w:val="28"/>
          <w:szCs w:val="28"/>
          <w:rtl/>
        </w:rPr>
        <w:t>ب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="001723C6" w:rsidRPr="001723C6">
        <w:rPr>
          <w:rFonts w:ascii="Arial" w:hAnsi="Arial" w:cs="Simplified Arabic"/>
          <w:sz w:val="28"/>
          <w:szCs w:val="28"/>
        </w:rPr>
        <w:t>0</w:t>
      </w:r>
      <w:r w:rsidRPr="001723C6">
        <w:rPr>
          <w:rFonts w:ascii="Arial" w:hAnsi="Arial" w:cs="Simplified Arabic"/>
          <w:sz w:val="28"/>
          <w:szCs w:val="28"/>
        </w:rPr>
        <w:t>,</w:t>
      </w:r>
      <w:r w:rsidR="001723C6" w:rsidRPr="001723C6">
        <w:rPr>
          <w:rFonts w:ascii="Arial" w:hAnsi="Arial" w:cs="Simplified Arabic"/>
          <w:sz w:val="28"/>
          <w:szCs w:val="28"/>
        </w:rPr>
        <w:t>4</w:t>
      </w:r>
      <w:r w:rsidRPr="001723C6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قطاع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"التعدين"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ب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1723C6" w:rsidRPr="001723C6">
        <w:rPr>
          <w:rFonts w:ascii="Arial" w:hAnsi="Arial" w:cs="Simplified Arabic"/>
          <w:sz w:val="28"/>
          <w:szCs w:val="28"/>
        </w:rPr>
        <w:t>0</w:t>
      </w:r>
      <w:r w:rsidR="007400B6" w:rsidRPr="001723C6">
        <w:rPr>
          <w:rFonts w:ascii="Arial" w:hAnsi="Arial" w:cs="Simplified Arabic"/>
          <w:sz w:val="28"/>
          <w:szCs w:val="28"/>
        </w:rPr>
        <w:t>,</w:t>
      </w:r>
      <w:r w:rsidR="001723C6" w:rsidRPr="001723C6">
        <w:rPr>
          <w:rFonts w:ascii="Arial" w:hAnsi="Arial" w:cs="Simplified Arabic"/>
          <w:sz w:val="28"/>
          <w:szCs w:val="28"/>
        </w:rPr>
        <w:t>2</w:t>
      </w:r>
      <w:r w:rsidR="007400B6" w:rsidRPr="001723C6">
        <w:rPr>
          <w:rFonts w:ascii="Arial" w:hAnsi="Arial" w:cs="Simplified Arabic"/>
          <w:sz w:val="28"/>
          <w:szCs w:val="28"/>
        </w:rPr>
        <w:t xml:space="preserve">%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1723C6" w:rsidRPr="006A5E41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" و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 xml:space="preserve">ب  </w:t>
      </w:r>
      <w:r w:rsidR="007400B6" w:rsidRPr="001723C6">
        <w:rPr>
          <w:rFonts w:ascii="Arial" w:hAnsi="Arial" w:cs="Simplified Arabic"/>
          <w:sz w:val="28"/>
          <w:szCs w:val="28"/>
        </w:rPr>
        <w:t>0,</w:t>
      </w:r>
      <w:r w:rsidR="001723C6" w:rsidRPr="001723C6">
        <w:rPr>
          <w:rFonts w:ascii="Arial" w:hAnsi="Arial" w:cs="Simplified Arabic"/>
          <w:sz w:val="28"/>
          <w:szCs w:val="28"/>
        </w:rPr>
        <w:t>1</w:t>
      </w:r>
      <w:r w:rsidR="007400B6" w:rsidRPr="001723C6">
        <w:rPr>
          <w:rFonts w:ascii="Arial" w:hAnsi="Arial" w:cs="Simplified Arabic"/>
          <w:sz w:val="28"/>
          <w:szCs w:val="28"/>
        </w:rPr>
        <w:t>%</w:t>
      </w:r>
      <w:r w:rsidR="007400B6" w:rsidRPr="001723C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723C6" w:rsidRPr="001723C6">
        <w:rPr>
          <w:rFonts w:ascii="Arial" w:hAnsi="Arial" w:cs="Simplified Arabic"/>
          <w:sz w:val="28"/>
          <w:szCs w:val="28"/>
        </w:rPr>
        <w:t>"</w:t>
      </w:r>
      <w:r w:rsidR="001723C6" w:rsidRPr="001723C6">
        <w:rPr>
          <w:rFonts w:ascii="Arial" w:hAnsi="Arial" w:cs="Simplified Arabic"/>
          <w:sz w:val="28"/>
          <w:szCs w:val="28"/>
          <w:rtl/>
        </w:rPr>
        <w:t>صنع تجهيزات معلوماتية ومنتجات الكترونية وبصرية</w:t>
      </w:r>
      <w:r w:rsidR="001723C6" w:rsidRPr="001723C6">
        <w:rPr>
          <w:rFonts w:ascii="Arial" w:hAnsi="Arial" w:cs="Simplified Arabic" w:hint="cs"/>
          <w:sz w:val="28"/>
          <w:szCs w:val="28"/>
          <w:rtl/>
        </w:rPr>
        <w:t>"</w:t>
      </w:r>
      <w:r w:rsidR="001723C6">
        <w:rPr>
          <w:rFonts w:ascii="Arial" w:hAnsi="Arial" w:cs="Simplified Arabic"/>
          <w:sz w:val="28"/>
          <w:szCs w:val="28"/>
        </w:rPr>
        <w:t>.</w:t>
      </w:r>
    </w:p>
    <w:p w:rsidR="002535EC" w:rsidRPr="006A5E41" w:rsidRDefault="002535EC" w:rsidP="002535E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7F07DD" w:rsidRDefault="00E7249A" w:rsidP="001723C6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723C6">
        <w:rPr>
          <w:rFonts w:ascii="Arial" w:hAnsi="Arial" w:cs="Simplified Arabic" w:hint="cs"/>
          <w:sz w:val="28"/>
          <w:szCs w:val="28"/>
          <w:rtl/>
        </w:rPr>
        <w:t>يونيو</w:t>
      </w:r>
      <w:r w:rsidR="004C7061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06724B" w:rsidRDefault="0006724B" w:rsidP="0006724B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1723C6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يونيو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1723C6" w:rsidRDefault="001723C6" w:rsidP="00F76E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ماي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1723C6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723C6" w:rsidRPr="00547B39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3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1723C6" w:rsidRPr="00537C21" w:rsidRDefault="001723C6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723C6" w:rsidRPr="00BE6079" w:rsidTr="00E9325C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1723C6" w:rsidRPr="00740F69" w:rsidRDefault="001723C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723C6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1723C6" w:rsidRPr="00740F69" w:rsidRDefault="001723C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723C6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1723C6" w:rsidRPr="0027388E" w:rsidRDefault="001723C6" w:rsidP="00E9325C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1723C6" w:rsidRPr="00740F69" w:rsidRDefault="001723C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1264" w:type="dxa"/>
            <w:vAlign w:val="center"/>
          </w:tcPr>
          <w:p w:rsidR="00E9325C" w:rsidRPr="005A5602" w:rsidRDefault="00E9325C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E9325C" w:rsidRPr="00537C21" w:rsidRDefault="00E9325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9325C" w:rsidRPr="00BE6079" w:rsidTr="00E9325C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E9325C" w:rsidRPr="008124D0" w:rsidRDefault="00E9325C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="00973240"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</w:t>
            </w:r>
            <w:bookmarkStart w:id="0" w:name="_GoBack"/>
            <w:bookmarkEnd w:id="0"/>
            <w:r w:rsidR="00973240"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9325C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E9325C" w:rsidRDefault="00E9325C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E9325C" w:rsidRPr="008124D0" w:rsidRDefault="00E932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E9325C" w:rsidRPr="00740F69" w:rsidRDefault="00E932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723C6" w:rsidRPr="00BE6079" w:rsidTr="00E9325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1723C6" w:rsidRPr="007452C1" w:rsidRDefault="001723C6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723C6" w:rsidRPr="00BE6079" w:rsidTr="00E9325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1723C6" w:rsidRPr="00CF11CF" w:rsidRDefault="001723C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723C6" w:rsidRPr="00BE6079" w:rsidTr="00E9325C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723C6" w:rsidRPr="005A5602" w:rsidRDefault="001723C6" w:rsidP="00E932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723C6" w:rsidRPr="00CF11CF" w:rsidRDefault="001723C6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723C6" w:rsidRPr="00BE6079" w:rsidTr="00E9325C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723C6" w:rsidRDefault="001723C6" w:rsidP="00E932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723C6" w:rsidRPr="008124D0" w:rsidRDefault="001723C6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1723C6" w:rsidRPr="00CD7F18" w:rsidRDefault="001723C6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46" w:rsidRDefault="00E54146">
      <w:r>
        <w:separator/>
      </w:r>
    </w:p>
  </w:endnote>
  <w:endnote w:type="continuationSeparator" w:id="0">
    <w:p w:rsidR="00E54146" w:rsidRDefault="00E5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D468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3D468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E3C8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E3C8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D468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46" w:rsidRDefault="00E54146">
      <w:r>
        <w:separator/>
      </w:r>
    </w:p>
  </w:footnote>
  <w:footnote w:type="continuationSeparator" w:id="0">
    <w:p w:rsidR="00E54146" w:rsidRDefault="00E5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06936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0AC6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465"/>
    <w:rsid w:val="00393B90"/>
    <w:rsid w:val="00393EF8"/>
    <w:rsid w:val="0039461F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46D9"/>
    <w:rsid w:val="005A4CDF"/>
    <w:rsid w:val="005A52B7"/>
    <w:rsid w:val="005A57DB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7F30-AA58-4C26-9FCD-CA40E10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15</cp:revision>
  <cp:lastPrinted>2024-07-25T14:58:00Z</cp:lastPrinted>
  <dcterms:created xsi:type="dcterms:W3CDTF">2024-07-23T12:48:00Z</dcterms:created>
  <dcterms:modified xsi:type="dcterms:W3CDTF">2024-07-28T19:00:00Z</dcterms:modified>
</cp:coreProperties>
</file>