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D1D" w:rsidRDefault="007C0FBE" w:rsidP="00AB58EE">
      <w:pPr>
        <w:pStyle w:val="MMTitle"/>
        <w:ind w:left="-180"/>
        <w:jc w:val="center"/>
        <w:outlineLvl w:val="0"/>
        <w:rPr>
          <w:rFonts w:ascii="Book Antiqua" w:hAnsi="Book Antiqua" w:cstheme="majorHAnsi"/>
          <w:b/>
          <w:bCs/>
          <w:color w:val="4472C4" w:themeColor="accent1"/>
          <w:sz w:val="28"/>
          <w:szCs w:val="28"/>
        </w:rPr>
      </w:pPr>
      <w:r>
        <w:rPr>
          <w:rFonts w:ascii="Book Antiqua" w:hAnsi="Book Antiqua" w:cstheme="majorHAnsi"/>
          <w:b/>
          <w:bCs/>
          <w:color w:val="4472C4" w:themeColor="accent1"/>
          <w:sz w:val="28"/>
          <w:szCs w:val="28"/>
        </w:rPr>
        <w:t xml:space="preserve">  </w:t>
      </w:r>
    </w:p>
    <w:p w:rsidR="00E37D1D" w:rsidRDefault="00E37D1D" w:rsidP="00AB58EE">
      <w:pPr>
        <w:pStyle w:val="MMTitle"/>
        <w:ind w:left="-180"/>
        <w:jc w:val="center"/>
        <w:outlineLvl w:val="0"/>
        <w:rPr>
          <w:rFonts w:ascii="Book Antiqua" w:hAnsi="Book Antiqua" w:cstheme="majorHAnsi"/>
          <w:b/>
          <w:bCs/>
          <w:color w:val="4472C4" w:themeColor="accent1"/>
          <w:sz w:val="28"/>
          <w:szCs w:val="28"/>
        </w:rPr>
      </w:pPr>
    </w:p>
    <w:p w:rsidR="00E37D1D" w:rsidRDefault="00E37D1D" w:rsidP="00AB58EE">
      <w:pPr>
        <w:pStyle w:val="MMTitle"/>
        <w:ind w:left="-180"/>
        <w:jc w:val="center"/>
        <w:outlineLvl w:val="0"/>
        <w:rPr>
          <w:rFonts w:ascii="Book Antiqua" w:hAnsi="Book Antiqua" w:cstheme="majorHAnsi"/>
          <w:b/>
          <w:bCs/>
          <w:color w:val="4472C4" w:themeColor="accent1"/>
          <w:sz w:val="28"/>
          <w:szCs w:val="28"/>
        </w:rPr>
      </w:pPr>
    </w:p>
    <w:p w:rsidR="0056706F" w:rsidRDefault="00167B85" w:rsidP="00AB58EE">
      <w:pPr>
        <w:pStyle w:val="MMTitle"/>
        <w:ind w:left="-180"/>
        <w:jc w:val="center"/>
        <w:outlineLvl w:val="0"/>
        <w:rPr>
          <w:rFonts w:ascii="Book Antiqua" w:hAnsi="Book Antiqua" w:cstheme="majorHAnsi"/>
          <w:b/>
          <w:bCs/>
          <w:color w:val="4472C4" w:themeColor="accent1"/>
          <w:sz w:val="26"/>
          <w:szCs w:val="26"/>
        </w:rPr>
      </w:pPr>
      <w:r w:rsidRPr="00101148">
        <w:rPr>
          <w:rFonts w:ascii="Book Antiqua" w:hAnsi="Book Antiqua" w:cstheme="majorHAnsi"/>
          <w:b/>
          <w:bCs/>
          <w:color w:val="4472C4" w:themeColor="accent1"/>
          <w:sz w:val="26"/>
          <w:szCs w:val="26"/>
        </w:rPr>
        <w:t xml:space="preserve">NOTE D’INFORMATION DU HAUT-COMMISSARIAT AU PLAN RELATIVE </w:t>
      </w:r>
    </w:p>
    <w:p w:rsidR="0056706F" w:rsidRDefault="00167B85" w:rsidP="00AB58EE">
      <w:pPr>
        <w:pStyle w:val="MMTitle"/>
        <w:ind w:left="-180"/>
        <w:jc w:val="center"/>
        <w:outlineLvl w:val="0"/>
        <w:rPr>
          <w:rFonts w:ascii="Book Antiqua" w:hAnsi="Book Antiqua" w:cstheme="majorHAnsi"/>
          <w:b/>
          <w:bCs/>
          <w:color w:val="4472C4" w:themeColor="accent1"/>
          <w:sz w:val="26"/>
          <w:szCs w:val="26"/>
        </w:rPr>
      </w:pPr>
      <w:r w:rsidRPr="00101148">
        <w:rPr>
          <w:rFonts w:ascii="Book Antiqua" w:hAnsi="Book Antiqua" w:cstheme="majorHAnsi"/>
          <w:b/>
          <w:bCs/>
          <w:color w:val="4472C4" w:themeColor="accent1"/>
          <w:sz w:val="26"/>
          <w:szCs w:val="26"/>
        </w:rPr>
        <w:t xml:space="preserve">A LA SITUATION DU MARCHE DU TRAVAIL </w:t>
      </w:r>
    </w:p>
    <w:p w:rsidR="00167B85" w:rsidRPr="00101148" w:rsidRDefault="00167B85" w:rsidP="00217BFC">
      <w:pPr>
        <w:pStyle w:val="MMTitle"/>
        <w:ind w:left="-180"/>
        <w:jc w:val="center"/>
        <w:outlineLvl w:val="0"/>
        <w:rPr>
          <w:rFonts w:ascii="Book Antiqua" w:hAnsi="Book Antiqua" w:cstheme="majorHAnsi"/>
          <w:b/>
          <w:bCs/>
          <w:color w:val="4472C4" w:themeColor="accent1"/>
          <w:sz w:val="26"/>
          <w:szCs w:val="26"/>
        </w:rPr>
      </w:pPr>
      <w:r w:rsidRPr="00101148">
        <w:rPr>
          <w:rFonts w:ascii="Book Antiqua" w:hAnsi="Book Antiqua" w:cstheme="majorHAnsi"/>
          <w:b/>
          <w:bCs/>
          <w:color w:val="4472C4" w:themeColor="accent1"/>
          <w:sz w:val="26"/>
          <w:szCs w:val="26"/>
        </w:rPr>
        <w:t xml:space="preserve">AU </w:t>
      </w:r>
      <w:r w:rsidR="00217BFC">
        <w:rPr>
          <w:rFonts w:ascii="Book Antiqua" w:hAnsi="Book Antiqua" w:cstheme="majorHAnsi"/>
          <w:b/>
          <w:bCs/>
          <w:color w:val="4472C4" w:themeColor="accent1"/>
          <w:sz w:val="26"/>
          <w:szCs w:val="26"/>
        </w:rPr>
        <w:t>DEUXIEME</w:t>
      </w:r>
      <w:r w:rsidR="00A55FAE" w:rsidRPr="00101148">
        <w:rPr>
          <w:rFonts w:ascii="Book Antiqua" w:hAnsi="Book Antiqua" w:cstheme="majorHAnsi"/>
          <w:b/>
          <w:bCs/>
          <w:color w:val="4472C4" w:themeColor="accent1"/>
          <w:sz w:val="26"/>
          <w:szCs w:val="26"/>
        </w:rPr>
        <w:t xml:space="preserve"> TRIMESTRE</w:t>
      </w:r>
      <w:r w:rsidRPr="00101148">
        <w:rPr>
          <w:rFonts w:ascii="Book Antiqua" w:hAnsi="Book Antiqua" w:cstheme="majorHAnsi"/>
          <w:b/>
          <w:bCs/>
          <w:color w:val="4472C4" w:themeColor="accent1"/>
          <w:sz w:val="26"/>
          <w:szCs w:val="26"/>
        </w:rPr>
        <w:t xml:space="preserve"> DE </w:t>
      </w:r>
      <w:r w:rsidR="007A2EA8">
        <w:rPr>
          <w:rFonts w:ascii="Book Antiqua" w:hAnsi="Book Antiqua" w:cstheme="majorHAnsi"/>
          <w:b/>
          <w:bCs/>
          <w:color w:val="4472C4" w:themeColor="accent1"/>
          <w:sz w:val="26"/>
          <w:szCs w:val="26"/>
        </w:rPr>
        <w:t>2024</w:t>
      </w:r>
    </w:p>
    <w:p w:rsidR="00A0224C" w:rsidRDefault="00101148" w:rsidP="0016181E">
      <w:pPr>
        <w:autoSpaceDE w:val="0"/>
        <w:autoSpaceDN w:val="0"/>
        <w:adjustRightInd w:val="0"/>
        <w:spacing w:before="120" w:after="120" w:line="240" w:lineRule="auto"/>
        <w:jc w:val="both"/>
        <w:rPr>
          <w:rFonts w:ascii="Book Antiqua" w:hAnsi="Book Antiqua"/>
          <w:color w:val="2F5496" w:themeColor="accent1" w:themeShade="BF"/>
          <w:sz w:val="24"/>
          <w:szCs w:val="24"/>
        </w:rPr>
      </w:pPr>
      <w:r>
        <w:rPr>
          <w:rFonts w:ascii="Book Antiqua" w:hAnsi="Book Antiqua"/>
          <w:color w:val="2F5496" w:themeColor="accent1" w:themeShade="BF"/>
          <w:sz w:val="24"/>
          <w:szCs w:val="24"/>
        </w:rPr>
        <w:t xml:space="preserve">  </w:t>
      </w:r>
      <w:r w:rsidR="009926E3">
        <w:rPr>
          <w:rFonts w:ascii="Book Antiqua" w:hAnsi="Book Antiqua"/>
          <w:color w:val="2F5496" w:themeColor="accent1" w:themeShade="BF"/>
          <w:sz w:val="24"/>
          <w:szCs w:val="24"/>
        </w:rPr>
        <w:t xml:space="preserve">  </w:t>
      </w:r>
    </w:p>
    <w:p w:rsidR="0079020B" w:rsidRPr="00140CE4" w:rsidRDefault="005C380C" w:rsidP="005C380C">
      <w:pPr>
        <w:autoSpaceDE w:val="0"/>
        <w:autoSpaceDN w:val="0"/>
        <w:adjustRightInd w:val="0"/>
        <w:spacing w:before="120" w:after="120" w:line="240" w:lineRule="auto"/>
        <w:jc w:val="both"/>
        <w:rPr>
          <w:rFonts w:ascii="Book Antiqua" w:hAnsi="Book Antiqua"/>
          <w:color w:val="2F5496" w:themeColor="accent1" w:themeShade="BF"/>
        </w:rPr>
      </w:pPr>
      <w:r>
        <w:rPr>
          <w:rFonts w:ascii="Book Antiqua" w:hAnsi="Book Antiqua"/>
          <w:color w:val="2F5496" w:themeColor="accent1" w:themeShade="BF"/>
        </w:rPr>
        <w:t>Au deuxième trimestre de 2024, la</w:t>
      </w:r>
      <w:r w:rsidR="00B961E7" w:rsidRPr="00BA5579">
        <w:rPr>
          <w:rFonts w:ascii="Book Antiqua" w:hAnsi="Book Antiqua"/>
          <w:color w:val="2F5496" w:themeColor="accent1" w:themeShade="BF"/>
        </w:rPr>
        <w:t xml:space="preserve"> situation du marché de travail</w:t>
      </w:r>
      <w:r w:rsidR="00801731">
        <w:rPr>
          <w:rFonts w:ascii="Book Antiqua" w:hAnsi="Book Antiqua"/>
          <w:color w:val="2F5496" w:themeColor="accent1" w:themeShade="BF"/>
        </w:rPr>
        <w:t xml:space="preserve"> </w:t>
      </w:r>
      <w:r w:rsidR="00F8609F">
        <w:rPr>
          <w:rFonts w:ascii="Book Antiqua" w:hAnsi="Book Antiqua"/>
          <w:color w:val="2F5496" w:themeColor="accent1" w:themeShade="BF"/>
        </w:rPr>
        <w:t xml:space="preserve">continue de subir l’effet de la </w:t>
      </w:r>
      <w:r w:rsidR="008056DF">
        <w:rPr>
          <w:rFonts w:ascii="Book Antiqua" w:hAnsi="Book Antiqua"/>
          <w:color w:val="2F5496" w:themeColor="accent1" w:themeShade="BF"/>
        </w:rPr>
        <w:t>sécheresse</w:t>
      </w:r>
      <w:r w:rsidR="00F8609F">
        <w:rPr>
          <w:rFonts w:ascii="Book Antiqua" w:hAnsi="Book Antiqua"/>
          <w:color w:val="2F5496" w:themeColor="accent1" w:themeShade="BF"/>
        </w:rPr>
        <w:t xml:space="preserve">. </w:t>
      </w:r>
      <w:r w:rsidR="00801731">
        <w:rPr>
          <w:rFonts w:ascii="Book Antiqua" w:hAnsi="Book Antiqua"/>
          <w:color w:val="2F5496" w:themeColor="accent1" w:themeShade="BF"/>
        </w:rPr>
        <w:t>A</w:t>
      </w:r>
      <w:r w:rsidR="00906402">
        <w:rPr>
          <w:rFonts w:ascii="Book Antiqua" w:hAnsi="Book Antiqua"/>
          <w:color w:val="2F5496" w:themeColor="accent1" w:themeShade="BF"/>
        </w:rPr>
        <w:t>i</w:t>
      </w:r>
      <w:r w:rsidR="00801731">
        <w:rPr>
          <w:rFonts w:ascii="Book Antiqua" w:hAnsi="Book Antiqua"/>
          <w:color w:val="2F5496" w:themeColor="accent1" w:themeShade="BF"/>
        </w:rPr>
        <w:t>nsi, e</w:t>
      </w:r>
      <w:r w:rsidR="00801731" w:rsidRPr="00BA5579">
        <w:rPr>
          <w:rFonts w:ascii="Book Antiqua" w:hAnsi="Book Antiqua"/>
          <w:color w:val="2F5496" w:themeColor="accent1" w:themeShade="BF"/>
        </w:rPr>
        <w:t xml:space="preserve">ntre le </w:t>
      </w:r>
      <w:r w:rsidR="00145C7E">
        <w:rPr>
          <w:rFonts w:ascii="Book Antiqua" w:hAnsi="Book Antiqua"/>
          <w:color w:val="2F5496" w:themeColor="accent1" w:themeShade="BF"/>
        </w:rPr>
        <w:t xml:space="preserve">deuxième </w:t>
      </w:r>
      <w:r w:rsidR="00801731" w:rsidRPr="00BA5579">
        <w:rPr>
          <w:rFonts w:ascii="Book Antiqua" w:hAnsi="Book Antiqua"/>
          <w:color w:val="2F5496" w:themeColor="accent1" w:themeShade="BF"/>
        </w:rPr>
        <w:t xml:space="preserve"> trimestre de 2023 et celui de 2024</w:t>
      </w:r>
      <w:r w:rsidR="00801731">
        <w:rPr>
          <w:rFonts w:ascii="Book Antiqua" w:hAnsi="Book Antiqua"/>
          <w:color w:val="2F5496" w:themeColor="accent1" w:themeShade="BF"/>
        </w:rPr>
        <w:t xml:space="preserve">, </w:t>
      </w:r>
      <w:r w:rsidR="00F8609F">
        <w:rPr>
          <w:rFonts w:ascii="Book Antiqua" w:hAnsi="Book Antiqua"/>
          <w:color w:val="2F5496" w:themeColor="accent1" w:themeShade="BF"/>
        </w:rPr>
        <w:t xml:space="preserve">avec </w:t>
      </w:r>
      <w:r w:rsidR="00145C7E">
        <w:rPr>
          <w:rFonts w:ascii="Book Antiqua" w:hAnsi="Book Antiqua"/>
          <w:color w:val="2F5496" w:themeColor="accent1" w:themeShade="BF"/>
        </w:rPr>
        <w:t>la perte de 141</w:t>
      </w:r>
      <w:r w:rsidR="00F8609F" w:rsidRPr="00BA5579">
        <w:rPr>
          <w:rFonts w:ascii="Book Antiqua" w:hAnsi="Book Antiqua"/>
          <w:color w:val="2F5496" w:themeColor="accent1" w:themeShade="BF"/>
        </w:rPr>
        <w:t>.000 postes en milieu rural, principalement non rémunérés</w:t>
      </w:r>
      <w:r w:rsidR="00F8609F">
        <w:rPr>
          <w:rFonts w:ascii="Book Antiqua" w:hAnsi="Book Antiqua"/>
          <w:color w:val="2F5496" w:themeColor="accent1" w:themeShade="BF"/>
        </w:rPr>
        <w:t>, et la création</w:t>
      </w:r>
      <w:r w:rsidR="00145C7E">
        <w:rPr>
          <w:rFonts w:ascii="Book Antiqua" w:hAnsi="Book Antiqua"/>
          <w:color w:val="2F5496" w:themeColor="accent1" w:themeShade="BF"/>
        </w:rPr>
        <w:t xml:space="preserve"> de 60</w:t>
      </w:r>
      <w:r w:rsidR="00F8609F" w:rsidRPr="00BA5579">
        <w:rPr>
          <w:rFonts w:ascii="Book Antiqua" w:hAnsi="Book Antiqua"/>
          <w:color w:val="2F5496" w:themeColor="accent1" w:themeShade="BF"/>
        </w:rPr>
        <w:t>.000 postes en milieu urbain</w:t>
      </w:r>
      <w:r w:rsidR="00F8609F">
        <w:rPr>
          <w:rFonts w:ascii="Book Antiqua" w:hAnsi="Book Antiqua"/>
          <w:color w:val="2F5496" w:themeColor="accent1" w:themeShade="BF"/>
        </w:rPr>
        <w:t xml:space="preserve">, le volume global de l’emploi a baissé </w:t>
      </w:r>
      <w:r w:rsidR="00B961E7" w:rsidRPr="00BA5579">
        <w:rPr>
          <w:rFonts w:ascii="Book Antiqua" w:hAnsi="Book Antiqua"/>
          <w:color w:val="2F5496" w:themeColor="accent1" w:themeShade="BF"/>
        </w:rPr>
        <w:t>de 8</w:t>
      </w:r>
      <w:r w:rsidR="00145C7E">
        <w:rPr>
          <w:rFonts w:ascii="Book Antiqua" w:hAnsi="Book Antiqua"/>
          <w:color w:val="2F5496" w:themeColor="accent1" w:themeShade="BF"/>
        </w:rPr>
        <w:t>2</w:t>
      </w:r>
      <w:r w:rsidR="00B961E7" w:rsidRPr="00BA5579">
        <w:rPr>
          <w:rFonts w:ascii="Book Antiqua" w:hAnsi="Book Antiqua"/>
          <w:color w:val="2F5496" w:themeColor="accent1" w:themeShade="BF"/>
        </w:rPr>
        <w:t>.000 postes</w:t>
      </w:r>
      <w:r w:rsidR="00140CE4">
        <w:rPr>
          <w:rFonts w:ascii="Book Antiqua" w:hAnsi="Book Antiqua"/>
          <w:color w:val="2F5496" w:themeColor="accent1" w:themeShade="BF"/>
        </w:rPr>
        <w:t>.</w:t>
      </w:r>
    </w:p>
    <w:p w:rsidR="00D33371" w:rsidRDefault="00D33371" w:rsidP="00D33371">
      <w:pPr>
        <w:spacing w:before="120" w:after="120" w:line="240" w:lineRule="auto"/>
        <w:jc w:val="both"/>
        <w:rPr>
          <w:rFonts w:ascii="Book Antiqua" w:hAnsi="Book Antiqua"/>
          <w:color w:val="2F5496" w:themeColor="accent1" w:themeShade="BF"/>
        </w:rPr>
      </w:pPr>
      <w:r w:rsidRPr="00D33371">
        <w:rPr>
          <w:rFonts w:ascii="Book Antiqua" w:hAnsi="Book Antiqua"/>
          <w:color w:val="2F5496" w:themeColor="accent1" w:themeShade="BF"/>
        </w:rPr>
        <w:t>Le secteur de l'agriculture, de la forêt et de la pêche a enregistr</w:t>
      </w:r>
      <w:r>
        <w:rPr>
          <w:rFonts w:ascii="Book Antiqua" w:hAnsi="Book Antiqua"/>
          <w:color w:val="2F5496" w:themeColor="accent1" w:themeShade="BF"/>
        </w:rPr>
        <w:t xml:space="preserve">é une baisse de 152 000 postes et </w:t>
      </w:r>
      <w:r w:rsidRPr="00D33371">
        <w:rPr>
          <w:rFonts w:ascii="Book Antiqua" w:hAnsi="Book Antiqua"/>
          <w:color w:val="2F5496" w:themeColor="accent1" w:themeShade="BF"/>
        </w:rPr>
        <w:t>celui d</w:t>
      </w:r>
      <w:r>
        <w:rPr>
          <w:rFonts w:ascii="Book Antiqua" w:hAnsi="Book Antiqua"/>
          <w:color w:val="2F5496" w:themeColor="accent1" w:themeShade="BF"/>
        </w:rPr>
        <w:t xml:space="preserve">es </w:t>
      </w:r>
      <w:r w:rsidR="00DB38FA">
        <w:rPr>
          <w:rFonts w:ascii="Book Antiqua" w:hAnsi="Book Antiqua"/>
          <w:color w:val="2F5496" w:themeColor="accent1" w:themeShade="BF"/>
        </w:rPr>
        <w:t>BTP a perdu 35.</w:t>
      </w:r>
      <w:r w:rsidRPr="00D33371">
        <w:rPr>
          <w:rFonts w:ascii="Book Antiqua" w:hAnsi="Book Antiqua"/>
          <w:color w:val="2F5496" w:themeColor="accent1" w:themeShade="BF"/>
        </w:rPr>
        <w:t>000 postes. En revanche, le secteur de l'industrie, y</w:t>
      </w:r>
      <w:r w:rsidR="00DB38FA">
        <w:rPr>
          <w:rFonts w:ascii="Book Antiqua" w:hAnsi="Book Antiqua"/>
          <w:color w:val="2F5496" w:themeColor="accent1" w:themeShade="BF"/>
        </w:rPr>
        <w:t xml:space="preserve"> compris l'artisanat, a créé 58.</w:t>
      </w:r>
      <w:r w:rsidRPr="00D33371">
        <w:rPr>
          <w:rFonts w:ascii="Book Antiqua" w:hAnsi="Book Antiqua"/>
          <w:color w:val="2F5496" w:themeColor="accent1" w:themeShade="BF"/>
        </w:rPr>
        <w:t>000 postes, suivi des services avec 49 000 postes.</w:t>
      </w:r>
    </w:p>
    <w:p w:rsidR="00167B85" w:rsidRPr="00F72752" w:rsidRDefault="00832B2C" w:rsidP="00145C7E">
      <w:pPr>
        <w:spacing w:before="120" w:after="120" w:line="240" w:lineRule="auto"/>
        <w:jc w:val="both"/>
        <w:rPr>
          <w:rFonts w:ascii="Book Antiqua" w:hAnsi="Book Antiqua"/>
          <w:color w:val="2F5496" w:themeColor="accent1" w:themeShade="BF"/>
        </w:rPr>
      </w:pPr>
      <w:r w:rsidRPr="00F72752">
        <w:rPr>
          <w:rFonts w:ascii="Book Antiqua" w:hAnsi="Book Antiqua"/>
          <w:color w:val="2F5496" w:themeColor="accent1" w:themeShade="BF"/>
        </w:rPr>
        <w:t xml:space="preserve">Le volume du chômage </w:t>
      </w:r>
      <w:r>
        <w:rPr>
          <w:rFonts w:ascii="Book Antiqua" w:hAnsi="Book Antiqua"/>
          <w:color w:val="2F5496" w:themeColor="accent1" w:themeShade="BF"/>
        </w:rPr>
        <w:t xml:space="preserve">s’est accru de </w:t>
      </w:r>
      <w:r w:rsidR="00145C7E">
        <w:rPr>
          <w:rFonts w:ascii="Book Antiqua" w:hAnsi="Book Antiqua"/>
          <w:color w:val="2F5496" w:themeColor="accent1" w:themeShade="BF"/>
        </w:rPr>
        <w:t>90</w:t>
      </w:r>
      <w:r w:rsidRPr="00F72752">
        <w:rPr>
          <w:rFonts w:ascii="Book Antiqua" w:hAnsi="Book Antiqua"/>
          <w:color w:val="2F5496" w:themeColor="accent1" w:themeShade="BF"/>
        </w:rPr>
        <w:t xml:space="preserve">.000 personnes, </w:t>
      </w:r>
      <w:r w:rsidR="00145C7E">
        <w:rPr>
          <w:rFonts w:ascii="Book Antiqua" w:hAnsi="Book Antiqua"/>
          <w:color w:val="2F5496" w:themeColor="accent1" w:themeShade="BF"/>
        </w:rPr>
        <w:t>48</w:t>
      </w:r>
      <w:r w:rsidRPr="00F72752">
        <w:rPr>
          <w:rFonts w:ascii="Book Antiqua" w:hAnsi="Book Antiqua"/>
          <w:color w:val="2F5496" w:themeColor="accent1" w:themeShade="BF"/>
        </w:rPr>
        <w:t xml:space="preserve">.000 en milieu urbain et </w:t>
      </w:r>
      <w:r w:rsidR="00145C7E">
        <w:rPr>
          <w:rFonts w:ascii="Book Antiqua" w:hAnsi="Book Antiqua"/>
          <w:color w:val="2F5496" w:themeColor="accent1" w:themeShade="BF"/>
        </w:rPr>
        <w:t>42</w:t>
      </w:r>
      <w:r w:rsidRPr="00F72752">
        <w:rPr>
          <w:rFonts w:ascii="Book Antiqua" w:hAnsi="Book Antiqua"/>
          <w:color w:val="2F5496" w:themeColor="accent1" w:themeShade="BF"/>
        </w:rPr>
        <w:t xml:space="preserve">.000 en milieu rural, </w:t>
      </w:r>
      <w:r w:rsidRPr="00832B2C">
        <w:rPr>
          <w:rFonts w:ascii="Book Antiqua" w:hAnsi="Book Antiqua"/>
          <w:color w:val="2F5496" w:themeColor="accent1" w:themeShade="BF"/>
        </w:rPr>
        <w:t xml:space="preserve">s’établissant à </w:t>
      </w:r>
      <w:r>
        <w:rPr>
          <w:rFonts w:ascii="Book Antiqua" w:hAnsi="Book Antiqua"/>
          <w:color w:val="2F5496" w:themeColor="accent1" w:themeShade="BF"/>
        </w:rPr>
        <w:t>1.6</w:t>
      </w:r>
      <w:r w:rsidR="00145C7E">
        <w:rPr>
          <w:rFonts w:ascii="Book Antiqua" w:hAnsi="Book Antiqua"/>
          <w:color w:val="2F5496" w:themeColor="accent1" w:themeShade="BF"/>
        </w:rPr>
        <w:t>33</w:t>
      </w:r>
      <w:r>
        <w:rPr>
          <w:rFonts w:ascii="Book Antiqua" w:hAnsi="Book Antiqua"/>
          <w:color w:val="2F5496" w:themeColor="accent1" w:themeShade="BF"/>
        </w:rPr>
        <w:t>.000</w:t>
      </w:r>
      <w:r w:rsidRPr="00F72752">
        <w:rPr>
          <w:rFonts w:ascii="Book Antiqua" w:hAnsi="Book Antiqua"/>
          <w:color w:val="2F5496" w:themeColor="accent1" w:themeShade="BF"/>
        </w:rPr>
        <w:t xml:space="preserve"> personnes, au niveau national</w:t>
      </w:r>
      <w:r>
        <w:rPr>
          <w:rFonts w:ascii="Book Antiqua" w:hAnsi="Book Antiqua"/>
          <w:color w:val="2F5496" w:themeColor="accent1" w:themeShade="BF"/>
        </w:rPr>
        <w:t>.</w:t>
      </w:r>
      <w:r w:rsidRPr="00F72752">
        <w:rPr>
          <w:rFonts w:ascii="Book Antiqua" w:hAnsi="Book Antiqua"/>
          <w:color w:val="2F5496" w:themeColor="accent1" w:themeShade="BF"/>
        </w:rPr>
        <w:t xml:space="preserve"> </w:t>
      </w:r>
    </w:p>
    <w:p w:rsidR="008056DF" w:rsidRPr="00F72752" w:rsidRDefault="008056DF" w:rsidP="002D2EF4">
      <w:pPr>
        <w:autoSpaceDE w:val="0"/>
        <w:autoSpaceDN w:val="0"/>
        <w:adjustRightInd w:val="0"/>
        <w:spacing w:before="120" w:after="120" w:line="240" w:lineRule="auto"/>
        <w:jc w:val="both"/>
        <w:rPr>
          <w:rFonts w:ascii="Book Antiqua" w:hAnsi="Book Antiqua"/>
          <w:color w:val="2F5496" w:themeColor="accent1" w:themeShade="BF"/>
        </w:rPr>
      </w:pPr>
      <w:r w:rsidRPr="00F72752">
        <w:rPr>
          <w:rFonts w:ascii="Book Antiqua" w:hAnsi="Book Antiqua"/>
          <w:color w:val="2F5496" w:themeColor="accent1" w:themeShade="BF"/>
        </w:rPr>
        <w:t>Le taux de chômage est ainsi passé de 12,</w:t>
      </w:r>
      <w:r w:rsidR="00145C7E">
        <w:rPr>
          <w:rFonts w:ascii="Book Antiqua" w:hAnsi="Book Antiqua"/>
          <w:color w:val="2F5496" w:themeColor="accent1" w:themeShade="BF"/>
        </w:rPr>
        <w:t>4</w:t>
      </w:r>
      <w:r w:rsidRPr="00F72752">
        <w:rPr>
          <w:rFonts w:ascii="Book Antiqua" w:hAnsi="Book Antiqua"/>
          <w:color w:val="2F5496" w:themeColor="accent1" w:themeShade="BF"/>
        </w:rPr>
        <w:t>% à 1</w:t>
      </w:r>
      <w:r>
        <w:rPr>
          <w:rFonts w:ascii="Book Antiqua" w:hAnsi="Book Antiqua"/>
          <w:color w:val="2F5496" w:themeColor="accent1" w:themeShade="BF"/>
        </w:rPr>
        <w:t>3</w:t>
      </w:r>
      <w:r w:rsidRPr="00F72752">
        <w:rPr>
          <w:rFonts w:ascii="Book Antiqua" w:hAnsi="Book Antiqua"/>
          <w:color w:val="2F5496" w:themeColor="accent1" w:themeShade="BF"/>
        </w:rPr>
        <w:t>,</w:t>
      </w:r>
      <w:r w:rsidR="00145C7E">
        <w:rPr>
          <w:rFonts w:ascii="Book Antiqua" w:hAnsi="Book Antiqua"/>
          <w:color w:val="2F5496" w:themeColor="accent1" w:themeShade="BF"/>
        </w:rPr>
        <w:t>1</w:t>
      </w:r>
      <w:r w:rsidRPr="00F72752">
        <w:rPr>
          <w:rFonts w:ascii="Book Antiqua" w:hAnsi="Book Antiqua"/>
          <w:color w:val="2F5496" w:themeColor="accent1" w:themeShade="BF"/>
        </w:rPr>
        <w:t>% au niveau national</w:t>
      </w:r>
      <w:r w:rsidR="00145C7E">
        <w:rPr>
          <w:rFonts w:ascii="Book Antiqua" w:hAnsi="Book Antiqua"/>
          <w:color w:val="2F5496" w:themeColor="accent1" w:themeShade="BF"/>
        </w:rPr>
        <w:t xml:space="preserve"> (+0,7</w:t>
      </w:r>
      <w:r>
        <w:rPr>
          <w:rFonts w:ascii="Book Antiqua" w:hAnsi="Book Antiqua"/>
          <w:color w:val="2F5496" w:themeColor="accent1" w:themeShade="BF"/>
        </w:rPr>
        <w:t xml:space="preserve"> point)</w:t>
      </w:r>
      <w:r w:rsidRPr="00F72752">
        <w:rPr>
          <w:rFonts w:ascii="Book Antiqua" w:hAnsi="Book Antiqua"/>
          <w:color w:val="2F5496" w:themeColor="accent1" w:themeShade="BF"/>
        </w:rPr>
        <w:t xml:space="preserve">, de </w:t>
      </w:r>
      <w:r w:rsidR="00145C7E">
        <w:rPr>
          <w:rFonts w:ascii="Book Antiqua" w:hAnsi="Book Antiqua"/>
          <w:color w:val="2F5496" w:themeColor="accent1" w:themeShade="BF"/>
        </w:rPr>
        <w:t>16</w:t>
      </w:r>
      <w:r w:rsidRPr="00F72752">
        <w:rPr>
          <w:rFonts w:ascii="Book Antiqua" w:hAnsi="Book Antiqua"/>
          <w:color w:val="2F5496" w:themeColor="accent1" w:themeShade="BF"/>
        </w:rPr>
        <w:t>,</w:t>
      </w:r>
      <w:r w:rsidR="00145C7E">
        <w:rPr>
          <w:rFonts w:ascii="Book Antiqua" w:hAnsi="Book Antiqua"/>
          <w:color w:val="2F5496" w:themeColor="accent1" w:themeShade="BF"/>
        </w:rPr>
        <w:t>3</w:t>
      </w:r>
      <w:r w:rsidRPr="00F72752">
        <w:rPr>
          <w:rFonts w:ascii="Book Antiqua" w:hAnsi="Book Antiqua"/>
          <w:color w:val="2F5496" w:themeColor="accent1" w:themeShade="BF"/>
        </w:rPr>
        <w:t xml:space="preserve"> % à </w:t>
      </w:r>
      <w:r w:rsidR="00145C7E">
        <w:rPr>
          <w:rFonts w:ascii="Book Antiqua" w:hAnsi="Book Antiqua"/>
          <w:color w:val="2F5496" w:themeColor="accent1" w:themeShade="BF"/>
        </w:rPr>
        <w:t>16,7</w:t>
      </w:r>
      <w:r w:rsidRPr="00F72752">
        <w:rPr>
          <w:rFonts w:ascii="Book Antiqua" w:hAnsi="Book Antiqua"/>
          <w:color w:val="2F5496" w:themeColor="accent1" w:themeShade="BF"/>
        </w:rPr>
        <w:t>% en milieu urbain</w:t>
      </w:r>
      <w:r>
        <w:rPr>
          <w:rFonts w:ascii="Book Antiqua" w:hAnsi="Book Antiqua"/>
          <w:color w:val="2F5496" w:themeColor="accent1" w:themeShade="BF"/>
        </w:rPr>
        <w:t xml:space="preserve"> (+0,</w:t>
      </w:r>
      <w:r w:rsidR="002D2EF4">
        <w:rPr>
          <w:rFonts w:ascii="Book Antiqua" w:hAnsi="Book Antiqua"/>
          <w:color w:val="2F5496" w:themeColor="accent1" w:themeShade="BF"/>
        </w:rPr>
        <w:t>4</w:t>
      </w:r>
      <w:r>
        <w:rPr>
          <w:rFonts w:ascii="Book Antiqua" w:hAnsi="Book Antiqua"/>
          <w:color w:val="2F5496" w:themeColor="accent1" w:themeShade="BF"/>
        </w:rPr>
        <w:t xml:space="preserve"> point)</w:t>
      </w:r>
      <w:r w:rsidRPr="00F72752">
        <w:rPr>
          <w:rFonts w:ascii="Book Antiqua" w:hAnsi="Book Antiqua"/>
          <w:color w:val="2F5496" w:themeColor="accent1" w:themeShade="BF"/>
        </w:rPr>
        <w:t xml:space="preserve"> et de 5,</w:t>
      </w:r>
      <w:r>
        <w:rPr>
          <w:rFonts w:ascii="Book Antiqua" w:hAnsi="Book Antiqua"/>
          <w:color w:val="2F5496" w:themeColor="accent1" w:themeShade="BF"/>
        </w:rPr>
        <w:t>7</w:t>
      </w:r>
      <w:r w:rsidRPr="00F72752">
        <w:rPr>
          <w:rFonts w:ascii="Book Antiqua" w:hAnsi="Book Antiqua"/>
          <w:color w:val="2F5496" w:themeColor="accent1" w:themeShade="BF"/>
        </w:rPr>
        <w:t xml:space="preserve">% à </w:t>
      </w:r>
      <w:r>
        <w:rPr>
          <w:rFonts w:ascii="Book Antiqua" w:hAnsi="Book Antiqua"/>
          <w:color w:val="2F5496" w:themeColor="accent1" w:themeShade="BF"/>
        </w:rPr>
        <w:t>6</w:t>
      </w:r>
      <w:r w:rsidRPr="00F72752">
        <w:rPr>
          <w:rFonts w:ascii="Book Antiqua" w:hAnsi="Book Antiqua"/>
          <w:color w:val="2F5496" w:themeColor="accent1" w:themeShade="BF"/>
        </w:rPr>
        <w:t>,</w:t>
      </w:r>
      <w:r w:rsidR="002D2EF4">
        <w:rPr>
          <w:rFonts w:ascii="Book Antiqua" w:hAnsi="Book Antiqua"/>
          <w:color w:val="2F5496" w:themeColor="accent1" w:themeShade="BF"/>
        </w:rPr>
        <w:t>7</w:t>
      </w:r>
      <w:r w:rsidRPr="00F72752">
        <w:rPr>
          <w:rFonts w:ascii="Book Antiqua" w:hAnsi="Book Antiqua"/>
          <w:color w:val="2F5496" w:themeColor="accent1" w:themeShade="BF"/>
        </w:rPr>
        <w:t>% en milieu rural</w:t>
      </w:r>
      <w:r>
        <w:rPr>
          <w:rFonts w:ascii="Book Antiqua" w:hAnsi="Book Antiqua"/>
          <w:color w:val="2F5496" w:themeColor="accent1" w:themeShade="BF"/>
        </w:rPr>
        <w:t xml:space="preserve"> (+1 point)</w:t>
      </w:r>
      <w:r w:rsidRPr="00F72752">
        <w:rPr>
          <w:rFonts w:ascii="Book Antiqua" w:hAnsi="Book Antiqua"/>
          <w:color w:val="2F5496" w:themeColor="accent1" w:themeShade="BF"/>
        </w:rPr>
        <w:t>. Ce taux</w:t>
      </w:r>
      <w:r>
        <w:rPr>
          <w:rFonts w:ascii="Book Antiqua" w:hAnsi="Book Antiqua"/>
          <w:color w:val="2F5496" w:themeColor="accent1" w:themeShade="BF"/>
        </w:rPr>
        <w:t xml:space="preserve"> </w:t>
      </w:r>
      <w:r w:rsidRPr="00F72752">
        <w:rPr>
          <w:rFonts w:ascii="Book Antiqua" w:hAnsi="Book Antiqua"/>
          <w:color w:val="2F5496" w:themeColor="accent1" w:themeShade="BF"/>
        </w:rPr>
        <w:t>reste</w:t>
      </w:r>
      <w:r>
        <w:rPr>
          <w:rFonts w:ascii="Book Antiqua" w:hAnsi="Book Antiqua"/>
          <w:color w:val="2F5496" w:themeColor="accent1" w:themeShade="BF"/>
        </w:rPr>
        <w:t xml:space="preserve"> </w:t>
      </w:r>
      <w:r w:rsidRPr="00F72752">
        <w:rPr>
          <w:rFonts w:ascii="Book Antiqua" w:hAnsi="Book Antiqua"/>
          <w:color w:val="2F5496" w:themeColor="accent1" w:themeShade="BF"/>
        </w:rPr>
        <w:t>plus élevé parmi les jeunes âgés de 15</w:t>
      </w:r>
      <w:r>
        <w:rPr>
          <w:rFonts w:ascii="Book Antiqua" w:hAnsi="Book Antiqua"/>
          <w:color w:val="2F5496" w:themeColor="accent1" w:themeShade="BF"/>
        </w:rPr>
        <w:t xml:space="preserve"> </w:t>
      </w:r>
      <w:r w:rsidRPr="00F72752">
        <w:rPr>
          <w:rFonts w:ascii="Book Antiqua" w:hAnsi="Book Antiqua"/>
          <w:color w:val="2F5496" w:themeColor="accent1" w:themeShade="BF"/>
        </w:rPr>
        <w:t>à 24 ans (3</w:t>
      </w:r>
      <w:r w:rsidR="002D2EF4">
        <w:rPr>
          <w:rFonts w:ascii="Book Antiqua" w:hAnsi="Book Antiqua"/>
          <w:color w:val="2F5496" w:themeColor="accent1" w:themeShade="BF"/>
        </w:rPr>
        <w:t>6</w:t>
      </w:r>
      <w:r w:rsidRPr="00F72752">
        <w:rPr>
          <w:rFonts w:ascii="Book Antiqua" w:hAnsi="Book Antiqua"/>
          <w:color w:val="2F5496" w:themeColor="accent1" w:themeShade="BF"/>
        </w:rPr>
        <w:t>,</w:t>
      </w:r>
      <w:r w:rsidR="002D2EF4">
        <w:rPr>
          <w:rFonts w:ascii="Book Antiqua" w:hAnsi="Book Antiqua"/>
          <w:color w:val="2F5496" w:themeColor="accent1" w:themeShade="BF"/>
        </w:rPr>
        <w:t>1</w:t>
      </w:r>
      <w:r w:rsidRPr="00F72752">
        <w:rPr>
          <w:rFonts w:ascii="Book Antiqua" w:hAnsi="Book Antiqua"/>
          <w:color w:val="2F5496" w:themeColor="accent1" w:themeShade="BF"/>
        </w:rPr>
        <w:t>%), les diplômés (</w:t>
      </w:r>
      <w:r w:rsidR="002D2EF4">
        <w:rPr>
          <w:rFonts w:ascii="Book Antiqua" w:hAnsi="Book Antiqua"/>
          <w:color w:val="2F5496" w:themeColor="accent1" w:themeShade="BF"/>
        </w:rPr>
        <w:t>19,4</w:t>
      </w:r>
      <w:r w:rsidRPr="00F72752">
        <w:rPr>
          <w:rFonts w:ascii="Book Antiqua" w:hAnsi="Book Antiqua"/>
          <w:color w:val="2F5496" w:themeColor="accent1" w:themeShade="BF"/>
        </w:rPr>
        <w:t>%) et les femmes (</w:t>
      </w:r>
      <w:r w:rsidR="002D2EF4">
        <w:rPr>
          <w:rFonts w:ascii="Book Antiqua" w:hAnsi="Book Antiqua"/>
          <w:color w:val="2F5496" w:themeColor="accent1" w:themeShade="BF"/>
        </w:rPr>
        <w:t>17,7</w:t>
      </w:r>
      <w:r w:rsidRPr="00F72752">
        <w:rPr>
          <w:rFonts w:ascii="Book Antiqua" w:hAnsi="Book Antiqua"/>
          <w:color w:val="2F5496" w:themeColor="accent1" w:themeShade="BF"/>
        </w:rPr>
        <w:t>%).</w:t>
      </w:r>
    </w:p>
    <w:p w:rsidR="00F246F7" w:rsidRPr="00F246F7" w:rsidRDefault="00F246F7" w:rsidP="00F246F7">
      <w:pPr>
        <w:autoSpaceDE w:val="0"/>
        <w:autoSpaceDN w:val="0"/>
        <w:adjustRightInd w:val="0"/>
        <w:spacing w:line="276" w:lineRule="auto"/>
        <w:jc w:val="both"/>
        <w:rPr>
          <w:rFonts w:ascii="Book Antiqua" w:hAnsi="Book Antiqua"/>
          <w:color w:val="2F5496" w:themeColor="accent1" w:themeShade="BF"/>
        </w:rPr>
      </w:pPr>
      <w:r w:rsidRPr="00F246F7">
        <w:rPr>
          <w:rFonts w:ascii="Book Antiqua" w:hAnsi="Book Antiqua"/>
          <w:color w:val="2F5496" w:themeColor="accent1" w:themeShade="BF"/>
        </w:rPr>
        <w:t xml:space="preserve">Le volume des actifs occupés en situation de sous-emploi est passé, entre le deuxième trimestre de 2023 et celui de 2024, de 983.000 à 1.042.000 personnes au niveau national, de 549.000 à 552.000 personnes en milieu urbain et de 434.000 à 490.000 en milieu rural. Le taux de sous-emploi est </w:t>
      </w:r>
      <w:r>
        <w:rPr>
          <w:rFonts w:ascii="Book Antiqua" w:hAnsi="Book Antiqua"/>
          <w:color w:val="2F5496" w:themeColor="accent1" w:themeShade="BF"/>
        </w:rPr>
        <w:t xml:space="preserve">ainsi </w:t>
      </w:r>
      <w:r w:rsidRPr="00F246F7">
        <w:rPr>
          <w:rFonts w:ascii="Book Antiqua" w:hAnsi="Book Antiqua"/>
          <w:color w:val="2F5496" w:themeColor="accent1" w:themeShade="BF"/>
        </w:rPr>
        <w:t>passé de 9% à 9,6% au niveau national, de 9,9% à 11,6% en milieu rural et  de 8,4% à 8,3% en milieu urbain.</w:t>
      </w:r>
    </w:p>
    <w:p w:rsidR="00321C79" w:rsidRDefault="00321C79">
      <w:pPr>
        <w:rPr>
          <w:rFonts w:ascii="Book Antiqua" w:eastAsiaTheme="majorEastAsia" w:hAnsi="Book Antiqua" w:cstheme="majorHAnsi"/>
          <w:b/>
          <w:bCs/>
          <w:color w:val="1F3864" w:themeColor="accent1" w:themeShade="80"/>
          <w:spacing w:val="-10"/>
          <w:kern w:val="28"/>
          <w:sz w:val="24"/>
          <w:szCs w:val="24"/>
        </w:rPr>
      </w:pPr>
      <w:r>
        <w:rPr>
          <w:rFonts w:ascii="Book Antiqua" w:hAnsi="Book Antiqua" w:cstheme="majorHAnsi"/>
          <w:b/>
          <w:bCs/>
          <w:color w:val="1F3864" w:themeColor="accent1" w:themeShade="80"/>
          <w:spacing w:val="-10"/>
          <w:kern w:val="28"/>
          <w:sz w:val="24"/>
          <w:szCs w:val="24"/>
        </w:rPr>
        <w:br w:type="page"/>
      </w:r>
    </w:p>
    <w:p w:rsidR="00EB5A99" w:rsidRPr="004264E0" w:rsidRDefault="00EB5A99" w:rsidP="00EB5A99">
      <w:pPr>
        <w:pStyle w:val="MMTopic2"/>
        <w:numPr>
          <w:ilvl w:val="0"/>
          <w:numId w:val="0"/>
        </w:numPr>
        <w:spacing w:line="360" w:lineRule="auto"/>
        <w:jc w:val="both"/>
        <w:rPr>
          <w:rFonts w:ascii="Book Antiqua" w:hAnsi="Book Antiqua" w:cstheme="majorHAnsi"/>
          <w:b/>
          <w:bCs/>
          <w:color w:val="1F3864" w:themeColor="accent1" w:themeShade="80"/>
          <w:spacing w:val="-10"/>
          <w:kern w:val="28"/>
          <w:sz w:val="24"/>
          <w:szCs w:val="24"/>
        </w:rPr>
      </w:pPr>
      <w:r>
        <w:rPr>
          <w:rFonts w:ascii="Book Antiqua" w:hAnsi="Book Antiqua" w:cstheme="majorHAnsi"/>
          <w:b/>
          <w:bCs/>
          <w:color w:val="1F3864" w:themeColor="accent1" w:themeShade="80"/>
          <w:spacing w:val="-10"/>
          <w:kern w:val="28"/>
          <w:sz w:val="24"/>
          <w:szCs w:val="24"/>
        </w:rPr>
        <w:lastRenderedPageBreak/>
        <w:t xml:space="preserve">I. </w:t>
      </w:r>
      <w:r w:rsidRPr="004264E0">
        <w:rPr>
          <w:rFonts w:ascii="Book Antiqua" w:hAnsi="Book Antiqua" w:cstheme="majorHAnsi"/>
          <w:b/>
          <w:bCs/>
          <w:color w:val="1F3864" w:themeColor="accent1" w:themeShade="80"/>
          <w:spacing w:val="-10"/>
          <w:kern w:val="28"/>
          <w:sz w:val="24"/>
          <w:szCs w:val="24"/>
        </w:rPr>
        <w:t xml:space="preserve">Activité et </w:t>
      </w:r>
      <w:r>
        <w:rPr>
          <w:rFonts w:ascii="Book Antiqua" w:hAnsi="Book Antiqua" w:cstheme="majorHAnsi"/>
          <w:b/>
          <w:bCs/>
          <w:color w:val="1F3864" w:themeColor="accent1" w:themeShade="80"/>
          <w:spacing w:val="-10"/>
          <w:kern w:val="28"/>
          <w:sz w:val="24"/>
          <w:szCs w:val="24"/>
        </w:rPr>
        <w:t>e</w:t>
      </w:r>
      <w:r w:rsidRPr="004264E0">
        <w:rPr>
          <w:rFonts w:ascii="Book Antiqua" w:hAnsi="Book Antiqua" w:cstheme="majorHAnsi"/>
          <w:b/>
          <w:bCs/>
          <w:color w:val="1F3864" w:themeColor="accent1" w:themeShade="80"/>
          <w:spacing w:val="-10"/>
          <w:kern w:val="28"/>
          <w:sz w:val="24"/>
          <w:szCs w:val="24"/>
        </w:rPr>
        <w:t>mploi</w:t>
      </w:r>
    </w:p>
    <w:p w:rsidR="00EB5A99" w:rsidRPr="00725167" w:rsidRDefault="00321C79" w:rsidP="00EB5A99">
      <w:pPr>
        <w:rPr>
          <w:rFonts w:ascii="Book Antiqua" w:eastAsiaTheme="majorEastAsia" w:hAnsi="Book Antiqua" w:cstheme="majorHAnsi"/>
          <w:b/>
          <w:bCs/>
          <w:i/>
          <w:iCs/>
          <w:color w:val="2E74B5" w:themeColor="accent5" w:themeShade="BF"/>
          <w:spacing w:val="-10"/>
          <w:kern w:val="28"/>
          <w:sz w:val="24"/>
          <w:szCs w:val="24"/>
        </w:rPr>
      </w:pPr>
      <w:r>
        <w:rPr>
          <w:rFonts w:ascii="Book Antiqua" w:eastAsiaTheme="majorEastAsia" w:hAnsi="Book Antiqua" w:cstheme="majorHAnsi"/>
          <w:b/>
          <w:bCs/>
          <w:i/>
          <w:iCs/>
          <w:color w:val="2E74B5" w:themeColor="accent5" w:themeShade="BF"/>
          <w:spacing w:val="-10"/>
          <w:kern w:val="28"/>
          <w:sz w:val="24"/>
          <w:szCs w:val="24"/>
        </w:rPr>
        <w:t>Recul</w:t>
      </w:r>
      <w:r w:rsidR="00EB5A99" w:rsidRPr="00725167">
        <w:rPr>
          <w:rFonts w:ascii="Book Antiqua" w:eastAsiaTheme="majorEastAsia" w:hAnsi="Book Antiqua" w:cstheme="majorHAnsi"/>
          <w:b/>
          <w:bCs/>
          <w:i/>
          <w:iCs/>
          <w:color w:val="2E74B5" w:themeColor="accent5" w:themeShade="BF"/>
          <w:spacing w:val="-10"/>
          <w:kern w:val="28"/>
          <w:sz w:val="24"/>
          <w:szCs w:val="24"/>
        </w:rPr>
        <w:t xml:space="preserve"> des taux d'activité et d'emploi</w:t>
      </w:r>
    </w:p>
    <w:p w:rsidR="00EB5A99" w:rsidRPr="00745A50" w:rsidRDefault="00533791" w:rsidP="00364648">
      <w:pPr>
        <w:spacing w:before="100" w:beforeAutospacing="1" w:after="100" w:afterAutospacing="1" w:line="276" w:lineRule="auto"/>
        <w:jc w:val="both"/>
        <w:rPr>
          <w:rFonts w:ascii="Book Antiqua" w:hAnsi="Book Antiqua" w:cs="Times New Roman"/>
          <w:sz w:val="24"/>
          <w:szCs w:val="24"/>
        </w:rPr>
      </w:pPr>
      <w:r>
        <w:rPr>
          <w:rFonts w:ascii="Book Antiqua" w:hAnsi="Book Antiqua" w:cs="Times New Roman"/>
          <w:sz w:val="24"/>
          <w:szCs w:val="24"/>
        </w:rPr>
        <w:t xml:space="preserve">Entre le </w:t>
      </w:r>
      <w:r w:rsidR="00EB5A99" w:rsidRPr="00745A50">
        <w:rPr>
          <w:rFonts w:ascii="Book Antiqua" w:hAnsi="Book Antiqua" w:cs="Times New Roman"/>
          <w:sz w:val="24"/>
          <w:szCs w:val="24"/>
        </w:rPr>
        <w:t xml:space="preserve"> </w:t>
      </w:r>
      <w:r w:rsidR="00145C7E">
        <w:rPr>
          <w:rFonts w:ascii="Book Antiqua" w:hAnsi="Book Antiqua" w:cs="Times New Roman"/>
          <w:sz w:val="24"/>
          <w:szCs w:val="24"/>
        </w:rPr>
        <w:t xml:space="preserve">deuxième </w:t>
      </w:r>
      <w:r w:rsidR="00EB5A99" w:rsidRPr="00745A50">
        <w:rPr>
          <w:rFonts w:ascii="Book Antiqua" w:hAnsi="Book Antiqua" w:cs="Times New Roman"/>
          <w:sz w:val="24"/>
          <w:szCs w:val="24"/>
        </w:rPr>
        <w:t xml:space="preserve"> trimestre de </w:t>
      </w:r>
      <w:r w:rsidR="007A2EA8">
        <w:rPr>
          <w:rFonts w:ascii="Book Antiqua" w:hAnsi="Book Antiqua" w:cs="Times New Roman"/>
          <w:sz w:val="24"/>
          <w:szCs w:val="24"/>
        </w:rPr>
        <w:t>202</w:t>
      </w:r>
      <w:r>
        <w:rPr>
          <w:rFonts w:ascii="Book Antiqua" w:hAnsi="Book Antiqua" w:cs="Times New Roman"/>
          <w:sz w:val="24"/>
          <w:szCs w:val="24"/>
        </w:rPr>
        <w:t>3 et celui de 2024</w:t>
      </w:r>
      <w:r w:rsidR="00EB5A99" w:rsidRPr="00140CE4">
        <w:rPr>
          <w:rFonts w:ascii="Book Antiqua" w:hAnsi="Book Antiqua" w:cs="Times New Roman"/>
          <w:sz w:val="24"/>
          <w:szCs w:val="24"/>
        </w:rPr>
        <w:t xml:space="preserve">, </w:t>
      </w:r>
      <w:r w:rsidR="00F10E48" w:rsidRPr="00140CE4">
        <w:rPr>
          <w:rFonts w:ascii="Book Antiqua" w:hAnsi="Book Antiqua" w:cs="Times New Roman"/>
          <w:sz w:val="24"/>
          <w:szCs w:val="24"/>
        </w:rPr>
        <w:t>l</w:t>
      </w:r>
      <w:r w:rsidRPr="00140CE4">
        <w:rPr>
          <w:rFonts w:ascii="Book Antiqua" w:hAnsi="Book Antiqua" w:cs="Times New Roman"/>
          <w:sz w:val="24"/>
          <w:szCs w:val="24"/>
        </w:rPr>
        <w:t xml:space="preserve">e taux d’activité a reculé de </w:t>
      </w:r>
      <w:r w:rsidR="00087A29">
        <w:rPr>
          <w:rFonts w:ascii="Book Antiqua" w:hAnsi="Book Antiqua" w:cs="Times New Roman"/>
          <w:sz w:val="24"/>
          <w:szCs w:val="24"/>
        </w:rPr>
        <w:t>0,6</w:t>
      </w:r>
      <w:r w:rsidR="006A091E" w:rsidRPr="00140CE4">
        <w:rPr>
          <w:rFonts w:ascii="Book Antiqua" w:hAnsi="Book Antiqua" w:cs="Times New Roman"/>
          <w:sz w:val="24"/>
          <w:szCs w:val="24"/>
        </w:rPr>
        <w:t xml:space="preserve"> point</w:t>
      </w:r>
      <w:r w:rsidR="008C2468" w:rsidRPr="00140CE4">
        <w:rPr>
          <w:rFonts w:ascii="Book Antiqua" w:hAnsi="Book Antiqua" w:cs="Times New Roman"/>
          <w:sz w:val="24"/>
          <w:szCs w:val="24"/>
        </w:rPr>
        <w:t xml:space="preserve">, passant de </w:t>
      </w:r>
      <w:r w:rsidR="00087A29">
        <w:rPr>
          <w:rFonts w:ascii="Book Antiqua" w:hAnsi="Book Antiqua" w:cs="Times New Roman"/>
          <w:sz w:val="24"/>
          <w:szCs w:val="24"/>
        </w:rPr>
        <w:t>44,8% à 44,2</w:t>
      </w:r>
      <w:r w:rsidRPr="00140CE4">
        <w:rPr>
          <w:rFonts w:ascii="Book Antiqua" w:hAnsi="Book Antiqua" w:cs="Times New Roman"/>
          <w:sz w:val="24"/>
          <w:szCs w:val="24"/>
        </w:rPr>
        <w:t>%, résultat de l’</w:t>
      </w:r>
      <w:r w:rsidR="00C036E5" w:rsidRPr="00140CE4">
        <w:rPr>
          <w:rFonts w:ascii="Book Antiqua" w:hAnsi="Book Antiqua" w:cs="Times New Roman"/>
          <w:sz w:val="24"/>
          <w:szCs w:val="24"/>
        </w:rPr>
        <w:t>accroissement</w:t>
      </w:r>
      <w:r w:rsidRPr="00140CE4">
        <w:rPr>
          <w:rFonts w:ascii="Book Antiqua" w:hAnsi="Book Antiqua" w:cs="Times New Roman"/>
          <w:sz w:val="24"/>
          <w:szCs w:val="24"/>
        </w:rPr>
        <w:t xml:space="preserve"> de l</w:t>
      </w:r>
      <w:r w:rsidR="00EB5A99" w:rsidRPr="00140CE4">
        <w:rPr>
          <w:rFonts w:ascii="Book Antiqua" w:hAnsi="Book Antiqua" w:cs="Times New Roman"/>
          <w:sz w:val="24"/>
          <w:szCs w:val="24"/>
        </w:rPr>
        <w:t xml:space="preserve">a population en âge d’activité (15 ans ou plus) de 1,4%, </w:t>
      </w:r>
      <w:r w:rsidRPr="00140CE4">
        <w:rPr>
          <w:rFonts w:ascii="Book Antiqua" w:hAnsi="Book Antiqua" w:cs="Times New Roman"/>
          <w:sz w:val="24"/>
          <w:szCs w:val="24"/>
        </w:rPr>
        <w:t>entre les deux périodes</w:t>
      </w:r>
      <w:r w:rsidR="00EB5A99" w:rsidRPr="00140CE4">
        <w:rPr>
          <w:rFonts w:ascii="Book Antiqua" w:hAnsi="Book Antiqua" w:cs="Times New Roman"/>
          <w:sz w:val="24"/>
          <w:szCs w:val="24"/>
        </w:rPr>
        <w:t xml:space="preserve">, </w:t>
      </w:r>
      <w:r w:rsidR="00F10E48" w:rsidRPr="00140CE4">
        <w:rPr>
          <w:rFonts w:ascii="Book Antiqua" w:hAnsi="Book Antiqua" w:cs="Times New Roman"/>
          <w:sz w:val="24"/>
          <w:szCs w:val="24"/>
        </w:rPr>
        <w:t xml:space="preserve">et </w:t>
      </w:r>
      <w:r w:rsidR="00F10E48" w:rsidRPr="00A44B01">
        <w:rPr>
          <w:rFonts w:ascii="Book Antiqua" w:hAnsi="Book Antiqua" w:cs="Times New Roman"/>
          <w:sz w:val="24"/>
          <w:szCs w:val="24"/>
        </w:rPr>
        <w:t>d’</w:t>
      </w:r>
      <w:r w:rsidR="00EB5A99" w:rsidRPr="00A44B01">
        <w:rPr>
          <w:rFonts w:ascii="Book Antiqua" w:hAnsi="Book Antiqua" w:cs="Times New Roman"/>
          <w:sz w:val="24"/>
          <w:szCs w:val="24"/>
        </w:rPr>
        <w:t xml:space="preserve">une </w:t>
      </w:r>
      <w:r w:rsidR="00C036E5" w:rsidRPr="00A44B01">
        <w:rPr>
          <w:rFonts w:ascii="Book Antiqua" w:hAnsi="Book Antiqua" w:cs="Times New Roman"/>
          <w:sz w:val="24"/>
          <w:szCs w:val="24"/>
        </w:rPr>
        <w:t>légère</w:t>
      </w:r>
      <w:r w:rsidR="000A2034" w:rsidRPr="00140CE4">
        <w:rPr>
          <w:rFonts w:ascii="Book Antiqua" w:hAnsi="Book Antiqua" w:cs="Times New Roman"/>
          <w:sz w:val="24"/>
          <w:szCs w:val="24"/>
        </w:rPr>
        <w:t xml:space="preserve"> augmentation </w:t>
      </w:r>
      <w:r w:rsidR="00EB5A99" w:rsidRPr="00140CE4">
        <w:rPr>
          <w:rFonts w:ascii="Book Antiqua" w:hAnsi="Book Antiqua" w:cs="Times New Roman"/>
          <w:sz w:val="24"/>
          <w:szCs w:val="24"/>
        </w:rPr>
        <w:t xml:space="preserve">de la population active </w:t>
      </w:r>
      <w:r w:rsidRPr="00140CE4">
        <w:rPr>
          <w:rFonts w:ascii="Book Antiqua" w:hAnsi="Book Antiqua" w:cs="Times New Roman"/>
          <w:sz w:val="24"/>
          <w:szCs w:val="24"/>
        </w:rPr>
        <w:t>(+0,1%)</w:t>
      </w:r>
      <w:r w:rsidR="00EB5A99" w:rsidRPr="00140CE4">
        <w:rPr>
          <w:rFonts w:ascii="Book Antiqua" w:hAnsi="Book Antiqua" w:cs="Times New Roman"/>
          <w:sz w:val="24"/>
          <w:szCs w:val="24"/>
        </w:rPr>
        <w:t>.</w:t>
      </w:r>
      <w:r w:rsidR="00E14AA6" w:rsidRPr="00140CE4">
        <w:rPr>
          <w:rFonts w:ascii="Book Antiqua" w:hAnsi="Book Antiqua" w:cs="Times New Roman"/>
          <w:sz w:val="24"/>
          <w:szCs w:val="24"/>
        </w:rPr>
        <w:t xml:space="preserve"> </w:t>
      </w:r>
      <w:r w:rsidR="005045D2">
        <w:rPr>
          <w:rFonts w:ascii="Book Antiqua" w:hAnsi="Book Antiqua" w:cs="Times New Roman"/>
          <w:sz w:val="24"/>
          <w:szCs w:val="24"/>
        </w:rPr>
        <w:t>L</w:t>
      </w:r>
      <w:r w:rsidR="00E14AA6" w:rsidRPr="00140CE4">
        <w:rPr>
          <w:rFonts w:ascii="Book Antiqua" w:hAnsi="Book Antiqua" w:cs="Times New Roman"/>
          <w:sz w:val="24"/>
          <w:szCs w:val="24"/>
        </w:rPr>
        <w:t xml:space="preserve">e taux </w:t>
      </w:r>
      <w:r w:rsidR="008C2468" w:rsidRPr="00140CE4">
        <w:rPr>
          <w:rFonts w:ascii="Book Antiqua" w:hAnsi="Book Antiqua" w:cs="Times New Roman"/>
          <w:sz w:val="24"/>
          <w:szCs w:val="24"/>
        </w:rPr>
        <w:t xml:space="preserve">a </w:t>
      </w:r>
      <w:r w:rsidR="005045D2">
        <w:rPr>
          <w:rFonts w:ascii="Book Antiqua" w:hAnsi="Book Antiqua" w:cs="Times New Roman"/>
          <w:sz w:val="24"/>
          <w:szCs w:val="24"/>
        </w:rPr>
        <w:t xml:space="preserve">aussi </w:t>
      </w:r>
      <w:r w:rsidR="008C2468" w:rsidRPr="00140CE4">
        <w:rPr>
          <w:rFonts w:ascii="Book Antiqua" w:hAnsi="Book Antiqua" w:cs="Times New Roman"/>
          <w:sz w:val="24"/>
          <w:szCs w:val="24"/>
        </w:rPr>
        <w:t>baiss</w:t>
      </w:r>
      <w:r w:rsidR="000A2034" w:rsidRPr="00140CE4">
        <w:rPr>
          <w:rFonts w:ascii="Book Antiqua" w:hAnsi="Book Antiqua" w:cs="Times New Roman"/>
          <w:sz w:val="24"/>
          <w:szCs w:val="24"/>
        </w:rPr>
        <w:t>é</w:t>
      </w:r>
      <w:r w:rsidR="00087A29">
        <w:rPr>
          <w:rFonts w:ascii="Book Antiqua" w:hAnsi="Book Antiqua" w:cs="Times New Roman"/>
          <w:sz w:val="24"/>
          <w:szCs w:val="24"/>
        </w:rPr>
        <w:t xml:space="preserve"> de 1,2</w:t>
      </w:r>
      <w:r w:rsidR="008C2468" w:rsidRPr="00140CE4">
        <w:rPr>
          <w:rFonts w:ascii="Book Antiqua" w:hAnsi="Book Antiqua" w:cs="Times New Roman"/>
          <w:sz w:val="24"/>
          <w:szCs w:val="24"/>
        </w:rPr>
        <w:t xml:space="preserve"> poin</w:t>
      </w:r>
      <w:r w:rsidR="00087A29">
        <w:rPr>
          <w:rFonts w:ascii="Book Antiqua" w:hAnsi="Book Antiqua" w:cs="Times New Roman"/>
          <w:sz w:val="24"/>
          <w:szCs w:val="24"/>
        </w:rPr>
        <w:t>t en milieu rural, passant de 49,2% à 48</w:t>
      </w:r>
      <w:r w:rsidR="008C2468" w:rsidRPr="00140CE4">
        <w:rPr>
          <w:rFonts w:ascii="Book Antiqua" w:hAnsi="Book Antiqua" w:cs="Times New Roman"/>
          <w:sz w:val="24"/>
          <w:szCs w:val="24"/>
        </w:rPr>
        <w:t>% et</w:t>
      </w:r>
      <w:r w:rsidR="005C380C">
        <w:rPr>
          <w:rFonts w:ascii="Book Antiqua" w:hAnsi="Book Antiqua" w:cs="Times New Roman"/>
          <w:sz w:val="24"/>
          <w:szCs w:val="24"/>
        </w:rPr>
        <w:t xml:space="preserve"> de 0,3 point </w:t>
      </w:r>
      <w:r w:rsidR="005C380C" w:rsidRPr="00140CE4">
        <w:rPr>
          <w:rFonts w:ascii="Book Antiqua" w:hAnsi="Book Antiqua" w:cs="Times New Roman"/>
          <w:sz w:val="24"/>
          <w:szCs w:val="24"/>
        </w:rPr>
        <w:t>en milieu urbain</w:t>
      </w:r>
      <w:r w:rsidR="005C380C">
        <w:rPr>
          <w:rFonts w:ascii="Book Antiqua" w:hAnsi="Book Antiqua" w:cs="Times New Roman"/>
          <w:sz w:val="24"/>
          <w:szCs w:val="24"/>
        </w:rPr>
        <w:t xml:space="preserve">, </w:t>
      </w:r>
      <w:r w:rsidR="00087A29">
        <w:rPr>
          <w:rFonts w:ascii="Book Antiqua" w:hAnsi="Book Antiqua" w:cs="Times New Roman"/>
          <w:sz w:val="24"/>
          <w:szCs w:val="24"/>
        </w:rPr>
        <w:t>de 42</w:t>
      </w:r>
      <w:r w:rsidR="00087A29" w:rsidRPr="00745A50">
        <w:rPr>
          <w:rFonts w:ascii="Book Antiqua" w:hAnsi="Book Antiqua" w:cs="Times New Roman"/>
          <w:sz w:val="24"/>
          <w:szCs w:val="24"/>
        </w:rPr>
        <w:t>,</w:t>
      </w:r>
      <w:r w:rsidR="00087A29">
        <w:rPr>
          <w:rFonts w:ascii="Book Antiqua" w:hAnsi="Book Antiqua" w:cs="Times New Roman"/>
          <w:sz w:val="24"/>
          <w:szCs w:val="24"/>
        </w:rPr>
        <w:t>6</w:t>
      </w:r>
      <w:r w:rsidR="00087A29" w:rsidRPr="00745A50">
        <w:rPr>
          <w:rFonts w:ascii="Book Antiqua" w:hAnsi="Book Antiqua" w:cs="Times New Roman"/>
          <w:sz w:val="24"/>
          <w:szCs w:val="24"/>
        </w:rPr>
        <w:t>% à 4</w:t>
      </w:r>
      <w:r w:rsidR="00087A29">
        <w:rPr>
          <w:rFonts w:ascii="Book Antiqua" w:hAnsi="Book Antiqua" w:cs="Times New Roman"/>
          <w:sz w:val="24"/>
          <w:szCs w:val="24"/>
        </w:rPr>
        <w:t>2</w:t>
      </w:r>
      <w:r w:rsidR="00087A29" w:rsidRPr="00745A50">
        <w:rPr>
          <w:rFonts w:ascii="Book Antiqua" w:hAnsi="Book Antiqua" w:cs="Times New Roman"/>
          <w:sz w:val="24"/>
          <w:szCs w:val="24"/>
        </w:rPr>
        <w:t>,</w:t>
      </w:r>
      <w:r w:rsidR="00087A29">
        <w:rPr>
          <w:rFonts w:ascii="Book Antiqua" w:hAnsi="Book Antiqua" w:cs="Times New Roman"/>
          <w:sz w:val="24"/>
          <w:szCs w:val="24"/>
        </w:rPr>
        <w:t>3%.</w:t>
      </w:r>
      <w:r w:rsidR="008C2468" w:rsidRPr="00745A50">
        <w:rPr>
          <w:rFonts w:ascii="Book Antiqua" w:hAnsi="Book Antiqua" w:cs="Times New Roman"/>
          <w:sz w:val="24"/>
          <w:szCs w:val="24"/>
        </w:rPr>
        <w:t xml:space="preserve"> </w:t>
      </w:r>
    </w:p>
    <w:p w:rsidR="00EB5A99" w:rsidRPr="00745A50" w:rsidRDefault="00EB5A99" w:rsidP="00256254">
      <w:pPr>
        <w:spacing w:before="100" w:beforeAutospacing="1" w:after="100" w:afterAutospacing="1" w:line="276" w:lineRule="auto"/>
        <w:jc w:val="both"/>
        <w:rPr>
          <w:rFonts w:ascii="Book Antiqua" w:hAnsi="Book Antiqua" w:cs="Times New Roman"/>
          <w:sz w:val="24"/>
          <w:szCs w:val="24"/>
        </w:rPr>
      </w:pPr>
      <w:r>
        <w:rPr>
          <w:rFonts w:ascii="Book Antiqua" w:hAnsi="Book Antiqua" w:cs="Times New Roman"/>
          <w:sz w:val="24"/>
          <w:szCs w:val="24"/>
        </w:rPr>
        <w:t xml:space="preserve">Le </w:t>
      </w:r>
      <w:r w:rsidRPr="00745A50">
        <w:rPr>
          <w:rFonts w:ascii="Book Antiqua" w:hAnsi="Book Antiqua" w:cs="Times New Roman"/>
          <w:sz w:val="24"/>
          <w:szCs w:val="24"/>
        </w:rPr>
        <w:t>taux d’emploi</w:t>
      </w:r>
      <w:r w:rsidR="00940768">
        <w:rPr>
          <w:rFonts w:ascii="Book Antiqua" w:hAnsi="Book Antiqua" w:cs="Times New Roman"/>
          <w:sz w:val="24"/>
          <w:szCs w:val="24"/>
        </w:rPr>
        <w:t xml:space="preserve"> </w:t>
      </w:r>
      <w:r w:rsidRPr="00745A50">
        <w:rPr>
          <w:rFonts w:ascii="Book Antiqua" w:hAnsi="Book Antiqua" w:cs="Times New Roman"/>
          <w:sz w:val="24"/>
          <w:szCs w:val="24"/>
        </w:rPr>
        <w:t>a</w:t>
      </w:r>
      <w:r w:rsidR="00F10E48">
        <w:rPr>
          <w:rFonts w:ascii="Book Antiqua" w:hAnsi="Book Antiqua" w:cs="Times New Roman"/>
          <w:sz w:val="24"/>
          <w:szCs w:val="24"/>
        </w:rPr>
        <w:t>, de son côté,</w:t>
      </w:r>
      <w:r w:rsidR="00256254">
        <w:rPr>
          <w:rFonts w:ascii="Book Antiqua" w:hAnsi="Book Antiqua" w:cs="Times New Roman"/>
          <w:sz w:val="24"/>
          <w:szCs w:val="24"/>
        </w:rPr>
        <w:t xml:space="preserve"> </w:t>
      </w:r>
      <w:r w:rsidR="005045D2">
        <w:rPr>
          <w:rFonts w:ascii="Book Antiqua" w:hAnsi="Book Antiqua" w:cs="Times New Roman"/>
          <w:sz w:val="24"/>
          <w:szCs w:val="24"/>
        </w:rPr>
        <w:t xml:space="preserve">reculé de 0,9 point, passant </w:t>
      </w:r>
      <w:r w:rsidRPr="00745A50">
        <w:rPr>
          <w:rFonts w:ascii="Book Antiqua" w:hAnsi="Book Antiqua" w:cs="Times New Roman"/>
          <w:sz w:val="24"/>
          <w:szCs w:val="24"/>
        </w:rPr>
        <w:t xml:space="preserve">de </w:t>
      </w:r>
      <w:r w:rsidR="006A091E" w:rsidRPr="00745A50">
        <w:rPr>
          <w:rFonts w:ascii="Book Antiqua" w:hAnsi="Book Antiqua" w:cs="Times New Roman"/>
          <w:sz w:val="24"/>
          <w:szCs w:val="24"/>
        </w:rPr>
        <w:t>3</w:t>
      </w:r>
      <w:r w:rsidR="00E457BE">
        <w:rPr>
          <w:rFonts w:ascii="Book Antiqua" w:hAnsi="Book Antiqua" w:cs="Times New Roman"/>
          <w:sz w:val="24"/>
          <w:szCs w:val="24"/>
        </w:rPr>
        <w:t>9</w:t>
      </w:r>
      <w:r w:rsidR="006A091E" w:rsidRPr="00745A50">
        <w:rPr>
          <w:rFonts w:ascii="Book Antiqua" w:hAnsi="Book Antiqua" w:cs="Times New Roman"/>
          <w:sz w:val="24"/>
          <w:szCs w:val="24"/>
        </w:rPr>
        <w:t>,</w:t>
      </w:r>
      <w:r w:rsidR="00E457BE">
        <w:rPr>
          <w:rFonts w:ascii="Book Antiqua" w:hAnsi="Book Antiqua" w:cs="Times New Roman"/>
          <w:sz w:val="24"/>
          <w:szCs w:val="24"/>
        </w:rPr>
        <w:t>3</w:t>
      </w:r>
      <w:r w:rsidRPr="00745A50">
        <w:rPr>
          <w:rFonts w:ascii="Book Antiqua" w:hAnsi="Book Antiqua" w:cs="Times New Roman"/>
          <w:sz w:val="24"/>
          <w:szCs w:val="24"/>
        </w:rPr>
        <w:t>% à 3</w:t>
      </w:r>
      <w:r w:rsidR="00E457BE">
        <w:rPr>
          <w:rFonts w:ascii="Book Antiqua" w:hAnsi="Book Antiqua" w:cs="Times New Roman"/>
          <w:sz w:val="24"/>
          <w:szCs w:val="24"/>
        </w:rPr>
        <w:t>8</w:t>
      </w:r>
      <w:r w:rsidRPr="00745A50">
        <w:rPr>
          <w:rFonts w:ascii="Book Antiqua" w:hAnsi="Book Antiqua" w:cs="Times New Roman"/>
          <w:sz w:val="24"/>
          <w:szCs w:val="24"/>
        </w:rPr>
        <w:t>,</w:t>
      </w:r>
      <w:r w:rsidR="00E457BE">
        <w:rPr>
          <w:rFonts w:ascii="Book Antiqua" w:hAnsi="Book Antiqua" w:cs="Times New Roman"/>
          <w:sz w:val="24"/>
          <w:szCs w:val="24"/>
        </w:rPr>
        <w:t>4</w:t>
      </w:r>
      <w:r w:rsidR="005045D2">
        <w:rPr>
          <w:rFonts w:ascii="Book Antiqua" w:hAnsi="Book Antiqua" w:cs="Times New Roman"/>
          <w:sz w:val="24"/>
          <w:szCs w:val="24"/>
        </w:rPr>
        <w:t>%, au niveau national</w:t>
      </w:r>
      <w:r w:rsidRPr="00745A50">
        <w:rPr>
          <w:rFonts w:ascii="Book Antiqua" w:hAnsi="Book Antiqua" w:cs="Times New Roman"/>
          <w:sz w:val="24"/>
          <w:szCs w:val="24"/>
        </w:rPr>
        <w:t xml:space="preserve">. Il a </w:t>
      </w:r>
      <w:r w:rsidR="00E457BE">
        <w:rPr>
          <w:rFonts w:ascii="Book Antiqua" w:hAnsi="Book Antiqua" w:cs="Times New Roman"/>
          <w:sz w:val="24"/>
          <w:szCs w:val="24"/>
        </w:rPr>
        <w:t>baissé de 1,6</w:t>
      </w:r>
      <w:r w:rsidR="005045D2">
        <w:rPr>
          <w:rFonts w:ascii="Book Antiqua" w:hAnsi="Book Antiqua" w:cs="Times New Roman"/>
          <w:sz w:val="24"/>
          <w:szCs w:val="24"/>
        </w:rPr>
        <w:t xml:space="preserve"> point en milieu rural, </w:t>
      </w:r>
      <w:r>
        <w:rPr>
          <w:rFonts w:ascii="Book Antiqua" w:hAnsi="Book Antiqua" w:cs="Times New Roman"/>
          <w:sz w:val="24"/>
          <w:szCs w:val="24"/>
        </w:rPr>
        <w:t xml:space="preserve">de </w:t>
      </w:r>
      <w:r w:rsidR="00E457BE">
        <w:rPr>
          <w:rFonts w:ascii="Book Antiqua" w:hAnsi="Book Antiqua" w:cs="Times New Roman"/>
          <w:sz w:val="24"/>
          <w:szCs w:val="24"/>
        </w:rPr>
        <w:t>46</w:t>
      </w:r>
      <w:r>
        <w:rPr>
          <w:rFonts w:ascii="Book Antiqua" w:hAnsi="Book Antiqua" w:cs="Times New Roman"/>
          <w:sz w:val="24"/>
          <w:szCs w:val="24"/>
        </w:rPr>
        <w:t>,</w:t>
      </w:r>
      <w:r w:rsidR="00E457BE">
        <w:rPr>
          <w:rFonts w:ascii="Book Antiqua" w:hAnsi="Book Antiqua" w:cs="Times New Roman"/>
          <w:sz w:val="24"/>
          <w:szCs w:val="24"/>
        </w:rPr>
        <w:t>4</w:t>
      </w:r>
      <w:r>
        <w:rPr>
          <w:rFonts w:ascii="Book Antiqua" w:hAnsi="Book Antiqua" w:cs="Times New Roman"/>
          <w:sz w:val="24"/>
          <w:szCs w:val="24"/>
        </w:rPr>
        <w:t>% à 4</w:t>
      </w:r>
      <w:r w:rsidR="00E457BE">
        <w:rPr>
          <w:rFonts w:ascii="Book Antiqua" w:hAnsi="Book Antiqua" w:cs="Times New Roman"/>
          <w:sz w:val="24"/>
          <w:szCs w:val="24"/>
        </w:rPr>
        <w:t>4</w:t>
      </w:r>
      <w:r>
        <w:rPr>
          <w:rFonts w:ascii="Book Antiqua" w:hAnsi="Book Antiqua" w:cs="Times New Roman"/>
          <w:sz w:val="24"/>
          <w:szCs w:val="24"/>
        </w:rPr>
        <w:t>,</w:t>
      </w:r>
      <w:r w:rsidR="00E457BE">
        <w:rPr>
          <w:rFonts w:ascii="Book Antiqua" w:hAnsi="Book Antiqua" w:cs="Times New Roman"/>
          <w:sz w:val="24"/>
          <w:szCs w:val="24"/>
        </w:rPr>
        <w:t>8</w:t>
      </w:r>
      <w:r>
        <w:rPr>
          <w:rFonts w:ascii="Book Antiqua" w:hAnsi="Book Antiqua" w:cs="Times New Roman"/>
          <w:sz w:val="24"/>
          <w:szCs w:val="24"/>
        </w:rPr>
        <w:t xml:space="preserve">%, </w:t>
      </w:r>
      <w:r w:rsidR="00E457BE">
        <w:rPr>
          <w:rFonts w:ascii="Book Antiqua" w:hAnsi="Book Antiqua" w:cs="Times New Roman"/>
          <w:sz w:val="24"/>
          <w:szCs w:val="24"/>
        </w:rPr>
        <w:t>et de 0,4</w:t>
      </w:r>
      <w:r w:rsidR="005045D2">
        <w:rPr>
          <w:rFonts w:ascii="Book Antiqua" w:hAnsi="Book Antiqua" w:cs="Times New Roman"/>
          <w:sz w:val="24"/>
          <w:szCs w:val="24"/>
        </w:rPr>
        <w:t xml:space="preserve">  point en milieu urbain, </w:t>
      </w:r>
      <w:r w:rsidRPr="00745A50">
        <w:rPr>
          <w:rFonts w:ascii="Book Antiqua" w:hAnsi="Book Antiqua" w:cs="Times New Roman"/>
          <w:sz w:val="24"/>
          <w:szCs w:val="24"/>
        </w:rPr>
        <w:t>de 3</w:t>
      </w:r>
      <w:r w:rsidR="00E457BE">
        <w:rPr>
          <w:rFonts w:ascii="Book Antiqua" w:hAnsi="Book Antiqua" w:cs="Times New Roman"/>
          <w:sz w:val="24"/>
          <w:szCs w:val="24"/>
        </w:rPr>
        <w:t>5</w:t>
      </w:r>
      <w:r w:rsidRPr="00745A50">
        <w:rPr>
          <w:rFonts w:ascii="Book Antiqua" w:hAnsi="Book Antiqua" w:cs="Times New Roman"/>
          <w:sz w:val="24"/>
          <w:szCs w:val="24"/>
        </w:rPr>
        <w:t>,</w:t>
      </w:r>
      <w:r w:rsidR="00E457BE">
        <w:rPr>
          <w:rFonts w:ascii="Book Antiqua" w:hAnsi="Book Antiqua" w:cs="Times New Roman"/>
          <w:sz w:val="24"/>
          <w:szCs w:val="24"/>
        </w:rPr>
        <w:t>7</w:t>
      </w:r>
      <w:r w:rsidRPr="00745A50">
        <w:rPr>
          <w:rFonts w:ascii="Book Antiqua" w:hAnsi="Book Antiqua" w:cs="Times New Roman"/>
          <w:sz w:val="24"/>
          <w:szCs w:val="24"/>
        </w:rPr>
        <w:t>% à 3</w:t>
      </w:r>
      <w:r w:rsidR="00E457BE">
        <w:rPr>
          <w:rFonts w:ascii="Book Antiqua" w:hAnsi="Book Antiqua" w:cs="Times New Roman"/>
          <w:sz w:val="24"/>
          <w:szCs w:val="24"/>
        </w:rPr>
        <w:t>5</w:t>
      </w:r>
      <w:r w:rsidRPr="00745A50">
        <w:rPr>
          <w:rFonts w:ascii="Book Antiqua" w:hAnsi="Book Antiqua" w:cs="Times New Roman"/>
          <w:sz w:val="24"/>
          <w:szCs w:val="24"/>
        </w:rPr>
        <w:t>,</w:t>
      </w:r>
      <w:r w:rsidR="00E457BE">
        <w:rPr>
          <w:rFonts w:ascii="Book Antiqua" w:hAnsi="Book Antiqua" w:cs="Times New Roman"/>
          <w:sz w:val="24"/>
          <w:szCs w:val="24"/>
        </w:rPr>
        <w:t>3</w:t>
      </w:r>
      <w:r w:rsidR="005045D2">
        <w:rPr>
          <w:rFonts w:ascii="Book Antiqua" w:hAnsi="Book Antiqua" w:cs="Times New Roman"/>
          <w:sz w:val="24"/>
          <w:szCs w:val="24"/>
        </w:rPr>
        <w:t xml:space="preserve">%. Il a egalement baissé </w:t>
      </w:r>
      <w:r w:rsidR="005045D2" w:rsidRPr="00745A50">
        <w:rPr>
          <w:rFonts w:ascii="Book Antiqua" w:hAnsi="Book Antiqua" w:cs="Times New Roman"/>
          <w:sz w:val="24"/>
          <w:szCs w:val="24"/>
        </w:rPr>
        <w:t>parmi les hommes</w:t>
      </w:r>
      <w:r w:rsidR="005045D2">
        <w:rPr>
          <w:rFonts w:ascii="Book Antiqua" w:hAnsi="Book Antiqua" w:cs="Times New Roman"/>
          <w:sz w:val="24"/>
          <w:szCs w:val="24"/>
        </w:rPr>
        <w:t xml:space="preserve">, de </w:t>
      </w:r>
      <w:r w:rsidR="00850E87" w:rsidRPr="00745A50">
        <w:rPr>
          <w:rFonts w:ascii="Book Antiqua" w:hAnsi="Book Antiqua" w:cs="Times New Roman"/>
          <w:sz w:val="24"/>
          <w:szCs w:val="24"/>
        </w:rPr>
        <w:t>6</w:t>
      </w:r>
      <w:r w:rsidR="00E457BE">
        <w:rPr>
          <w:rFonts w:ascii="Book Antiqua" w:hAnsi="Book Antiqua" w:cs="Times New Roman"/>
          <w:sz w:val="24"/>
          <w:szCs w:val="24"/>
        </w:rPr>
        <w:t>2,2</w:t>
      </w:r>
      <w:r w:rsidRPr="00745A50">
        <w:rPr>
          <w:rFonts w:ascii="Book Antiqua" w:hAnsi="Book Antiqua" w:cs="Times New Roman"/>
          <w:sz w:val="24"/>
          <w:szCs w:val="24"/>
        </w:rPr>
        <w:t xml:space="preserve">% à </w:t>
      </w:r>
      <w:r w:rsidR="00E457BE">
        <w:rPr>
          <w:rFonts w:ascii="Book Antiqua" w:hAnsi="Book Antiqua" w:cs="Times New Roman"/>
          <w:sz w:val="24"/>
          <w:szCs w:val="24"/>
        </w:rPr>
        <w:t>61</w:t>
      </w:r>
      <w:r w:rsidRPr="00745A50">
        <w:rPr>
          <w:rFonts w:ascii="Book Antiqua" w:hAnsi="Book Antiqua" w:cs="Times New Roman"/>
          <w:sz w:val="24"/>
          <w:szCs w:val="24"/>
        </w:rPr>
        <w:t>,</w:t>
      </w:r>
      <w:r w:rsidR="00E457BE">
        <w:rPr>
          <w:rFonts w:ascii="Book Antiqua" w:hAnsi="Book Antiqua" w:cs="Times New Roman"/>
          <w:sz w:val="24"/>
          <w:szCs w:val="24"/>
        </w:rPr>
        <w:t>0</w:t>
      </w:r>
      <w:r w:rsidRPr="00745A50">
        <w:rPr>
          <w:rFonts w:ascii="Book Antiqua" w:hAnsi="Book Antiqua" w:cs="Times New Roman"/>
          <w:sz w:val="24"/>
          <w:szCs w:val="24"/>
        </w:rPr>
        <w:t>%</w:t>
      </w:r>
      <w:r>
        <w:rPr>
          <w:rFonts w:ascii="Book Antiqua" w:hAnsi="Book Antiqua" w:cs="Times New Roman"/>
          <w:sz w:val="24"/>
          <w:szCs w:val="24"/>
        </w:rPr>
        <w:t xml:space="preserve"> </w:t>
      </w:r>
      <w:r w:rsidR="00441F6F">
        <w:rPr>
          <w:rFonts w:ascii="Book Antiqua" w:hAnsi="Book Antiqua" w:cs="Times New Roman"/>
          <w:sz w:val="24"/>
          <w:szCs w:val="24"/>
        </w:rPr>
        <w:t xml:space="preserve">(-1,2 point) </w:t>
      </w:r>
      <w:r>
        <w:rPr>
          <w:rFonts w:ascii="Book Antiqua" w:hAnsi="Book Antiqua" w:cs="Times New Roman"/>
          <w:sz w:val="24"/>
          <w:szCs w:val="24"/>
        </w:rPr>
        <w:t xml:space="preserve">et </w:t>
      </w:r>
      <w:r w:rsidR="005045D2" w:rsidRPr="00745A50">
        <w:rPr>
          <w:rFonts w:ascii="Book Antiqua" w:hAnsi="Book Antiqua" w:cs="Times New Roman"/>
          <w:sz w:val="24"/>
          <w:szCs w:val="24"/>
        </w:rPr>
        <w:t>parmi les femmes</w:t>
      </w:r>
      <w:r w:rsidR="005045D2">
        <w:rPr>
          <w:rFonts w:ascii="Book Antiqua" w:hAnsi="Book Antiqua" w:cs="Times New Roman"/>
          <w:sz w:val="24"/>
          <w:szCs w:val="24"/>
        </w:rPr>
        <w:t>,</w:t>
      </w:r>
      <w:r w:rsidR="005045D2" w:rsidRPr="00745A50">
        <w:rPr>
          <w:rFonts w:ascii="Book Antiqua" w:hAnsi="Book Antiqua" w:cs="Times New Roman"/>
          <w:sz w:val="24"/>
          <w:szCs w:val="24"/>
        </w:rPr>
        <w:t xml:space="preserve"> </w:t>
      </w:r>
      <w:r w:rsidRPr="00745A50">
        <w:rPr>
          <w:rFonts w:ascii="Book Antiqua" w:hAnsi="Book Antiqua" w:cs="Times New Roman"/>
          <w:sz w:val="24"/>
          <w:szCs w:val="24"/>
        </w:rPr>
        <w:t>de 1</w:t>
      </w:r>
      <w:r w:rsidR="00E457BE">
        <w:rPr>
          <w:rFonts w:ascii="Book Antiqua" w:hAnsi="Book Antiqua" w:cs="Times New Roman"/>
          <w:sz w:val="24"/>
          <w:szCs w:val="24"/>
        </w:rPr>
        <w:t>7</w:t>
      </w:r>
      <w:r w:rsidRPr="00745A50">
        <w:rPr>
          <w:rFonts w:ascii="Book Antiqua" w:hAnsi="Book Antiqua" w:cs="Times New Roman"/>
          <w:sz w:val="24"/>
          <w:szCs w:val="24"/>
        </w:rPr>
        <w:t>%</w:t>
      </w:r>
      <w:r w:rsidR="00916A10">
        <w:rPr>
          <w:rFonts w:ascii="Book Antiqua" w:hAnsi="Book Antiqua" w:cs="Times New Roman"/>
          <w:sz w:val="24"/>
          <w:szCs w:val="24"/>
        </w:rPr>
        <w:t xml:space="preserve"> </w:t>
      </w:r>
      <w:r w:rsidRPr="00745A50">
        <w:rPr>
          <w:rFonts w:ascii="Book Antiqua" w:hAnsi="Book Antiqua" w:cs="Times New Roman"/>
          <w:sz w:val="24"/>
          <w:szCs w:val="24"/>
        </w:rPr>
        <w:t>à</w:t>
      </w:r>
      <w:r w:rsidR="00916A10">
        <w:rPr>
          <w:rFonts w:ascii="Book Antiqua" w:hAnsi="Book Antiqua" w:cs="Times New Roman"/>
          <w:sz w:val="24"/>
          <w:szCs w:val="24"/>
        </w:rPr>
        <w:t xml:space="preserve"> </w:t>
      </w:r>
      <w:r w:rsidRPr="00745A50">
        <w:rPr>
          <w:rFonts w:ascii="Book Antiqua" w:hAnsi="Book Antiqua" w:cs="Times New Roman"/>
          <w:sz w:val="24"/>
          <w:szCs w:val="24"/>
        </w:rPr>
        <w:t>1</w:t>
      </w:r>
      <w:r w:rsidR="00E457BE">
        <w:rPr>
          <w:rFonts w:ascii="Book Antiqua" w:hAnsi="Book Antiqua" w:cs="Times New Roman"/>
          <w:sz w:val="24"/>
          <w:szCs w:val="24"/>
        </w:rPr>
        <w:t>6</w:t>
      </w:r>
      <w:r w:rsidRPr="00745A50">
        <w:rPr>
          <w:rFonts w:ascii="Book Antiqua" w:hAnsi="Book Antiqua" w:cs="Times New Roman"/>
          <w:sz w:val="24"/>
          <w:szCs w:val="24"/>
        </w:rPr>
        <w:t>,</w:t>
      </w:r>
      <w:r w:rsidR="00E457BE">
        <w:rPr>
          <w:rFonts w:ascii="Book Antiqua" w:hAnsi="Book Antiqua" w:cs="Times New Roman"/>
          <w:sz w:val="24"/>
          <w:szCs w:val="24"/>
        </w:rPr>
        <w:t>5</w:t>
      </w:r>
      <w:r w:rsidRPr="00745A50">
        <w:rPr>
          <w:rFonts w:ascii="Book Antiqua" w:hAnsi="Book Antiqua" w:cs="Times New Roman"/>
          <w:sz w:val="24"/>
          <w:szCs w:val="24"/>
        </w:rPr>
        <w:t>%</w:t>
      </w:r>
      <w:r w:rsidR="00441F6F">
        <w:rPr>
          <w:rFonts w:ascii="Book Antiqua" w:hAnsi="Book Antiqua" w:cs="Times New Roman"/>
          <w:sz w:val="24"/>
          <w:szCs w:val="24"/>
        </w:rPr>
        <w:t xml:space="preserve"> (-0,5 point)</w:t>
      </w:r>
      <w:r w:rsidR="005045D2">
        <w:rPr>
          <w:rFonts w:ascii="Book Antiqua" w:hAnsi="Book Antiqua" w:cs="Times New Roman"/>
          <w:sz w:val="24"/>
          <w:szCs w:val="24"/>
        </w:rPr>
        <w:t>.</w:t>
      </w:r>
    </w:p>
    <w:p w:rsidR="00EB5A99" w:rsidRPr="00725167" w:rsidRDefault="0037275B" w:rsidP="0037275B">
      <w:pPr>
        <w:spacing w:before="100" w:beforeAutospacing="1" w:after="100" w:afterAutospacing="1" w:line="276" w:lineRule="auto"/>
        <w:jc w:val="both"/>
        <w:rPr>
          <w:rFonts w:ascii="Book Antiqua" w:eastAsiaTheme="majorEastAsia" w:hAnsi="Book Antiqua" w:cstheme="majorHAnsi"/>
          <w:b/>
          <w:bCs/>
          <w:i/>
          <w:iCs/>
          <w:color w:val="2E74B5" w:themeColor="accent5" w:themeShade="BF"/>
          <w:spacing w:val="-10"/>
          <w:kern w:val="28"/>
          <w:sz w:val="24"/>
          <w:szCs w:val="24"/>
        </w:rPr>
      </w:pPr>
      <w:r>
        <w:rPr>
          <w:rFonts w:ascii="Book Antiqua" w:eastAsiaTheme="majorEastAsia" w:hAnsi="Book Antiqua" w:cstheme="majorHAnsi"/>
          <w:b/>
          <w:bCs/>
          <w:i/>
          <w:iCs/>
          <w:color w:val="2E74B5" w:themeColor="accent5" w:themeShade="BF"/>
          <w:spacing w:val="-10"/>
          <w:kern w:val="28"/>
          <w:sz w:val="24"/>
          <w:szCs w:val="24"/>
          <w:lang w:bidi="tzm-Arab-MA"/>
        </w:rPr>
        <w:t>Hausse de l’emploi en mileiu urbain contre une baisse e</w:t>
      </w:r>
      <w:r w:rsidR="00EB5A99" w:rsidRPr="00725167">
        <w:rPr>
          <w:rFonts w:ascii="Book Antiqua" w:eastAsiaTheme="majorEastAsia" w:hAnsi="Book Antiqua" w:cstheme="majorHAnsi"/>
          <w:b/>
          <w:bCs/>
          <w:i/>
          <w:iCs/>
          <w:color w:val="2E74B5" w:themeColor="accent5" w:themeShade="BF"/>
          <w:spacing w:val="-10"/>
          <w:kern w:val="28"/>
          <w:sz w:val="24"/>
          <w:szCs w:val="24"/>
        </w:rPr>
        <w:t>n milieu rural</w:t>
      </w:r>
    </w:p>
    <w:p w:rsidR="00C036E5" w:rsidRDefault="00EB5A99" w:rsidP="009B7967">
      <w:pPr>
        <w:autoSpaceDE w:val="0"/>
        <w:autoSpaceDN w:val="0"/>
        <w:adjustRightInd w:val="0"/>
        <w:spacing w:before="120" w:after="120" w:line="276" w:lineRule="auto"/>
        <w:jc w:val="both"/>
        <w:rPr>
          <w:rFonts w:ascii="Book Antiqua" w:hAnsi="Book Antiqua" w:cs="Times New Roman"/>
          <w:sz w:val="24"/>
          <w:szCs w:val="24"/>
        </w:rPr>
      </w:pPr>
      <w:r>
        <w:rPr>
          <w:rFonts w:ascii="Book Antiqua" w:hAnsi="Book Antiqua" w:cs="Times New Roman"/>
          <w:sz w:val="24"/>
          <w:szCs w:val="24"/>
        </w:rPr>
        <w:t>L</w:t>
      </w:r>
      <w:r w:rsidRPr="00745A50">
        <w:rPr>
          <w:rFonts w:ascii="Book Antiqua" w:hAnsi="Book Antiqua" w:cs="Times New Roman"/>
          <w:sz w:val="24"/>
          <w:szCs w:val="24"/>
        </w:rPr>
        <w:t xml:space="preserve">e volume de l’emploi a baissé </w:t>
      </w:r>
      <w:r w:rsidR="009C7C02">
        <w:rPr>
          <w:rFonts w:ascii="Book Antiqua" w:hAnsi="Book Antiqua" w:cs="Times New Roman"/>
          <w:sz w:val="24"/>
          <w:szCs w:val="24"/>
        </w:rPr>
        <w:t xml:space="preserve">de </w:t>
      </w:r>
      <w:r w:rsidRPr="00940768">
        <w:rPr>
          <w:rFonts w:ascii="Book Antiqua" w:hAnsi="Book Antiqua" w:cs="Times New Roman"/>
          <w:sz w:val="24"/>
          <w:szCs w:val="24"/>
        </w:rPr>
        <w:t>8</w:t>
      </w:r>
      <w:r w:rsidR="00E457BE">
        <w:rPr>
          <w:rFonts w:ascii="Book Antiqua" w:hAnsi="Book Antiqua" w:cs="Times New Roman"/>
          <w:sz w:val="24"/>
          <w:szCs w:val="24"/>
        </w:rPr>
        <w:t>2</w:t>
      </w:r>
      <w:r w:rsidRPr="00940768">
        <w:rPr>
          <w:rFonts w:ascii="Book Antiqua" w:hAnsi="Book Antiqua" w:cs="Times New Roman"/>
          <w:sz w:val="24"/>
          <w:szCs w:val="24"/>
        </w:rPr>
        <w:t xml:space="preserve">.000 postes, résultant </w:t>
      </w:r>
      <w:r w:rsidR="009B7967" w:rsidRPr="00940768">
        <w:rPr>
          <w:rFonts w:ascii="Book Antiqua" w:hAnsi="Book Antiqua" w:cs="Times New Roman"/>
          <w:sz w:val="24"/>
          <w:szCs w:val="24"/>
        </w:rPr>
        <w:t>d</w:t>
      </w:r>
      <w:r w:rsidR="009B7967">
        <w:rPr>
          <w:rFonts w:ascii="Book Antiqua" w:hAnsi="Book Antiqua" w:cs="Times New Roman"/>
          <w:sz w:val="24"/>
          <w:szCs w:val="24"/>
        </w:rPr>
        <w:t xml:space="preserve">’une création de 60.000 </w:t>
      </w:r>
      <w:r w:rsidR="009B7967" w:rsidRPr="00940768">
        <w:rPr>
          <w:rFonts w:ascii="Book Antiqua" w:hAnsi="Book Antiqua" w:cs="Times New Roman"/>
          <w:sz w:val="24"/>
          <w:szCs w:val="24"/>
        </w:rPr>
        <w:t>en milieu</w:t>
      </w:r>
      <w:r w:rsidR="009B7967">
        <w:rPr>
          <w:rFonts w:ascii="Book Antiqua" w:hAnsi="Book Antiqua" w:cs="Times New Roman"/>
          <w:sz w:val="24"/>
          <w:szCs w:val="24"/>
        </w:rPr>
        <w:t xml:space="preserve"> </w:t>
      </w:r>
      <w:r w:rsidR="009B7967" w:rsidRPr="00940768">
        <w:rPr>
          <w:rFonts w:ascii="Book Antiqua" w:hAnsi="Book Antiqua" w:cs="Times New Roman"/>
          <w:sz w:val="24"/>
          <w:szCs w:val="24"/>
        </w:rPr>
        <w:t>urbain</w:t>
      </w:r>
      <w:r w:rsidR="009B7967">
        <w:rPr>
          <w:rFonts w:ascii="Book Antiqua" w:hAnsi="Book Antiqua" w:cs="Times New Roman"/>
          <w:sz w:val="24"/>
          <w:szCs w:val="24"/>
        </w:rPr>
        <w:t xml:space="preserve"> et </w:t>
      </w:r>
      <w:r w:rsidRPr="00940768">
        <w:rPr>
          <w:rFonts w:ascii="Book Antiqua" w:hAnsi="Book Antiqua" w:cs="Times New Roman"/>
          <w:sz w:val="24"/>
          <w:szCs w:val="24"/>
        </w:rPr>
        <w:t xml:space="preserve">d’une perte de </w:t>
      </w:r>
      <w:r w:rsidR="00E457BE">
        <w:rPr>
          <w:rFonts w:ascii="Book Antiqua" w:hAnsi="Book Antiqua" w:cs="Times New Roman"/>
          <w:sz w:val="24"/>
          <w:szCs w:val="24"/>
        </w:rPr>
        <w:t>141</w:t>
      </w:r>
      <w:r w:rsidRPr="00940768">
        <w:rPr>
          <w:rFonts w:ascii="Book Antiqua" w:hAnsi="Book Antiqua" w:cs="Times New Roman"/>
          <w:sz w:val="24"/>
          <w:szCs w:val="24"/>
        </w:rPr>
        <w:t>.000 en milieu rural et.</w:t>
      </w:r>
      <w:r w:rsidR="004805D0">
        <w:rPr>
          <w:rFonts w:ascii="Book Antiqua" w:hAnsi="Book Antiqua" w:cs="Times New Roman"/>
          <w:sz w:val="24"/>
          <w:szCs w:val="24"/>
        </w:rPr>
        <w:t xml:space="preserve"> </w:t>
      </w:r>
      <w:r w:rsidRPr="00940768">
        <w:rPr>
          <w:rFonts w:ascii="Book Antiqua" w:eastAsia="Book Antiqua" w:hAnsi="Book Antiqua" w:cs="Book Antiqua"/>
          <w:sz w:val="24"/>
          <w:szCs w:val="24"/>
        </w:rPr>
        <w:t xml:space="preserve">Par type d’emploi, </w:t>
      </w:r>
      <w:r w:rsidR="00E457BE">
        <w:rPr>
          <w:rFonts w:ascii="Book Antiqua" w:hAnsi="Book Antiqua" w:cs="Times New Roman"/>
          <w:sz w:val="24"/>
          <w:szCs w:val="24"/>
        </w:rPr>
        <w:t>4</w:t>
      </w:r>
      <w:r w:rsidR="000D3310">
        <w:rPr>
          <w:rFonts w:ascii="Book Antiqua" w:hAnsi="Book Antiqua" w:cs="Times New Roman"/>
          <w:sz w:val="24"/>
          <w:szCs w:val="24"/>
        </w:rPr>
        <w:t>5</w:t>
      </w:r>
      <w:r w:rsidRPr="00940768">
        <w:rPr>
          <w:rFonts w:ascii="Book Antiqua" w:hAnsi="Book Antiqua" w:cs="Times New Roman"/>
          <w:sz w:val="24"/>
          <w:szCs w:val="24"/>
        </w:rPr>
        <w:t>.000 emplois rémunérés</w:t>
      </w:r>
      <w:r w:rsidR="004805D0">
        <w:rPr>
          <w:rFonts w:ascii="Book Antiqua" w:hAnsi="Book Antiqua" w:cs="Times New Roman"/>
          <w:sz w:val="24"/>
          <w:szCs w:val="24"/>
        </w:rPr>
        <w:t xml:space="preserve"> </w:t>
      </w:r>
      <w:r w:rsidRPr="00940768">
        <w:rPr>
          <w:rFonts w:ascii="Book Antiqua" w:hAnsi="Book Antiqua" w:cs="Times New Roman"/>
          <w:sz w:val="24"/>
          <w:szCs w:val="24"/>
        </w:rPr>
        <w:t xml:space="preserve">ont été </w:t>
      </w:r>
      <w:r w:rsidR="000D3310">
        <w:rPr>
          <w:rFonts w:ascii="Book Antiqua" w:hAnsi="Book Antiqua" w:cs="Times New Roman"/>
          <w:sz w:val="24"/>
          <w:szCs w:val="24"/>
        </w:rPr>
        <w:t>créé</w:t>
      </w:r>
      <w:r w:rsidR="00C036E5">
        <w:rPr>
          <w:rFonts w:ascii="Book Antiqua" w:hAnsi="Book Antiqua" w:cs="Times New Roman"/>
          <w:sz w:val="24"/>
          <w:szCs w:val="24"/>
        </w:rPr>
        <w:t>s</w:t>
      </w:r>
      <w:r w:rsidRPr="00940768">
        <w:rPr>
          <w:rFonts w:ascii="Book Antiqua" w:hAnsi="Book Antiqua" w:cs="Times New Roman"/>
          <w:sz w:val="24"/>
          <w:szCs w:val="24"/>
        </w:rPr>
        <w:t xml:space="preserve"> au niveau national, suite à une </w:t>
      </w:r>
      <w:r w:rsidR="00F37B21">
        <w:rPr>
          <w:rFonts w:ascii="Book Antiqua" w:hAnsi="Book Antiqua" w:cs="Times New Roman"/>
          <w:sz w:val="24"/>
          <w:szCs w:val="24"/>
        </w:rPr>
        <w:t>création</w:t>
      </w:r>
      <w:r w:rsidRPr="00940768">
        <w:rPr>
          <w:rFonts w:ascii="Book Antiqua" w:hAnsi="Book Antiqua" w:cs="Times New Roman"/>
          <w:sz w:val="24"/>
          <w:szCs w:val="24"/>
        </w:rPr>
        <w:t xml:space="preserve"> de </w:t>
      </w:r>
      <w:r w:rsidR="00E457BE">
        <w:rPr>
          <w:rFonts w:ascii="Book Antiqua" w:hAnsi="Book Antiqua" w:cs="Times New Roman"/>
          <w:sz w:val="24"/>
          <w:szCs w:val="24"/>
        </w:rPr>
        <w:t>63</w:t>
      </w:r>
      <w:r w:rsidRPr="00940768">
        <w:rPr>
          <w:rFonts w:ascii="Book Antiqua" w:hAnsi="Book Antiqua" w:cs="Times New Roman"/>
          <w:sz w:val="24"/>
          <w:szCs w:val="24"/>
        </w:rPr>
        <w:t xml:space="preserve">.000 postes en milieu urbain et une </w:t>
      </w:r>
      <w:r w:rsidR="00F37B21">
        <w:rPr>
          <w:rFonts w:ascii="Book Antiqua" w:hAnsi="Book Antiqua" w:cs="Times New Roman"/>
          <w:sz w:val="24"/>
          <w:szCs w:val="24"/>
        </w:rPr>
        <w:t>perte</w:t>
      </w:r>
      <w:r w:rsidRPr="00940768">
        <w:rPr>
          <w:rFonts w:ascii="Book Antiqua" w:hAnsi="Book Antiqua" w:cs="Times New Roman"/>
          <w:sz w:val="24"/>
          <w:szCs w:val="24"/>
        </w:rPr>
        <w:t xml:space="preserve"> de </w:t>
      </w:r>
      <w:r w:rsidR="00F37B21">
        <w:rPr>
          <w:rFonts w:ascii="Book Antiqua" w:hAnsi="Book Antiqua" w:cs="Times New Roman"/>
          <w:sz w:val="24"/>
          <w:szCs w:val="24"/>
        </w:rPr>
        <w:t>1</w:t>
      </w:r>
      <w:r w:rsidR="00E457BE">
        <w:rPr>
          <w:rFonts w:ascii="Book Antiqua" w:hAnsi="Book Antiqua" w:cs="Times New Roman"/>
          <w:sz w:val="24"/>
          <w:szCs w:val="24"/>
        </w:rPr>
        <w:t>8</w:t>
      </w:r>
      <w:r w:rsidRPr="00940768">
        <w:rPr>
          <w:rFonts w:ascii="Book Antiqua" w:hAnsi="Book Antiqua" w:cs="Times New Roman"/>
          <w:sz w:val="24"/>
          <w:szCs w:val="24"/>
        </w:rPr>
        <w:t xml:space="preserve">.000 en milieu rural. </w:t>
      </w:r>
    </w:p>
    <w:p w:rsidR="00EB5A99" w:rsidRPr="002B17F8" w:rsidRDefault="00EB5A99" w:rsidP="00256254">
      <w:pPr>
        <w:autoSpaceDE w:val="0"/>
        <w:autoSpaceDN w:val="0"/>
        <w:adjustRightInd w:val="0"/>
        <w:spacing w:before="120" w:after="120" w:line="276" w:lineRule="auto"/>
        <w:jc w:val="both"/>
        <w:rPr>
          <w:rFonts w:ascii="Book Antiqua" w:eastAsia="Book Antiqua" w:hAnsi="Book Antiqua" w:cs="Book Antiqua"/>
          <w:b/>
          <w:sz w:val="20"/>
          <w:szCs w:val="20"/>
        </w:rPr>
      </w:pPr>
      <w:r w:rsidRPr="00940768">
        <w:rPr>
          <w:rFonts w:ascii="Book Antiqua" w:hAnsi="Book Antiqua" w:cs="Times New Roman"/>
          <w:sz w:val="24"/>
          <w:szCs w:val="24"/>
        </w:rPr>
        <w:t xml:space="preserve">L’emploi non rémunéré a connu, de son côté, une perte de </w:t>
      </w:r>
      <w:r w:rsidR="00E457BE">
        <w:rPr>
          <w:rFonts w:ascii="Book Antiqua" w:hAnsi="Book Antiqua" w:cs="Times New Roman"/>
          <w:sz w:val="24"/>
          <w:szCs w:val="24"/>
        </w:rPr>
        <w:t>126</w:t>
      </w:r>
      <w:r w:rsidRPr="00940768">
        <w:rPr>
          <w:rFonts w:ascii="Book Antiqua" w:hAnsi="Book Antiqua" w:cs="Times New Roman"/>
          <w:sz w:val="24"/>
          <w:szCs w:val="24"/>
        </w:rPr>
        <w:t xml:space="preserve">.000 postes, conséquence d’une perte </w:t>
      </w:r>
      <w:r w:rsidR="009B7967" w:rsidRPr="00940768">
        <w:rPr>
          <w:rFonts w:ascii="Book Antiqua" w:hAnsi="Book Antiqua" w:cs="Times New Roman"/>
          <w:sz w:val="24"/>
          <w:szCs w:val="24"/>
        </w:rPr>
        <w:t xml:space="preserve">de </w:t>
      </w:r>
      <w:r w:rsidR="009B7967">
        <w:rPr>
          <w:rFonts w:ascii="Book Antiqua" w:hAnsi="Book Antiqua" w:cs="Times New Roman"/>
          <w:sz w:val="24"/>
          <w:szCs w:val="24"/>
        </w:rPr>
        <w:t>123</w:t>
      </w:r>
      <w:r w:rsidR="009B7967" w:rsidRPr="00940768">
        <w:rPr>
          <w:rFonts w:ascii="Book Antiqua" w:hAnsi="Book Antiqua" w:cs="Times New Roman"/>
          <w:sz w:val="24"/>
          <w:szCs w:val="24"/>
        </w:rPr>
        <w:t>.000 en zones</w:t>
      </w:r>
      <w:r w:rsidR="009B7967" w:rsidRPr="002B17F8">
        <w:rPr>
          <w:rFonts w:ascii="Book Antiqua" w:hAnsi="Book Antiqua" w:cs="Times New Roman"/>
          <w:sz w:val="24"/>
          <w:szCs w:val="24"/>
        </w:rPr>
        <w:t xml:space="preserve"> rurales</w:t>
      </w:r>
      <w:r w:rsidR="009B7967" w:rsidRPr="00940768">
        <w:rPr>
          <w:rFonts w:ascii="Book Antiqua" w:hAnsi="Book Antiqua" w:cs="Times New Roman"/>
          <w:sz w:val="24"/>
          <w:szCs w:val="24"/>
        </w:rPr>
        <w:t xml:space="preserve"> </w:t>
      </w:r>
      <w:r w:rsidR="009B7967">
        <w:rPr>
          <w:rFonts w:ascii="Book Antiqua" w:hAnsi="Book Antiqua" w:cs="Times New Roman"/>
          <w:sz w:val="24"/>
          <w:szCs w:val="24"/>
        </w:rPr>
        <w:t xml:space="preserve">et </w:t>
      </w:r>
      <w:r w:rsidRPr="00940768">
        <w:rPr>
          <w:rFonts w:ascii="Book Antiqua" w:hAnsi="Book Antiqua" w:cs="Times New Roman"/>
          <w:sz w:val="24"/>
          <w:szCs w:val="24"/>
        </w:rPr>
        <w:t xml:space="preserve">de </w:t>
      </w:r>
      <w:r w:rsidR="00E457BE">
        <w:rPr>
          <w:rFonts w:ascii="Book Antiqua" w:hAnsi="Book Antiqua" w:cs="Times New Roman"/>
          <w:sz w:val="24"/>
          <w:szCs w:val="24"/>
        </w:rPr>
        <w:t>4</w:t>
      </w:r>
      <w:r w:rsidRPr="00940768">
        <w:rPr>
          <w:rFonts w:ascii="Book Antiqua" w:hAnsi="Book Antiqua" w:cs="Times New Roman"/>
          <w:sz w:val="24"/>
          <w:szCs w:val="24"/>
        </w:rPr>
        <w:t>.000 em</w:t>
      </w:r>
      <w:r w:rsidR="00256254">
        <w:rPr>
          <w:rFonts w:ascii="Book Antiqua" w:hAnsi="Book Antiqua" w:cs="Times New Roman"/>
          <w:sz w:val="24"/>
          <w:szCs w:val="24"/>
        </w:rPr>
        <w:t>plois en zones urbaines</w:t>
      </w:r>
      <w:r w:rsidRPr="002B17F8">
        <w:rPr>
          <w:rFonts w:ascii="Book Antiqua" w:hAnsi="Book Antiqua" w:cs="Times New Roman"/>
          <w:sz w:val="24"/>
          <w:szCs w:val="24"/>
        </w:rPr>
        <w:t>.</w:t>
      </w:r>
    </w:p>
    <w:p w:rsidR="00D33371" w:rsidRDefault="00D33371" w:rsidP="00E457BE">
      <w:pPr>
        <w:autoSpaceDE w:val="0"/>
        <w:autoSpaceDN w:val="0"/>
        <w:adjustRightInd w:val="0"/>
        <w:spacing w:before="120" w:after="120" w:line="276" w:lineRule="auto"/>
        <w:jc w:val="both"/>
        <w:rPr>
          <w:rFonts w:ascii="Book Antiqua" w:eastAsiaTheme="majorEastAsia" w:hAnsi="Book Antiqua" w:cstheme="majorHAnsi"/>
          <w:b/>
          <w:bCs/>
          <w:i/>
          <w:iCs/>
          <w:color w:val="2E74B5" w:themeColor="accent5" w:themeShade="BF"/>
          <w:spacing w:val="-10"/>
          <w:kern w:val="28"/>
          <w:sz w:val="24"/>
          <w:szCs w:val="24"/>
        </w:rPr>
      </w:pPr>
    </w:p>
    <w:p w:rsidR="007324DD" w:rsidRPr="00321C79" w:rsidRDefault="00D33371" w:rsidP="00D33371">
      <w:pPr>
        <w:autoSpaceDE w:val="0"/>
        <w:autoSpaceDN w:val="0"/>
        <w:adjustRightInd w:val="0"/>
        <w:spacing w:before="120" w:after="120" w:line="276" w:lineRule="auto"/>
        <w:jc w:val="both"/>
        <w:rPr>
          <w:rFonts w:ascii="Book Antiqua" w:eastAsiaTheme="majorEastAsia" w:hAnsi="Book Antiqua" w:cstheme="majorHAnsi"/>
          <w:b/>
          <w:bCs/>
          <w:i/>
          <w:iCs/>
          <w:color w:val="2E74B5" w:themeColor="accent5" w:themeShade="BF"/>
          <w:spacing w:val="-10"/>
          <w:kern w:val="28"/>
          <w:sz w:val="24"/>
          <w:szCs w:val="24"/>
        </w:rPr>
      </w:pPr>
      <w:r>
        <w:rPr>
          <w:rFonts w:ascii="Book Antiqua" w:eastAsiaTheme="majorEastAsia" w:hAnsi="Book Antiqua" w:cstheme="majorHAnsi"/>
          <w:b/>
          <w:bCs/>
          <w:i/>
          <w:iCs/>
          <w:color w:val="2E74B5" w:themeColor="accent5" w:themeShade="BF"/>
          <w:spacing w:val="-10"/>
          <w:kern w:val="28"/>
          <w:sz w:val="24"/>
          <w:szCs w:val="24"/>
        </w:rPr>
        <w:t>Variation de l’</w:t>
      </w:r>
      <w:r w:rsidR="00E457BE">
        <w:rPr>
          <w:rFonts w:ascii="Book Antiqua" w:eastAsiaTheme="majorEastAsia" w:hAnsi="Book Antiqua" w:cstheme="majorHAnsi"/>
          <w:b/>
          <w:bCs/>
          <w:i/>
          <w:iCs/>
          <w:color w:val="2E74B5" w:themeColor="accent5" w:themeShade="BF"/>
          <w:spacing w:val="-10"/>
          <w:kern w:val="28"/>
          <w:sz w:val="24"/>
          <w:szCs w:val="24"/>
        </w:rPr>
        <w:t xml:space="preserve">emploi </w:t>
      </w:r>
      <w:r>
        <w:rPr>
          <w:rFonts w:ascii="Book Antiqua" w:eastAsiaTheme="majorEastAsia" w:hAnsi="Book Antiqua" w:cstheme="majorHAnsi"/>
          <w:b/>
          <w:bCs/>
          <w:i/>
          <w:iCs/>
          <w:color w:val="2E74B5" w:themeColor="accent5" w:themeShade="BF"/>
          <w:spacing w:val="-10"/>
          <w:kern w:val="28"/>
          <w:sz w:val="24"/>
          <w:szCs w:val="24"/>
        </w:rPr>
        <w:t>selon les scteurs d’activité éconmique</w:t>
      </w:r>
      <w:r w:rsidR="007324DD" w:rsidRPr="00321C79">
        <w:rPr>
          <w:rFonts w:ascii="Book Antiqua" w:eastAsiaTheme="majorEastAsia" w:hAnsi="Book Antiqua" w:cstheme="majorHAnsi"/>
          <w:b/>
          <w:bCs/>
          <w:i/>
          <w:iCs/>
          <w:color w:val="2E74B5" w:themeColor="accent5" w:themeShade="BF"/>
          <w:spacing w:val="-10"/>
          <w:kern w:val="28"/>
          <w:sz w:val="24"/>
          <w:szCs w:val="24"/>
        </w:rPr>
        <w:t xml:space="preserve"> </w:t>
      </w:r>
    </w:p>
    <w:p w:rsidR="00D33371" w:rsidRDefault="00EB5A99" w:rsidP="009B7967">
      <w:pPr>
        <w:autoSpaceDE w:val="0"/>
        <w:autoSpaceDN w:val="0"/>
        <w:adjustRightInd w:val="0"/>
        <w:spacing w:before="120" w:after="120" w:line="276" w:lineRule="auto"/>
        <w:jc w:val="both"/>
        <w:rPr>
          <w:rFonts w:ascii="Book Antiqua" w:hAnsi="Book Antiqua" w:cs="Times New Roman"/>
          <w:sz w:val="24"/>
          <w:szCs w:val="24"/>
        </w:rPr>
      </w:pPr>
      <w:r>
        <w:rPr>
          <w:rFonts w:ascii="Book Antiqua" w:hAnsi="Book Antiqua" w:cs="Times New Roman"/>
          <w:sz w:val="24"/>
          <w:szCs w:val="24"/>
        </w:rPr>
        <w:t>E</w:t>
      </w:r>
      <w:r w:rsidRPr="002D324E">
        <w:rPr>
          <w:rFonts w:ascii="Book Antiqua" w:hAnsi="Book Antiqua" w:cs="Times New Roman"/>
          <w:sz w:val="24"/>
          <w:szCs w:val="24"/>
        </w:rPr>
        <w:t xml:space="preserve">ntre le </w:t>
      </w:r>
      <w:r w:rsidR="00145C7E">
        <w:rPr>
          <w:rFonts w:ascii="Book Antiqua" w:hAnsi="Book Antiqua" w:cs="Times New Roman"/>
          <w:sz w:val="24"/>
          <w:szCs w:val="24"/>
        </w:rPr>
        <w:t>deuxième</w:t>
      </w:r>
      <w:r w:rsidR="009B7967">
        <w:rPr>
          <w:rFonts w:ascii="Book Antiqua" w:hAnsi="Book Antiqua" w:cs="Times New Roman"/>
          <w:sz w:val="24"/>
          <w:szCs w:val="24"/>
        </w:rPr>
        <w:t xml:space="preserve"> </w:t>
      </w:r>
      <w:r w:rsidRPr="002D324E">
        <w:rPr>
          <w:rFonts w:ascii="Book Antiqua" w:hAnsi="Book Antiqua" w:cs="Times New Roman"/>
          <w:sz w:val="24"/>
          <w:szCs w:val="24"/>
        </w:rPr>
        <w:t xml:space="preserve">trimestre de </w:t>
      </w:r>
      <w:r w:rsidR="007A2EA8">
        <w:rPr>
          <w:rFonts w:ascii="Book Antiqua" w:hAnsi="Book Antiqua" w:cs="Times New Roman"/>
          <w:sz w:val="24"/>
          <w:szCs w:val="24"/>
        </w:rPr>
        <w:t>2023</w:t>
      </w:r>
      <w:r>
        <w:rPr>
          <w:rFonts w:ascii="Book Antiqua" w:hAnsi="Book Antiqua" w:cs="Times New Roman"/>
          <w:sz w:val="24"/>
          <w:szCs w:val="24"/>
        </w:rPr>
        <w:t xml:space="preserve"> et la même période de </w:t>
      </w:r>
      <w:r w:rsidR="007A2EA8">
        <w:rPr>
          <w:rFonts w:ascii="Book Antiqua" w:hAnsi="Book Antiqua" w:cs="Times New Roman"/>
          <w:sz w:val="24"/>
          <w:szCs w:val="24"/>
        </w:rPr>
        <w:t>2024</w:t>
      </w:r>
      <w:r>
        <w:rPr>
          <w:rFonts w:ascii="Book Antiqua" w:hAnsi="Book Antiqua" w:cs="Times New Roman"/>
          <w:sz w:val="24"/>
          <w:szCs w:val="24"/>
        </w:rPr>
        <w:t>, l</w:t>
      </w:r>
      <w:r w:rsidRPr="002D324E">
        <w:rPr>
          <w:rFonts w:ascii="Book Antiqua" w:hAnsi="Book Antiqua" w:cs="Times New Roman"/>
          <w:sz w:val="24"/>
          <w:szCs w:val="24"/>
        </w:rPr>
        <w:t>e secteur de l’</w:t>
      </w:r>
      <w:r w:rsidRPr="00745A50">
        <w:rPr>
          <w:rFonts w:ascii="Book Antiqua" w:hAnsi="Book Antiqua" w:cs="Times New Roman"/>
          <w:sz w:val="24"/>
          <w:szCs w:val="24"/>
        </w:rPr>
        <w:t>"agriculture forêt et pêche"</w:t>
      </w:r>
      <w:r w:rsidRPr="002D324E">
        <w:rPr>
          <w:rFonts w:ascii="Book Antiqua" w:hAnsi="Book Antiqua" w:cs="Times New Roman"/>
          <w:sz w:val="24"/>
          <w:szCs w:val="24"/>
        </w:rPr>
        <w:t xml:space="preserve">, a </w:t>
      </w:r>
      <w:r>
        <w:rPr>
          <w:rFonts w:ascii="Book Antiqua" w:hAnsi="Book Antiqua" w:cs="Times New Roman"/>
          <w:sz w:val="24"/>
          <w:szCs w:val="24"/>
        </w:rPr>
        <w:t xml:space="preserve">perdu </w:t>
      </w:r>
      <w:r w:rsidR="00E457BE">
        <w:rPr>
          <w:rFonts w:ascii="Book Antiqua" w:hAnsi="Book Antiqua" w:cs="Times New Roman"/>
          <w:sz w:val="24"/>
          <w:szCs w:val="24"/>
        </w:rPr>
        <w:t>152</w:t>
      </w:r>
      <w:r w:rsidRPr="002D324E">
        <w:rPr>
          <w:rFonts w:ascii="Book Antiqua" w:hAnsi="Book Antiqua" w:cs="Times New Roman"/>
          <w:sz w:val="24"/>
          <w:szCs w:val="24"/>
        </w:rPr>
        <w:t>.000 postes</w:t>
      </w:r>
      <w:r>
        <w:rPr>
          <w:rFonts w:ascii="Book Antiqua" w:hAnsi="Book Antiqua" w:cs="Times New Roman"/>
          <w:sz w:val="24"/>
          <w:szCs w:val="24"/>
        </w:rPr>
        <w:t xml:space="preserve"> d’emploi, </w:t>
      </w:r>
      <w:r w:rsidRPr="007C6B26">
        <w:rPr>
          <w:rFonts w:ascii="Book Antiqua" w:hAnsi="Book Antiqua" w:cs="Times New Roman"/>
          <w:sz w:val="24"/>
          <w:szCs w:val="24"/>
        </w:rPr>
        <w:t xml:space="preserve">ce qui correspond à une baisse de </w:t>
      </w:r>
      <w:r w:rsidR="00E457BE">
        <w:rPr>
          <w:rFonts w:ascii="Book Antiqua" w:hAnsi="Book Antiqua" w:cs="Times New Roman"/>
          <w:sz w:val="24"/>
          <w:szCs w:val="24"/>
        </w:rPr>
        <w:t>5</w:t>
      </w:r>
      <w:r w:rsidRPr="007C6B26">
        <w:rPr>
          <w:rFonts w:ascii="Book Antiqua" w:hAnsi="Book Antiqua" w:cs="Times New Roman"/>
          <w:sz w:val="24"/>
          <w:szCs w:val="24"/>
        </w:rPr>
        <w:t>% du volume de l'emploi dans ce secteur.</w:t>
      </w:r>
      <w:r w:rsidR="00A27C88" w:rsidRPr="00A27C88">
        <w:rPr>
          <w:rFonts w:ascii="Book Antiqua" w:hAnsi="Book Antiqua" w:cs="Times New Roman"/>
          <w:sz w:val="24"/>
          <w:szCs w:val="24"/>
        </w:rPr>
        <w:t xml:space="preserve"> </w:t>
      </w:r>
    </w:p>
    <w:p w:rsidR="00D33371" w:rsidRPr="001A6978" w:rsidRDefault="00D33371" w:rsidP="00256254">
      <w:pPr>
        <w:autoSpaceDE w:val="0"/>
        <w:autoSpaceDN w:val="0"/>
        <w:adjustRightInd w:val="0"/>
        <w:spacing w:before="120" w:after="120" w:line="276" w:lineRule="auto"/>
        <w:jc w:val="both"/>
        <w:rPr>
          <w:rFonts w:ascii="Book Antiqua" w:eastAsia="Book Antiqua" w:hAnsi="Book Antiqua" w:cs="Book Antiqua"/>
          <w:sz w:val="24"/>
          <w:szCs w:val="24"/>
        </w:rPr>
      </w:pPr>
      <w:r w:rsidRPr="000F5C69">
        <w:rPr>
          <w:rFonts w:ascii="Book Antiqua" w:eastAsia="Book Antiqua" w:hAnsi="Book Antiqua" w:cs="Book Antiqua"/>
          <w:sz w:val="24"/>
          <w:szCs w:val="24"/>
        </w:rPr>
        <w:t xml:space="preserve">Le secteur des BTP a </w:t>
      </w:r>
      <w:r>
        <w:rPr>
          <w:rFonts w:ascii="Book Antiqua" w:eastAsia="Book Antiqua" w:hAnsi="Book Antiqua" w:cs="Book Antiqua"/>
          <w:sz w:val="24"/>
          <w:szCs w:val="24"/>
        </w:rPr>
        <w:t>perdu 35</w:t>
      </w:r>
      <w:r w:rsidRPr="000F5C69">
        <w:rPr>
          <w:rFonts w:ascii="Book Antiqua" w:eastAsia="Book Antiqua" w:hAnsi="Book Antiqua" w:cs="Book Antiqua"/>
          <w:sz w:val="24"/>
          <w:szCs w:val="24"/>
        </w:rPr>
        <w:t xml:space="preserve">.000 postes d’emploi, résultat d’une </w:t>
      </w:r>
      <w:r w:rsidR="00D00F2C">
        <w:rPr>
          <w:rFonts w:ascii="Book Antiqua" w:eastAsia="Book Antiqua" w:hAnsi="Book Antiqua" w:cs="Book Antiqua"/>
          <w:sz w:val="24"/>
          <w:szCs w:val="24"/>
        </w:rPr>
        <w:t>perte</w:t>
      </w:r>
      <w:r w:rsidR="00D00F2C" w:rsidRPr="000F5C69">
        <w:rPr>
          <w:rFonts w:ascii="Book Antiqua" w:eastAsia="Book Antiqua" w:hAnsi="Book Antiqua" w:cs="Book Antiqua"/>
          <w:sz w:val="24"/>
          <w:szCs w:val="24"/>
        </w:rPr>
        <w:t xml:space="preserve"> </w:t>
      </w:r>
      <w:r>
        <w:rPr>
          <w:rFonts w:ascii="Book Antiqua" w:eastAsia="Book Antiqua" w:hAnsi="Book Antiqua" w:cs="Book Antiqua"/>
          <w:sz w:val="24"/>
          <w:szCs w:val="24"/>
        </w:rPr>
        <w:t>de 51.000 en milieu urbain et une création de 1</w:t>
      </w:r>
      <w:r w:rsidR="00256254">
        <w:rPr>
          <w:rFonts w:ascii="Book Antiqua" w:eastAsia="Book Antiqua" w:hAnsi="Book Antiqua" w:cstheme="minorBidi"/>
          <w:sz w:val="24"/>
          <w:szCs w:val="24"/>
          <w:lang w:bidi="tzm-Arab-MA"/>
        </w:rPr>
        <w:t>6</w:t>
      </w:r>
      <w:r>
        <w:rPr>
          <w:rFonts w:ascii="Book Antiqua" w:eastAsia="Book Antiqua" w:hAnsi="Book Antiqua" w:cs="Book Antiqua"/>
          <w:sz w:val="24"/>
          <w:szCs w:val="24"/>
        </w:rPr>
        <w:t>.000</w:t>
      </w:r>
      <w:r w:rsidRPr="000F5C69">
        <w:rPr>
          <w:rFonts w:ascii="Book Antiqua" w:eastAsia="Book Antiqua" w:hAnsi="Book Antiqua" w:cs="Book Antiqua"/>
          <w:sz w:val="24"/>
          <w:szCs w:val="24"/>
        </w:rPr>
        <w:t xml:space="preserve"> en milieu</w:t>
      </w:r>
      <w:r>
        <w:rPr>
          <w:rFonts w:ascii="Book Antiqua" w:eastAsia="Book Antiqua" w:hAnsi="Book Antiqua" w:cs="Book Antiqua"/>
          <w:sz w:val="24"/>
          <w:szCs w:val="24"/>
        </w:rPr>
        <w:t xml:space="preserve"> rural</w:t>
      </w:r>
      <w:r w:rsidRPr="002D5607">
        <w:rPr>
          <w:rFonts w:ascii="Book Antiqua" w:eastAsia="Book Antiqua" w:hAnsi="Book Antiqua" w:cs="Book Antiqua"/>
          <w:sz w:val="24"/>
          <w:szCs w:val="24"/>
        </w:rPr>
        <w:t xml:space="preserve">, enregistrant une </w:t>
      </w:r>
      <w:r w:rsidR="00364648">
        <w:rPr>
          <w:rFonts w:ascii="Book Antiqua" w:eastAsia="Book Antiqua" w:hAnsi="Book Antiqua" w:cs="Book Antiqua"/>
          <w:sz w:val="24"/>
          <w:szCs w:val="24"/>
        </w:rPr>
        <w:t>baisse</w:t>
      </w:r>
      <w:r w:rsidR="00364648" w:rsidRPr="002D5607">
        <w:rPr>
          <w:rFonts w:ascii="Book Antiqua" w:eastAsia="Book Antiqua" w:hAnsi="Book Antiqua" w:cs="Book Antiqua"/>
          <w:sz w:val="24"/>
          <w:szCs w:val="24"/>
        </w:rPr>
        <w:t xml:space="preserve"> </w:t>
      </w:r>
      <w:r w:rsidRPr="002D5607">
        <w:rPr>
          <w:rFonts w:ascii="Book Antiqua" w:eastAsia="Book Antiqua" w:hAnsi="Book Antiqua" w:cs="Book Antiqua"/>
          <w:sz w:val="24"/>
          <w:szCs w:val="24"/>
        </w:rPr>
        <w:t xml:space="preserve">de </w:t>
      </w:r>
      <w:r>
        <w:rPr>
          <w:rFonts w:ascii="Book Antiqua" w:eastAsia="Book Antiqua" w:hAnsi="Book Antiqua" w:cs="Book Antiqua"/>
          <w:sz w:val="24"/>
          <w:szCs w:val="24"/>
        </w:rPr>
        <w:t>3</w:t>
      </w:r>
      <w:r w:rsidRPr="002D5607">
        <w:rPr>
          <w:rFonts w:ascii="Book Antiqua" w:eastAsia="Book Antiqua" w:hAnsi="Book Antiqua" w:cs="Book Antiqua"/>
          <w:sz w:val="24"/>
          <w:szCs w:val="24"/>
        </w:rPr>
        <w:t>% du volume d’emploi dans ce secteur.</w:t>
      </w:r>
    </w:p>
    <w:p w:rsidR="00EB5A99" w:rsidRPr="00745A50" w:rsidRDefault="00A27C88" w:rsidP="007324DD">
      <w:pPr>
        <w:autoSpaceDE w:val="0"/>
        <w:autoSpaceDN w:val="0"/>
        <w:adjustRightInd w:val="0"/>
        <w:spacing w:before="120" w:after="120" w:line="276" w:lineRule="auto"/>
        <w:jc w:val="both"/>
        <w:rPr>
          <w:rFonts w:ascii="Book Antiqua" w:hAnsi="Book Antiqua" w:cs="Times New Roman"/>
          <w:sz w:val="24"/>
          <w:szCs w:val="24"/>
        </w:rPr>
      </w:pPr>
      <w:r>
        <w:rPr>
          <w:rFonts w:ascii="Book Antiqua" w:hAnsi="Book Antiqua" w:cs="Times New Roman"/>
          <w:sz w:val="24"/>
          <w:szCs w:val="24"/>
          <w:lang w:bidi="tzm-Arab-MA"/>
        </w:rPr>
        <w:t>L</w:t>
      </w:r>
      <w:r w:rsidRPr="002D324E">
        <w:rPr>
          <w:rFonts w:ascii="Book Antiqua" w:hAnsi="Book Antiqua" w:cs="Times New Roman"/>
          <w:sz w:val="24"/>
          <w:szCs w:val="24"/>
        </w:rPr>
        <w:t xml:space="preserve">e secteur des </w:t>
      </w:r>
      <w:r w:rsidRPr="00167B85">
        <w:rPr>
          <w:rFonts w:ascii="Book Antiqua" w:hAnsi="Book Antiqua" w:cs="Times New Roman"/>
          <w:sz w:val="24"/>
          <w:szCs w:val="24"/>
        </w:rPr>
        <w:t>"services"</w:t>
      </w:r>
      <w:r w:rsidR="00E457BE">
        <w:rPr>
          <w:rFonts w:ascii="Book Antiqua" w:hAnsi="Book Antiqua" w:cs="Times New Roman"/>
          <w:sz w:val="24"/>
          <w:szCs w:val="24"/>
        </w:rPr>
        <w:t xml:space="preserve"> a créé 49</w:t>
      </w:r>
      <w:r>
        <w:rPr>
          <w:rFonts w:ascii="Book Antiqua" w:hAnsi="Book Antiqua" w:cs="Times New Roman"/>
          <w:sz w:val="24"/>
          <w:szCs w:val="24"/>
        </w:rPr>
        <w:t>.000 postes d'emploi (+1%)</w:t>
      </w:r>
      <w:r w:rsidRPr="002D324E">
        <w:rPr>
          <w:rFonts w:ascii="Book Antiqua" w:hAnsi="Book Antiqua" w:cs="Times New Roman"/>
          <w:sz w:val="24"/>
          <w:szCs w:val="24"/>
        </w:rPr>
        <w:t xml:space="preserve">, </w:t>
      </w:r>
      <w:r w:rsidR="00E457BE">
        <w:rPr>
          <w:rFonts w:ascii="Book Antiqua" w:hAnsi="Book Antiqua" w:cs="Times New Roman"/>
          <w:sz w:val="24"/>
          <w:szCs w:val="24"/>
        </w:rPr>
        <w:t>suite à une hausse de 80.000 en milieu urbain et d</w:t>
      </w:r>
      <w:r w:rsidR="00262755">
        <w:rPr>
          <w:rFonts w:ascii="Book Antiqua" w:hAnsi="Book Antiqua" w:cs="Times New Roman"/>
          <w:sz w:val="24"/>
          <w:szCs w:val="24"/>
        </w:rPr>
        <w:t>’une baisse de</w:t>
      </w:r>
      <w:r>
        <w:rPr>
          <w:rFonts w:ascii="Book Antiqua" w:hAnsi="Book Antiqua" w:cs="Times New Roman"/>
          <w:sz w:val="24"/>
          <w:szCs w:val="24"/>
        </w:rPr>
        <w:t xml:space="preserve"> 3</w:t>
      </w:r>
      <w:r w:rsidR="00E457BE">
        <w:rPr>
          <w:rFonts w:ascii="Book Antiqua" w:hAnsi="Book Antiqua" w:cs="Times New Roman"/>
          <w:sz w:val="24"/>
          <w:szCs w:val="24"/>
        </w:rPr>
        <w:t>1</w:t>
      </w:r>
      <w:r>
        <w:rPr>
          <w:rFonts w:ascii="Book Antiqua" w:hAnsi="Book Antiqua" w:cs="Times New Roman"/>
          <w:sz w:val="24"/>
          <w:szCs w:val="24"/>
        </w:rPr>
        <w:t>.000 en milieu rural.</w:t>
      </w:r>
    </w:p>
    <w:p w:rsidR="00A27C88" w:rsidRDefault="00A27C88" w:rsidP="00A27C88">
      <w:pPr>
        <w:autoSpaceDE w:val="0"/>
        <w:autoSpaceDN w:val="0"/>
        <w:adjustRightInd w:val="0"/>
        <w:spacing w:before="120" w:after="120" w:line="276" w:lineRule="auto"/>
        <w:jc w:val="both"/>
        <w:rPr>
          <w:rFonts w:ascii="Book Antiqua" w:hAnsi="Book Antiqua" w:cs="Times New Roman"/>
          <w:sz w:val="24"/>
          <w:szCs w:val="24"/>
        </w:rPr>
      </w:pPr>
      <w:r w:rsidRPr="002D324E">
        <w:rPr>
          <w:rFonts w:ascii="Book Antiqua" w:hAnsi="Book Antiqua" w:cs="Times New Roman"/>
          <w:sz w:val="24"/>
          <w:szCs w:val="24"/>
        </w:rPr>
        <w:t>De son côté</w:t>
      </w:r>
      <w:r>
        <w:rPr>
          <w:rFonts w:ascii="Book Antiqua" w:hAnsi="Book Antiqua" w:cs="Times New Roman"/>
          <w:sz w:val="24"/>
          <w:szCs w:val="24"/>
        </w:rPr>
        <w:t>, l</w:t>
      </w:r>
      <w:r w:rsidR="00EB5A99" w:rsidRPr="00000609">
        <w:rPr>
          <w:rFonts w:ascii="Book Antiqua" w:hAnsi="Book Antiqua" w:cs="Times New Roman"/>
          <w:sz w:val="24"/>
          <w:szCs w:val="24"/>
        </w:rPr>
        <w:t>e secteur de l’"industrie</w:t>
      </w:r>
      <w:r w:rsidR="000A2034">
        <w:rPr>
          <w:rFonts w:ascii="Book Antiqua" w:hAnsi="Book Antiqua" w:cs="Times New Roman"/>
          <w:sz w:val="24"/>
          <w:szCs w:val="24"/>
        </w:rPr>
        <w:t xml:space="preserve"> y compris l’</w:t>
      </w:r>
      <w:r w:rsidR="00C036E5">
        <w:rPr>
          <w:rFonts w:ascii="Book Antiqua" w:hAnsi="Book Antiqua" w:cs="Times New Roman"/>
          <w:sz w:val="24"/>
          <w:szCs w:val="24"/>
        </w:rPr>
        <w:t>artisanat</w:t>
      </w:r>
      <w:r w:rsidR="00EB5A99" w:rsidRPr="00000609">
        <w:rPr>
          <w:rFonts w:ascii="Book Antiqua" w:hAnsi="Book Antiqua" w:cs="Times New Roman"/>
          <w:sz w:val="24"/>
          <w:szCs w:val="24"/>
        </w:rPr>
        <w:t xml:space="preserve">" a </w:t>
      </w:r>
      <w:r w:rsidR="007324DD">
        <w:rPr>
          <w:rFonts w:ascii="Book Antiqua" w:hAnsi="Book Antiqua" w:cs="Times New Roman"/>
          <w:sz w:val="24"/>
          <w:szCs w:val="24"/>
        </w:rPr>
        <w:t>créé</w:t>
      </w:r>
      <w:r w:rsidR="00EB5A99" w:rsidRPr="00000609">
        <w:rPr>
          <w:rFonts w:ascii="Book Antiqua" w:hAnsi="Book Antiqua" w:cs="Times New Roman"/>
          <w:sz w:val="24"/>
          <w:szCs w:val="24"/>
        </w:rPr>
        <w:t xml:space="preserve"> </w:t>
      </w:r>
      <w:r w:rsidR="00262755">
        <w:rPr>
          <w:rFonts w:ascii="Book Antiqua" w:hAnsi="Book Antiqua" w:cs="Times New Roman"/>
          <w:sz w:val="24"/>
          <w:szCs w:val="24"/>
        </w:rPr>
        <w:t>58</w:t>
      </w:r>
      <w:r w:rsidR="00EB5A99" w:rsidRPr="00000609">
        <w:rPr>
          <w:rFonts w:ascii="Book Antiqua" w:hAnsi="Book Antiqua" w:cs="Times New Roman"/>
          <w:sz w:val="24"/>
          <w:szCs w:val="24"/>
        </w:rPr>
        <w:t>.000 postes d'emploi (</w:t>
      </w:r>
      <w:r w:rsidR="00262755">
        <w:rPr>
          <w:rFonts w:ascii="Book Antiqua" w:hAnsi="Book Antiqua" w:cs="Times New Roman"/>
          <w:sz w:val="24"/>
          <w:szCs w:val="24"/>
        </w:rPr>
        <w:t>+4</w:t>
      </w:r>
      <w:r w:rsidR="00EB5A99" w:rsidRPr="00000609">
        <w:rPr>
          <w:rFonts w:ascii="Book Antiqua" w:hAnsi="Book Antiqua" w:cs="Times New Roman"/>
          <w:sz w:val="24"/>
          <w:szCs w:val="24"/>
        </w:rPr>
        <w:t xml:space="preserve">%), </w:t>
      </w:r>
      <w:r w:rsidR="00EB5A99" w:rsidRPr="00000609">
        <w:rPr>
          <w:rFonts w:ascii="Book Antiqua" w:eastAsia="Book Antiqua" w:hAnsi="Book Antiqua" w:cs="Book Antiqua"/>
          <w:sz w:val="24"/>
          <w:szCs w:val="24"/>
        </w:rPr>
        <w:t xml:space="preserve">résultat d’une </w:t>
      </w:r>
      <w:r w:rsidR="007324DD" w:rsidRPr="00000609">
        <w:rPr>
          <w:rFonts w:ascii="Book Antiqua" w:hAnsi="Book Antiqua" w:cs="Times New Roman"/>
          <w:sz w:val="24"/>
          <w:szCs w:val="24"/>
        </w:rPr>
        <w:t>création</w:t>
      </w:r>
      <w:r w:rsidR="007324DD" w:rsidRPr="00000609">
        <w:rPr>
          <w:rFonts w:ascii="Book Antiqua" w:eastAsia="Book Antiqua" w:hAnsi="Book Antiqua" w:cs="Book Antiqua"/>
          <w:sz w:val="24"/>
          <w:szCs w:val="24"/>
        </w:rPr>
        <w:t xml:space="preserve"> </w:t>
      </w:r>
      <w:r w:rsidR="00EB5A99" w:rsidRPr="00000609">
        <w:rPr>
          <w:rFonts w:ascii="Book Antiqua" w:eastAsia="Book Antiqua" w:hAnsi="Book Antiqua" w:cs="Book Antiqua"/>
          <w:sz w:val="24"/>
          <w:szCs w:val="24"/>
        </w:rPr>
        <w:t xml:space="preserve">de </w:t>
      </w:r>
      <w:r w:rsidR="00262755">
        <w:rPr>
          <w:rFonts w:ascii="Book Antiqua" w:hAnsi="Book Antiqua" w:cs="Times New Roman"/>
          <w:sz w:val="24"/>
          <w:szCs w:val="24"/>
        </w:rPr>
        <w:t>3</w:t>
      </w:r>
      <w:r w:rsidR="007324DD">
        <w:rPr>
          <w:rFonts w:ascii="Book Antiqua" w:hAnsi="Book Antiqua" w:cs="Times New Roman"/>
          <w:sz w:val="24"/>
          <w:szCs w:val="24"/>
        </w:rPr>
        <w:t>8</w:t>
      </w:r>
      <w:r w:rsidR="00EB5A99" w:rsidRPr="00000609">
        <w:rPr>
          <w:rFonts w:ascii="Book Antiqua" w:hAnsi="Book Antiqua" w:cs="Times New Roman"/>
          <w:sz w:val="24"/>
          <w:szCs w:val="24"/>
        </w:rPr>
        <w:t xml:space="preserve">.000 en milieu urbain </w:t>
      </w:r>
      <w:r w:rsidR="007324DD">
        <w:rPr>
          <w:rFonts w:ascii="Book Antiqua" w:hAnsi="Book Antiqua" w:cs="Times New Roman"/>
          <w:sz w:val="24"/>
          <w:szCs w:val="24"/>
        </w:rPr>
        <w:t>et</w:t>
      </w:r>
      <w:r w:rsidR="00262755">
        <w:rPr>
          <w:rFonts w:ascii="Book Antiqua" w:hAnsi="Book Antiqua" w:cs="Times New Roman"/>
          <w:sz w:val="24"/>
          <w:szCs w:val="24"/>
        </w:rPr>
        <w:t xml:space="preserve"> de 20</w:t>
      </w:r>
      <w:r w:rsidR="00EB5A99" w:rsidRPr="00000609">
        <w:rPr>
          <w:rFonts w:ascii="Book Antiqua" w:hAnsi="Book Antiqua" w:cs="Times New Roman"/>
          <w:sz w:val="24"/>
          <w:szCs w:val="24"/>
        </w:rPr>
        <w:t>.000 en milieu rural.</w:t>
      </w:r>
      <w:r w:rsidR="00ED5410" w:rsidRPr="00000609">
        <w:rPr>
          <w:rFonts w:ascii="Book Antiqua" w:hAnsi="Book Antiqua" w:cs="Times New Roman"/>
          <w:sz w:val="24"/>
          <w:szCs w:val="24"/>
        </w:rPr>
        <w:t xml:space="preserve"> </w:t>
      </w:r>
    </w:p>
    <w:p w:rsidR="000A2034" w:rsidRDefault="000A2034">
      <w:pPr>
        <w:rPr>
          <w:rFonts w:ascii="Book Antiqua" w:eastAsia="Times New Roman" w:hAnsi="Book Antiqua" w:cstheme="majorHAnsi"/>
          <w:b/>
          <w:bCs/>
          <w:color w:val="000000"/>
          <w:sz w:val="20"/>
          <w:szCs w:val="20"/>
        </w:rPr>
      </w:pPr>
      <w:r>
        <w:rPr>
          <w:rFonts w:ascii="Book Antiqua" w:eastAsia="Times New Roman" w:hAnsi="Book Antiqua" w:cstheme="majorHAnsi"/>
          <w:b/>
          <w:bCs/>
          <w:color w:val="000000"/>
          <w:sz w:val="20"/>
          <w:szCs w:val="20"/>
        </w:rPr>
        <w:br w:type="page"/>
      </w:r>
    </w:p>
    <w:p w:rsidR="00EB5A99" w:rsidRPr="002D324E" w:rsidRDefault="00EB5A99" w:rsidP="00E47837">
      <w:pPr>
        <w:spacing w:before="100" w:beforeAutospacing="1" w:after="100" w:afterAutospacing="1" w:line="276" w:lineRule="auto"/>
        <w:ind w:left="180"/>
        <w:jc w:val="center"/>
        <w:rPr>
          <w:rFonts w:ascii="Book Antiqua" w:hAnsi="Book Antiqua" w:cstheme="majorHAnsi"/>
          <w:sz w:val="24"/>
          <w:szCs w:val="24"/>
        </w:rPr>
      </w:pPr>
      <w:r w:rsidRPr="00E47837">
        <w:rPr>
          <w:rFonts w:ascii="Book Antiqua" w:eastAsia="Times New Roman" w:hAnsi="Book Antiqua" w:cstheme="majorHAnsi"/>
          <w:b/>
          <w:bCs/>
          <w:color w:val="000000"/>
          <w:sz w:val="20"/>
          <w:szCs w:val="20"/>
        </w:rPr>
        <w:lastRenderedPageBreak/>
        <w:t xml:space="preserve">Figure </w:t>
      </w:r>
      <w:r w:rsidR="00461C49" w:rsidRPr="00E47837">
        <w:rPr>
          <w:rFonts w:ascii="Book Antiqua" w:eastAsia="Times New Roman" w:hAnsi="Book Antiqua" w:cstheme="majorHAnsi"/>
          <w:b/>
          <w:bCs/>
          <w:color w:val="000000"/>
          <w:sz w:val="20"/>
          <w:szCs w:val="20"/>
        </w:rPr>
        <w:t>1</w:t>
      </w:r>
      <w:r w:rsidR="00FB4D04" w:rsidRPr="00E47837">
        <w:rPr>
          <w:rFonts w:ascii="Book Antiqua" w:eastAsia="Times New Roman" w:hAnsi="Book Antiqua" w:cstheme="majorHAnsi"/>
          <w:b/>
          <w:bCs/>
          <w:color w:val="000000"/>
          <w:sz w:val="20"/>
          <w:szCs w:val="20"/>
        </w:rPr>
        <w:t xml:space="preserve">. </w:t>
      </w:r>
      <w:r w:rsidR="00461C49" w:rsidRPr="00E47837">
        <w:rPr>
          <w:rFonts w:ascii="Book Antiqua" w:eastAsia="Times New Roman" w:hAnsi="Book Antiqua" w:cstheme="majorHAnsi"/>
          <w:b/>
          <w:bCs/>
          <w:color w:val="000000"/>
          <w:sz w:val="20"/>
          <w:szCs w:val="20"/>
        </w:rPr>
        <w:t>Variation</w:t>
      </w:r>
      <w:r w:rsidRPr="00E47837">
        <w:rPr>
          <w:rFonts w:ascii="Book Antiqua" w:eastAsia="Times New Roman" w:hAnsi="Book Antiqua" w:cstheme="majorHAnsi"/>
          <w:b/>
          <w:bCs/>
          <w:color w:val="000000"/>
          <w:sz w:val="20"/>
          <w:szCs w:val="20"/>
        </w:rPr>
        <w:t xml:space="preserve"> nette de postes d’emploi entre le </w:t>
      </w:r>
      <w:r w:rsidR="00145C7E" w:rsidRPr="00E47837">
        <w:rPr>
          <w:rFonts w:ascii="Book Antiqua" w:eastAsia="Times New Roman" w:hAnsi="Book Antiqua" w:cstheme="majorHAnsi"/>
          <w:b/>
          <w:bCs/>
          <w:color w:val="000000"/>
          <w:sz w:val="20"/>
          <w:szCs w:val="20"/>
        </w:rPr>
        <w:t>deuxième</w:t>
      </w:r>
      <w:r w:rsidRPr="00E47837">
        <w:rPr>
          <w:rFonts w:ascii="Book Antiqua" w:eastAsia="Times New Roman" w:hAnsi="Book Antiqua" w:cstheme="majorHAnsi"/>
          <w:b/>
          <w:bCs/>
          <w:color w:val="000000"/>
          <w:sz w:val="20"/>
          <w:szCs w:val="20"/>
        </w:rPr>
        <w:t xml:space="preserve"> trimestre de </w:t>
      </w:r>
      <w:r w:rsidR="007A2EA8" w:rsidRPr="00E47837">
        <w:rPr>
          <w:rFonts w:ascii="Book Antiqua" w:eastAsia="Times New Roman" w:hAnsi="Book Antiqua" w:cstheme="majorHAnsi"/>
          <w:b/>
          <w:bCs/>
          <w:color w:val="000000"/>
          <w:sz w:val="20"/>
          <w:szCs w:val="20"/>
        </w:rPr>
        <w:t>2023</w:t>
      </w:r>
      <w:r w:rsidRPr="00E47837">
        <w:rPr>
          <w:rFonts w:ascii="Book Antiqua" w:eastAsia="Times New Roman" w:hAnsi="Book Antiqua" w:cstheme="majorHAnsi"/>
          <w:b/>
          <w:bCs/>
          <w:color w:val="000000"/>
          <w:sz w:val="20"/>
          <w:szCs w:val="20"/>
        </w:rPr>
        <w:t xml:space="preserve"> et celui de </w:t>
      </w:r>
      <w:r w:rsidR="007A2EA8" w:rsidRPr="00E47837">
        <w:rPr>
          <w:rFonts w:ascii="Book Antiqua" w:eastAsia="Times New Roman" w:hAnsi="Book Antiqua" w:cstheme="majorHAnsi"/>
          <w:b/>
          <w:bCs/>
          <w:color w:val="000000"/>
          <w:sz w:val="20"/>
          <w:szCs w:val="20"/>
        </w:rPr>
        <w:t>2024</w:t>
      </w:r>
      <w:r w:rsidRPr="00E47837">
        <w:rPr>
          <w:rFonts w:ascii="Book Antiqua" w:eastAsia="Times New Roman" w:hAnsi="Book Antiqua" w:cstheme="majorHAnsi"/>
          <w:b/>
          <w:bCs/>
          <w:color w:val="000000"/>
          <w:sz w:val="20"/>
          <w:szCs w:val="20"/>
        </w:rPr>
        <w:t xml:space="preserve"> selon</w:t>
      </w:r>
      <w:r w:rsidR="00461C49" w:rsidRPr="00E47837">
        <w:rPr>
          <w:rFonts w:ascii="Book Antiqua" w:eastAsia="Times New Roman" w:hAnsi="Book Antiqua" w:cstheme="majorHAnsi"/>
          <w:b/>
          <w:bCs/>
          <w:color w:val="000000"/>
          <w:sz w:val="20"/>
          <w:szCs w:val="20"/>
        </w:rPr>
        <w:t xml:space="preserve"> les secteurs d’activité économique et </w:t>
      </w:r>
      <w:r w:rsidRPr="00E47837">
        <w:rPr>
          <w:rFonts w:ascii="Book Antiqua" w:eastAsia="Times New Roman" w:hAnsi="Book Antiqua" w:cstheme="majorHAnsi"/>
          <w:b/>
          <w:bCs/>
          <w:color w:val="000000"/>
          <w:sz w:val="20"/>
          <w:szCs w:val="20"/>
        </w:rPr>
        <w:t>le milieu de résidence</w:t>
      </w:r>
      <w:r w:rsidRPr="00E47837">
        <w:rPr>
          <w:rStyle w:val="Appelnotedebasdep"/>
          <w:rFonts w:ascii="Book Antiqua" w:eastAsia="Times New Roman" w:hAnsi="Book Antiqua" w:cstheme="majorHAnsi"/>
          <w:b/>
          <w:bCs/>
          <w:color w:val="000000"/>
          <w:sz w:val="20"/>
          <w:szCs w:val="20"/>
        </w:rPr>
        <w:footnoteReference w:id="2"/>
      </w:r>
      <w:r w:rsidR="00C036E5">
        <w:rPr>
          <w:rFonts w:ascii="Book Antiqua" w:eastAsia="Times New Roman" w:hAnsi="Book Antiqua" w:cstheme="majorHAnsi"/>
          <w:b/>
          <w:bCs/>
          <w:color w:val="000000"/>
          <w:sz w:val="20"/>
          <w:szCs w:val="20"/>
        </w:rPr>
        <w:t xml:space="preserve"> </w:t>
      </w:r>
    </w:p>
    <w:p w:rsidR="00EA40A9" w:rsidRDefault="00EA40A9" w:rsidP="0097600C">
      <w:pPr>
        <w:pStyle w:val="MMTopic2"/>
        <w:numPr>
          <w:ilvl w:val="0"/>
          <w:numId w:val="0"/>
        </w:numPr>
        <w:spacing w:line="360" w:lineRule="auto"/>
        <w:jc w:val="both"/>
        <w:rPr>
          <w:rFonts w:ascii="Book Antiqua" w:hAnsi="Book Antiqua" w:cstheme="majorHAnsi"/>
          <w:b/>
          <w:bCs/>
          <w:color w:val="1F3864" w:themeColor="accent1" w:themeShade="80"/>
          <w:spacing w:val="-10"/>
          <w:kern w:val="28"/>
          <w:sz w:val="24"/>
          <w:szCs w:val="24"/>
        </w:rPr>
      </w:pPr>
      <w:r w:rsidRPr="00EA40A9">
        <w:rPr>
          <w:rFonts w:ascii="Book Antiqua" w:hAnsi="Book Antiqua" w:cstheme="majorHAnsi"/>
          <w:b/>
          <w:bCs/>
          <w:noProof/>
          <w:color w:val="1F3864" w:themeColor="accent1" w:themeShade="80"/>
          <w:spacing w:val="-10"/>
          <w:kern w:val="28"/>
          <w:sz w:val="24"/>
          <w:szCs w:val="24"/>
          <w:lang w:eastAsia="fr-FR"/>
        </w:rPr>
        <w:drawing>
          <wp:inline distT="0" distB="0" distL="0" distR="0">
            <wp:extent cx="6251944" cy="3072810"/>
            <wp:effectExtent l="0" t="0" r="0" b="0"/>
            <wp:docPr id="10"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F4BF8" w:rsidRPr="00286060" w:rsidRDefault="002F4BF8" w:rsidP="0097600C">
      <w:pPr>
        <w:pStyle w:val="MMTopic2"/>
        <w:numPr>
          <w:ilvl w:val="0"/>
          <w:numId w:val="0"/>
        </w:numPr>
        <w:spacing w:line="360" w:lineRule="auto"/>
        <w:jc w:val="both"/>
        <w:rPr>
          <w:rFonts w:ascii="Book Antiqua" w:hAnsi="Book Antiqua" w:cstheme="majorHAnsi"/>
          <w:b/>
          <w:bCs/>
          <w:color w:val="1F3864" w:themeColor="accent1" w:themeShade="80"/>
          <w:spacing w:val="-10"/>
          <w:kern w:val="28"/>
          <w:sz w:val="24"/>
          <w:szCs w:val="24"/>
        </w:rPr>
      </w:pPr>
      <w:r w:rsidRPr="00286060">
        <w:rPr>
          <w:rFonts w:ascii="Book Antiqua" w:hAnsi="Book Antiqua" w:cstheme="majorHAnsi"/>
          <w:b/>
          <w:bCs/>
          <w:color w:val="1F3864" w:themeColor="accent1" w:themeShade="80"/>
          <w:spacing w:val="-10"/>
          <w:kern w:val="28"/>
          <w:sz w:val="24"/>
          <w:szCs w:val="24"/>
        </w:rPr>
        <w:t>II. Chômage et sous-emploi</w:t>
      </w:r>
    </w:p>
    <w:p w:rsidR="00F10E48" w:rsidRDefault="00F10E48" w:rsidP="00DF2FF2">
      <w:pPr>
        <w:pStyle w:val="MMTopic2"/>
        <w:numPr>
          <w:ilvl w:val="0"/>
          <w:numId w:val="0"/>
        </w:numPr>
        <w:spacing w:line="240" w:lineRule="auto"/>
        <w:jc w:val="both"/>
        <w:rPr>
          <w:rFonts w:ascii="Book Antiqua" w:hAnsi="Book Antiqua" w:cstheme="majorHAnsi"/>
          <w:b/>
          <w:bCs/>
          <w:i/>
          <w:iCs/>
          <w:color w:val="2E74B5" w:themeColor="accent5" w:themeShade="BF"/>
          <w:spacing w:val="-10"/>
          <w:kern w:val="28"/>
          <w:sz w:val="24"/>
          <w:szCs w:val="24"/>
        </w:rPr>
      </w:pPr>
    </w:p>
    <w:p w:rsidR="00286060" w:rsidRDefault="00DF2FF2" w:rsidP="00DF2FF2">
      <w:pPr>
        <w:pStyle w:val="MMTopic2"/>
        <w:numPr>
          <w:ilvl w:val="0"/>
          <w:numId w:val="0"/>
        </w:numPr>
        <w:spacing w:line="240" w:lineRule="auto"/>
        <w:jc w:val="both"/>
        <w:rPr>
          <w:rFonts w:ascii="Book Antiqua" w:hAnsi="Book Antiqua" w:cstheme="majorHAnsi"/>
          <w:b/>
          <w:bCs/>
          <w:i/>
          <w:iCs/>
          <w:color w:val="2E74B5" w:themeColor="accent5" w:themeShade="BF"/>
          <w:spacing w:val="-10"/>
          <w:kern w:val="28"/>
          <w:sz w:val="24"/>
          <w:szCs w:val="24"/>
        </w:rPr>
      </w:pPr>
      <w:r>
        <w:rPr>
          <w:rFonts w:ascii="Book Antiqua" w:hAnsi="Book Antiqua" w:cstheme="majorHAnsi"/>
          <w:b/>
          <w:bCs/>
          <w:i/>
          <w:iCs/>
          <w:color w:val="2E74B5" w:themeColor="accent5" w:themeShade="BF"/>
          <w:spacing w:val="-10"/>
          <w:kern w:val="28"/>
          <w:sz w:val="24"/>
          <w:szCs w:val="24"/>
        </w:rPr>
        <w:t>Hausse du volume de chômage</w:t>
      </w:r>
    </w:p>
    <w:p w:rsidR="00F10E48" w:rsidRPr="007015E0" w:rsidRDefault="00F10E48" w:rsidP="00DF2FF2">
      <w:pPr>
        <w:pStyle w:val="MMTopic2"/>
        <w:numPr>
          <w:ilvl w:val="0"/>
          <w:numId w:val="0"/>
        </w:numPr>
        <w:spacing w:line="240" w:lineRule="auto"/>
        <w:jc w:val="both"/>
        <w:rPr>
          <w:rFonts w:ascii="Book Antiqua" w:hAnsi="Book Antiqua" w:cstheme="majorHAnsi"/>
          <w:b/>
          <w:bCs/>
          <w:i/>
          <w:iCs/>
          <w:color w:val="2E74B5" w:themeColor="accent5" w:themeShade="BF"/>
          <w:spacing w:val="-10"/>
          <w:kern w:val="28"/>
          <w:sz w:val="24"/>
          <w:szCs w:val="24"/>
        </w:rPr>
      </w:pPr>
    </w:p>
    <w:p w:rsidR="00286060" w:rsidRPr="00B34C0B" w:rsidRDefault="00286060" w:rsidP="00262755">
      <w:pPr>
        <w:spacing w:before="40" w:line="276" w:lineRule="auto"/>
        <w:jc w:val="both"/>
        <w:rPr>
          <w:rFonts w:ascii="Book Antiqua" w:hAnsi="Book Antiqua" w:cs="Times New Roman"/>
          <w:sz w:val="24"/>
          <w:szCs w:val="24"/>
        </w:rPr>
      </w:pPr>
      <w:r w:rsidRPr="00EB5A99">
        <w:rPr>
          <w:rFonts w:ascii="Book Antiqua" w:hAnsi="Book Antiqua" w:cs="Times New Roman"/>
          <w:sz w:val="24"/>
          <w:szCs w:val="24"/>
        </w:rPr>
        <w:t>Le nombre de chômeurs a augment</w:t>
      </w:r>
      <w:r w:rsidR="00DF2FF2" w:rsidRPr="00EB5A99">
        <w:rPr>
          <w:rFonts w:ascii="Book Antiqua" w:hAnsi="Book Antiqua" w:cs="Times New Roman"/>
          <w:sz w:val="24"/>
          <w:szCs w:val="24"/>
        </w:rPr>
        <w:t xml:space="preserve">é de </w:t>
      </w:r>
      <w:r w:rsidR="009038C4">
        <w:rPr>
          <w:rFonts w:ascii="Book Antiqua" w:hAnsi="Book Antiqua" w:cs="Times New Roman"/>
          <w:sz w:val="24"/>
          <w:szCs w:val="24"/>
        </w:rPr>
        <w:t>9</w:t>
      </w:r>
      <w:r w:rsidR="00262755">
        <w:rPr>
          <w:rFonts w:ascii="Book Antiqua" w:hAnsi="Book Antiqua" w:cs="Times New Roman"/>
          <w:sz w:val="24"/>
          <w:szCs w:val="24"/>
        </w:rPr>
        <w:t>0</w:t>
      </w:r>
      <w:r w:rsidR="00DF2FF2" w:rsidRPr="00EB5A99">
        <w:rPr>
          <w:rFonts w:ascii="Book Antiqua" w:hAnsi="Book Antiqua" w:cs="Times New Roman"/>
          <w:sz w:val="24"/>
          <w:szCs w:val="24"/>
        </w:rPr>
        <w:t xml:space="preserve">.000 personnes entre le </w:t>
      </w:r>
      <w:r w:rsidR="00145C7E">
        <w:rPr>
          <w:rFonts w:ascii="Book Antiqua" w:hAnsi="Book Antiqua" w:cs="Times New Roman"/>
          <w:sz w:val="24"/>
          <w:szCs w:val="24"/>
        </w:rPr>
        <w:t xml:space="preserve">deuxième </w:t>
      </w:r>
      <w:r w:rsidR="00DF2FF2" w:rsidRPr="00EB5A99">
        <w:rPr>
          <w:rFonts w:ascii="Book Antiqua" w:hAnsi="Book Antiqua" w:cs="Times New Roman"/>
          <w:sz w:val="24"/>
          <w:szCs w:val="24"/>
        </w:rPr>
        <w:t xml:space="preserve"> trimestre de l’année </w:t>
      </w:r>
      <w:r w:rsidR="007A2EA8">
        <w:rPr>
          <w:rFonts w:ascii="Book Antiqua" w:hAnsi="Book Antiqua" w:cs="Times New Roman"/>
          <w:sz w:val="24"/>
          <w:szCs w:val="24"/>
        </w:rPr>
        <w:t>2023</w:t>
      </w:r>
      <w:r w:rsidR="00DF2FF2" w:rsidRPr="00EB5A99">
        <w:rPr>
          <w:rFonts w:ascii="Book Antiqua" w:hAnsi="Book Antiqua" w:cs="Times New Roman"/>
          <w:sz w:val="24"/>
          <w:szCs w:val="24"/>
        </w:rPr>
        <w:t xml:space="preserve"> et celui de </w:t>
      </w:r>
      <w:r w:rsidR="007A2EA8">
        <w:rPr>
          <w:rFonts w:ascii="Book Antiqua" w:hAnsi="Book Antiqua" w:cs="Times New Roman"/>
          <w:sz w:val="24"/>
          <w:szCs w:val="24"/>
        </w:rPr>
        <w:t>2024</w:t>
      </w:r>
      <w:r w:rsidRPr="00EB5A99">
        <w:rPr>
          <w:rFonts w:ascii="Book Antiqua" w:hAnsi="Book Antiqua" w:cs="Times New Roman"/>
          <w:sz w:val="24"/>
          <w:szCs w:val="24"/>
        </w:rPr>
        <w:t xml:space="preserve">, passant de </w:t>
      </w:r>
      <w:r w:rsidR="00DF2FF2" w:rsidRPr="00EB5A99">
        <w:rPr>
          <w:rFonts w:ascii="Book Antiqua" w:hAnsi="Book Antiqua" w:cs="Times New Roman"/>
          <w:sz w:val="24"/>
          <w:szCs w:val="24"/>
        </w:rPr>
        <w:t>1.</w:t>
      </w:r>
      <w:r w:rsidR="009038C4">
        <w:rPr>
          <w:rFonts w:ascii="Book Antiqua" w:hAnsi="Book Antiqua" w:cs="Times New Roman"/>
          <w:sz w:val="24"/>
          <w:szCs w:val="24"/>
        </w:rPr>
        <w:t>54</w:t>
      </w:r>
      <w:r w:rsidR="00262755">
        <w:rPr>
          <w:rFonts w:ascii="Book Antiqua" w:hAnsi="Book Antiqua" w:cs="Times New Roman"/>
          <w:sz w:val="24"/>
          <w:szCs w:val="24"/>
        </w:rPr>
        <w:t>3</w:t>
      </w:r>
      <w:r w:rsidR="00DF2FF2" w:rsidRPr="00EB5A99">
        <w:rPr>
          <w:rFonts w:ascii="Book Antiqua" w:hAnsi="Book Antiqua" w:cs="Times New Roman"/>
          <w:sz w:val="24"/>
          <w:szCs w:val="24"/>
        </w:rPr>
        <w:t>.000 à 1.</w:t>
      </w:r>
      <w:r w:rsidR="00262755">
        <w:rPr>
          <w:rFonts w:ascii="Book Antiqua" w:hAnsi="Book Antiqua" w:cs="Times New Roman"/>
          <w:sz w:val="24"/>
          <w:szCs w:val="24"/>
        </w:rPr>
        <w:t>633</w:t>
      </w:r>
      <w:r w:rsidRPr="00EB5A99">
        <w:rPr>
          <w:rFonts w:ascii="Book Antiqua" w:hAnsi="Book Antiqua" w:cs="Times New Roman"/>
          <w:sz w:val="24"/>
          <w:szCs w:val="24"/>
        </w:rPr>
        <w:t>.000 chômeurs, ce qui cor</w:t>
      </w:r>
      <w:r w:rsidR="00DF2FF2" w:rsidRPr="00EB5A99">
        <w:rPr>
          <w:rFonts w:ascii="Book Antiqua" w:hAnsi="Book Antiqua" w:cs="Times New Roman"/>
          <w:sz w:val="24"/>
          <w:szCs w:val="24"/>
        </w:rPr>
        <w:t xml:space="preserve">respond à une augmentation de </w:t>
      </w:r>
      <w:r w:rsidRPr="00EB5A99">
        <w:rPr>
          <w:rFonts w:ascii="Book Antiqua" w:hAnsi="Book Antiqua" w:cs="Times New Roman"/>
          <w:sz w:val="24"/>
          <w:szCs w:val="24"/>
        </w:rPr>
        <w:t>6</w:t>
      </w:r>
      <w:r w:rsidRPr="00B34C0B">
        <w:rPr>
          <w:rFonts w:ascii="Book Antiqua" w:hAnsi="Book Antiqua" w:cs="Times New Roman"/>
          <w:sz w:val="24"/>
          <w:szCs w:val="24"/>
        </w:rPr>
        <w:t>%.</w:t>
      </w:r>
      <w:r w:rsidR="008759D1" w:rsidRPr="00B34C0B">
        <w:rPr>
          <w:rFonts w:ascii="Book Antiqua" w:hAnsi="Book Antiqua" w:cs="Times New Roman"/>
          <w:sz w:val="24"/>
          <w:szCs w:val="24"/>
        </w:rPr>
        <w:t xml:space="preserve"> Cette hausse est le </w:t>
      </w:r>
      <w:r w:rsidRPr="00462C5C">
        <w:rPr>
          <w:rFonts w:ascii="Book Antiqua" w:hAnsi="Book Antiqua" w:cs="Times New Roman"/>
          <w:sz w:val="24"/>
          <w:szCs w:val="24"/>
        </w:rPr>
        <w:t>rés</w:t>
      </w:r>
      <w:r w:rsidR="00DF2FF2" w:rsidRPr="00462C5C">
        <w:rPr>
          <w:rFonts w:ascii="Book Antiqua" w:hAnsi="Book Antiqua" w:cs="Times New Roman"/>
          <w:sz w:val="24"/>
          <w:szCs w:val="24"/>
        </w:rPr>
        <w:t>ulta</w:t>
      </w:r>
      <w:r w:rsidR="00C82EFA" w:rsidRPr="00462C5C">
        <w:rPr>
          <w:rFonts w:ascii="Book Antiqua" w:hAnsi="Book Antiqua" w:cs="Times New Roman"/>
          <w:sz w:val="24"/>
          <w:szCs w:val="24"/>
        </w:rPr>
        <w:t>t</w:t>
      </w:r>
      <w:r w:rsidR="00DF2FF2" w:rsidRPr="00B34C0B">
        <w:rPr>
          <w:rFonts w:ascii="Book Antiqua" w:hAnsi="Book Antiqua" w:cs="Times New Roman"/>
          <w:sz w:val="24"/>
          <w:szCs w:val="24"/>
        </w:rPr>
        <w:t xml:space="preserve"> d’une augmentation de </w:t>
      </w:r>
      <w:r w:rsidR="00262755">
        <w:rPr>
          <w:rFonts w:ascii="Book Antiqua" w:hAnsi="Book Antiqua" w:cs="Times New Roman"/>
          <w:sz w:val="24"/>
          <w:szCs w:val="24"/>
        </w:rPr>
        <w:t>48</w:t>
      </w:r>
      <w:r w:rsidRPr="00B34C0B">
        <w:rPr>
          <w:rFonts w:ascii="Book Antiqua" w:hAnsi="Book Antiqua" w:cs="Times New Roman"/>
          <w:sz w:val="24"/>
          <w:szCs w:val="24"/>
        </w:rPr>
        <w:t>.000 chômeurs en</w:t>
      </w:r>
      <w:r w:rsidR="00314F7F" w:rsidRPr="00B34C0B">
        <w:rPr>
          <w:rFonts w:ascii="Book Antiqua" w:hAnsi="Book Antiqua" w:cs="Times New Roman"/>
          <w:sz w:val="24"/>
          <w:szCs w:val="24"/>
        </w:rPr>
        <w:t xml:space="preserve"> milieu urbain et de </w:t>
      </w:r>
      <w:r w:rsidR="00262755">
        <w:rPr>
          <w:rFonts w:ascii="Book Antiqua" w:hAnsi="Book Antiqua" w:cs="Times New Roman"/>
          <w:sz w:val="24"/>
          <w:szCs w:val="24"/>
        </w:rPr>
        <w:t>42</w:t>
      </w:r>
      <w:r w:rsidRPr="00B34C0B">
        <w:rPr>
          <w:rFonts w:ascii="Book Antiqua" w:hAnsi="Book Antiqua" w:cs="Times New Roman"/>
          <w:sz w:val="24"/>
          <w:szCs w:val="24"/>
        </w:rPr>
        <w:t>.000 en milieu rural</w:t>
      </w:r>
      <w:r w:rsidR="00DF2FF2" w:rsidRPr="00B34C0B">
        <w:rPr>
          <w:rFonts w:ascii="Book Antiqua" w:hAnsi="Book Antiqua" w:cs="Times New Roman"/>
          <w:sz w:val="24"/>
          <w:szCs w:val="24"/>
        </w:rPr>
        <w:t>.</w:t>
      </w:r>
    </w:p>
    <w:p w:rsidR="0028300C" w:rsidRPr="00A44B01" w:rsidRDefault="00E00FAF" w:rsidP="00256254">
      <w:pPr>
        <w:spacing w:line="240" w:lineRule="auto"/>
        <w:jc w:val="both"/>
        <w:rPr>
          <w:rFonts w:ascii="Book Antiqua" w:hAnsi="Book Antiqua" w:cs="Times New Roman"/>
          <w:sz w:val="24"/>
          <w:szCs w:val="24"/>
        </w:rPr>
      </w:pPr>
      <w:r w:rsidRPr="00A44B01">
        <w:rPr>
          <w:rFonts w:ascii="Book Antiqua" w:hAnsi="Book Antiqua" w:cs="Times New Roman"/>
          <w:sz w:val="24"/>
          <w:szCs w:val="24"/>
        </w:rPr>
        <w:t>L</w:t>
      </w:r>
      <w:r w:rsidR="00647547" w:rsidRPr="00A44B01">
        <w:rPr>
          <w:rFonts w:ascii="Book Antiqua" w:hAnsi="Book Antiqua" w:cs="Times New Roman"/>
          <w:sz w:val="24"/>
          <w:szCs w:val="24"/>
        </w:rPr>
        <w:t xml:space="preserve">e taux de chômage s’est </w:t>
      </w:r>
      <w:r w:rsidR="008759D1" w:rsidRPr="00A44B01">
        <w:rPr>
          <w:rFonts w:ascii="Book Antiqua" w:hAnsi="Book Antiqua" w:cs="Times New Roman"/>
          <w:sz w:val="24"/>
          <w:szCs w:val="24"/>
        </w:rPr>
        <w:t xml:space="preserve">ainsi </w:t>
      </w:r>
      <w:r w:rsidR="00647547" w:rsidRPr="00A44B01">
        <w:rPr>
          <w:rFonts w:ascii="Book Antiqua" w:hAnsi="Book Antiqua" w:cs="Times New Roman"/>
          <w:sz w:val="24"/>
          <w:szCs w:val="24"/>
        </w:rPr>
        <w:t xml:space="preserve">accru de </w:t>
      </w:r>
      <w:r w:rsidR="00DF2FF2" w:rsidRPr="00A44B01">
        <w:rPr>
          <w:rFonts w:ascii="Book Antiqua" w:hAnsi="Book Antiqua" w:cs="Times New Roman"/>
          <w:sz w:val="24"/>
          <w:szCs w:val="24"/>
        </w:rPr>
        <w:t>0,</w:t>
      </w:r>
      <w:r w:rsidR="00262755">
        <w:rPr>
          <w:rFonts w:ascii="Book Antiqua" w:hAnsi="Book Antiqua" w:cs="Times New Roman"/>
          <w:sz w:val="24"/>
          <w:szCs w:val="24"/>
        </w:rPr>
        <w:t>7</w:t>
      </w:r>
      <w:r w:rsidR="00940768" w:rsidRPr="00A44B01">
        <w:rPr>
          <w:rFonts w:ascii="Book Antiqua" w:hAnsi="Book Antiqua" w:cs="Times New Roman"/>
          <w:sz w:val="24"/>
          <w:szCs w:val="24"/>
        </w:rPr>
        <w:t xml:space="preserve"> </w:t>
      </w:r>
      <w:r w:rsidR="00647547" w:rsidRPr="00A44B01">
        <w:rPr>
          <w:rFonts w:ascii="Book Antiqua" w:hAnsi="Book Antiqua" w:cs="Times New Roman"/>
          <w:sz w:val="24"/>
          <w:szCs w:val="24"/>
        </w:rPr>
        <w:t xml:space="preserve">point </w:t>
      </w:r>
      <w:r w:rsidR="00F877CA" w:rsidRPr="00A44B01">
        <w:rPr>
          <w:rFonts w:ascii="Book Antiqua" w:hAnsi="Book Antiqua" w:cs="Times New Roman"/>
          <w:sz w:val="24"/>
          <w:szCs w:val="24"/>
        </w:rPr>
        <w:t>e</w:t>
      </w:r>
      <w:r w:rsidR="00780682" w:rsidRPr="00A44B01">
        <w:rPr>
          <w:rFonts w:ascii="Book Antiqua" w:hAnsi="Book Antiqua" w:cs="Times New Roman"/>
          <w:sz w:val="24"/>
          <w:szCs w:val="24"/>
        </w:rPr>
        <w:t xml:space="preserve">ntre le </w:t>
      </w:r>
      <w:r w:rsidR="00145C7E">
        <w:rPr>
          <w:rFonts w:ascii="Book Antiqua" w:hAnsi="Book Antiqua" w:cs="Times New Roman"/>
          <w:sz w:val="24"/>
          <w:szCs w:val="24"/>
        </w:rPr>
        <w:t>deuxième</w:t>
      </w:r>
      <w:r w:rsidR="00780682" w:rsidRPr="00A44B01">
        <w:rPr>
          <w:rFonts w:ascii="Book Antiqua" w:hAnsi="Book Antiqua" w:cs="Times New Roman"/>
          <w:sz w:val="24"/>
          <w:szCs w:val="24"/>
        </w:rPr>
        <w:t xml:space="preserve"> trimestre de </w:t>
      </w:r>
      <w:r w:rsidR="007A2EA8" w:rsidRPr="00A44B01">
        <w:rPr>
          <w:rFonts w:ascii="Book Antiqua" w:hAnsi="Book Antiqua" w:cs="Times New Roman"/>
          <w:sz w:val="24"/>
          <w:szCs w:val="24"/>
        </w:rPr>
        <w:t>2023</w:t>
      </w:r>
      <w:r w:rsidR="00780682" w:rsidRPr="00A44B01">
        <w:rPr>
          <w:rFonts w:ascii="Book Antiqua" w:hAnsi="Book Antiqua" w:cs="Times New Roman"/>
          <w:sz w:val="24"/>
          <w:szCs w:val="24"/>
        </w:rPr>
        <w:t xml:space="preserve"> et </w:t>
      </w:r>
      <w:r w:rsidR="00256254">
        <w:rPr>
          <w:rFonts w:ascii="Book Antiqua" w:hAnsi="Book Antiqua" w:cs="Times New Roman"/>
          <w:sz w:val="24"/>
          <w:szCs w:val="24"/>
        </w:rPr>
        <w:t xml:space="preserve">celui </w:t>
      </w:r>
      <w:r w:rsidR="00780682" w:rsidRPr="00A44B01">
        <w:rPr>
          <w:rFonts w:ascii="Book Antiqua" w:hAnsi="Book Antiqua" w:cs="Times New Roman"/>
          <w:sz w:val="24"/>
          <w:szCs w:val="24"/>
        </w:rPr>
        <w:t xml:space="preserve">de </w:t>
      </w:r>
      <w:r w:rsidR="007A2EA8" w:rsidRPr="00A44B01">
        <w:rPr>
          <w:rFonts w:ascii="Book Antiqua" w:hAnsi="Book Antiqua" w:cs="Times New Roman"/>
          <w:sz w:val="24"/>
          <w:szCs w:val="24"/>
        </w:rPr>
        <w:t>2024</w:t>
      </w:r>
      <w:r w:rsidR="00647547" w:rsidRPr="00A44B01">
        <w:rPr>
          <w:rFonts w:ascii="Book Antiqua" w:hAnsi="Book Antiqua" w:cs="Times New Roman"/>
          <w:sz w:val="24"/>
          <w:szCs w:val="24"/>
        </w:rPr>
        <w:t xml:space="preserve">, passant de </w:t>
      </w:r>
      <w:r w:rsidR="00DF2FF2" w:rsidRPr="00A44B01">
        <w:rPr>
          <w:rFonts w:ascii="Book Antiqua" w:hAnsi="Book Antiqua" w:cs="Times New Roman"/>
          <w:sz w:val="24"/>
          <w:szCs w:val="24"/>
        </w:rPr>
        <w:t>12</w:t>
      </w:r>
      <w:r w:rsidR="00647547" w:rsidRPr="00A44B01">
        <w:rPr>
          <w:rFonts w:ascii="Book Antiqua" w:hAnsi="Book Antiqua" w:cs="Times New Roman"/>
          <w:sz w:val="24"/>
          <w:szCs w:val="24"/>
        </w:rPr>
        <w:t>,</w:t>
      </w:r>
      <w:r w:rsidR="00262755">
        <w:rPr>
          <w:rFonts w:ascii="Book Antiqua" w:hAnsi="Book Antiqua" w:cs="Times New Roman"/>
          <w:sz w:val="24"/>
          <w:szCs w:val="24"/>
        </w:rPr>
        <w:t>4</w:t>
      </w:r>
      <w:r w:rsidR="00647547" w:rsidRPr="00A44B01">
        <w:rPr>
          <w:rFonts w:ascii="Book Antiqua" w:hAnsi="Book Antiqua" w:cs="Times New Roman"/>
          <w:sz w:val="24"/>
          <w:szCs w:val="24"/>
        </w:rPr>
        <w:t>% à 1</w:t>
      </w:r>
      <w:r w:rsidR="009038C4" w:rsidRPr="00A44B01">
        <w:rPr>
          <w:rFonts w:ascii="Book Antiqua" w:hAnsi="Book Antiqua" w:cs="Times New Roman"/>
          <w:sz w:val="24"/>
          <w:szCs w:val="24"/>
        </w:rPr>
        <w:t>3</w:t>
      </w:r>
      <w:r w:rsidR="00647547" w:rsidRPr="00A44B01">
        <w:rPr>
          <w:rFonts w:ascii="Book Antiqua" w:hAnsi="Book Antiqua" w:cs="Times New Roman"/>
          <w:sz w:val="24"/>
          <w:szCs w:val="24"/>
        </w:rPr>
        <w:t>,</w:t>
      </w:r>
      <w:r w:rsidR="00262755">
        <w:rPr>
          <w:rFonts w:ascii="Book Antiqua" w:hAnsi="Book Antiqua" w:cs="Times New Roman"/>
          <w:sz w:val="24"/>
          <w:szCs w:val="24"/>
        </w:rPr>
        <w:t>1</w:t>
      </w:r>
      <w:r w:rsidR="00DF2FF2" w:rsidRPr="00A44B01">
        <w:rPr>
          <w:rFonts w:ascii="Book Antiqua" w:hAnsi="Book Antiqua" w:cs="Times New Roman"/>
          <w:sz w:val="24"/>
          <w:szCs w:val="24"/>
        </w:rPr>
        <w:t>%, de 1</w:t>
      </w:r>
      <w:r w:rsidR="00262755">
        <w:rPr>
          <w:rFonts w:ascii="Book Antiqua" w:hAnsi="Book Antiqua" w:cs="Times New Roman"/>
          <w:sz w:val="24"/>
          <w:szCs w:val="24"/>
        </w:rPr>
        <w:t>6</w:t>
      </w:r>
      <w:r w:rsidR="00DF2FF2" w:rsidRPr="00A44B01">
        <w:rPr>
          <w:rFonts w:ascii="Book Antiqua" w:hAnsi="Book Antiqua" w:cs="Times New Roman"/>
          <w:sz w:val="24"/>
          <w:szCs w:val="24"/>
        </w:rPr>
        <w:t>,</w:t>
      </w:r>
      <w:r w:rsidR="00262755">
        <w:rPr>
          <w:rFonts w:ascii="Book Antiqua" w:hAnsi="Book Antiqua" w:cs="Times New Roman"/>
          <w:sz w:val="24"/>
          <w:szCs w:val="24"/>
        </w:rPr>
        <w:t>3% à 16</w:t>
      </w:r>
      <w:r w:rsidR="00DF2FF2" w:rsidRPr="00A44B01">
        <w:rPr>
          <w:rFonts w:ascii="Book Antiqua" w:hAnsi="Book Antiqua" w:cs="Times New Roman"/>
          <w:sz w:val="24"/>
          <w:szCs w:val="24"/>
        </w:rPr>
        <w:t>,</w:t>
      </w:r>
      <w:r w:rsidR="00262755">
        <w:rPr>
          <w:rFonts w:ascii="Book Antiqua" w:hAnsi="Book Antiqua" w:cs="Times New Roman"/>
          <w:sz w:val="24"/>
          <w:szCs w:val="24"/>
        </w:rPr>
        <w:t>7</w:t>
      </w:r>
      <w:r w:rsidR="00DF2FF2" w:rsidRPr="00A44B01">
        <w:rPr>
          <w:rFonts w:ascii="Book Antiqua" w:hAnsi="Book Antiqua" w:cs="Times New Roman"/>
          <w:sz w:val="24"/>
          <w:szCs w:val="24"/>
        </w:rPr>
        <w:t xml:space="preserve">% en milieu urbain </w:t>
      </w:r>
      <w:r w:rsidR="002A783A" w:rsidRPr="00A44B01">
        <w:rPr>
          <w:rFonts w:ascii="Book Antiqua" w:hAnsi="Book Antiqua" w:cs="Times New Roman"/>
          <w:sz w:val="24"/>
          <w:szCs w:val="24"/>
        </w:rPr>
        <w:t>(+0,</w:t>
      </w:r>
      <w:r w:rsidR="00262755">
        <w:rPr>
          <w:rFonts w:ascii="Book Antiqua" w:hAnsi="Book Antiqua" w:cs="Times New Roman"/>
          <w:sz w:val="24"/>
          <w:szCs w:val="24"/>
        </w:rPr>
        <w:t>4</w:t>
      </w:r>
      <w:r w:rsidR="002A783A" w:rsidRPr="00A44B01">
        <w:rPr>
          <w:rFonts w:ascii="Book Antiqua" w:hAnsi="Book Antiqua" w:cs="Times New Roman"/>
          <w:sz w:val="24"/>
          <w:szCs w:val="24"/>
        </w:rPr>
        <w:t xml:space="preserve"> point) </w:t>
      </w:r>
      <w:r w:rsidR="00DF2FF2" w:rsidRPr="00A44B01">
        <w:rPr>
          <w:rFonts w:ascii="Book Antiqua" w:hAnsi="Book Antiqua" w:cs="Times New Roman"/>
          <w:sz w:val="24"/>
          <w:szCs w:val="24"/>
        </w:rPr>
        <w:t>et de 5,</w:t>
      </w:r>
      <w:r w:rsidR="009038C4" w:rsidRPr="00A44B01">
        <w:rPr>
          <w:rFonts w:ascii="Book Antiqua" w:hAnsi="Book Antiqua" w:cs="Times New Roman"/>
          <w:sz w:val="24"/>
          <w:szCs w:val="24"/>
        </w:rPr>
        <w:t>7</w:t>
      </w:r>
      <w:r w:rsidR="00DF2FF2" w:rsidRPr="00A44B01">
        <w:rPr>
          <w:rFonts w:ascii="Book Antiqua" w:hAnsi="Book Antiqua" w:cs="Times New Roman"/>
          <w:sz w:val="24"/>
          <w:szCs w:val="24"/>
        </w:rPr>
        <w:t xml:space="preserve">% à </w:t>
      </w:r>
      <w:r w:rsidR="009038C4" w:rsidRPr="00A44B01">
        <w:rPr>
          <w:rFonts w:ascii="Book Antiqua" w:hAnsi="Book Antiqua" w:cs="Times New Roman"/>
          <w:sz w:val="24"/>
          <w:szCs w:val="24"/>
        </w:rPr>
        <w:t>6</w:t>
      </w:r>
      <w:r w:rsidR="00DF2FF2" w:rsidRPr="00A44B01">
        <w:rPr>
          <w:rFonts w:ascii="Book Antiqua" w:hAnsi="Book Antiqua" w:cs="Times New Roman"/>
          <w:sz w:val="24"/>
          <w:szCs w:val="24"/>
        </w:rPr>
        <w:t>,</w:t>
      </w:r>
      <w:r w:rsidR="00262755">
        <w:rPr>
          <w:rFonts w:ascii="Book Antiqua" w:hAnsi="Book Antiqua" w:cs="Times New Roman"/>
          <w:sz w:val="24"/>
          <w:szCs w:val="24"/>
        </w:rPr>
        <w:t>7</w:t>
      </w:r>
      <w:r w:rsidR="00DF2FF2" w:rsidRPr="00A44B01">
        <w:rPr>
          <w:rFonts w:ascii="Book Antiqua" w:hAnsi="Book Antiqua" w:cs="Times New Roman"/>
          <w:sz w:val="24"/>
          <w:szCs w:val="24"/>
        </w:rPr>
        <w:t>% en milieu rural</w:t>
      </w:r>
      <w:r w:rsidR="002A783A" w:rsidRPr="00A44B01">
        <w:rPr>
          <w:rFonts w:ascii="Book Antiqua" w:hAnsi="Book Antiqua" w:cs="Times New Roman"/>
          <w:sz w:val="24"/>
          <w:szCs w:val="24"/>
        </w:rPr>
        <w:t xml:space="preserve"> (+1 point)</w:t>
      </w:r>
      <w:r w:rsidR="00DF2FF2" w:rsidRPr="00A44B01">
        <w:rPr>
          <w:rFonts w:ascii="Book Antiqua" w:hAnsi="Book Antiqua" w:cs="Times New Roman"/>
          <w:sz w:val="24"/>
          <w:szCs w:val="24"/>
        </w:rPr>
        <w:t>.</w:t>
      </w:r>
      <w:r w:rsidR="00A44B01">
        <w:rPr>
          <w:rFonts w:ascii="Book Antiqua" w:hAnsi="Book Antiqua" w:cs="Times New Roman"/>
          <w:sz w:val="24"/>
          <w:szCs w:val="24"/>
        </w:rPr>
        <w:t xml:space="preserve"> </w:t>
      </w:r>
      <w:r w:rsidR="00DC5BEF" w:rsidRPr="00A44B01">
        <w:rPr>
          <w:rFonts w:ascii="Book Antiqua" w:hAnsi="Book Antiqua" w:cs="Times New Roman"/>
          <w:sz w:val="24"/>
          <w:szCs w:val="24"/>
        </w:rPr>
        <w:t>Il a également enregistré une hausse</w:t>
      </w:r>
      <w:r w:rsidR="00364648">
        <w:rPr>
          <w:rFonts w:ascii="Book Antiqua" w:hAnsi="Book Antiqua" w:cs="Times New Roman"/>
          <w:sz w:val="24"/>
          <w:szCs w:val="24"/>
        </w:rPr>
        <w:t xml:space="preserve"> de 0,7 point</w:t>
      </w:r>
      <w:r w:rsidR="00DC5BEF" w:rsidRPr="00A44B01">
        <w:rPr>
          <w:rFonts w:ascii="Book Antiqua" w:hAnsi="Book Antiqua" w:cs="Times New Roman"/>
          <w:sz w:val="24"/>
          <w:szCs w:val="24"/>
        </w:rPr>
        <w:t xml:space="preserve"> </w:t>
      </w:r>
      <w:r w:rsidR="002A783A" w:rsidRPr="00A44B01">
        <w:rPr>
          <w:rFonts w:ascii="Book Antiqua" w:hAnsi="Book Antiqua" w:cs="Times New Roman"/>
          <w:sz w:val="24"/>
          <w:szCs w:val="24"/>
        </w:rPr>
        <w:t>parmi les femmes</w:t>
      </w:r>
      <w:r w:rsidR="00364648" w:rsidRPr="00364648">
        <w:rPr>
          <w:rFonts w:ascii="Book Antiqua" w:hAnsi="Book Antiqua" w:cs="Times New Roman"/>
          <w:sz w:val="24"/>
          <w:szCs w:val="24"/>
        </w:rPr>
        <w:t xml:space="preserve"> </w:t>
      </w:r>
      <w:r w:rsidR="00364648" w:rsidRPr="00A44B01">
        <w:rPr>
          <w:rFonts w:ascii="Book Antiqua" w:hAnsi="Book Antiqua" w:cs="Times New Roman"/>
          <w:sz w:val="24"/>
          <w:szCs w:val="24"/>
        </w:rPr>
        <w:t>et</w:t>
      </w:r>
      <w:r w:rsidR="00364648">
        <w:rPr>
          <w:rFonts w:ascii="Book Antiqua" w:hAnsi="Book Antiqua" w:cs="Times New Roman"/>
          <w:sz w:val="24"/>
          <w:szCs w:val="24"/>
        </w:rPr>
        <w:t xml:space="preserve"> </w:t>
      </w:r>
      <w:r w:rsidR="00364648" w:rsidRPr="00A44B01">
        <w:rPr>
          <w:rFonts w:ascii="Book Antiqua" w:hAnsi="Book Antiqua" w:cs="Times New Roman"/>
          <w:sz w:val="24"/>
          <w:szCs w:val="24"/>
        </w:rPr>
        <w:t>parmi les hommes</w:t>
      </w:r>
      <w:r w:rsidR="002A783A" w:rsidRPr="00A44B01">
        <w:rPr>
          <w:rFonts w:ascii="Book Antiqua" w:hAnsi="Book Antiqua" w:cs="Times New Roman"/>
          <w:sz w:val="24"/>
          <w:szCs w:val="24"/>
        </w:rPr>
        <w:t xml:space="preserve">, passant </w:t>
      </w:r>
      <w:r w:rsidR="00364648">
        <w:rPr>
          <w:rFonts w:ascii="Book Antiqua" w:hAnsi="Book Antiqua" w:cs="Times New Roman"/>
          <w:sz w:val="24"/>
          <w:szCs w:val="24"/>
        </w:rPr>
        <w:t xml:space="preserve">respectivement </w:t>
      </w:r>
      <w:r w:rsidR="002A783A" w:rsidRPr="00A44B01">
        <w:rPr>
          <w:rFonts w:ascii="Book Antiqua" w:hAnsi="Book Antiqua" w:cs="Times New Roman"/>
          <w:sz w:val="24"/>
          <w:szCs w:val="24"/>
        </w:rPr>
        <w:t>de 1</w:t>
      </w:r>
      <w:r w:rsidR="00262755">
        <w:rPr>
          <w:rFonts w:ascii="Book Antiqua" w:hAnsi="Book Antiqua" w:cs="Times New Roman"/>
          <w:sz w:val="24"/>
          <w:szCs w:val="24"/>
        </w:rPr>
        <w:t>7% à 17,7</w:t>
      </w:r>
      <w:r w:rsidR="002A783A" w:rsidRPr="00A44B01">
        <w:rPr>
          <w:rFonts w:ascii="Book Antiqua" w:hAnsi="Book Antiqua" w:cs="Times New Roman"/>
          <w:sz w:val="24"/>
          <w:szCs w:val="24"/>
        </w:rPr>
        <w:t>%</w:t>
      </w:r>
      <w:r w:rsidR="00364648">
        <w:rPr>
          <w:rFonts w:ascii="Book Antiqua" w:hAnsi="Book Antiqua" w:cs="Times New Roman"/>
          <w:sz w:val="24"/>
          <w:szCs w:val="24"/>
        </w:rPr>
        <w:t>et</w:t>
      </w:r>
      <w:r w:rsidR="00364648" w:rsidRPr="00A44B01">
        <w:rPr>
          <w:rFonts w:ascii="Book Antiqua" w:hAnsi="Book Antiqua" w:cs="Times New Roman"/>
          <w:sz w:val="24"/>
          <w:szCs w:val="24"/>
        </w:rPr>
        <w:t xml:space="preserve"> </w:t>
      </w:r>
      <w:r w:rsidR="00DC5BEF" w:rsidRPr="00A44B01">
        <w:rPr>
          <w:rFonts w:ascii="Book Antiqua" w:hAnsi="Book Antiqua" w:cs="Times New Roman"/>
          <w:sz w:val="24"/>
          <w:szCs w:val="24"/>
        </w:rPr>
        <w:t xml:space="preserve">de </w:t>
      </w:r>
      <w:r w:rsidR="00DF2FF2" w:rsidRPr="00A44B01">
        <w:rPr>
          <w:rFonts w:ascii="Book Antiqua" w:hAnsi="Book Antiqua" w:cs="Times New Roman"/>
          <w:sz w:val="24"/>
          <w:szCs w:val="24"/>
        </w:rPr>
        <w:t>1</w:t>
      </w:r>
      <w:r w:rsidR="009038C4" w:rsidRPr="00A44B01">
        <w:rPr>
          <w:rFonts w:ascii="Book Antiqua" w:hAnsi="Book Antiqua" w:cs="Times New Roman"/>
          <w:sz w:val="24"/>
          <w:szCs w:val="24"/>
        </w:rPr>
        <w:t>1</w:t>
      </w:r>
      <w:r w:rsidR="00DF2FF2" w:rsidRPr="00A44B01">
        <w:rPr>
          <w:rFonts w:ascii="Book Antiqua" w:hAnsi="Book Antiqua" w:cs="Times New Roman"/>
          <w:sz w:val="24"/>
          <w:szCs w:val="24"/>
        </w:rPr>
        <w:t>% à 1</w:t>
      </w:r>
      <w:r w:rsidR="00262755">
        <w:rPr>
          <w:rFonts w:ascii="Book Antiqua" w:hAnsi="Book Antiqua" w:cs="Times New Roman"/>
          <w:sz w:val="24"/>
          <w:szCs w:val="24"/>
        </w:rPr>
        <w:t>1,7</w:t>
      </w:r>
      <w:r w:rsidR="00DC5BEF" w:rsidRPr="00A44B01">
        <w:rPr>
          <w:rFonts w:ascii="Book Antiqua" w:hAnsi="Book Antiqua" w:cs="Times New Roman"/>
          <w:sz w:val="24"/>
          <w:szCs w:val="24"/>
        </w:rPr>
        <w:t>%</w:t>
      </w:r>
      <w:r w:rsidR="002A783A" w:rsidRPr="00A44B01">
        <w:rPr>
          <w:rFonts w:ascii="Book Antiqua" w:hAnsi="Book Antiqua" w:cs="Times New Roman"/>
          <w:sz w:val="24"/>
          <w:szCs w:val="24"/>
        </w:rPr>
        <w:t xml:space="preserve">. </w:t>
      </w:r>
    </w:p>
    <w:p w:rsidR="00BD026B" w:rsidRDefault="00256254" w:rsidP="00256254">
      <w:pPr>
        <w:spacing w:line="240" w:lineRule="auto"/>
        <w:jc w:val="both"/>
        <w:rPr>
          <w:rFonts w:ascii="Book Antiqua" w:hAnsi="Book Antiqua" w:cs="Times New Roman"/>
          <w:sz w:val="24"/>
          <w:szCs w:val="24"/>
        </w:rPr>
      </w:pPr>
      <w:r>
        <w:rPr>
          <w:rFonts w:ascii="Book Antiqua" w:hAnsi="Book Antiqua" w:cs="Times New Roman"/>
          <w:sz w:val="24"/>
          <w:szCs w:val="24"/>
        </w:rPr>
        <w:t>Le taux de</w:t>
      </w:r>
      <w:r w:rsidR="0028300C" w:rsidRPr="00A44B01">
        <w:rPr>
          <w:rFonts w:ascii="Book Antiqua" w:hAnsi="Book Antiqua" w:cs="Times New Roman"/>
          <w:sz w:val="24"/>
          <w:szCs w:val="24"/>
        </w:rPr>
        <w:t xml:space="preserve"> chômage</w:t>
      </w:r>
      <w:r w:rsidR="001631E7" w:rsidRPr="00A44B01">
        <w:rPr>
          <w:rFonts w:ascii="Book Antiqua" w:hAnsi="Book Antiqua" w:cs="Times New Roman"/>
          <w:sz w:val="24"/>
          <w:szCs w:val="24"/>
        </w:rPr>
        <w:t xml:space="preserve"> a connu </w:t>
      </w:r>
      <w:r w:rsidR="0029080A" w:rsidRPr="00A44B01">
        <w:rPr>
          <w:rFonts w:ascii="Book Antiqua" w:hAnsi="Book Antiqua" w:cs="Times New Roman"/>
          <w:sz w:val="24"/>
          <w:szCs w:val="24"/>
        </w:rPr>
        <w:t>une</w:t>
      </w:r>
      <w:r w:rsidR="001631E7" w:rsidRPr="00A44B01">
        <w:rPr>
          <w:rFonts w:ascii="Book Antiqua" w:hAnsi="Book Antiqua" w:cs="Times New Roman"/>
          <w:sz w:val="24"/>
          <w:szCs w:val="24"/>
        </w:rPr>
        <w:t xml:space="preserve"> hausse</w:t>
      </w:r>
      <w:r w:rsidR="004805D0" w:rsidRPr="00A44B01">
        <w:rPr>
          <w:rFonts w:ascii="Book Antiqua" w:hAnsi="Book Antiqua" w:cs="Times New Roman"/>
          <w:sz w:val="24"/>
          <w:szCs w:val="24"/>
        </w:rPr>
        <w:t xml:space="preserve"> </w:t>
      </w:r>
      <w:r w:rsidR="001631E7" w:rsidRPr="00A44B01">
        <w:rPr>
          <w:rFonts w:ascii="Book Antiqua" w:hAnsi="Book Antiqua" w:cs="Times New Roman"/>
          <w:sz w:val="24"/>
          <w:szCs w:val="24"/>
        </w:rPr>
        <w:t>de</w:t>
      </w:r>
      <w:r w:rsidR="004805D0" w:rsidRPr="00A44B01">
        <w:rPr>
          <w:rFonts w:ascii="Book Antiqua" w:hAnsi="Book Antiqua" w:cs="Times New Roman"/>
          <w:sz w:val="24"/>
          <w:szCs w:val="24"/>
        </w:rPr>
        <w:t xml:space="preserve"> </w:t>
      </w:r>
      <w:r w:rsidR="00262755">
        <w:rPr>
          <w:rFonts w:ascii="Book Antiqua" w:hAnsi="Book Antiqua" w:cs="Times New Roman"/>
          <w:sz w:val="24"/>
          <w:szCs w:val="24"/>
        </w:rPr>
        <w:t>2,5</w:t>
      </w:r>
      <w:r w:rsidR="001631E7" w:rsidRPr="00A44B01">
        <w:rPr>
          <w:rFonts w:ascii="Book Antiqua" w:hAnsi="Book Antiqua" w:cs="Times New Roman"/>
          <w:sz w:val="24"/>
          <w:szCs w:val="24"/>
        </w:rPr>
        <w:t xml:space="preserve"> point</w:t>
      </w:r>
      <w:r w:rsidR="00262755">
        <w:rPr>
          <w:rFonts w:ascii="Book Antiqua" w:hAnsi="Book Antiqua" w:cs="Times New Roman"/>
          <w:sz w:val="24"/>
          <w:szCs w:val="24"/>
        </w:rPr>
        <w:t>s</w:t>
      </w:r>
      <w:r w:rsidR="001631E7" w:rsidRPr="00A44B01">
        <w:rPr>
          <w:rFonts w:ascii="Book Antiqua" w:hAnsi="Book Antiqua" w:cs="Times New Roman"/>
          <w:sz w:val="24"/>
          <w:szCs w:val="24"/>
        </w:rPr>
        <w:t xml:space="preserve"> parmi les jeunes âgés de 15 à 24 ans</w:t>
      </w:r>
      <w:r w:rsidR="00196401" w:rsidRPr="00A44B01">
        <w:rPr>
          <w:rFonts w:ascii="Book Antiqua" w:hAnsi="Book Antiqua" w:cs="Times New Roman"/>
          <w:sz w:val="24"/>
          <w:szCs w:val="24"/>
        </w:rPr>
        <w:t>, passant de 3</w:t>
      </w:r>
      <w:r w:rsidR="00262755">
        <w:rPr>
          <w:rFonts w:ascii="Book Antiqua" w:hAnsi="Book Antiqua" w:cs="Times New Roman"/>
          <w:sz w:val="24"/>
          <w:szCs w:val="24"/>
        </w:rPr>
        <w:t>3</w:t>
      </w:r>
      <w:r w:rsidR="00196401" w:rsidRPr="00A44B01">
        <w:rPr>
          <w:rFonts w:ascii="Book Antiqua" w:hAnsi="Book Antiqua" w:cs="Times New Roman"/>
          <w:sz w:val="24"/>
          <w:szCs w:val="24"/>
        </w:rPr>
        <w:t>,</w:t>
      </w:r>
      <w:r w:rsidR="00262755">
        <w:rPr>
          <w:rFonts w:ascii="Book Antiqua" w:hAnsi="Book Antiqua" w:cs="Times New Roman"/>
          <w:sz w:val="24"/>
          <w:szCs w:val="24"/>
        </w:rPr>
        <w:t>6% à 36</w:t>
      </w:r>
      <w:r w:rsidR="00196401" w:rsidRPr="00A44B01">
        <w:rPr>
          <w:rFonts w:ascii="Book Antiqua" w:hAnsi="Book Antiqua" w:cs="Times New Roman"/>
          <w:sz w:val="24"/>
          <w:szCs w:val="24"/>
        </w:rPr>
        <w:t>,</w:t>
      </w:r>
      <w:r w:rsidR="00262755">
        <w:rPr>
          <w:rFonts w:ascii="Book Antiqua" w:hAnsi="Book Antiqua" w:cs="Times New Roman"/>
          <w:sz w:val="24"/>
          <w:szCs w:val="24"/>
        </w:rPr>
        <w:t>1</w:t>
      </w:r>
      <w:r w:rsidR="00196401" w:rsidRPr="00A44B01">
        <w:rPr>
          <w:rFonts w:ascii="Book Antiqua" w:hAnsi="Book Antiqua" w:cs="Times New Roman"/>
          <w:sz w:val="24"/>
          <w:szCs w:val="24"/>
        </w:rPr>
        <w:t>%</w:t>
      </w:r>
      <w:r w:rsidR="0028300C" w:rsidRPr="00A44B01">
        <w:rPr>
          <w:rFonts w:ascii="Book Antiqua" w:hAnsi="Book Antiqua" w:cs="Times New Roman"/>
          <w:sz w:val="24"/>
          <w:szCs w:val="24"/>
        </w:rPr>
        <w:t>,</w:t>
      </w:r>
      <w:r w:rsidR="00196401" w:rsidRPr="00A44B01">
        <w:rPr>
          <w:rFonts w:ascii="Book Antiqua" w:hAnsi="Book Antiqua" w:cs="Times New Roman"/>
          <w:sz w:val="24"/>
          <w:szCs w:val="24"/>
        </w:rPr>
        <w:t xml:space="preserve"> </w:t>
      </w:r>
      <w:r w:rsidR="002B285E">
        <w:rPr>
          <w:rFonts w:ascii="Book Antiqua" w:hAnsi="Book Antiqua" w:cs="Times New Roman"/>
          <w:sz w:val="24"/>
          <w:szCs w:val="24"/>
        </w:rPr>
        <w:t>d</w:t>
      </w:r>
      <w:r>
        <w:rPr>
          <w:rFonts w:ascii="Book Antiqua" w:hAnsi="Book Antiqua" w:cs="Times New Roman"/>
          <w:sz w:val="24"/>
          <w:szCs w:val="24"/>
        </w:rPr>
        <w:t xml:space="preserve">e </w:t>
      </w:r>
      <w:r w:rsidR="002A783A" w:rsidRPr="00A44B01">
        <w:rPr>
          <w:rFonts w:ascii="Book Antiqua" w:hAnsi="Book Antiqua" w:cs="Times New Roman"/>
          <w:sz w:val="24"/>
          <w:szCs w:val="24"/>
        </w:rPr>
        <w:t>1,</w:t>
      </w:r>
      <w:r w:rsidR="00262755">
        <w:rPr>
          <w:rFonts w:ascii="Book Antiqua" w:hAnsi="Book Antiqua" w:cs="Times New Roman"/>
          <w:sz w:val="24"/>
          <w:szCs w:val="24"/>
        </w:rPr>
        <w:t>6</w:t>
      </w:r>
      <w:r w:rsidR="002A783A" w:rsidRPr="00A44B01">
        <w:rPr>
          <w:rFonts w:ascii="Book Antiqua" w:hAnsi="Book Antiqua" w:cs="Times New Roman"/>
          <w:sz w:val="24"/>
          <w:szCs w:val="24"/>
        </w:rPr>
        <w:t xml:space="preserve"> point </w:t>
      </w:r>
      <w:r w:rsidR="00196401" w:rsidRPr="00A44B01">
        <w:rPr>
          <w:rFonts w:ascii="Book Antiqua" w:hAnsi="Book Antiqua" w:cs="Times New Roman"/>
          <w:sz w:val="24"/>
          <w:szCs w:val="24"/>
        </w:rPr>
        <w:t xml:space="preserve">parmi les </w:t>
      </w:r>
      <w:r w:rsidR="006255A6" w:rsidRPr="00A44B01">
        <w:rPr>
          <w:rFonts w:ascii="Book Antiqua" w:hAnsi="Book Antiqua" w:cs="Times New Roman"/>
          <w:sz w:val="24"/>
          <w:szCs w:val="24"/>
        </w:rPr>
        <w:t>personnes</w:t>
      </w:r>
      <w:r w:rsidR="00196401" w:rsidRPr="00A44B01">
        <w:rPr>
          <w:rFonts w:ascii="Book Antiqua" w:hAnsi="Book Antiqua" w:cs="Times New Roman"/>
          <w:sz w:val="24"/>
          <w:szCs w:val="24"/>
        </w:rPr>
        <w:t xml:space="preserve"> âgé</w:t>
      </w:r>
      <w:r w:rsidR="004805D0" w:rsidRPr="00A44B01">
        <w:rPr>
          <w:rFonts w:ascii="Book Antiqua" w:hAnsi="Book Antiqua" w:cs="Times New Roman"/>
          <w:sz w:val="24"/>
          <w:szCs w:val="24"/>
        </w:rPr>
        <w:t>e</w:t>
      </w:r>
      <w:r w:rsidR="00196401" w:rsidRPr="00A44B01">
        <w:rPr>
          <w:rFonts w:ascii="Book Antiqua" w:hAnsi="Book Antiqua" w:cs="Times New Roman"/>
          <w:sz w:val="24"/>
          <w:szCs w:val="24"/>
        </w:rPr>
        <w:t>s de 25 à 3</w:t>
      </w:r>
      <w:r w:rsidR="0028300C" w:rsidRPr="00A44B01">
        <w:rPr>
          <w:rFonts w:ascii="Book Antiqua" w:hAnsi="Book Antiqua" w:cs="Times New Roman"/>
          <w:sz w:val="24"/>
          <w:szCs w:val="24"/>
        </w:rPr>
        <w:t>4</w:t>
      </w:r>
      <w:r w:rsidR="00196401" w:rsidRPr="00A44B01">
        <w:rPr>
          <w:rFonts w:ascii="Book Antiqua" w:hAnsi="Book Antiqua" w:cs="Times New Roman"/>
          <w:sz w:val="24"/>
          <w:szCs w:val="24"/>
        </w:rPr>
        <w:t xml:space="preserve"> ans, de </w:t>
      </w:r>
      <w:r w:rsidR="00262755">
        <w:rPr>
          <w:rFonts w:ascii="Book Antiqua" w:hAnsi="Book Antiqua" w:cs="Times New Roman"/>
          <w:sz w:val="24"/>
          <w:szCs w:val="24"/>
        </w:rPr>
        <w:t>19</w:t>
      </w:r>
      <w:r w:rsidR="00196401" w:rsidRPr="00A44B01">
        <w:rPr>
          <w:rFonts w:ascii="Book Antiqua" w:hAnsi="Book Antiqua" w:cs="Times New Roman"/>
          <w:sz w:val="24"/>
          <w:szCs w:val="24"/>
        </w:rPr>
        <w:t>,</w:t>
      </w:r>
      <w:r w:rsidR="00262755">
        <w:rPr>
          <w:rFonts w:ascii="Book Antiqua" w:hAnsi="Book Antiqua" w:cs="Times New Roman"/>
          <w:sz w:val="24"/>
          <w:szCs w:val="24"/>
        </w:rPr>
        <w:t>8</w:t>
      </w:r>
      <w:r w:rsidR="00196401" w:rsidRPr="00A44B01">
        <w:rPr>
          <w:rFonts w:ascii="Book Antiqua" w:hAnsi="Book Antiqua" w:cs="Times New Roman"/>
          <w:sz w:val="24"/>
          <w:szCs w:val="24"/>
        </w:rPr>
        <w:t xml:space="preserve">% à </w:t>
      </w:r>
      <w:r w:rsidR="002A783A" w:rsidRPr="00A44B01">
        <w:rPr>
          <w:rFonts w:ascii="Book Antiqua" w:hAnsi="Book Antiqua" w:cs="Times New Roman" w:hint="cs"/>
          <w:sz w:val="24"/>
          <w:szCs w:val="24"/>
          <w:rtl/>
        </w:rPr>
        <w:t>2</w:t>
      </w:r>
      <w:r w:rsidR="00262755">
        <w:rPr>
          <w:rFonts w:ascii="Book Antiqua" w:hAnsi="Book Antiqua" w:cs="Times New Roman"/>
          <w:sz w:val="24"/>
          <w:szCs w:val="24"/>
        </w:rPr>
        <w:t>1,4</w:t>
      </w:r>
      <w:r w:rsidR="00196401" w:rsidRPr="00A44B01">
        <w:rPr>
          <w:rFonts w:ascii="Book Antiqua" w:hAnsi="Book Antiqua" w:cs="Times New Roman"/>
          <w:sz w:val="24"/>
          <w:szCs w:val="24"/>
        </w:rPr>
        <w:t>%</w:t>
      </w:r>
      <w:r w:rsidR="0028300C" w:rsidRPr="00A44B01">
        <w:rPr>
          <w:rFonts w:ascii="Book Antiqua" w:hAnsi="Book Antiqua" w:cs="Times New Roman"/>
          <w:sz w:val="24"/>
          <w:szCs w:val="24"/>
        </w:rPr>
        <w:t>, de 0,</w:t>
      </w:r>
      <w:r w:rsidR="00262755">
        <w:rPr>
          <w:rFonts w:ascii="Book Antiqua" w:hAnsi="Book Antiqua" w:cs="Times New Roman"/>
          <w:sz w:val="24"/>
          <w:szCs w:val="24"/>
        </w:rPr>
        <w:t>1</w:t>
      </w:r>
      <w:r w:rsidR="0028300C" w:rsidRPr="00A44B01">
        <w:rPr>
          <w:rFonts w:ascii="Book Antiqua" w:hAnsi="Book Antiqua" w:cs="Times New Roman"/>
          <w:sz w:val="24"/>
          <w:szCs w:val="24"/>
        </w:rPr>
        <w:t xml:space="preserve"> point </w:t>
      </w:r>
      <w:r w:rsidR="00A44B01" w:rsidRPr="00A44B01">
        <w:rPr>
          <w:rFonts w:ascii="Book Antiqua" w:hAnsi="Book Antiqua" w:cs="Times New Roman"/>
          <w:sz w:val="24"/>
          <w:szCs w:val="24"/>
        </w:rPr>
        <w:t>parmi</w:t>
      </w:r>
      <w:r w:rsidR="0028300C" w:rsidRPr="00A44B01">
        <w:rPr>
          <w:rFonts w:ascii="Book Antiqua" w:hAnsi="Book Antiqua" w:cs="Times New Roman"/>
          <w:sz w:val="24"/>
          <w:szCs w:val="24"/>
        </w:rPr>
        <w:t xml:space="preserve"> celles âgées de 35 à 44 ans, de 7,</w:t>
      </w:r>
      <w:r w:rsidR="00262755">
        <w:rPr>
          <w:rFonts w:ascii="Book Antiqua" w:hAnsi="Book Antiqua" w:cs="Times New Roman"/>
          <w:sz w:val="24"/>
          <w:szCs w:val="24"/>
        </w:rPr>
        <w:t>2</w:t>
      </w:r>
      <w:r w:rsidR="0028300C" w:rsidRPr="00A44B01">
        <w:rPr>
          <w:rFonts w:ascii="Book Antiqua" w:hAnsi="Book Antiqua" w:cs="Times New Roman"/>
          <w:sz w:val="24"/>
          <w:szCs w:val="24"/>
        </w:rPr>
        <w:t xml:space="preserve">% à </w:t>
      </w:r>
      <w:r w:rsidR="00262755">
        <w:rPr>
          <w:rFonts w:ascii="Book Antiqua" w:hAnsi="Book Antiqua" w:cs="Times New Roman"/>
          <w:sz w:val="24"/>
          <w:szCs w:val="24"/>
        </w:rPr>
        <w:t>7,3</w:t>
      </w:r>
      <w:r w:rsidR="0028300C" w:rsidRPr="00A44B01">
        <w:rPr>
          <w:rFonts w:ascii="Book Antiqua" w:hAnsi="Book Antiqua" w:cs="Times New Roman"/>
          <w:sz w:val="24"/>
          <w:szCs w:val="24"/>
        </w:rPr>
        <w:t>%, et de 0,</w:t>
      </w:r>
      <w:r w:rsidR="00262755">
        <w:rPr>
          <w:rFonts w:ascii="Book Antiqua" w:hAnsi="Book Antiqua" w:cs="Times New Roman"/>
          <w:sz w:val="24"/>
          <w:szCs w:val="24"/>
        </w:rPr>
        <w:t>1</w:t>
      </w:r>
      <w:r w:rsidR="0028300C" w:rsidRPr="00A44B01">
        <w:rPr>
          <w:rFonts w:ascii="Book Antiqua" w:hAnsi="Book Antiqua" w:cs="Times New Roman"/>
          <w:sz w:val="24"/>
          <w:szCs w:val="24"/>
        </w:rPr>
        <w:t xml:space="preserve"> point pour les âgées de 45 ans et plus, de 3,</w:t>
      </w:r>
      <w:r w:rsidR="00262755">
        <w:rPr>
          <w:rFonts w:ascii="Book Antiqua" w:hAnsi="Book Antiqua" w:cs="Times New Roman"/>
          <w:sz w:val="24"/>
          <w:szCs w:val="24"/>
        </w:rPr>
        <w:t>6</w:t>
      </w:r>
      <w:r w:rsidR="0028300C" w:rsidRPr="00A44B01">
        <w:rPr>
          <w:rFonts w:ascii="Book Antiqua" w:hAnsi="Book Antiqua" w:cs="Times New Roman"/>
          <w:sz w:val="24"/>
          <w:szCs w:val="24"/>
        </w:rPr>
        <w:t xml:space="preserve">% à </w:t>
      </w:r>
      <w:r w:rsidR="00262755">
        <w:rPr>
          <w:rFonts w:ascii="Book Antiqua" w:hAnsi="Book Antiqua" w:cs="Times New Roman"/>
          <w:sz w:val="24"/>
          <w:szCs w:val="24"/>
        </w:rPr>
        <w:t>3,7</w:t>
      </w:r>
      <w:r w:rsidR="0028300C" w:rsidRPr="00A44B01">
        <w:rPr>
          <w:rFonts w:ascii="Book Antiqua" w:hAnsi="Book Antiqua" w:cs="Times New Roman"/>
          <w:sz w:val="24"/>
          <w:szCs w:val="24"/>
        </w:rPr>
        <w:t>%</w:t>
      </w:r>
      <w:r w:rsidR="002A783A" w:rsidRPr="00A44B01">
        <w:rPr>
          <w:rFonts w:ascii="Book Antiqua" w:hAnsi="Book Antiqua" w:cs="Times New Roman"/>
          <w:sz w:val="24"/>
          <w:szCs w:val="24"/>
        </w:rPr>
        <w:t>.</w:t>
      </w:r>
    </w:p>
    <w:p w:rsidR="00207292" w:rsidRDefault="00207292" w:rsidP="006255A6">
      <w:pPr>
        <w:spacing w:after="0" w:line="240" w:lineRule="auto"/>
        <w:jc w:val="center"/>
        <w:rPr>
          <w:rFonts w:ascii="Book Antiqua" w:hAnsi="Book Antiqua" w:cs="Times New Roman"/>
          <w:b/>
          <w:bCs/>
          <w:sz w:val="20"/>
          <w:szCs w:val="20"/>
        </w:rPr>
      </w:pPr>
    </w:p>
    <w:p w:rsidR="00207292" w:rsidRDefault="00207292" w:rsidP="006255A6">
      <w:pPr>
        <w:spacing w:after="0" w:line="240" w:lineRule="auto"/>
        <w:jc w:val="center"/>
        <w:rPr>
          <w:rFonts w:ascii="Book Antiqua" w:hAnsi="Book Antiqua" w:cs="Times New Roman"/>
          <w:b/>
          <w:bCs/>
          <w:sz w:val="20"/>
          <w:szCs w:val="20"/>
        </w:rPr>
      </w:pPr>
    </w:p>
    <w:p w:rsidR="00207292" w:rsidRDefault="00207292" w:rsidP="006255A6">
      <w:pPr>
        <w:spacing w:after="0" w:line="240" w:lineRule="auto"/>
        <w:jc w:val="center"/>
        <w:rPr>
          <w:rFonts w:ascii="Book Antiqua" w:hAnsi="Book Antiqua" w:cs="Times New Roman"/>
          <w:b/>
          <w:bCs/>
          <w:sz w:val="20"/>
          <w:szCs w:val="20"/>
        </w:rPr>
      </w:pPr>
    </w:p>
    <w:p w:rsidR="00647547" w:rsidRDefault="006E5294" w:rsidP="000B6D44">
      <w:pPr>
        <w:jc w:val="center"/>
        <w:rPr>
          <w:rFonts w:ascii="Book Antiqua" w:hAnsi="Book Antiqua" w:cs="Times New Roman"/>
          <w:b/>
          <w:bCs/>
          <w:sz w:val="20"/>
          <w:szCs w:val="20"/>
        </w:rPr>
      </w:pPr>
      <w:r>
        <w:rPr>
          <w:rFonts w:ascii="Book Antiqua" w:hAnsi="Book Antiqua" w:cs="Times New Roman"/>
          <w:b/>
          <w:bCs/>
          <w:sz w:val="20"/>
          <w:szCs w:val="20"/>
        </w:rPr>
        <w:br w:type="page"/>
      </w:r>
      <w:r w:rsidR="00647547" w:rsidRPr="002C1B88">
        <w:rPr>
          <w:rFonts w:ascii="Book Antiqua" w:hAnsi="Book Antiqua" w:cs="Times New Roman"/>
          <w:b/>
          <w:bCs/>
          <w:sz w:val="20"/>
          <w:szCs w:val="20"/>
        </w:rPr>
        <w:lastRenderedPageBreak/>
        <w:t xml:space="preserve">Figure </w:t>
      </w:r>
      <w:r w:rsidR="00461C49" w:rsidRPr="002C1B88">
        <w:rPr>
          <w:rFonts w:ascii="Book Antiqua" w:hAnsi="Book Antiqua" w:cs="Times New Roman"/>
          <w:b/>
          <w:bCs/>
          <w:sz w:val="20"/>
          <w:szCs w:val="20"/>
        </w:rPr>
        <w:t>2</w:t>
      </w:r>
      <w:r w:rsidR="008753C0" w:rsidRPr="002C1B88">
        <w:rPr>
          <w:rFonts w:ascii="Book Antiqua" w:hAnsi="Book Antiqua" w:cs="Times New Roman"/>
          <w:b/>
          <w:bCs/>
          <w:sz w:val="20"/>
          <w:szCs w:val="20"/>
        </w:rPr>
        <w:t xml:space="preserve">. </w:t>
      </w:r>
      <w:r w:rsidR="00647547" w:rsidRPr="002C1B88">
        <w:rPr>
          <w:rFonts w:ascii="Book Antiqua" w:hAnsi="Book Antiqua" w:cs="Times New Roman"/>
          <w:b/>
          <w:bCs/>
          <w:sz w:val="20"/>
          <w:szCs w:val="20"/>
        </w:rPr>
        <w:t xml:space="preserve">Evolution du taux de chômage entre </w:t>
      </w:r>
      <w:r w:rsidR="006A1A4A" w:rsidRPr="002C1B88">
        <w:rPr>
          <w:rFonts w:ascii="Book Antiqua" w:hAnsi="Book Antiqua" w:cs="Times New Roman"/>
          <w:b/>
          <w:bCs/>
          <w:sz w:val="20"/>
          <w:szCs w:val="20"/>
        </w:rPr>
        <w:t xml:space="preserve">le </w:t>
      </w:r>
      <w:r w:rsidR="00145C7E" w:rsidRPr="002C1B88">
        <w:rPr>
          <w:rFonts w:ascii="Book Antiqua" w:hAnsi="Book Antiqua" w:cs="Times New Roman"/>
          <w:b/>
          <w:bCs/>
          <w:sz w:val="20"/>
          <w:szCs w:val="20"/>
        </w:rPr>
        <w:t xml:space="preserve">deuxième </w:t>
      </w:r>
      <w:r w:rsidR="006A1A4A" w:rsidRPr="002C1B88">
        <w:rPr>
          <w:rFonts w:ascii="Book Antiqua" w:hAnsi="Book Antiqua" w:cs="Times New Roman"/>
          <w:b/>
          <w:bCs/>
          <w:sz w:val="20"/>
          <w:szCs w:val="20"/>
        </w:rPr>
        <w:t xml:space="preserve"> trimestre de </w:t>
      </w:r>
      <w:r w:rsidR="007A2EA8" w:rsidRPr="002C1B88">
        <w:rPr>
          <w:rFonts w:ascii="Book Antiqua" w:hAnsi="Book Antiqua" w:cs="Times New Roman"/>
          <w:b/>
          <w:bCs/>
          <w:sz w:val="20"/>
          <w:szCs w:val="20"/>
        </w:rPr>
        <w:t>2023</w:t>
      </w:r>
      <w:r w:rsidR="006A1A4A" w:rsidRPr="002C1B88">
        <w:rPr>
          <w:rFonts w:ascii="Book Antiqua" w:hAnsi="Book Antiqua" w:cs="Times New Roman"/>
          <w:b/>
          <w:bCs/>
          <w:sz w:val="20"/>
          <w:szCs w:val="20"/>
        </w:rPr>
        <w:t xml:space="preserve"> et </w:t>
      </w:r>
      <w:r w:rsidR="006255A6" w:rsidRPr="002C1B88">
        <w:rPr>
          <w:rFonts w:ascii="Book Antiqua" w:hAnsi="Book Antiqua" w:cs="Times New Roman"/>
          <w:b/>
          <w:bCs/>
          <w:sz w:val="20"/>
          <w:szCs w:val="20"/>
        </w:rPr>
        <w:t xml:space="preserve">celui </w:t>
      </w:r>
      <w:r w:rsidR="006A1A4A" w:rsidRPr="002C1B88">
        <w:rPr>
          <w:rFonts w:ascii="Book Antiqua" w:hAnsi="Book Antiqua" w:cs="Times New Roman"/>
          <w:b/>
          <w:bCs/>
          <w:sz w:val="20"/>
          <w:szCs w:val="20"/>
        </w:rPr>
        <w:t xml:space="preserve">de </w:t>
      </w:r>
      <w:r w:rsidR="007A2EA8" w:rsidRPr="002C1B88">
        <w:rPr>
          <w:rFonts w:ascii="Book Antiqua" w:hAnsi="Book Antiqua" w:cs="Times New Roman"/>
          <w:b/>
          <w:bCs/>
          <w:sz w:val="20"/>
          <w:szCs w:val="20"/>
        </w:rPr>
        <w:t>2024</w:t>
      </w:r>
      <w:r w:rsidR="00647547" w:rsidRPr="002C1B88">
        <w:rPr>
          <w:rFonts w:ascii="Book Antiqua" w:hAnsi="Book Antiqua" w:cs="Times New Roman"/>
          <w:b/>
          <w:bCs/>
          <w:sz w:val="20"/>
          <w:szCs w:val="20"/>
        </w:rPr>
        <w:t xml:space="preserve"> pour certaines cat</w:t>
      </w:r>
      <w:r w:rsidR="001561CA" w:rsidRPr="002C1B88">
        <w:rPr>
          <w:rFonts w:ascii="Book Antiqua" w:hAnsi="Book Antiqua" w:cs="Times New Roman"/>
          <w:b/>
          <w:bCs/>
          <w:sz w:val="20"/>
          <w:szCs w:val="20"/>
        </w:rPr>
        <w:t>égories de la population (en %)</w:t>
      </w:r>
    </w:p>
    <w:p w:rsidR="008D44C3" w:rsidRPr="0016011E" w:rsidRDefault="008D44C3" w:rsidP="001561CA">
      <w:pPr>
        <w:spacing w:after="0" w:line="240" w:lineRule="auto"/>
        <w:jc w:val="center"/>
        <w:rPr>
          <w:rFonts w:ascii="Book Antiqua" w:hAnsi="Book Antiqua" w:cs="Times New Roman"/>
          <w:b/>
          <w:bCs/>
          <w:sz w:val="20"/>
          <w:szCs w:val="20"/>
        </w:rPr>
      </w:pPr>
    </w:p>
    <w:p w:rsidR="002C1B88" w:rsidRDefault="002C1B88" w:rsidP="0084445F">
      <w:pPr>
        <w:autoSpaceDE w:val="0"/>
        <w:autoSpaceDN w:val="0"/>
        <w:adjustRightInd w:val="0"/>
        <w:spacing w:after="120" w:line="276" w:lineRule="auto"/>
        <w:jc w:val="both"/>
        <w:rPr>
          <w:rFonts w:ascii="Book Antiqua" w:hAnsi="Book Antiqua" w:cs="Times New Roman"/>
          <w:sz w:val="24"/>
          <w:szCs w:val="24"/>
        </w:rPr>
      </w:pPr>
      <w:r w:rsidRPr="002C1B88">
        <w:rPr>
          <w:rFonts w:ascii="Book Antiqua" w:hAnsi="Book Antiqua" w:cs="Times New Roman"/>
          <w:noProof/>
          <w:sz w:val="24"/>
          <w:szCs w:val="24"/>
          <w:lang w:eastAsia="fr-FR"/>
        </w:rPr>
        <w:drawing>
          <wp:inline distT="0" distB="0" distL="0" distR="0">
            <wp:extent cx="5773479" cy="2296633"/>
            <wp:effectExtent l="0" t="0" r="0" b="0"/>
            <wp:docPr id="13"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F65A3" w:rsidRDefault="001631E7" w:rsidP="00256254">
      <w:pPr>
        <w:autoSpaceDE w:val="0"/>
        <w:autoSpaceDN w:val="0"/>
        <w:adjustRightInd w:val="0"/>
        <w:spacing w:after="120" w:line="276" w:lineRule="auto"/>
        <w:jc w:val="both"/>
        <w:rPr>
          <w:rFonts w:ascii="Book Antiqua" w:hAnsi="Book Antiqua" w:cs="Times New Roman"/>
          <w:sz w:val="24"/>
          <w:szCs w:val="24"/>
        </w:rPr>
      </w:pPr>
      <w:r w:rsidRPr="00A44B01">
        <w:rPr>
          <w:rFonts w:ascii="Book Antiqua" w:hAnsi="Book Antiqua" w:cs="Times New Roman"/>
          <w:sz w:val="24"/>
          <w:szCs w:val="24"/>
        </w:rPr>
        <w:t xml:space="preserve">Le taux de chômage des diplômés </w:t>
      </w:r>
      <w:r w:rsidR="00C85203" w:rsidRPr="00A44B01">
        <w:rPr>
          <w:rFonts w:ascii="Book Antiqua" w:hAnsi="Book Antiqua" w:cs="Times New Roman"/>
          <w:sz w:val="24"/>
          <w:szCs w:val="24"/>
        </w:rPr>
        <w:t>a, de</w:t>
      </w:r>
      <w:r w:rsidRPr="00A44B01">
        <w:rPr>
          <w:rFonts w:ascii="Book Antiqua" w:hAnsi="Book Antiqua" w:cs="Times New Roman"/>
          <w:sz w:val="24"/>
          <w:szCs w:val="24"/>
        </w:rPr>
        <w:t xml:space="preserve"> son côté, enregistré une hausse de </w:t>
      </w:r>
      <w:r w:rsidR="00196401" w:rsidRPr="00A44B01">
        <w:rPr>
          <w:rFonts w:ascii="Book Antiqua" w:hAnsi="Book Antiqua" w:cs="Times New Roman"/>
          <w:sz w:val="24"/>
          <w:szCs w:val="24"/>
        </w:rPr>
        <w:t>0,</w:t>
      </w:r>
      <w:r w:rsidR="006425A7">
        <w:rPr>
          <w:rFonts w:ascii="Book Antiqua" w:hAnsi="Book Antiqua" w:cs="Times New Roman"/>
          <w:sz w:val="24"/>
          <w:szCs w:val="24"/>
        </w:rPr>
        <w:t>2</w:t>
      </w:r>
      <w:r w:rsidRPr="00A44B01">
        <w:rPr>
          <w:rFonts w:ascii="Book Antiqua" w:hAnsi="Book Antiqua" w:cs="Times New Roman"/>
          <w:sz w:val="24"/>
          <w:szCs w:val="24"/>
        </w:rPr>
        <w:t xml:space="preserve"> point</w:t>
      </w:r>
      <w:r w:rsidR="00196401" w:rsidRPr="00A44B01">
        <w:rPr>
          <w:rFonts w:ascii="Book Antiqua" w:hAnsi="Book Antiqua" w:cs="Times New Roman"/>
          <w:sz w:val="24"/>
          <w:szCs w:val="24"/>
        </w:rPr>
        <w:t>, passant de 1</w:t>
      </w:r>
      <w:r w:rsidR="00293788" w:rsidRPr="00A44B01">
        <w:rPr>
          <w:rFonts w:ascii="Book Antiqua" w:hAnsi="Book Antiqua" w:cs="Times New Roman"/>
          <w:sz w:val="24"/>
          <w:szCs w:val="24"/>
        </w:rPr>
        <w:t>9</w:t>
      </w:r>
      <w:r w:rsidR="00196401" w:rsidRPr="00A44B01">
        <w:rPr>
          <w:rFonts w:ascii="Book Antiqua" w:hAnsi="Book Antiqua" w:cs="Times New Roman"/>
          <w:sz w:val="24"/>
          <w:szCs w:val="24"/>
        </w:rPr>
        <w:t>,</w:t>
      </w:r>
      <w:r w:rsidR="0084445F">
        <w:rPr>
          <w:rFonts w:ascii="Book Antiqua" w:hAnsi="Book Antiqua" w:cs="Times New Roman"/>
          <w:sz w:val="24"/>
          <w:szCs w:val="24"/>
        </w:rPr>
        <w:t>2</w:t>
      </w:r>
      <w:r w:rsidR="00196401" w:rsidRPr="00A44B01">
        <w:rPr>
          <w:rFonts w:ascii="Book Antiqua" w:hAnsi="Book Antiqua" w:cs="Times New Roman"/>
          <w:sz w:val="24"/>
          <w:szCs w:val="24"/>
        </w:rPr>
        <w:t xml:space="preserve">% à </w:t>
      </w:r>
      <w:r w:rsidR="0084445F">
        <w:rPr>
          <w:rFonts w:ascii="Book Antiqua" w:hAnsi="Book Antiqua" w:cs="Times New Roman"/>
          <w:sz w:val="24"/>
          <w:szCs w:val="24"/>
        </w:rPr>
        <w:t>19,4</w:t>
      </w:r>
      <w:r w:rsidRPr="00A44B01">
        <w:rPr>
          <w:rFonts w:ascii="Book Antiqua" w:hAnsi="Book Antiqua" w:cs="Times New Roman"/>
          <w:sz w:val="24"/>
          <w:szCs w:val="24"/>
        </w:rPr>
        <w:t xml:space="preserve">%. </w:t>
      </w:r>
      <w:r w:rsidRPr="00D33371">
        <w:rPr>
          <w:rFonts w:ascii="Book Antiqua" w:hAnsi="Book Antiqua" w:cs="Times New Roman"/>
          <w:sz w:val="24"/>
          <w:szCs w:val="24"/>
        </w:rPr>
        <w:t xml:space="preserve">Cette hausse </w:t>
      </w:r>
      <w:r w:rsidR="00647547" w:rsidRPr="00D33371">
        <w:rPr>
          <w:rFonts w:ascii="Book Antiqua" w:hAnsi="Book Antiqua" w:cs="Times New Roman"/>
          <w:sz w:val="24"/>
          <w:szCs w:val="24"/>
        </w:rPr>
        <w:t>est plus prononcée parmi les détenteurs de</w:t>
      </w:r>
      <w:r w:rsidR="00D33371" w:rsidRPr="00D33371">
        <w:rPr>
          <w:rFonts w:ascii="Book Antiqua" w:hAnsi="Book Antiqua" w:cs="Times New Roman"/>
          <w:sz w:val="24"/>
          <w:szCs w:val="24"/>
        </w:rPr>
        <w:t xml:space="preserve"> de diplômes de l'enseignement secondaire qualifiant (+3,2 points</w:t>
      </w:r>
      <w:r w:rsidR="00256254">
        <w:rPr>
          <w:rFonts w:ascii="Book Antiqua" w:hAnsi="Book Antiqua" w:cs="Times New Roman"/>
          <w:sz w:val="24"/>
          <w:szCs w:val="24"/>
        </w:rPr>
        <w:t xml:space="preserve">), passsant ainsi à </w:t>
      </w:r>
      <w:r w:rsidR="00D33371" w:rsidRPr="00D33371">
        <w:rPr>
          <w:rFonts w:ascii="Book Antiqua" w:hAnsi="Book Antiqua" w:cs="Times New Roman"/>
          <w:sz w:val="24"/>
          <w:szCs w:val="24"/>
        </w:rPr>
        <w:t xml:space="preserve">un taux de </w:t>
      </w:r>
      <w:r w:rsidR="00D33371" w:rsidRPr="00733F0E">
        <w:rPr>
          <w:rFonts w:ascii="Book Antiqua" w:hAnsi="Book Antiqua" w:cs="Times New Roman"/>
          <w:sz w:val="24"/>
          <w:szCs w:val="24"/>
        </w:rPr>
        <w:t>26,1</w:t>
      </w:r>
      <w:r w:rsidR="00733F0E" w:rsidRPr="00733F0E">
        <w:rPr>
          <w:rFonts w:ascii="Book Antiqua" w:hAnsi="Book Antiqua" w:cs="Times New Roman"/>
          <w:sz w:val="24"/>
          <w:szCs w:val="24"/>
        </w:rPr>
        <w:t>%).</w:t>
      </w:r>
    </w:p>
    <w:p w:rsidR="008D1973" w:rsidRPr="007015E0" w:rsidRDefault="0084445F" w:rsidP="000B688E">
      <w:pPr>
        <w:rPr>
          <w:rFonts w:ascii="Book Antiqua" w:eastAsiaTheme="majorEastAsia" w:hAnsi="Book Antiqua" w:cstheme="majorHAnsi"/>
          <w:b/>
          <w:bCs/>
          <w:i/>
          <w:iCs/>
          <w:color w:val="2E74B5" w:themeColor="accent5" w:themeShade="BF"/>
          <w:spacing w:val="-10"/>
          <w:kern w:val="28"/>
          <w:sz w:val="24"/>
          <w:szCs w:val="24"/>
        </w:rPr>
      </w:pPr>
      <w:r>
        <w:rPr>
          <w:rFonts w:ascii="Book Antiqua" w:eastAsiaTheme="majorEastAsia" w:hAnsi="Book Antiqua" w:cstheme="majorHAnsi"/>
          <w:b/>
          <w:bCs/>
          <w:i/>
          <w:iCs/>
          <w:color w:val="2E74B5" w:themeColor="accent5" w:themeShade="BF"/>
          <w:spacing w:val="-10"/>
          <w:kern w:val="28"/>
          <w:sz w:val="24"/>
          <w:szCs w:val="24"/>
          <w:lang w:bidi="tzm-Arab-MA"/>
        </w:rPr>
        <w:t>Hausse</w:t>
      </w:r>
      <w:r w:rsidR="00321C79">
        <w:rPr>
          <w:rFonts w:ascii="Book Antiqua" w:eastAsiaTheme="majorEastAsia" w:hAnsi="Book Antiqua" w:cstheme="majorHAnsi"/>
          <w:b/>
          <w:bCs/>
          <w:i/>
          <w:iCs/>
          <w:color w:val="2E74B5" w:themeColor="accent5" w:themeShade="BF"/>
          <w:spacing w:val="-10"/>
          <w:kern w:val="28"/>
          <w:sz w:val="24"/>
          <w:szCs w:val="24"/>
        </w:rPr>
        <w:t xml:space="preserve"> </w:t>
      </w:r>
      <w:r w:rsidR="00E17A21" w:rsidRPr="007015E0">
        <w:rPr>
          <w:rFonts w:ascii="Book Antiqua" w:eastAsiaTheme="majorEastAsia" w:hAnsi="Book Antiqua" w:cstheme="majorHAnsi"/>
          <w:b/>
          <w:bCs/>
          <w:i/>
          <w:iCs/>
          <w:color w:val="2E74B5" w:themeColor="accent5" w:themeShade="BF"/>
          <w:spacing w:val="-10"/>
          <w:kern w:val="28"/>
          <w:sz w:val="24"/>
          <w:szCs w:val="24"/>
        </w:rPr>
        <w:t>du</w:t>
      </w:r>
      <w:r w:rsidR="008D1973" w:rsidRPr="007015E0">
        <w:rPr>
          <w:rFonts w:ascii="Book Antiqua" w:eastAsiaTheme="majorEastAsia" w:hAnsi="Book Antiqua" w:cstheme="majorHAnsi"/>
          <w:b/>
          <w:bCs/>
          <w:i/>
          <w:iCs/>
          <w:color w:val="2E74B5" w:themeColor="accent5" w:themeShade="BF"/>
          <w:spacing w:val="-10"/>
          <w:kern w:val="28"/>
          <w:sz w:val="24"/>
          <w:szCs w:val="24"/>
        </w:rPr>
        <w:t xml:space="preserve"> sous-emploi </w:t>
      </w:r>
    </w:p>
    <w:p w:rsidR="001D5675" w:rsidRPr="00EB5A99" w:rsidRDefault="008D1973" w:rsidP="0084445F">
      <w:pPr>
        <w:autoSpaceDE w:val="0"/>
        <w:autoSpaceDN w:val="0"/>
        <w:adjustRightInd w:val="0"/>
        <w:spacing w:line="276" w:lineRule="auto"/>
        <w:jc w:val="both"/>
        <w:rPr>
          <w:rFonts w:ascii="Book Antiqua" w:hAnsi="Book Antiqua" w:cs="Times New Roman"/>
          <w:sz w:val="24"/>
          <w:szCs w:val="24"/>
        </w:rPr>
      </w:pPr>
      <w:r w:rsidRPr="00EB5A99">
        <w:rPr>
          <w:rFonts w:ascii="Book Antiqua" w:hAnsi="Book Antiqua" w:cs="Times New Roman"/>
          <w:sz w:val="24"/>
          <w:szCs w:val="24"/>
        </w:rPr>
        <w:t>Le volume des actifs occu</w:t>
      </w:r>
      <w:r w:rsidR="003C7AEF">
        <w:rPr>
          <w:rFonts w:ascii="Book Antiqua" w:hAnsi="Book Antiqua" w:cs="Times New Roman"/>
          <w:sz w:val="24"/>
          <w:szCs w:val="24"/>
        </w:rPr>
        <w:t>pés en situation de sous-emploi est passé</w:t>
      </w:r>
      <w:r w:rsidRPr="00EB5A99">
        <w:rPr>
          <w:rFonts w:ascii="Book Antiqua" w:hAnsi="Book Antiqua" w:cs="Times New Roman"/>
          <w:sz w:val="24"/>
          <w:szCs w:val="24"/>
        </w:rPr>
        <w:t xml:space="preserve">, entre le </w:t>
      </w:r>
      <w:r w:rsidR="00145C7E">
        <w:rPr>
          <w:rFonts w:ascii="Book Antiqua" w:hAnsi="Book Antiqua" w:cs="Times New Roman"/>
          <w:sz w:val="24"/>
          <w:szCs w:val="24"/>
        </w:rPr>
        <w:t xml:space="preserve">deuxième </w:t>
      </w:r>
      <w:r w:rsidR="001D5675" w:rsidRPr="00EB5A99">
        <w:rPr>
          <w:rFonts w:ascii="Book Antiqua" w:hAnsi="Book Antiqua" w:cs="Times New Roman"/>
          <w:sz w:val="24"/>
          <w:szCs w:val="24"/>
        </w:rPr>
        <w:t xml:space="preserve"> trimestre </w:t>
      </w:r>
      <w:r w:rsidRPr="00EB5A99">
        <w:rPr>
          <w:rFonts w:ascii="Book Antiqua" w:hAnsi="Book Antiqua" w:cs="Times New Roman"/>
          <w:sz w:val="24"/>
          <w:szCs w:val="24"/>
        </w:rPr>
        <w:t xml:space="preserve">de </w:t>
      </w:r>
      <w:r w:rsidR="007A2EA8">
        <w:rPr>
          <w:rFonts w:ascii="Book Antiqua" w:hAnsi="Book Antiqua" w:cs="Times New Roman"/>
          <w:sz w:val="24"/>
          <w:szCs w:val="24"/>
        </w:rPr>
        <w:t>2023</w:t>
      </w:r>
      <w:r w:rsidRPr="00EB5A99">
        <w:rPr>
          <w:rFonts w:ascii="Book Antiqua" w:hAnsi="Book Antiqua" w:cs="Times New Roman"/>
          <w:sz w:val="24"/>
          <w:szCs w:val="24"/>
        </w:rPr>
        <w:t xml:space="preserve"> et </w:t>
      </w:r>
      <w:r w:rsidR="00D906F9">
        <w:rPr>
          <w:rFonts w:ascii="Book Antiqua" w:hAnsi="Book Antiqua" w:cs="Times New Roman"/>
          <w:sz w:val="24"/>
          <w:szCs w:val="24"/>
        </w:rPr>
        <w:t>celui</w:t>
      </w:r>
      <w:r w:rsidRPr="00EB5A99">
        <w:rPr>
          <w:rFonts w:ascii="Book Antiqua" w:hAnsi="Book Antiqua" w:cs="Times New Roman"/>
          <w:sz w:val="24"/>
          <w:szCs w:val="24"/>
        </w:rPr>
        <w:t xml:space="preserve"> de </w:t>
      </w:r>
      <w:r w:rsidR="007A2EA8">
        <w:rPr>
          <w:rFonts w:ascii="Book Antiqua" w:hAnsi="Book Antiqua" w:cs="Times New Roman"/>
          <w:sz w:val="24"/>
          <w:szCs w:val="24"/>
        </w:rPr>
        <w:t>2024</w:t>
      </w:r>
      <w:r w:rsidRPr="00EB5A99">
        <w:rPr>
          <w:rFonts w:ascii="Book Antiqua" w:hAnsi="Book Antiqua" w:cs="Times New Roman"/>
          <w:sz w:val="24"/>
          <w:szCs w:val="24"/>
        </w:rPr>
        <w:t>,</w:t>
      </w:r>
      <w:r w:rsidR="00196401" w:rsidRPr="00EB5A99">
        <w:rPr>
          <w:rFonts w:ascii="Book Antiqua" w:hAnsi="Book Antiqua" w:cs="Times New Roman"/>
          <w:sz w:val="24"/>
          <w:szCs w:val="24"/>
        </w:rPr>
        <w:t xml:space="preserve"> de </w:t>
      </w:r>
      <w:r w:rsidR="0084445F">
        <w:rPr>
          <w:rFonts w:ascii="Book Antiqua" w:hAnsi="Book Antiqua" w:cs="Times New Roman"/>
          <w:sz w:val="24"/>
          <w:szCs w:val="24"/>
        </w:rPr>
        <w:t>983</w:t>
      </w:r>
      <w:r w:rsidR="00293788" w:rsidRPr="00EB5A99">
        <w:rPr>
          <w:rFonts w:ascii="Book Antiqua" w:hAnsi="Book Antiqua" w:cs="Times New Roman"/>
          <w:sz w:val="24"/>
          <w:szCs w:val="24"/>
        </w:rPr>
        <w:t xml:space="preserve">.000 </w:t>
      </w:r>
      <w:r w:rsidR="00196401" w:rsidRPr="00EB5A99">
        <w:rPr>
          <w:rFonts w:ascii="Book Antiqua" w:hAnsi="Book Antiqua" w:cs="Times New Roman"/>
          <w:sz w:val="24"/>
          <w:szCs w:val="24"/>
        </w:rPr>
        <w:t>à 1.0</w:t>
      </w:r>
      <w:r w:rsidR="0084445F">
        <w:rPr>
          <w:rFonts w:ascii="Book Antiqua" w:hAnsi="Book Antiqua" w:cs="Times New Roman"/>
          <w:sz w:val="24"/>
          <w:szCs w:val="24"/>
        </w:rPr>
        <w:t>42</w:t>
      </w:r>
      <w:r w:rsidRPr="00EB5A99">
        <w:rPr>
          <w:rFonts w:ascii="Book Antiqua" w:hAnsi="Book Antiqua" w:cs="Times New Roman"/>
          <w:sz w:val="24"/>
          <w:szCs w:val="24"/>
        </w:rPr>
        <w:t xml:space="preserve">.000 personnes au niveau national, de </w:t>
      </w:r>
      <w:r w:rsidR="00196401" w:rsidRPr="00EB5A99">
        <w:rPr>
          <w:rFonts w:ascii="Book Antiqua" w:hAnsi="Book Antiqua" w:cs="Times New Roman"/>
          <w:sz w:val="24"/>
          <w:szCs w:val="24"/>
        </w:rPr>
        <w:t>5</w:t>
      </w:r>
      <w:r w:rsidR="0084445F">
        <w:rPr>
          <w:rFonts w:ascii="Book Antiqua" w:hAnsi="Book Antiqua" w:cs="Times New Roman"/>
          <w:sz w:val="24"/>
          <w:szCs w:val="24"/>
        </w:rPr>
        <w:t>49</w:t>
      </w:r>
      <w:r w:rsidRPr="00EB5A99">
        <w:rPr>
          <w:rFonts w:ascii="Book Antiqua" w:hAnsi="Book Antiqua" w:cs="Times New Roman"/>
          <w:sz w:val="24"/>
          <w:szCs w:val="24"/>
        </w:rPr>
        <w:t xml:space="preserve">.000 à </w:t>
      </w:r>
      <w:r w:rsidR="00196401" w:rsidRPr="00EB5A99">
        <w:rPr>
          <w:rFonts w:ascii="Book Antiqua" w:hAnsi="Book Antiqua" w:cs="Times New Roman"/>
          <w:sz w:val="24"/>
          <w:szCs w:val="24"/>
        </w:rPr>
        <w:t>5</w:t>
      </w:r>
      <w:r w:rsidR="0084445F">
        <w:rPr>
          <w:rFonts w:ascii="Book Antiqua" w:hAnsi="Book Antiqua" w:cs="Times New Roman"/>
          <w:sz w:val="24"/>
          <w:szCs w:val="24"/>
        </w:rPr>
        <w:t>52</w:t>
      </w:r>
      <w:r w:rsidRPr="00EB5A99">
        <w:rPr>
          <w:rFonts w:ascii="Book Antiqua" w:hAnsi="Book Antiqua" w:cs="Times New Roman"/>
          <w:sz w:val="24"/>
          <w:szCs w:val="24"/>
        </w:rPr>
        <w:t xml:space="preserve">.000 personnes </w:t>
      </w:r>
      <w:r w:rsidR="0008430D">
        <w:rPr>
          <w:rFonts w:ascii="Book Antiqua" w:hAnsi="Book Antiqua" w:cs="Times New Roman"/>
          <w:sz w:val="24"/>
          <w:szCs w:val="24"/>
        </w:rPr>
        <w:t>en milieu urbain</w:t>
      </w:r>
      <w:r w:rsidRPr="00EB5A99">
        <w:rPr>
          <w:rFonts w:ascii="Book Antiqua" w:hAnsi="Book Antiqua" w:cs="Times New Roman"/>
          <w:sz w:val="24"/>
          <w:szCs w:val="24"/>
        </w:rPr>
        <w:t xml:space="preserve"> et de </w:t>
      </w:r>
      <w:r w:rsidR="0084445F">
        <w:rPr>
          <w:rFonts w:ascii="Book Antiqua" w:hAnsi="Book Antiqua" w:cs="Times New Roman"/>
          <w:sz w:val="24"/>
          <w:szCs w:val="24"/>
        </w:rPr>
        <w:t>434</w:t>
      </w:r>
      <w:r w:rsidRPr="00EB5A99">
        <w:rPr>
          <w:rFonts w:ascii="Book Antiqua" w:hAnsi="Book Antiqua" w:cs="Times New Roman"/>
          <w:sz w:val="24"/>
          <w:szCs w:val="24"/>
        </w:rPr>
        <w:t xml:space="preserve">.000 à </w:t>
      </w:r>
      <w:r w:rsidR="0008430D">
        <w:rPr>
          <w:rFonts w:ascii="Book Antiqua" w:hAnsi="Book Antiqua" w:cs="Times New Roman"/>
          <w:sz w:val="24"/>
          <w:szCs w:val="24"/>
        </w:rPr>
        <w:t>49</w:t>
      </w:r>
      <w:r w:rsidR="0084445F">
        <w:rPr>
          <w:rFonts w:ascii="Book Antiqua" w:hAnsi="Book Antiqua" w:cs="Times New Roman"/>
          <w:sz w:val="24"/>
          <w:szCs w:val="24"/>
        </w:rPr>
        <w:t>0</w:t>
      </w:r>
      <w:r w:rsidRPr="00EB5A99">
        <w:rPr>
          <w:rFonts w:ascii="Book Antiqua" w:hAnsi="Book Antiqua" w:cs="Times New Roman"/>
          <w:sz w:val="24"/>
          <w:szCs w:val="24"/>
        </w:rPr>
        <w:t xml:space="preserve">.000 </w:t>
      </w:r>
      <w:r w:rsidR="0008430D">
        <w:rPr>
          <w:rFonts w:ascii="Book Antiqua" w:hAnsi="Book Antiqua" w:cs="Times New Roman"/>
          <w:sz w:val="24"/>
          <w:szCs w:val="24"/>
        </w:rPr>
        <w:t>en milieu rural</w:t>
      </w:r>
      <w:r w:rsidRPr="00EB5A99">
        <w:rPr>
          <w:rFonts w:ascii="Book Antiqua" w:hAnsi="Book Antiqua" w:cs="Times New Roman"/>
          <w:sz w:val="24"/>
          <w:szCs w:val="24"/>
        </w:rPr>
        <w:t xml:space="preserve">. </w:t>
      </w:r>
    </w:p>
    <w:p w:rsidR="008D1973" w:rsidRPr="00EB5A99" w:rsidRDefault="00256254" w:rsidP="00256254">
      <w:pPr>
        <w:autoSpaceDE w:val="0"/>
        <w:autoSpaceDN w:val="0"/>
        <w:adjustRightInd w:val="0"/>
        <w:spacing w:line="276" w:lineRule="auto"/>
        <w:jc w:val="both"/>
        <w:rPr>
          <w:rFonts w:ascii="Book Antiqua" w:hAnsi="Book Antiqua" w:cs="Times New Roman"/>
          <w:sz w:val="24"/>
          <w:szCs w:val="24"/>
        </w:rPr>
      </w:pPr>
      <w:r>
        <w:rPr>
          <w:rFonts w:ascii="Book Antiqua" w:hAnsi="Book Antiqua" w:cs="Times New Roman"/>
          <w:sz w:val="24"/>
          <w:szCs w:val="24"/>
        </w:rPr>
        <w:t>Ainsi, l</w:t>
      </w:r>
      <w:r w:rsidR="008D1973" w:rsidRPr="00EB5A99">
        <w:rPr>
          <w:rFonts w:ascii="Book Antiqua" w:hAnsi="Book Antiqua" w:cs="Times New Roman"/>
          <w:sz w:val="24"/>
          <w:szCs w:val="24"/>
        </w:rPr>
        <w:t xml:space="preserve">e taux de sous-emploi </w:t>
      </w:r>
      <w:r w:rsidR="00524474">
        <w:rPr>
          <w:rFonts w:ascii="Book Antiqua" w:hAnsi="Book Antiqua" w:cs="Times New Roman"/>
          <w:sz w:val="24"/>
          <w:szCs w:val="24"/>
        </w:rPr>
        <w:t>est passé de 9% à 9,6</w:t>
      </w:r>
      <w:r w:rsidR="008D1973" w:rsidRPr="00EB5A99">
        <w:rPr>
          <w:rFonts w:ascii="Book Antiqua" w:hAnsi="Book Antiqua" w:cs="Times New Roman"/>
          <w:sz w:val="24"/>
          <w:szCs w:val="24"/>
        </w:rPr>
        <w:t>% au niveau national</w:t>
      </w:r>
      <w:r w:rsidR="00524474">
        <w:rPr>
          <w:rFonts w:ascii="Book Antiqua" w:hAnsi="Book Antiqua" w:cs="Times New Roman"/>
          <w:sz w:val="24"/>
          <w:szCs w:val="24"/>
        </w:rPr>
        <w:t xml:space="preserve">, </w:t>
      </w:r>
      <w:r w:rsidR="009B7967" w:rsidRPr="00EB5A99">
        <w:rPr>
          <w:rFonts w:ascii="Book Antiqua" w:hAnsi="Book Antiqua" w:cs="Times New Roman"/>
          <w:sz w:val="24"/>
          <w:szCs w:val="24"/>
        </w:rPr>
        <w:t xml:space="preserve">de </w:t>
      </w:r>
      <w:r w:rsidR="009B7967">
        <w:rPr>
          <w:rFonts w:ascii="Book Antiqua" w:hAnsi="Book Antiqua" w:cs="Times New Roman"/>
          <w:sz w:val="24"/>
          <w:szCs w:val="24"/>
        </w:rPr>
        <w:t>8,4</w:t>
      </w:r>
      <w:r w:rsidR="009B7967" w:rsidRPr="00EB5A99">
        <w:rPr>
          <w:rFonts w:ascii="Book Antiqua" w:hAnsi="Book Antiqua" w:cs="Times New Roman"/>
          <w:sz w:val="24"/>
          <w:szCs w:val="24"/>
        </w:rPr>
        <w:t xml:space="preserve">% à </w:t>
      </w:r>
      <w:r w:rsidR="009B7967">
        <w:rPr>
          <w:rFonts w:ascii="Book Antiqua" w:hAnsi="Book Antiqua" w:cs="Times New Roman"/>
          <w:sz w:val="24"/>
          <w:szCs w:val="24"/>
        </w:rPr>
        <w:t>8,3</w:t>
      </w:r>
      <w:r w:rsidR="009B7967" w:rsidRPr="00EB5A99">
        <w:rPr>
          <w:rFonts w:ascii="Book Antiqua" w:hAnsi="Book Antiqua" w:cs="Times New Roman"/>
          <w:sz w:val="24"/>
          <w:szCs w:val="24"/>
        </w:rPr>
        <w:t>% en milieu urbain</w:t>
      </w:r>
      <w:r w:rsidR="009B7967">
        <w:rPr>
          <w:rFonts w:ascii="Book Antiqua" w:hAnsi="Book Antiqua" w:cs="Times New Roman"/>
          <w:sz w:val="24"/>
          <w:szCs w:val="24"/>
        </w:rPr>
        <w:t xml:space="preserve"> et </w:t>
      </w:r>
      <w:r w:rsidR="0008430D">
        <w:rPr>
          <w:rFonts w:ascii="Book Antiqua" w:hAnsi="Book Antiqua" w:cs="Times New Roman"/>
          <w:sz w:val="24"/>
          <w:szCs w:val="24"/>
        </w:rPr>
        <w:t xml:space="preserve">de </w:t>
      </w:r>
      <w:r w:rsidR="00524474">
        <w:rPr>
          <w:rFonts w:ascii="Book Antiqua" w:hAnsi="Book Antiqua" w:cs="Times New Roman"/>
          <w:sz w:val="24"/>
          <w:szCs w:val="24"/>
        </w:rPr>
        <w:t>9</w:t>
      </w:r>
      <w:r w:rsidR="0008430D" w:rsidRPr="00EB5A99">
        <w:rPr>
          <w:rFonts w:ascii="Book Antiqua" w:hAnsi="Book Antiqua" w:cs="Times New Roman"/>
          <w:sz w:val="24"/>
          <w:szCs w:val="24"/>
        </w:rPr>
        <w:t>,</w:t>
      </w:r>
      <w:r w:rsidR="00524474">
        <w:rPr>
          <w:rFonts w:ascii="Book Antiqua" w:hAnsi="Book Antiqua" w:cs="Times New Roman"/>
          <w:sz w:val="24"/>
          <w:szCs w:val="24"/>
        </w:rPr>
        <w:t>9</w:t>
      </w:r>
      <w:r w:rsidR="0008430D" w:rsidRPr="00EB5A99">
        <w:rPr>
          <w:rFonts w:ascii="Book Antiqua" w:hAnsi="Book Antiqua" w:cs="Times New Roman"/>
          <w:sz w:val="24"/>
          <w:szCs w:val="24"/>
        </w:rPr>
        <w:t xml:space="preserve">% </w:t>
      </w:r>
      <w:r w:rsidR="0008430D">
        <w:rPr>
          <w:rFonts w:ascii="Book Antiqua" w:hAnsi="Book Antiqua" w:cs="Times New Roman"/>
          <w:sz w:val="24"/>
          <w:szCs w:val="24"/>
        </w:rPr>
        <w:t>à 1</w:t>
      </w:r>
      <w:r w:rsidR="00524474">
        <w:rPr>
          <w:rFonts w:ascii="Book Antiqua" w:hAnsi="Book Antiqua" w:cs="Times New Roman"/>
          <w:sz w:val="24"/>
          <w:szCs w:val="24"/>
        </w:rPr>
        <w:t>1,6</w:t>
      </w:r>
      <w:r w:rsidR="0008430D">
        <w:rPr>
          <w:rFonts w:ascii="Book Antiqua" w:hAnsi="Book Antiqua" w:cs="Times New Roman"/>
          <w:sz w:val="24"/>
          <w:szCs w:val="24"/>
        </w:rPr>
        <w:t xml:space="preserve">% </w:t>
      </w:r>
      <w:r w:rsidR="0008430D" w:rsidRPr="00EB5A99">
        <w:rPr>
          <w:rFonts w:ascii="Book Antiqua" w:hAnsi="Book Antiqua" w:cs="Times New Roman"/>
          <w:sz w:val="24"/>
          <w:szCs w:val="24"/>
        </w:rPr>
        <w:t>en milieu rural</w:t>
      </w:r>
      <w:r w:rsidR="00321C79">
        <w:rPr>
          <w:rFonts w:ascii="Book Antiqua" w:hAnsi="Book Antiqua" w:cs="Times New Roman"/>
          <w:sz w:val="24"/>
          <w:szCs w:val="24"/>
        </w:rPr>
        <w:t>.</w:t>
      </w:r>
    </w:p>
    <w:p w:rsidR="008D1973" w:rsidRPr="00EB5A99" w:rsidRDefault="008D1973" w:rsidP="00321C79">
      <w:pPr>
        <w:autoSpaceDE w:val="0"/>
        <w:autoSpaceDN w:val="0"/>
        <w:adjustRightInd w:val="0"/>
        <w:spacing w:before="240" w:line="276" w:lineRule="auto"/>
        <w:jc w:val="both"/>
        <w:rPr>
          <w:rFonts w:ascii="Book Antiqua" w:hAnsi="Book Antiqua" w:cs="Times New Roman"/>
          <w:sz w:val="24"/>
          <w:szCs w:val="24"/>
        </w:rPr>
      </w:pPr>
      <w:r w:rsidRPr="00EB5A99">
        <w:rPr>
          <w:rFonts w:ascii="Book Antiqua" w:hAnsi="Book Antiqua" w:cs="Times New Roman"/>
          <w:sz w:val="24"/>
          <w:szCs w:val="24"/>
        </w:rPr>
        <w:t>S’agissant</w:t>
      </w:r>
      <w:r w:rsidR="00E17A21" w:rsidRPr="00EB5A99">
        <w:rPr>
          <w:rFonts w:ascii="Book Antiqua" w:hAnsi="Book Antiqua" w:cs="Times New Roman"/>
          <w:sz w:val="24"/>
          <w:szCs w:val="24"/>
        </w:rPr>
        <w:t xml:space="preserve"> d</w:t>
      </w:r>
      <w:r w:rsidR="006D6F75" w:rsidRPr="00EB5A99">
        <w:rPr>
          <w:rFonts w:ascii="Book Antiqua" w:hAnsi="Book Antiqua" w:cs="Times New Roman"/>
          <w:sz w:val="24"/>
          <w:szCs w:val="24"/>
        </w:rPr>
        <w:t>u volume d</w:t>
      </w:r>
      <w:r w:rsidR="00E17A21" w:rsidRPr="00EB5A99">
        <w:rPr>
          <w:rFonts w:ascii="Book Antiqua" w:hAnsi="Book Antiqua" w:cs="Times New Roman"/>
          <w:sz w:val="24"/>
          <w:szCs w:val="24"/>
        </w:rPr>
        <w:t>e</w:t>
      </w:r>
      <w:r w:rsidRPr="00EB5A99">
        <w:rPr>
          <w:rFonts w:ascii="Book Antiqua" w:hAnsi="Book Antiqua" w:cs="Times New Roman"/>
          <w:sz w:val="24"/>
          <w:szCs w:val="24"/>
        </w:rPr>
        <w:t xml:space="preserve"> la population active occupée </w:t>
      </w:r>
      <w:r w:rsidR="00015F97">
        <w:rPr>
          <w:rFonts w:ascii="Book Antiqua" w:hAnsi="Book Antiqua" w:cs="Times New Roman"/>
          <w:sz w:val="24"/>
          <w:szCs w:val="24"/>
        </w:rPr>
        <w:t xml:space="preserve">en situation de sous-emploi en termes de </w:t>
      </w:r>
      <w:r w:rsidRPr="00EB5A99">
        <w:rPr>
          <w:rFonts w:ascii="Book Antiqua" w:hAnsi="Book Antiqua" w:cs="Times New Roman"/>
          <w:sz w:val="24"/>
          <w:szCs w:val="24"/>
        </w:rPr>
        <w:t>nombre d’heures travaillées</w:t>
      </w:r>
      <w:r w:rsidR="001D5675" w:rsidRPr="00EB5A99">
        <w:rPr>
          <w:rFonts w:ascii="Book Antiqua" w:hAnsi="Book Antiqua" w:cs="Times New Roman"/>
          <w:sz w:val="24"/>
          <w:szCs w:val="24"/>
        </w:rPr>
        <w:t xml:space="preserve">, </w:t>
      </w:r>
      <w:r w:rsidR="006D6F75" w:rsidRPr="00EB5A99">
        <w:rPr>
          <w:rFonts w:ascii="Book Antiqua" w:hAnsi="Book Antiqua" w:cs="Times New Roman"/>
          <w:sz w:val="24"/>
          <w:szCs w:val="24"/>
        </w:rPr>
        <w:t xml:space="preserve">il </w:t>
      </w:r>
      <w:r w:rsidR="006A1A4A" w:rsidRPr="00EB5A99">
        <w:rPr>
          <w:rFonts w:ascii="Book Antiqua" w:hAnsi="Book Antiqua" w:cs="Times New Roman"/>
          <w:sz w:val="24"/>
          <w:szCs w:val="24"/>
        </w:rPr>
        <w:t>est passé d</w:t>
      </w:r>
      <w:r w:rsidRPr="00EB5A99">
        <w:rPr>
          <w:rFonts w:ascii="Book Antiqua" w:hAnsi="Book Antiqua" w:cs="Times New Roman"/>
          <w:sz w:val="24"/>
          <w:szCs w:val="24"/>
        </w:rPr>
        <w:t xml:space="preserve">e </w:t>
      </w:r>
      <w:r w:rsidR="00524474">
        <w:rPr>
          <w:rFonts w:ascii="Book Antiqua" w:hAnsi="Book Antiqua" w:cs="Times New Roman"/>
          <w:sz w:val="24"/>
          <w:szCs w:val="24"/>
        </w:rPr>
        <w:t>465</w:t>
      </w:r>
      <w:r w:rsidR="006A1A4A" w:rsidRPr="00EB5A99">
        <w:rPr>
          <w:rFonts w:ascii="Book Antiqua" w:hAnsi="Book Antiqua" w:cs="Times New Roman"/>
          <w:sz w:val="24"/>
          <w:szCs w:val="24"/>
        </w:rPr>
        <w:t>.000 à 5</w:t>
      </w:r>
      <w:r w:rsidR="00524474">
        <w:rPr>
          <w:rFonts w:ascii="Book Antiqua" w:hAnsi="Book Antiqua" w:cs="Times New Roman"/>
          <w:sz w:val="24"/>
          <w:szCs w:val="24"/>
        </w:rPr>
        <w:t>83</w:t>
      </w:r>
      <w:r w:rsidRPr="00EB5A99">
        <w:rPr>
          <w:rFonts w:ascii="Book Antiqua" w:hAnsi="Book Antiqua" w:cs="Times New Roman"/>
          <w:sz w:val="24"/>
          <w:szCs w:val="24"/>
        </w:rPr>
        <w:t xml:space="preserve">.000 personnes au niveau </w:t>
      </w:r>
      <w:r w:rsidR="001817C2" w:rsidRPr="00EB5A99">
        <w:rPr>
          <w:rFonts w:ascii="Book Antiqua" w:hAnsi="Book Antiqua" w:cs="Times New Roman"/>
          <w:sz w:val="24"/>
          <w:szCs w:val="24"/>
        </w:rPr>
        <w:t xml:space="preserve">national. </w:t>
      </w:r>
      <w:r w:rsidRPr="00EB5A99">
        <w:rPr>
          <w:rFonts w:ascii="Book Antiqua" w:hAnsi="Book Antiqua" w:cs="Times New Roman"/>
          <w:sz w:val="24"/>
          <w:szCs w:val="24"/>
        </w:rPr>
        <w:t xml:space="preserve">Le taux correspondant </w:t>
      </w:r>
      <w:r w:rsidR="00015F97">
        <w:rPr>
          <w:rFonts w:ascii="Book Antiqua" w:hAnsi="Book Antiqua" w:cs="Times New Roman"/>
          <w:sz w:val="24"/>
          <w:szCs w:val="24"/>
        </w:rPr>
        <w:t>s’</w:t>
      </w:r>
      <w:r w:rsidR="00FB4D04">
        <w:rPr>
          <w:rFonts w:ascii="Book Antiqua" w:hAnsi="Book Antiqua" w:cs="Times New Roman"/>
          <w:sz w:val="24"/>
          <w:szCs w:val="24"/>
        </w:rPr>
        <w:t xml:space="preserve">est </w:t>
      </w:r>
      <w:r w:rsidR="00015F97">
        <w:rPr>
          <w:rFonts w:ascii="Book Antiqua" w:hAnsi="Book Antiqua" w:cs="Times New Roman"/>
          <w:sz w:val="24"/>
          <w:szCs w:val="24"/>
        </w:rPr>
        <w:t>accru</w:t>
      </w:r>
      <w:r w:rsidRPr="00EB5A99">
        <w:rPr>
          <w:rFonts w:ascii="Book Antiqua" w:hAnsi="Book Antiqua" w:cs="Times New Roman"/>
          <w:sz w:val="24"/>
          <w:szCs w:val="24"/>
        </w:rPr>
        <w:t xml:space="preserve"> de </w:t>
      </w:r>
      <w:r w:rsidR="00196401" w:rsidRPr="00EB5A99">
        <w:rPr>
          <w:rFonts w:ascii="Book Antiqua" w:hAnsi="Book Antiqua" w:cs="Times New Roman"/>
          <w:sz w:val="24"/>
          <w:szCs w:val="24"/>
        </w:rPr>
        <w:t>4,</w:t>
      </w:r>
      <w:r w:rsidR="00524474">
        <w:rPr>
          <w:rFonts w:ascii="Book Antiqua" w:hAnsi="Book Antiqua" w:cs="Times New Roman"/>
          <w:sz w:val="24"/>
          <w:szCs w:val="24"/>
        </w:rPr>
        <w:t>2</w:t>
      </w:r>
      <w:r w:rsidR="00196401" w:rsidRPr="00EB5A99">
        <w:rPr>
          <w:rFonts w:ascii="Book Antiqua" w:hAnsi="Book Antiqua" w:cs="Times New Roman"/>
          <w:sz w:val="24"/>
          <w:szCs w:val="24"/>
        </w:rPr>
        <w:t xml:space="preserve">% à </w:t>
      </w:r>
      <w:r w:rsidR="00321C79">
        <w:rPr>
          <w:rFonts w:ascii="Book Antiqua" w:hAnsi="Book Antiqua" w:cs="Times New Roman"/>
          <w:sz w:val="24"/>
          <w:szCs w:val="24"/>
        </w:rPr>
        <w:t>5</w:t>
      </w:r>
      <w:r w:rsidR="00196401" w:rsidRPr="00EB5A99">
        <w:rPr>
          <w:rFonts w:ascii="Book Antiqua" w:hAnsi="Book Antiqua" w:cs="Times New Roman"/>
          <w:sz w:val="24"/>
          <w:szCs w:val="24"/>
        </w:rPr>
        <w:t>,</w:t>
      </w:r>
      <w:r w:rsidR="00524474">
        <w:rPr>
          <w:rFonts w:ascii="Book Antiqua" w:hAnsi="Book Antiqua" w:cs="Times New Roman"/>
          <w:sz w:val="24"/>
          <w:szCs w:val="24"/>
        </w:rPr>
        <w:t>4</w:t>
      </w:r>
      <w:r w:rsidRPr="00EB5A99">
        <w:rPr>
          <w:rFonts w:ascii="Book Antiqua" w:hAnsi="Book Antiqua" w:cs="Times New Roman"/>
          <w:sz w:val="24"/>
          <w:szCs w:val="24"/>
        </w:rPr>
        <w:t xml:space="preserve">%. </w:t>
      </w:r>
    </w:p>
    <w:p w:rsidR="008D1973" w:rsidRPr="002D324E" w:rsidRDefault="008D1973" w:rsidP="00321C79">
      <w:pPr>
        <w:spacing w:line="276" w:lineRule="auto"/>
        <w:jc w:val="both"/>
        <w:rPr>
          <w:sz w:val="24"/>
          <w:szCs w:val="24"/>
        </w:rPr>
      </w:pPr>
      <w:r w:rsidRPr="00EB5A99">
        <w:rPr>
          <w:rFonts w:ascii="Book Antiqua" w:hAnsi="Book Antiqua" w:cs="Times New Roman"/>
          <w:sz w:val="24"/>
          <w:szCs w:val="24"/>
        </w:rPr>
        <w:t xml:space="preserve">La population active occupée en situation de sous-emploi </w:t>
      </w:r>
      <w:r w:rsidR="00015F97">
        <w:rPr>
          <w:rFonts w:ascii="Book Antiqua" w:hAnsi="Book Antiqua" w:cs="Times New Roman"/>
          <w:sz w:val="24"/>
          <w:szCs w:val="24"/>
        </w:rPr>
        <w:t>en termes d</w:t>
      </w:r>
      <w:r w:rsidRPr="00EB5A99">
        <w:rPr>
          <w:rFonts w:ascii="Book Antiqua" w:hAnsi="Book Antiqua" w:cs="Times New Roman"/>
          <w:sz w:val="24"/>
          <w:szCs w:val="24"/>
        </w:rPr>
        <w:t xml:space="preserve">’insuffisance du revenu ou </w:t>
      </w:r>
      <w:r w:rsidR="00015F97">
        <w:rPr>
          <w:rFonts w:ascii="Book Antiqua" w:hAnsi="Book Antiqua" w:cs="Times New Roman"/>
          <w:sz w:val="24"/>
          <w:szCs w:val="24"/>
        </w:rPr>
        <w:t xml:space="preserve">d’inadéquation entre formation et </w:t>
      </w:r>
      <w:r w:rsidRPr="00EB5A99">
        <w:rPr>
          <w:rFonts w:ascii="Book Antiqua" w:hAnsi="Book Antiqua" w:cs="Times New Roman"/>
          <w:sz w:val="24"/>
          <w:szCs w:val="24"/>
        </w:rPr>
        <w:t xml:space="preserve">emploi exercé est passée </w:t>
      </w:r>
      <w:r w:rsidR="006A1A4A" w:rsidRPr="00EB5A99">
        <w:rPr>
          <w:rFonts w:ascii="Book Antiqua" w:hAnsi="Book Antiqua" w:cs="Times New Roman"/>
          <w:sz w:val="24"/>
          <w:szCs w:val="24"/>
        </w:rPr>
        <w:t>de 5</w:t>
      </w:r>
      <w:r w:rsidR="00524474">
        <w:rPr>
          <w:rFonts w:ascii="Book Antiqua" w:hAnsi="Book Antiqua" w:cs="Times New Roman"/>
          <w:sz w:val="24"/>
          <w:szCs w:val="24"/>
        </w:rPr>
        <w:t>18</w:t>
      </w:r>
      <w:r w:rsidR="006A1A4A" w:rsidRPr="00EB5A99">
        <w:rPr>
          <w:rFonts w:ascii="Book Antiqua" w:hAnsi="Book Antiqua" w:cs="Times New Roman"/>
          <w:sz w:val="24"/>
          <w:szCs w:val="24"/>
        </w:rPr>
        <w:t xml:space="preserve">.000 à </w:t>
      </w:r>
      <w:r w:rsidR="00524474">
        <w:rPr>
          <w:rFonts w:ascii="Book Antiqua" w:hAnsi="Book Antiqua" w:cs="Times New Roman"/>
          <w:sz w:val="24"/>
          <w:szCs w:val="24"/>
        </w:rPr>
        <w:t>459</w:t>
      </w:r>
      <w:r w:rsidRPr="00EB5A99">
        <w:rPr>
          <w:rFonts w:ascii="Book Antiqua" w:hAnsi="Book Antiqua" w:cs="Times New Roman"/>
          <w:sz w:val="24"/>
          <w:szCs w:val="24"/>
        </w:rPr>
        <w:t>.000 personnes au niveau national</w:t>
      </w:r>
      <w:r w:rsidR="00195716" w:rsidRPr="00EB5A99">
        <w:rPr>
          <w:rFonts w:ascii="Book Antiqua" w:hAnsi="Book Antiqua" w:cs="Times New Roman"/>
          <w:sz w:val="24"/>
          <w:szCs w:val="24"/>
        </w:rPr>
        <w:t xml:space="preserve">. Le taux correspondant </w:t>
      </w:r>
      <w:r w:rsidR="008759D1">
        <w:rPr>
          <w:rFonts w:ascii="Book Antiqua" w:hAnsi="Book Antiqua" w:cs="Times New Roman"/>
          <w:sz w:val="24"/>
          <w:szCs w:val="24"/>
        </w:rPr>
        <w:t>est passé</w:t>
      </w:r>
      <w:r w:rsidR="00196401" w:rsidRPr="00EB5A99">
        <w:rPr>
          <w:rFonts w:ascii="Book Antiqua" w:hAnsi="Book Antiqua" w:cs="Times New Roman"/>
          <w:sz w:val="24"/>
          <w:szCs w:val="24"/>
        </w:rPr>
        <w:t xml:space="preserve"> de </w:t>
      </w:r>
      <w:r w:rsidR="00524474">
        <w:rPr>
          <w:rFonts w:ascii="Book Antiqua" w:hAnsi="Book Antiqua" w:cs="Times New Roman"/>
          <w:sz w:val="24"/>
          <w:szCs w:val="24"/>
        </w:rPr>
        <w:t>4,7</w:t>
      </w:r>
      <w:r w:rsidR="00196401" w:rsidRPr="00EB5A99">
        <w:rPr>
          <w:rFonts w:ascii="Book Antiqua" w:hAnsi="Book Antiqua" w:cs="Times New Roman"/>
          <w:sz w:val="24"/>
          <w:szCs w:val="24"/>
        </w:rPr>
        <w:t xml:space="preserve">% à </w:t>
      </w:r>
      <w:r w:rsidR="00321C79">
        <w:rPr>
          <w:rFonts w:ascii="Book Antiqua" w:hAnsi="Book Antiqua" w:cs="Times New Roman"/>
          <w:sz w:val="24"/>
          <w:szCs w:val="24"/>
        </w:rPr>
        <w:t>4</w:t>
      </w:r>
      <w:r w:rsidR="00196401" w:rsidRPr="00EB5A99">
        <w:rPr>
          <w:rFonts w:ascii="Book Antiqua" w:hAnsi="Book Antiqua" w:cs="Times New Roman"/>
          <w:sz w:val="24"/>
          <w:szCs w:val="24"/>
        </w:rPr>
        <w:t>,</w:t>
      </w:r>
      <w:r w:rsidR="00524474">
        <w:rPr>
          <w:rFonts w:ascii="Book Antiqua" w:hAnsi="Book Antiqua" w:cs="Times New Roman"/>
          <w:sz w:val="24"/>
          <w:szCs w:val="24"/>
        </w:rPr>
        <w:t>2</w:t>
      </w:r>
      <w:r w:rsidRPr="00EB5A99">
        <w:rPr>
          <w:rFonts w:ascii="Book Antiqua" w:hAnsi="Book Antiqua" w:cs="Times New Roman"/>
          <w:sz w:val="24"/>
          <w:szCs w:val="24"/>
        </w:rPr>
        <w:t>%.</w:t>
      </w:r>
    </w:p>
    <w:p w:rsidR="00906402" w:rsidRDefault="00906402">
      <w:pPr>
        <w:rPr>
          <w:rFonts w:ascii="Book Antiqua" w:hAnsi="Book Antiqua" w:cs="Times New Roman"/>
          <w:b/>
          <w:bCs/>
          <w:sz w:val="20"/>
          <w:szCs w:val="20"/>
        </w:rPr>
      </w:pPr>
      <w:r>
        <w:rPr>
          <w:rFonts w:ascii="Book Antiqua" w:hAnsi="Book Antiqua" w:cs="Times New Roman"/>
          <w:b/>
          <w:bCs/>
          <w:sz w:val="20"/>
          <w:szCs w:val="20"/>
        </w:rPr>
        <w:br w:type="page"/>
      </w:r>
    </w:p>
    <w:p w:rsidR="008D1973" w:rsidRDefault="008D1973" w:rsidP="00524474">
      <w:pPr>
        <w:jc w:val="both"/>
        <w:rPr>
          <w:rFonts w:ascii="Book Antiqua" w:hAnsi="Book Antiqua" w:cs="Times New Roman"/>
          <w:b/>
          <w:bCs/>
          <w:sz w:val="20"/>
          <w:szCs w:val="20"/>
        </w:rPr>
      </w:pPr>
      <w:r w:rsidRPr="006425A7">
        <w:rPr>
          <w:rFonts w:ascii="Book Antiqua" w:hAnsi="Book Antiqua" w:cs="Times New Roman"/>
          <w:b/>
          <w:bCs/>
          <w:sz w:val="20"/>
          <w:szCs w:val="20"/>
        </w:rPr>
        <w:lastRenderedPageBreak/>
        <w:t>Figure</w:t>
      </w:r>
      <w:r w:rsidR="00940768" w:rsidRPr="006425A7">
        <w:rPr>
          <w:rFonts w:ascii="Book Antiqua" w:hAnsi="Book Antiqua" w:cs="Times New Roman"/>
          <w:b/>
          <w:bCs/>
          <w:sz w:val="20"/>
          <w:szCs w:val="20"/>
        </w:rPr>
        <w:t xml:space="preserve"> </w:t>
      </w:r>
      <w:r w:rsidR="00461C49" w:rsidRPr="006425A7">
        <w:rPr>
          <w:rFonts w:ascii="Book Antiqua" w:hAnsi="Book Antiqua" w:cs="Times New Roman"/>
          <w:b/>
          <w:bCs/>
          <w:sz w:val="20"/>
          <w:szCs w:val="20"/>
        </w:rPr>
        <w:t>3</w:t>
      </w:r>
      <w:r w:rsidR="008753C0" w:rsidRPr="006425A7">
        <w:rPr>
          <w:rFonts w:ascii="Book Antiqua" w:hAnsi="Book Antiqua" w:cs="Times New Roman"/>
          <w:b/>
          <w:bCs/>
          <w:sz w:val="20"/>
          <w:szCs w:val="20"/>
        </w:rPr>
        <w:t xml:space="preserve">. </w:t>
      </w:r>
      <w:r w:rsidRPr="006425A7">
        <w:rPr>
          <w:rFonts w:ascii="Book Antiqua" w:hAnsi="Book Antiqua" w:cs="Times New Roman"/>
          <w:b/>
          <w:bCs/>
          <w:sz w:val="20"/>
          <w:szCs w:val="20"/>
        </w:rPr>
        <w:t xml:space="preserve">Evolution du taux de sous-emploi entre les </w:t>
      </w:r>
      <w:r w:rsidR="00145C7E" w:rsidRPr="006425A7">
        <w:rPr>
          <w:rFonts w:ascii="Book Antiqua" w:hAnsi="Book Antiqua" w:cs="Times New Roman"/>
          <w:b/>
          <w:bCs/>
          <w:sz w:val="20"/>
          <w:szCs w:val="20"/>
        </w:rPr>
        <w:t>deuxième</w:t>
      </w:r>
      <w:r w:rsidR="004D3E03" w:rsidRPr="006425A7">
        <w:rPr>
          <w:rFonts w:ascii="Book Antiqua" w:hAnsi="Book Antiqua" w:cs="Times New Roman"/>
          <w:b/>
          <w:bCs/>
          <w:sz w:val="20"/>
          <w:szCs w:val="20"/>
        </w:rPr>
        <w:t>s</w:t>
      </w:r>
      <w:r w:rsidR="000215D5" w:rsidRPr="006425A7">
        <w:rPr>
          <w:rFonts w:ascii="Book Antiqua" w:hAnsi="Book Antiqua" w:cs="Times New Roman"/>
          <w:b/>
          <w:bCs/>
          <w:sz w:val="20"/>
          <w:szCs w:val="20"/>
        </w:rPr>
        <w:t xml:space="preserve"> trimestres de </w:t>
      </w:r>
      <w:r w:rsidR="007A2EA8" w:rsidRPr="006425A7">
        <w:rPr>
          <w:rFonts w:ascii="Book Antiqua" w:hAnsi="Book Antiqua" w:cs="Times New Roman"/>
          <w:b/>
          <w:bCs/>
          <w:sz w:val="20"/>
          <w:szCs w:val="20"/>
        </w:rPr>
        <w:t>2023</w:t>
      </w:r>
      <w:r w:rsidR="000215D5" w:rsidRPr="006425A7">
        <w:rPr>
          <w:rFonts w:ascii="Book Antiqua" w:hAnsi="Book Antiqua" w:cs="Times New Roman"/>
          <w:b/>
          <w:bCs/>
          <w:sz w:val="20"/>
          <w:szCs w:val="20"/>
        </w:rPr>
        <w:t xml:space="preserve"> et </w:t>
      </w:r>
      <w:r w:rsidR="007A2EA8" w:rsidRPr="006425A7">
        <w:rPr>
          <w:rFonts w:ascii="Book Antiqua" w:hAnsi="Book Antiqua" w:cs="Times New Roman"/>
          <w:b/>
          <w:bCs/>
          <w:sz w:val="20"/>
          <w:szCs w:val="20"/>
        </w:rPr>
        <w:t>2024</w:t>
      </w:r>
      <w:r w:rsidRPr="006425A7">
        <w:rPr>
          <w:rFonts w:ascii="Book Antiqua" w:hAnsi="Book Antiqua" w:cs="Times New Roman"/>
          <w:b/>
          <w:bCs/>
          <w:sz w:val="20"/>
          <w:szCs w:val="20"/>
        </w:rPr>
        <w:t xml:space="preserve"> parmi certaines catégories de la p</w:t>
      </w:r>
      <w:r w:rsidR="00BD026B" w:rsidRPr="006425A7">
        <w:rPr>
          <w:rFonts w:ascii="Book Antiqua" w:hAnsi="Book Antiqua" w:cs="Times New Roman"/>
          <w:b/>
          <w:bCs/>
          <w:sz w:val="20"/>
          <w:szCs w:val="20"/>
        </w:rPr>
        <w:t>opulation active occupée (en %)</w:t>
      </w:r>
    </w:p>
    <w:p w:rsidR="006425A7" w:rsidRPr="0016011E" w:rsidRDefault="006425A7" w:rsidP="00524474">
      <w:pPr>
        <w:jc w:val="both"/>
        <w:rPr>
          <w:rFonts w:ascii="Book Antiqua" w:hAnsi="Book Antiqua" w:cs="Times New Roman"/>
          <w:b/>
          <w:bCs/>
          <w:sz w:val="20"/>
          <w:szCs w:val="20"/>
        </w:rPr>
      </w:pPr>
      <w:r w:rsidRPr="006425A7">
        <w:rPr>
          <w:rFonts w:ascii="Book Antiqua" w:hAnsi="Book Antiqua" w:cs="Times New Roman"/>
          <w:b/>
          <w:bCs/>
          <w:noProof/>
          <w:sz w:val="20"/>
          <w:szCs w:val="20"/>
          <w:lang w:eastAsia="fr-FR"/>
        </w:rPr>
        <w:drawing>
          <wp:inline distT="0" distB="0" distL="0" distR="0">
            <wp:extent cx="5860754" cy="2743200"/>
            <wp:effectExtent l="0" t="0" r="0" b="0"/>
            <wp:docPr id="14"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61C49" w:rsidRDefault="00256254" w:rsidP="00256254">
      <w:pPr>
        <w:spacing w:line="276" w:lineRule="auto"/>
        <w:jc w:val="both"/>
        <w:rPr>
          <w:rFonts w:ascii="Book Antiqua" w:hAnsi="Book Antiqua" w:cs="Times New Roman"/>
          <w:b/>
          <w:bCs/>
          <w:sz w:val="20"/>
          <w:szCs w:val="20"/>
        </w:rPr>
      </w:pPr>
      <w:r>
        <w:rPr>
          <w:rFonts w:ascii="Book Antiqua" w:hAnsi="Book Antiqua" w:cs="Times New Roman"/>
          <w:sz w:val="24"/>
          <w:szCs w:val="24"/>
        </w:rPr>
        <w:t>Par secteur d’activité, l</w:t>
      </w:r>
      <w:r w:rsidR="001D5675" w:rsidRPr="00EB5A99">
        <w:rPr>
          <w:rFonts w:ascii="Book Antiqua" w:hAnsi="Book Antiqua" w:cs="Times New Roman"/>
          <w:sz w:val="24"/>
          <w:szCs w:val="24"/>
        </w:rPr>
        <w:t xml:space="preserve">e </w:t>
      </w:r>
      <w:r w:rsidR="00C77BFC">
        <w:rPr>
          <w:rFonts w:ascii="Book Antiqua" w:hAnsi="Book Antiqua" w:cs="Times New Roman"/>
          <w:sz w:val="24"/>
          <w:szCs w:val="24"/>
        </w:rPr>
        <w:t>taux de</w:t>
      </w:r>
      <w:r w:rsidR="00C77BFC" w:rsidRPr="00EB5A99">
        <w:rPr>
          <w:rFonts w:ascii="Book Antiqua" w:hAnsi="Book Antiqua" w:cs="Times New Roman"/>
          <w:sz w:val="24"/>
          <w:szCs w:val="24"/>
        </w:rPr>
        <w:t xml:space="preserve"> sous-emploi </w:t>
      </w:r>
      <w:r w:rsidR="00C77BFC">
        <w:rPr>
          <w:rFonts w:ascii="Book Antiqua" w:hAnsi="Book Antiqua" w:cs="Times New Roman"/>
          <w:sz w:val="24"/>
          <w:szCs w:val="24"/>
        </w:rPr>
        <w:t xml:space="preserve">a connu </w:t>
      </w:r>
      <w:r w:rsidR="00195716" w:rsidRPr="00EB5A99">
        <w:rPr>
          <w:rFonts w:ascii="Book Antiqua" w:hAnsi="Book Antiqua" w:cs="Times New Roman"/>
          <w:sz w:val="24"/>
          <w:szCs w:val="24"/>
        </w:rPr>
        <w:t>u</w:t>
      </w:r>
      <w:r w:rsidR="0054104E" w:rsidRPr="00EB5A99">
        <w:rPr>
          <w:rFonts w:ascii="Book Antiqua" w:hAnsi="Book Antiqua" w:cs="Times New Roman"/>
          <w:sz w:val="24"/>
          <w:szCs w:val="24"/>
        </w:rPr>
        <w:t xml:space="preserve">ne </w:t>
      </w:r>
      <w:r w:rsidR="00524474">
        <w:rPr>
          <w:rFonts w:ascii="Book Antiqua" w:hAnsi="Book Antiqua" w:cs="Times New Roman"/>
          <w:sz w:val="24"/>
          <w:szCs w:val="24"/>
        </w:rPr>
        <w:t>hausse</w:t>
      </w:r>
      <w:r w:rsidR="0054104E" w:rsidRPr="00EB5A99">
        <w:rPr>
          <w:rFonts w:ascii="Book Antiqua" w:hAnsi="Book Antiqua" w:cs="Times New Roman"/>
          <w:sz w:val="24"/>
          <w:szCs w:val="24"/>
        </w:rPr>
        <w:t xml:space="preserve"> </w:t>
      </w:r>
      <w:r w:rsidR="00C77BFC">
        <w:rPr>
          <w:rFonts w:ascii="Book Antiqua" w:hAnsi="Book Antiqua" w:cs="Times New Roman"/>
          <w:sz w:val="24"/>
          <w:szCs w:val="24"/>
        </w:rPr>
        <w:t xml:space="preserve">de </w:t>
      </w:r>
      <w:r w:rsidR="00B916BA">
        <w:rPr>
          <w:rFonts w:ascii="Book Antiqua" w:hAnsi="Book Antiqua" w:cs="Times New Roman"/>
          <w:sz w:val="24"/>
          <w:szCs w:val="24"/>
        </w:rPr>
        <w:t>1</w:t>
      </w:r>
      <w:r w:rsidR="00797D4A" w:rsidRPr="00EB5A99">
        <w:rPr>
          <w:rFonts w:ascii="Book Antiqua" w:hAnsi="Book Antiqua" w:cs="Times New Roman"/>
          <w:sz w:val="24"/>
          <w:szCs w:val="24"/>
        </w:rPr>
        <w:t>,</w:t>
      </w:r>
      <w:r w:rsidR="00524474">
        <w:rPr>
          <w:rFonts w:ascii="Book Antiqua" w:hAnsi="Book Antiqua" w:cs="Times New Roman"/>
          <w:sz w:val="24"/>
          <w:szCs w:val="24"/>
        </w:rPr>
        <w:t>7</w:t>
      </w:r>
      <w:r w:rsidR="00797D4A" w:rsidRPr="00EB5A99">
        <w:rPr>
          <w:rFonts w:ascii="Book Antiqua" w:hAnsi="Book Antiqua" w:cs="Times New Roman"/>
          <w:sz w:val="24"/>
          <w:szCs w:val="24"/>
        </w:rPr>
        <w:t xml:space="preserve"> point </w:t>
      </w:r>
      <w:r w:rsidR="00C77BFC">
        <w:rPr>
          <w:rFonts w:ascii="Book Antiqua" w:hAnsi="Book Antiqua" w:cs="Times New Roman"/>
          <w:sz w:val="24"/>
          <w:szCs w:val="24"/>
        </w:rPr>
        <w:t>dans le seceur des</w:t>
      </w:r>
      <w:r w:rsidR="00C77BFC" w:rsidRPr="00EB5A99">
        <w:rPr>
          <w:rFonts w:ascii="Book Antiqua" w:hAnsi="Book Antiqua" w:cs="Times New Roman"/>
          <w:sz w:val="24"/>
          <w:szCs w:val="24"/>
        </w:rPr>
        <w:t xml:space="preserve"> BTP </w:t>
      </w:r>
      <w:r w:rsidR="00797D4A" w:rsidRPr="00EB5A99">
        <w:rPr>
          <w:rFonts w:ascii="Book Antiqua" w:hAnsi="Book Antiqua" w:cs="Times New Roman"/>
          <w:sz w:val="24"/>
          <w:szCs w:val="24"/>
        </w:rPr>
        <w:t xml:space="preserve">(de </w:t>
      </w:r>
      <w:r w:rsidR="00524474">
        <w:rPr>
          <w:rFonts w:ascii="Book Antiqua" w:hAnsi="Book Antiqua" w:cs="Times New Roman"/>
          <w:sz w:val="24"/>
          <w:szCs w:val="24"/>
        </w:rPr>
        <w:t>17,2</w:t>
      </w:r>
      <w:r w:rsidR="00797D4A" w:rsidRPr="00EB5A99">
        <w:rPr>
          <w:rFonts w:ascii="Book Antiqua" w:hAnsi="Book Antiqua" w:cs="Times New Roman"/>
          <w:sz w:val="24"/>
          <w:szCs w:val="24"/>
        </w:rPr>
        <w:t xml:space="preserve">% à </w:t>
      </w:r>
      <w:r w:rsidR="00524474">
        <w:rPr>
          <w:rFonts w:ascii="Book Antiqua" w:hAnsi="Book Antiqua" w:cs="Times New Roman"/>
          <w:sz w:val="24"/>
          <w:szCs w:val="24"/>
        </w:rPr>
        <w:t>18,9</w:t>
      </w:r>
      <w:r w:rsidR="00797D4A" w:rsidRPr="00EB5A99">
        <w:rPr>
          <w:rFonts w:ascii="Book Antiqua" w:hAnsi="Book Antiqua" w:cs="Times New Roman"/>
          <w:sz w:val="24"/>
          <w:szCs w:val="24"/>
        </w:rPr>
        <w:t>%)</w:t>
      </w:r>
      <w:r w:rsidR="00C77BFC">
        <w:rPr>
          <w:rFonts w:ascii="Book Antiqua" w:hAnsi="Book Antiqua" w:cs="Times New Roman"/>
          <w:sz w:val="24"/>
          <w:szCs w:val="24"/>
        </w:rPr>
        <w:t xml:space="preserve"> et de 1,9</w:t>
      </w:r>
      <w:r w:rsidR="00C77BFC" w:rsidRPr="00EB5A99">
        <w:rPr>
          <w:rFonts w:ascii="Book Antiqua" w:hAnsi="Book Antiqua" w:cs="Times New Roman"/>
          <w:sz w:val="24"/>
          <w:szCs w:val="24"/>
        </w:rPr>
        <w:t xml:space="preserve"> point </w:t>
      </w:r>
      <w:r w:rsidR="00C77BFC">
        <w:rPr>
          <w:rFonts w:ascii="Book Antiqua" w:hAnsi="Book Antiqua" w:cs="Times New Roman"/>
          <w:sz w:val="24"/>
          <w:szCs w:val="24"/>
        </w:rPr>
        <w:t>dans le secteur de</w:t>
      </w:r>
      <w:r w:rsidR="00B916BA">
        <w:rPr>
          <w:rFonts w:ascii="Book Antiqua" w:hAnsi="Book Antiqua" w:cs="Times New Roman"/>
          <w:sz w:val="24"/>
          <w:szCs w:val="24"/>
        </w:rPr>
        <w:t xml:space="preserve"> </w:t>
      </w:r>
      <w:r w:rsidR="00797D4A" w:rsidRPr="00EB5A99">
        <w:rPr>
          <w:rFonts w:ascii="Book Antiqua" w:hAnsi="Book Antiqua" w:cs="Times New Roman"/>
          <w:sz w:val="24"/>
          <w:szCs w:val="24"/>
        </w:rPr>
        <w:t>l’</w:t>
      </w:r>
      <w:r w:rsidR="00D906F9">
        <w:rPr>
          <w:rFonts w:ascii="Book Antiqua" w:hAnsi="Book Antiqua" w:cs="Times New Roman"/>
          <w:sz w:val="24"/>
          <w:szCs w:val="24"/>
        </w:rPr>
        <w:t>a</w:t>
      </w:r>
      <w:r w:rsidR="00797D4A" w:rsidRPr="00EB5A99">
        <w:rPr>
          <w:rFonts w:ascii="Book Antiqua" w:hAnsi="Book Antiqua" w:cs="Times New Roman"/>
          <w:sz w:val="24"/>
          <w:szCs w:val="24"/>
        </w:rPr>
        <w:t xml:space="preserve">griculture, forêt et pêche (de </w:t>
      </w:r>
      <w:r w:rsidR="00524474">
        <w:rPr>
          <w:rFonts w:ascii="Book Antiqua" w:hAnsi="Book Antiqua" w:cs="Times New Roman"/>
          <w:sz w:val="24"/>
          <w:szCs w:val="24"/>
        </w:rPr>
        <w:t>9</w:t>
      </w:r>
      <w:r w:rsidR="00797D4A" w:rsidRPr="00EB5A99">
        <w:rPr>
          <w:rFonts w:ascii="Book Antiqua" w:hAnsi="Book Antiqua" w:cs="Times New Roman"/>
          <w:sz w:val="24"/>
          <w:szCs w:val="24"/>
        </w:rPr>
        <w:t>,</w:t>
      </w:r>
      <w:r w:rsidR="00524474">
        <w:rPr>
          <w:rFonts w:ascii="Book Antiqua" w:hAnsi="Book Antiqua" w:cs="Times New Roman"/>
          <w:sz w:val="24"/>
          <w:szCs w:val="24"/>
        </w:rPr>
        <w:t>6</w:t>
      </w:r>
      <w:r w:rsidR="00797D4A" w:rsidRPr="00EB5A99">
        <w:rPr>
          <w:rFonts w:ascii="Book Antiqua" w:hAnsi="Book Antiqua" w:cs="Times New Roman"/>
          <w:sz w:val="24"/>
          <w:szCs w:val="24"/>
        </w:rPr>
        <w:t>% à 1</w:t>
      </w:r>
      <w:r w:rsidR="00524474">
        <w:rPr>
          <w:rFonts w:ascii="Book Antiqua" w:hAnsi="Book Antiqua" w:cs="Times New Roman"/>
          <w:sz w:val="24"/>
          <w:szCs w:val="24"/>
        </w:rPr>
        <w:t>1</w:t>
      </w:r>
      <w:r w:rsidR="00797D4A" w:rsidRPr="00EB5A99">
        <w:rPr>
          <w:rFonts w:ascii="Book Antiqua" w:hAnsi="Book Antiqua" w:cs="Times New Roman"/>
          <w:sz w:val="24"/>
          <w:szCs w:val="24"/>
        </w:rPr>
        <w:t>,</w:t>
      </w:r>
      <w:r w:rsidR="00524474">
        <w:rPr>
          <w:rFonts w:ascii="Book Antiqua" w:hAnsi="Book Antiqua" w:cs="Times New Roman"/>
          <w:sz w:val="24"/>
          <w:szCs w:val="24"/>
        </w:rPr>
        <w:t>5</w:t>
      </w:r>
      <w:r w:rsidR="00797D4A" w:rsidRPr="00EB5A99">
        <w:rPr>
          <w:rFonts w:ascii="Book Antiqua" w:hAnsi="Book Antiqua" w:cs="Times New Roman"/>
          <w:sz w:val="24"/>
          <w:szCs w:val="24"/>
        </w:rPr>
        <w:t>%)</w:t>
      </w:r>
      <w:r w:rsidR="00524474">
        <w:rPr>
          <w:rFonts w:ascii="Book Antiqua" w:hAnsi="Book Antiqua" w:cs="Times New Roman"/>
          <w:sz w:val="24"/>
          <w:szCs w:val="24"/>
        </w:rPr>
        <w:t>.</w:t>
      </w:r>
      <w:r w:rsidR="00B916BA">
        <w:rPr>
          <w:rFonts w:ascii="Book Antiqua" w:hAnsi="Book Antiqua" w:cs="Times New Roman"/>
          <w:sz w:val="24"/>
          <w:szCs w:val="24"/>
        </w:rPr>
        <w:t xml:space="preserve"> </w:t>
      </w:r>
      <w:r w:rsidR="00524474">
        <w:rPr>
          <w:rFonts w:ascii="Book Antiqua" w:hAnsi="Book Antiqua" w:cs="Times New Roman"/>
          <w:sz w:val="24"/>
          <w:szCs w:val="24"/>
        </w:rPr>
        <w:t xml:space="preserve">En revanche, </w:t>
      </w:r>
      <w:r w:rsidR="00C77BFC">
        <w:rPr>
          <w:rFonts w:ascii="Book Antiqua" w:hAnsi="Book Antiqua" w:cs="Times New Roman"/>
          <w:sz w:val="24"/>
          <w:szCs w:val="24"/>
        </w:rPr>
        <w:t xml:space="preserve">il </w:t>
      </w:r>
      <w:r w:rsidR="00524474">
        <w:rPr>
          <w:rFonts w:ascii="Book Antiqua" w:hAnsi="Book Antiqua" w:cs="Times New Roman"/>
          <w:sz w:val="24"/>
          <w:szCs w:val="24"/>
        </w:rPr>
        <w:t xml:space="preserve">a connu une baisse de </w:t>
      </w:r>
      <w:r w:rsidR="008D44C3" w:rsidRPr="00B34C0B">
        <w:rPr>
          <w:rFonts w:ascii="Book Antiqua" w:hAnsi="Book Antiqua" w:cs="Times New Roman"/>
          <w:sz w:val="24"/>
          <w:szCs w:val="24"/>
        </w:rPr>
        <w:t>0,</w:t>
      </w:r>
      <w:r w:rsidR="00524474">
        <w:rPr>
          <w:rFonts w:ascii="Book Antiqua" w:hAnsi="Book Antiqua" w:cs="Times New Roman"/>
          <w:sz w:val="24"/>
          <w:szCs w:val="24"/>
        </w:rPr>
        <w:t>3</w:t>
      </w:r>
      <w:r w:rsidR="008D44C3" w:rsidRPr="00B34C0B">
        <w:rPr>
          <w:rFonts w:ascii="Book Antiqua" w:hAnsi="Book Antiqua" w:cs="Times New Roman"/>
          <w:sz w:val="24"/>
          <w:szCs w:val="24"/>
        </w:rPr>
        <w:t xml:space="preserve"> point </w:t>
      </w:r>
      <w:r w:rsidR="00C77BFC">
        <w:rPr>
          <w:rFonts w:ascii="Book Antiqua" w:hAnsi="Book Antiqua" w:cs="Times New Roman"/>
          <w:sz w:val="24"/>
          <w:szCs w:val="24"/>
        </w:rPr>
        <w:t>dans le secteur de l’i</w:t>
      </w:r>
      <w:r w:rsidR="00C77BFC" w:rsidRPr="00B34C0B">
        <w:rPr>
          <w:rFonts w:ascii="Book Antiqua" w:hAnsi="Book Antiqua" w:cs="Times New Roman"/>
          <w:sz w:val="24"/>
          <w:szCs w:val="24"/>
        </w:rPr>
        <w:t>ndustrie</w:t>
      </w:r>
      <w:r w:rsidR="00C77BFC">
        <w:rPr>
          <w:rFonts w:ascii="Book Antiqua" w:hAnsi="Book Antiqua" w:cs="Times New Roman"/>
          <w:sz w:val="24"/>
          <w:szCs w:val="24"/>
        </w:rPr>
        <w:t xml:space="preserve"> y compris l’artisanat</w:t>
      </w:r>
      <w:r w:rsidR="00C77BFC" w:rsidRPr="00B34C0B">
        <w:rPr>
          <w:rFonts w:ascii="Book Antiqua" w:hAnsi="Book Antiqua" w:cs="Times New Roman"/>
          <w:sz w:val="24"/>
          <w:szCs w:val="24"/>
        </w:rPr>
        <w:t xml:space="preserve"> </w:t>
      </w:r>
      <w:r w:rsidR="008D44C3" w:rsidRPr="00B34C0B">
        <w:rPr>
          <w:rFonts w:ascii="Book Antiqua" w:hAnsi="Book Antiqua" w:cs="Times New Roman"/>
          <w:sz w:val="24"/>
          <w:szCs w:val="24"/>
        </w:rPr>
        <w:t xml:space="preserve">(de </w:t>
      </w:r>
      <w:r w:rsidR="00524474">
        <w:rPr>
          <w:rFonts w:ascii="Book Antiqua" w:hAnsi="Book Antiqua" w:cs="Times New Roman"/>
          <w:sz w:val="24"/>
          <w:szCs w:val="24"/>
        </w:rPr>
        <w:t>5,3</w:t>
      </w:r>
      <w:r w:rsidR="00B916BA">
        <w:rPr>
          <w:rFonts w:ascii="Book Antiqua" w:hAnsi="Book Antiqua" w:cs="Times New Roman"/>
          <w:sz w:val="24"/>
          <w:szCs w:val="24"/>
        </w:rPr>
        <w:t>%</w:t>
      </w:r>
      <w:r w:rsidR="008D44C3" w:rsidRPr="00B34C0B">
        <w:rPr>
          <w:rFonts w:ascii="Book Antiqua" w:hAnsi="Book Antiqua" w:cs="Times New Roman"/>
          <w:sz w:val="24"/>
          <w:szCs w:val="24"/>
        </w:rPr>
        <w:t xml:space="preserve"> à </w:t>
      </w:r>
      <w:r w:rsidR="00524474">
        <w:rPr>
          <w:rFonts w:ascii="Book Antiqua" w:hAnsi="Book Antiqua" w:cs="Times New Roman"/>
          <w:sz w:val="24"/>
          <w:szCs w:val="24"/>
        </w:rPr>
        <w:t>5</w:t>
      </w:r>
      <w:r w:rsidR="008D44C3" w:rsidRPr="00B34C0B">
        <w:rPr>
          <w:rFonts w:ascii="Book Antiqua" w:hAnsi="Book Antiqua" w:cs="Times New Roman"/>
          <w:sz w:val="24"/>
          <w:szCs w:val="24"/>
        </w:rPr>
        <w:t>%)</w:t>
      </w:r>
      <w:r w:rsidR="00524474">
        <w:rPr>
          <w:rFonts w:ascii="Book Antiqua" w:hAnsi="Book Antiqua" w:cs="Times New Roman"/>
          <w:sz w:val="24"/>
          <w:szCs w:val="24"/>
        </w:rPr>
        <w:t xml:space="preserve"> et</w:t>
      </w:r>
      <w:r w:rsidR="00C77BFC">
        <w:rPr>
          <w:rFonts w:ascii="Book Antiqua" w:hAnsi="Book Antiqua" w:cs="Times New Roman"/>
          <w:sz w:val="24"/>
          <w:szCs w:val="24"/>
        </w:rPr>
        <w:t xml:space="preserve"> a stagné </w:t>
      </w:r>
      <w:r w:rsidR="00524474">
        <w:rPr>
          <w:rFonts w:ascii="Book Antiqua" w:hAnsi="Book Antiqua" w:cs="Times New Roman"/>
          <w:sz w:val="24"/>
          <w:szCs w:val="24"/>
        </w:rPr>
        <w:t>à 7,7%</w:t>
      </w:r>
      <w:r w:rsidR="00C77BFC">
        <w:rPr>
          <w:rFonts w:ascii="Book Antiqua" w:hAnsi="Book Antiqua" w:cs="Times New Roman"/>
          <w:sz w:val="24"/>
          <w:szCs w:val="24"/>
        </w:rPr>
        <w:t xml:space="preserve"> dans le secteur des services. </w:t>
      </w:r>
    </w:p>
    <w:p w:rsidR="009F09AB" w:rsidRDefault="002D324E" w:rsidP="009F09AB">
      <w:pPr>
        <w:spacing w:line="276" w:lineRule="auto"/>
        <w:jc w:val="center"/>
        <w:rPr>
          <w:rFonts w:ascii="Book Antiqua" w:hAnsi="Book Antiqua" w:cs="Times New Roman"/>
          <w:b/>
          <w:bCs/>
          <w:sz w:val="20"/>
          <w:szCs w:val="20"/>
        </w:rPr>
      </w:pPr>
      <w:r w:rsidRPr="009F09AB">
        <w:rPr>
          <w:rFonts w:ascii="Book Antiqua" w:hAnsi="Book Antiqua" w:cs="Times New Roman"/>
          <w:b/>
          <w:bCs/>
          <w:sz w:val="20"/>
          <w:szCs w:val="20"/>
        </w:rPr>
        <w:t>Figure</w:t>
      </w:r>
      <w:r w:rsidR="00940768" w:rsidRPr="009F09AB">
        <w:rPr>
          <w:rFonts w:ascii="Book Antiqua" w:hAnsi="Book Antiqua" w:cs="Times New Roman"/>
          <w:b/>
          <w:bCs/>
          <w:sz w:val="20"/>
          <w:szCs w:val="20"/>
        </w:rPr>
        <w:t xml:space="preserve"> </w:t>
      </w:r>
      <w:r w:rsidR="00461C49" w:rsidRPr="009F09AB">
        <w:rPr>
          <w:rFonts w:ascii="Book Antiqua" w:hAnsi="Book Antiqua" w:cs="Times New Roman"/>
          <w:b/>
          <w:bCs/>
          <w:sz w:val="20"/>
          <w:szCs w:val="20"/>
        </w:rPr>
        <w:t>4</w:t>
      </w:r>
      <w:r w:rsidR="008753C0" w:rsidRPr="009F09AB">
        <w:rPr>
          <w:rFonts w:ascii="Book Antiqua" w:hAnsi="Book Antiqua" w:cs="Times New Roman"/>
          <w:b/>
          <w:bCs/>
          <w:sz w:val="20"/>
          <w:szCs w:val="20"/>
        </w:rPr>
        <w:t xml:space="preserve">. </w:t>
      </w:r>
      <w:r w:rsidRPr="009F09AB">
        <w:rPr>
          <w:rFonts w:ascii="Book Antiqua" w:hAnsi="Book Antiqua" w:cs="Times New Roman"/>
          <w:b/>
          <w:bCs/>
          <w:sz w:val="20"/>
          <w:szCs w:val="20"/>
        </w:rPr>
        <w:t xml:space="preserve">Evolution du taux de sous-emploi entre les </w:t>
      </w:r>
      <w:r w:rsidR="00524474" w:rsidRPr="009F09AB">
        <w:rPr>
          <w:rFonts w:ascii="Book Antiqua" w:hAnsi="Book Antiqua" w:cs="Times New Roman"/>
          <w:b/>
          <w:bCs/>
          <w:sz w:val="20"/>
          <w:szCs w:val="20"/>
        </w:rPr>
        <w:t>deuxième</w:t>
      </w:r>
      <w:r w:rsidR="00797D4A" w:rsidRPr="009F09AB">
        <w:rPr>
          <w:rFonts w:ascii="Book Antiqua" w:hAnsi="Book Antiqua" w:cs="Times New Roman"/>
          <w:b/>
          <w:bCs/>
          <w:sz w:val="20"/>
          <w:szCs w:val="20"/>
        </w:rPr>
        <w:t xml:space="preserve">s trimestres de </w:t>
      </w:r>
      <w:r w:rsidR="007A2EA8" w:rsidRPr="009F09AB">
        <w:rPr>
          <w:rFonts w:ascii="Book Antiqua" w:hAnsi="Book Antiqua" w:cs="Times New Roman"/>
          <w:b/>
          <w:bCs/>
          <w:sz w:val="20"/>
          <w:szCs w:val="20"/>
        </w:rPr>
        <w:t>2023</w:t>
      </w:r>
      <w:r w:rsidR="00797D4A" w:rsidRPr="009F09AB">
        <w:rPr>
          <w:rFonts w:ascii="Book Antiqua" w:hAnsi="Book Antiqua" w:cs="Times New Roman"/>
          <w:b/>
          <w:bCs/>
          <w:sz w:val="20"/>
          <w:szCs w:val="20"/>
        </w:rPr>
        <w:t xml:space="preserve"> et </w:t>
      </w:r>
      <w:r w:rsidR="004805D0" w:rsidRPr="009F09AB">
        <w:rPr>
          <w:rFonts w:ascii="Book Antiqua" w:hAnsi="Book Antiqua" w:cs="Times New Roman"/>
          <w:b/>
          <w:bCs/>
          <w:sz w:val="20"/>
          <w:szCs w:val="20"/>
        </w:rPr>
        <w:t xml:space="preserve">de </w:t>
      </w:r>
      <w:r w:rsidR="007A2EA8" w:rsidRPr="009F09AB">
        <w:rPr>
          <w:rFonts w:ascii="Book Antiqua" w:hAnsi="Book Antiqua" w:cs="Times New Roman"/>
          <w:b/>
          <w:bCs/>
          <w:sz w:val="20"/>
          <w:szCs w:val="20"/>
        </w:rPr>
        <w:t>2024</w:t>
      </w:r>
      <w:r w:rsidRPr="009F09AB">
        <w:rPr>
          <w:rFonts w:ascii="Book Antiqua" w:hAnsi="Book Antiqua" w:cs="Times New Roman"/>
          <w:b/>
          <w:bCs/>
          <w:sz w:val="20"/>
          <w:szCs w:val="20"/>
        </w:rPr>
        <w:t xml:space="preserve"> selon les secteurs d’activité </w:t>
      </w:r>
      <w:r w:rsidR="001D5675" w:rsidRPr="009F09AB">
        <w:rPr>
          <w:rFonts w:ascii="Book Antiqua" w:hAnsi="Book Antiqua" w:cs="Times New Roman"/>
          <w:b/>
          <w:bCs/>
          <w:sz w:val="20"/>
          <w:szCs w:val="20"/>
        </w:rPr>
        <w:t xml:space="preserve">économique </w:t>
      </w:r>
      <w:r w:rsidR="00BD026B" w:rsidRPr="009F09AB">
        <w:rPr>
          <w:rFonts w:ascii="Book Antiqua" w:hAnsi="Book Antiqua" w:cs="Times New Roman"/>
          <w:b/>
          <w:bCs/>
          <w:sz w:val="20"/>
          <w:szCs w:val="20"/>
        </w:rPr>
        <w:t>(en %)</w:t>
      </w:r>
    </w:p>
    <w:p w:rsidR="00797D4A" w:rsidRDefault="009F09AB" w:rsidP="009F09AB">
      <w:pPr>
        <w:spacing w:line="276" w:lineRule="auto"/>
        <w:jc w:val="center"/>
        <w:rPr>
          <w:rFonts w:ascii="Book Antiqua" w:hAnsi="Book Antiqua" w:cs="Times New Roman"/>
          <w:b/>
          <w:bCs/>
          <w:sz w:val="20"/>
          <w:szCs w:val="20"/>
        </w:rPr>
      </w:pPr>
      <w:r w:rsidRPr="009F09AB">
        <w:rPr>
          <w:rFonts w:ascii="Book Antiqua" w:hAnsi="Book Antiqua" w:cs="Times New Roman"/>
          <w:b/>
          <w:bCs/>
          <w:noProof/>
          <w:sz w:val="20"/>
          <w:szCs w:val="20"/>
          <w:lang w:eastAsia="fr-FR"/>
        </w:rPr>
        <w:drawing>
          <wp:inline distT="0" distB="0" distL="0" distR="0">
            <wp:extent cx="5566528" cy="3040912"/>
            <wp:effectExtent l="0" t="0" r="0" b="0"/>
            <wp:docPr id="12"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97D4A" w:rsidRPr="0016011E" w:rsidRDefault="00797D4A" w:rsidP="00442956">
      <w:pPr>
        <w:spacing w:line="276" w:lineRule="auto"/>
        <w:jc w:val="center"/>
        <w:rPr>
          <w:rFonts w:ascii="Book Antiqua" w:hAnsi="Book Antiqua" w:cs="Times New Roman"/>
          <w:b/>
          <w:bCs/>
          <w:sz w:val="20"/>
          <w:szCs w:val="20"/>
        </w:rPr>
      </w:pPr>
    </w:p>
    <w:p w:rsidR="008D1973" w:rsidRPr="002D324E" w:rsidRDefault="008D1973" w:rsidP="0022296C">
      <w:pPr>
        <w:spacing w:line="276" w:lineRule="auto"/>
        <w:jc w:val="center"/>
        <w:rPr>
          <w:sz w:val="24"/>
          <w:szCs w:val="24"/>
        </w:rPr>
      </w:pPr>
    </w:p>
    <w:p w:rsidR="00940768" w:rsidRDefault="00940768">
      <w:pPr>
        <w:rPr>
          <w:rFonts w:ascii="Book Antiqua" w:hAnsi="Book Antiqua" w:cstheme="majorHAnsi"/>
          <w:b/>
          <w:bCs/>
          <w:color w:val="1F3864" w:themeColor="accent1" w:themeShade="80"/>
          <w:spacing w:val="-10"/>
          <w:kern w:val="28"/>
          <w:sz w:val="24"/>
          <w:szCs w:val="24"/>
        </w:rPr>
      </w:pPr>
      <w:r>
        <w:rPr>
          <w:rFonts w:ascii="Book Antiqua" w:hAnsi="Book Antiqua" w:cstheme="majorHAnsi"/>
          <w:b/>
          <w:bCs/>
          <w:color w:val="1F3864" w:themeColor="accent1" w:themeShade="80"/>
          <w:spacing w:val="-10"/>
          <w:kern w:val="28"/>
          <w:sz w:val="24"/>
          <w:szCs w:val="24"/>
        </w:rPr>
        <w:br w:type="page"/>
      </w:r>
    </w:p>
    <w:p w:rsidR="00D401DB" w:rsidRPr="00C036E5" w:rsidRDefault="00AC6FF4" w:rsidP="00461C49">
      <w:pPr>
        <w:rPr>
          <w:rFonts w:ascii="Book Antiqua" w:hAnsi="Book Antiqua" w:cstheme="majorHAnsi"/>
          <w:b/>
          <w:bCs/>
          <w:color w:val="1F3864" w:themeColor="accent1" w:themeShade="80"/>
          <w:spacing w:val="-10"/>
          <w:kern w:val="28"/>
          <w:sz w:val="24"/>
          <w:szCs w:val="24"/>
        </w:rPr>
      </w:pPr>
      <w:r w:rsidRPr="00C036E5">
        <w:rPr>
          <w:rFonts w:ascii="Book Antiqua" w:hAnsi="Book Antiqua" w:cstheme="majorHAnsi"/>
          <w:b/>
          <w:bCs/>
          <w:color w:val="1F3864" w:themeColor="accent1" w:themeShade="80"/>
          <w:spacing w:val="-10"/>
          <w:kern w:val="28"/>
          <w:sz w:val="24"/>
          <w:szCs w:val="24"/>
        </w:rPr>
        <w:lastRenderedPageBreak/>
        <w:t xml:space="preserve">III. </w:t>
      </w:r>
      <w:r w:rsidR="00151A63" w:rsidRPr="00C036E5">
        <w:rPr>
          <w:rFonts w:ascii="Book Antiqua" w:hAnsi="Book Antiqua" w:cstheme="majorHAnsi"/>
          <w:b/>
          <w:bCs/>
          <w:color w:val="1F3864" w:themeColor="accent1" w:themeShade="80"/>
          <w:spacing w:val="-10"/>
          <w:kern w:val="28"/>
          <w:sz w:val="24"/>
          <w:szCs w:val="24"/>
        </w:rPr>
        <w:t>Situation</w:t>
      </w:r>
      <w:r w:rsidR="00940768" w:rsidRPr="00C036E5">
        <w:rPr>
          <w:rFonts w:ascii="Book Antiqua" w:hAnsi="Book Antiqua" w:cstheme="majorHAnsi"/>
          <w:b/>
          <w:bCs/>
          <w:color w:val="1F3864" w:themeColor="accent1" w:themeShade="80"/>
          <w:spacing w:val="-10"/>
          <w:kern w:val="28"/>
          <w:sz w:val="24"/>
          <w:szCs w:val="24"/>
        </w:rPr>
        <w:t xml:space="preserve"> </w:t>
      </w:r>
      <w:r w:rsidR="00151A63" w:rsidRPr="00C036E5">
        <w:rPr>
          <w:rFonts w:ascii="Book Antiqua" w:hAnsi="Book Antiqua" w:cstheme="majorHAnsi"/>
          <w:b/>
          <w:bCs/>
          <w:color w:val="1F3864" w:themeColor="accent1" w:themeShade="80"/>
          <w:spacing w:val="-10"/>
          <w:kern w:val="28"/>
          <w:sz w:val="24"/>
          <w:szCs w:val="24"/>
        </w:rPr>
        <w:t>régionale</w:t>
      </w:r>
      <w:r w:rsidR="00940768" w:rsidRPr="00C036E5">
        <w:rPr>
          <w:rFonts w:ascii="Book Antiqua" w:hAnsi="Book Antiqua" w:cstheme="majorHAnsi"/>
          <w:b/>
          <w:bCs/>
          <w:color w:val="1F3864" w:themeColor="accent1" w:themeShade="80"/>
          <w:spacing w:val="-10"/>
          <w:kern w:val="28"/>
          <w:sz w:val="24"/>
          <w:szCs w:val="24"/>
        </w:rPr>
        <w:t xml:space="preserve"> </w:t>
      </w:r>
      <w:r w:rsidR="00151A63" w:rsidRPr="00C036E5">
        <w:rPr>
          <w:rFonts w:ascii="Book Antiqua" w:hAnsi="Book Antiqua" w:cstheme="majorHAnsi"/>
          <w:b/>
          <w:bCs/>
          <w:color w:val="1F3864" w:themeColor="accent1" w:themeShade="80"/>
          <w:spacing w:val="-10"/>
          <w:kern w:val="28"/>
          <w:sz w:val="24"/>
          <w:szCs w:val="24"/>
        </w:rPr>
        <w:t>du</w:t>
      </w:r>
      <w:r w:rsidR="00940768" w:rsidRPr="00C036E5">
        <w:rPr>
          <w:rFonts w:ascii="Book Antiqua" w:hAnsi="Book Antiqua" w:cstheme="majorHAnsi"/>
          <w:b/>
          <w:bCs/>
          <w:color w:val="1F3864" w:themeColor="accent1" w:themeShade="80"/>
          <w:spacing w:val="-10"/>
          <w:kern w:val="28"/>
          <w:sz w:val="24"/>
          <w:szCs w:val="24"/>
        </w:rPr>
        <w:t xml:space="preserve"> </w:t>
      </w:r>
      <w:r w:rsidR="00151A63" w:rsidRPr="00C036E5">
        <w:rPr>
          <w:rFonts w:ascii="Book Antiqua" w:hAnsi="Book Antiqua" w:cstheme="majorHAnsi"/>
          <w:b/>
          <w:bCs/>
          <w:color w:val="1F3864" w:themeColor="accent1" w:themeShade="80"/>
          <w:spacing w:val="-10"/>
          <w:kern w:val="28"/>
          <w:sz w:val="24"/>
          <w:szCs w:val="24"/>
        </w:rPr>
        <w:t>marché</w:t>
      </w:r>
      <w:r w:rsidR="00D401DB" w:rsidRPr="00C036E5">
        <w:rPr>
          <w:rFonts w:ascii="Book Antiqua" w:hAnsi="Book Antiqua" w:cstheme="majorHAnsi"/>
          <w:b/>
          <w:bCs/>
          <w:color w:val="1F3864" w:themeColor="accent1" w:themeShade="80"/>
          <w:spacing w:val="-10"/>
          <w:kern w:val="28"/>
          <w:sz w:val="24"/>
          <w:szCs w:val="24"/>
        </w:rPr>
        <w:t xml:space="preserve"> du travail</w:t>
      </w:r>
    </w:p>
    <w:p w:rsidR="00D401DB" w:rsidRPr="00B961E7" w:rsidRDefault="00D401DB" w:rsidP="00F246F7">
      <w:pPr>
        <w:autoSpaceDE w:val="0"/>
        <w:autoSpaceDN w:val="0"/>
        <w:adjustRightInd w:val="0"/>
        <w:spacing w:after="240" w:line="276" w:lineRule="auto"/>
        <w:jc w:val="both"/>
        <w:rPr>
          <w:rFonts w:ascii="Book Antiqua" w:hAnsi="Book Antiqua" w:cs="Times New Roman"/>
          <w:sz w:val="24"/>
          <w:szCs w:val="24"/>
        </w:rPr>
      </w:pPr>
      <w:r w:rsidRPr="00B961E7">
        <w:rPr>
          <w:rFonts w:ascii="Book Antiqua" w:hAnsi="Book Antiqua" w:cs="Times New Roman"/>
          <w:sz w:val="24"/>
          <w:szCs w:val="24"/>
        </w:rPr>
        <w:t xml:space="preserve">Cinq régions abritent </w:t>
      </w:r>
      <w:r w:rsidR="004E4854" w:rsidRPr="00B961E7">
        <w:rPr>
          <w:rFonts w:ascii="Book Antiqua" w:hAnsi="Book Antiqua" w:cs="Times New Roman"/>
          <w:sz w:val="24"/>
          <w:szCs w:val="24"/>
        </w:rPr>
        <w:t>72,</w:t>
      </w:r>
      <w:r w:rsidR="00F246F7">
        <w:rPr>
          <w:rFonts w:ascii="Book Antiqua" w:hAnsi="Book Antiqua" w:cs="Times New Roman"/>
          <w:sz w:val="24"/>
          <w:szCs w:val="24"/>
        </w:rPr>
        <w:t>3</w:t>
      </w:r>
      <w:r w:rsidRPr="00B961E7">
        <w:rPr>
          <w:rFonts w:ascii="Book Antiqua" w:hAnsi="Book Antiqua" w:cs="Times New Roman"/>
          <w:sz w:val="24"/>
          <w:szCs w:val="24"/>
        </w:rPr>
        <w:t>% de l’ensemble des actifs âgés de 15 ans et plus. La région de Casablanca-Settat se situ</w:t>
      </w:r>
      <w:r w:rsidR="004E4854" w:rsidRPr="00B961E7">
        <w:rPr>
          <w:rFonts w:ascii="Book Antiqua" w:hAnsi="Book Antiqua" w:cs="Times New Roman"/>
          <w:sz w:val="24"/>
          <w:szCs w:val="24"/>
        </w:rPr>
        <w:t>e en première position avec 22,6</w:t>
      </w:r>
      <w:r w:rsidRPr="00B961E7">
        <w:rPr>
          <w:rFonts w:ascii="Book Antiqua" w:hAnsi="Book Antiqua" w:cs="Times New Roman"/>
          <w:sz w:val="24"/>
          <w:szCs w:val="24"/>
        </w:rPr>
        <w:t>% d’actifs, su</w:t>
      </w:r>
      <w:r w:rsidR="004E4854" w:rsidRPr="00B961E7">
        <w:rPr>
          <w:rFonts w:ascii="Book Antiqua" w:hAnsi="Book Antiqua" w:cs="Times New Roman"/>
          <w:sz w:val="24"/>
          <w:szCs w:val="24"/>
        </w:rPr>
        <w:t>ivie de Rabat-Salé-Kénitra (13,5%), de Marrakech-Safi (12,</w:t>
      </w:r>
      <w:r w:rsidR="004A3D1F">
        <w:rPr>
          <w:rFonts w:ascii="Book Antiqua" w:hAnsi="Book Antiqua" w:cs="Times New Roman"/>
          <w:sz w:val="24"/>
          <w:szCs w:val="24"/>
        </w:rPr>
        <w:t>8</w:t>
      </w:r>
      <w:r w:rsidRPr="00B961E7">
        <w:rPr>
          <w:rFonts w:ascii="Book Antiqua" w:hAnsi="Book Antiqua" w:cs="Times New Roman"/>
          <w:sz w:val="24"/>
          <w:szCs w:val="24"/>
        </w:rPr>
        <w:t>%), de</w:t>
      </w:r>
      <w:r w:rsidR="004E4854" w:rsidRPr="00B961E7">
        <w:rPr>
          <w:rFonts w:ascii="Book Antiqua" w:hAnsi="Book Antiqua" w:cs="Times New Roman"/>
          <w:sz w:val="24"/>
          <w:szCs w:val="24"/>
        </w:rPr>
        <w:t xml:space="preserve"> Tanger-Tétouan-Al Hoceima (</w:t>
      </w:r>
      <w:r w:rsidR="004A3D1F">
        <w:rPr>
          <w:rFonts w:ascii="Book Antiqua" w:hAnsi="Book Antiqua" w:cs="Times New Roman"/>
          <w:sz w:val="24"/>
          <w:szCs w:val="24"/>
        </w:rPr>
        <w:t>12</w:t>
      </w:r>
      <w:r w:rsidR="004E4854" w:rsidRPr="00B961E7">
        <w:rPr>
          <w:rFonts w:ascii="Book Antiqua" w:hAnsi="Book Antiqua" w:cs="Times New Roman"/>
          <w:sz w:val="24"/>
          <w:szCs w:val="24"/>
        </w:rPr>
        <w:t>%) et de Fès-Meknès (11,</w:t>
      </w:r>
      <w:r w:rsidR="004A3D1F">
        <w:rPr>
          <w:rFonts w:ascii="Book Antiqua" w:hAnsi="Book Antiqua" w:cs="Times New Roman"/>
          <w:sz w:val="24"/>
          <w:szCs w:val="24"/>
        </w:rPr>
        <w:t>4</w:t>
      </w:r>
      <w:r w:rsidRPr="00B961E7">
        <w:rPr>
          <w:rFonts w:ascii="Book Antiqua" w:hAnsi="Book Antiqua" w:cs="Times New Roman"/>
          <w:sz w:val="24"/>
          <w:szCs w:val="24"/>
        </w:rPr>
        <w:t>%).</w:t>
      </w:r>
    </w:p>
    <w:p w:rsidR="00D401DB" w:rsidRPr="00B961E7" w:rsidRDefault="00245532" w:rsidP="004A3D1F">
      <w:pPr>
        <w:autoSpaceDE w:val="0"/>
        <w:autoSpaceDN w:val="0"/>
        <w:adjustRightInd w:val="0"/>
        <w:spacing w:after="240" w:line="276" w:lineRule="auto"/>
        <w:jc w:val="both"/>
        <w:rPr>
          <w:rFonts w:ascii="Book Antiqua" w:hAnsi="Book Antiqua" w:cs="Times New Roman"/>
          <w:sz w:val="24"/>
          <w:szCs w:val="24"/>
        </w:rPr>
      </w:pPr>
      <w:r>
        <w:rPr>
          <w:rFonts w:ascii="Book Antiqua" w:hAnsi="Book Antiqua" w:cs="Times New Roman"/>
          <w:sz w:val="24"/>
          <w:szCs w:val="24"/>
        </w:rPr>
        <w:t>Trois</w:t>
      </w:r>
      <w:r w:rsidR="00D401DB" w:rsidRPr="00B961E7">
        <w:rPr>
          <w:rFonts w:ascii="Book Antiqua" w:hAnsi="Book Antiqua" w:cs="Times New Roman"/>
          <w:sz w:val="24"/>
          <w:szCs w:val="24"/>
        </w:rPr>
        <w:t xml:space="preserve"> régions affichent des taux d’activité supér</w:t>
      </w:r>
      <w:r w:rsidR="008E6A41" w:rsidRPr="00B961E7">
        <w:rPr>
          <w:rFonts w:ascii="Book Antiqua" w:hAnsi="Book Antiqua" w:cs="Times New Roman"/>
          <w:sz w:val="24"/>
          <w:szCs w:val="24"/>
        </w:rPr>
        <w:t>ieurs à la moyenne nationale (4</w:t>
      </w:r>
      <w:r>
        <w:rPr>
          <w:rFonts w:ascii="Book Antiqua" w:hAnsi="Book Antiqua" w:cs="Times New Roman"/>
          <w:sz w:val="24"/>
          <w:szCs w:val="24"/>
        </w:rPr>
        <w:t>4,2</w:t>
      </w:r>
      <w:r w:rsidR="00D401DB" w:rsidRPr="00B961E7">
        <w:rPr>
          <w:rFonts w:ascii="Book Antiqua" w:hAnsi="Book Antiqua" w:cs="Times New Roman"/>
          <w:sz w:val="24"/>
          <w:szCs w:val="24"/>
        </w:rPr>
        <w:t>%)</w:t>
      </w:r>
      <w:r w:rsidR="00015F97" w:rsidRPr="00B961E7">
        <w:rPr>
          <w:rFonts w:ascii="Book Antiqua" w:hAnsi="Book Antiqua" w:cs="Times New Roman"/>
          <w:sz w:val="24"/>
          <w:szCs w:val="24"/>
        </w:rPr>
        <w:t xml:space="preserve">. Il s’agit des régions de </w:t>
      </w:r>
      <w:r w:rsidR="00D401DB" w:rsidRPr="00B961E7">
        <w:rPr>
          <w:rFonts w:ascii="Book Antiqua" w:hAnsi="Book Antiqua" w:cs="Times New Roman"/>
          <w:sz w:val="24"/>
          <w:szCs w:val="24"/>
        </w:rPr>
        <w:t>Tanger-Tétouan-Al</w:t>
      </w:r>
      <w:r>
        <w:rPr>
          <w:rFonts w:ascii="Book Antiqua" w:hAnsi="Book Antiqua" w:cs="Times New Roman"/>
          <w:sz w:val="24"/>
          <w:szCs w:val="24"/>
        </w:rPr>
        <w:t xml:space="preserve"> Hoceima avec 50,1</w:t>
      </w:r>
      <w:r w:rsidR="00D401DB" w:rsidRPr="00B961E7">
        <w:rPr>
          <w:rFonts w:ascii="Book Antiqua" w:hAnsi="Book Antiqua" w:cs="Times New Roman"/>
          <w:sz w:val="24"/>
          <w:szCs w:val="24"/>
        </w:rPr>
        <w:t xml:space="preserve">%, </w:t>
      </w:r>
      <w:r w:rsidR="00015F97" w:rsidRPr="00B961E7">
        <w:rPr>
          <w:rFonts w:ascii="Book Antiqua" w:hAnsi="Book Antiqua" w:cs="Times New Roman"/>
          <w:sz w:val="24"/>
          <w:szCs w:val="24"/>
        </w:rPr>
        <w:t xml:space="preserve">de </w:t>
      </w:r>
      <w:r w:rsidR="00D401DB" w:rsidRPr="00B961E7">
        <w:rPr>
          <w:rFonts w:ascii="Book Antiqua" w:hAnsi="Book Antiqua" w:cs="Times New Roman"/>
          <w:sz w:val="24"/>
          <w:szCs w:val="24"/>
        </w:rPr>
        <w:t>Casablanc</w:t>
      </w:r>
      <w:r w:rsidR="008E6A41" w:rsidRPr="00B961E7">
        <w:rPr>
          <w:rFonts w:ascii="Book Antiqua" w:hAnsi="Book Antiqua" w:cs="Times New Roman"/>
          <w:sz w:val="24"/>
          <w:szCs w:val="24"/>
        </w:rPr>
        <w:t>a-Settat</w:t>
      </w:r>
      <w:r>
        <w:rPr>
          <w:rFonts w:ascii="Book Antiqua" w:hAnsi="Book Antiqua" w:cs="Times New Roman"/>
          <w:sz w:val="24"/>
          <w:szCs w:val="24"/>
        </w:rPr>
        <w:t xml:space="preserve"> avec 47,1</w:t>
      </w:r>
      <w:r w:rsidR="00C9312E">
        <w:rPr>
          <w:rFonts w:ascii="Book Antiqua" w:hAnsi="Book Antiqua" w:cs="Times New Roman"/>
          <w:sz w:val="24"/>
          <w:szCs w:val="24"/>
        </w:rPr>
        <w:t>%</w:t>
      </w:r>
      <w:r>
        <w:rPr>
          <w:rFonts w:ascii="Book Antiqua" w:hAnsi="Book Antiqua" w:cs="Times New Roman"/>
          <w:sz w:val="24"/>
          <w:szCs w:val="24"/>
        </w:rPr>
        <w:t>, du Sud avec 44,8</w:t>
      </w:r>
      <w:r w:rsidR="00D401DB" w:rsidRPr="00B961E7">
        <w:rPr>
          <w:rFonts w:ascii="Book Antiqua" w:hAnsi="Book Antiqua" w:cs="Times New Roman"/>
          <w:sz w:val="24"/>
          <w:szCs w:val="24"/>
        </w:rPr>
        <w:t>%</w:t>
      </w:r>
      <w:r>
        <w:rPr>
          <w:rFonts w:ascii="Book Antiqua" w:hAnsi="Book Antiqua" w:cs="Times New Roman"/>
          <w:sz w:val="24"/>
          <w:szCs w:val="24"/>
        </w:rPr>
        <w:t xml:space="preserve">. </w:t>
      </w:r>
      <w:r w:rsidR="00D401DB" w:rsidRPr="00B961E7">
        <w:rPr>
          <w:rFonts w:ascii="Book Antiqua" w:hAnsi="Book Antiqua" w:cs="Times New Roman"/>
          <w:sz w:val="24"/>
          <w:szCs w:val="24"/>
        </w:rPr>
        <w:t xml:space="preserve">En revanche, les taux les plus bas sont enregistrés dans les régions </w:t>
      </w:r>
      <w:r w:rsidR="008E6A41" w:rsidRPr="00B961E7">
        <w:rPr>
          <w:rFonts w:ascii="Book Antiqua" w:hAnsi="Book Antiqua" w:cs="Times New Roman"/>
          <w:sz w:val="24"/>
          <w:szCs w:val="24"/>
        </w:rPr>
        <w:t>de Béni Mellal-Khénifra (40%), de l’Oriental (</w:t>
      </w:r>
      <w:r>
        <w:rPr>
          <w:rFonts w:ascii="Book Antiqua" w:hAnsi="Book Antiqua" w:cs="Times New Roman"/>
          <w:sz w:val="24"/>
          <w:szCs w:val="24"/>
        </w:rPr>
        <w:t>40,4</w:t>
      </w:r>
      <w:r w:rsidR="008E6A41" w:rsidRPr="00B961E7">
        <w:rPr>
          <w:rFonts w:ascii="Book Antiqua" w:hAnsi="Book Antiqua" w:cs="Times New Roman"/>
          <w:sz w:val="24"/>
          <w:szCs w:val="24"/>
        </w:rPr>
        <w:t xml:space="preserve">%) et </w:t>
      </w:r>
      <w:r w:rsidR="001C174F">
        <w:rPr>
          <w:rFonts w:ascii="Book Antiqua" w:hAnsi="Book Antiqua" w:cs="Times New Roman"/>
          <w:sz w:val="24"/>
          <w:szCs w:val="24"/>
        </w:rPr>
        <w:t>de Souss-Massa</w:t>
      </w:r>
      <w:r w:rsidR="001C174F">
        <w:rPr>
          <w:rFonts w:ascii="Book Antiqua" w:hAnsi="Book Antiqua" w:cs="Times New Roman" w:hint="cs"/>
          <w:sz w:val="24"/>
          <w:szCs w:val="24"/>
          <w:rtl/>
          <w:lang w:bidi="tzm-Arab-MA"/>
        </w:rPr>
        <w:t xml:space="preserve">) </w:t>
      </w:r>
      <w:r>
        <w:rPr>
          <w:rFonts w:ascii="Book Antiqua" w:hAnsi="Book Antiqua" w:cs="Times New Roman"/>
          <w:sz w:val="24"/>
          <w:szCs w:val="24"/>
          <w:lang w:bidi="tzm-Arab-MA"/>
        </w:rPr>
        <w:t>41,</w:t>
      </w:r>
      <w:r w:rsidR="004A3D1F">
        <w:rPr>
          <w:rFonts w:ascii="Book Antiqua" w:hAnsi="Book Antiqua" w:cs="Times New Roman"/>
          <w:sz w:val="24"/>
          <w:szCs w:val="24"/>
          <w:lang w:bidi="tzm-Arab-MA"/>
        </w:rPr>
        <w:t>4</w:t>
      </w:r>
      <w:r w:rsidR="008E6A41" w:rsidRPr="00B961E7">
        <w:rPr>
          <w:rFonts w:ascii="Book Antiqua" w:hAnsi="Book Antiqua" w:cs="Times New Roman"/>
          <w:sz w:val="24"/>
          <w:szCs w:val="24"/>
        </w:rPr>
        <w:t>%</w:t>
      </w:r>
      <w:r w:rsidR="001C174F">
        <w:rPr>
          <w:rFonts w:ascii="Book Antiqua" w:hAnsi="Book Antiqua" w:cs="Times New Roman"/>
          <w:sz w:val="24"/>
          <w:szCs w:val="24"/>
        </w:rPr>
        <w:t>)</w:t>
      </w:r>
      <w:r w:rsidR="008E6A41" w:rsidRPr="00B961E7">
        <w:rPr>
          <w:rFonts w:ascii="Book Antiqua" w:hAnsi="Book Antiqua" w:cs="Times New Roman"/>
          <w:sz w:val="24"/>
          <w:szCs w:val="24"/>
        </w:rPr>
        <w:t>.</w:t>
      </w:r>
    </w:p>
    <w:p w:rsidR="00245532" w:rsidRDefault="00D401DB" w:rsidP="00245532">
      <w:pPr>
        <w:autoSpaceDE w:val="0"/>
        <w:autoSpaceDN w:val="0"/>
        <w:adjustRightInd w:val="0"/>
        <w:spacing w:line="276" w:lineRule="auto"/>
        <w:jc w:val="center"/>
        <w:rPr>
          <w:rFonts w:ascii="Book Antiqua" w:hAnsi="Book Antiqua" w:cs="Times New Roman"/>
          <w:b/>
          <w:bCs/>
          <w:sz w:val="20"/>
          <w:szCs w:val="20"/>
        </w:rPr>
      </w:pPr>
      <w:r w:rsidRPr="00C036E5">
        <w:rPr>
          <w:rFonts w:ascii="Book Antiqua" w:hAnsi="Book Antiqua" w:cs="Times New Roman"/>
          <w:b/>
          <w:bCs/>
          <w:sz w:val="20"/>
          <w:szCs w:val="20"/>
        </w:rPr>
        <w:t xml:space="preserve">Figure </w:t>
      </w:r>
      <w:r w:rsidR="00461C49" w:rsidRPr="00C036E5">
        <w:rPr>
          <w:rFonts w:ascii="Book Antiqua" w:hAnsi="Book Antiqua" w:cs="Times New Roman"/>
          <w:b/>
          <w:bCs/>
          <w:sz w:val="20"/>
          <w:szCs w:val="20"/>
        </w:rPr>
        <w:t>5</w:t>
      </w:r>
      <w:r w:rsidRPr="00C036E5">
        <w:rPr>
          <w:rFonts w:ascii="Book Antiqua" w:hAnsi="Book Antiqua" w:cs="Times New Roman"/>
          <w:b/>
          <w:bCs/>
          <w:sz w:val="20"/>
          <w:szCs w:val="20"/>
        </w:rPr>
        <w:t xml:space="preserve">. Taux d’activité selon les régions au </w:t>
      </w:r>
      <w:r w:rsidR="00145C7E">
        <w:rPr>
          <w:rFonts w:ascii="Book Antiqua" w:hAnsi="Book Antiqua" w:cs="Times New Roman"/>
          <w:b/>
          <w:bCs/>
          <w:sz w:val="20"/>
          <w:szCs w:val="20"/>
        </w:rPr>
        <w:t xml:space="preserve">deuxième </w:t>
      </w:r>
      <w:r w:rsidRPr="00C036E5">
        <w:rPr>
          <w:rFonts w:ascii="Book Antiqua" w:hAnsi="Book Antiqua" w:cs="Times New Roman"/>
          <w:b/>
          <w:bCs/>
          <w:sz w:val="20"/>
          <w:szCs w:val="20"/>
        </w:rPr>
        <w:t xml:space="preserve">trimestre de </w:t>
      </w:r>
      <w:r w:rsidR="007A2EA8" w:rsidRPr="00C036E5">
        <w:rPr>
          <w:rFonts w:ascii="Book Antiqua" w:hAnsi="Book Antiqua" w:cs="Times New Roman"/>
          <w:b/>
          <w:bCs/>
          <w:sz w:val="20"/>
          <w:szCs w:val="20"/>
        </w:rPr>
        <w:t>2024</w:t>
      </w:r>
      <w:r w:rsidRPr="00C036E5">
        <w:rPr>
          <w:rFonts w:ascii="Book Antiqua" w:hAnsi="Book Antiqua" w:cs="Times New Roman"/>
          <w:b/>
          <w:bCs/>
          <w:sz w:val="20"/>
          <w:szCs w:val="20"/>
        </w:rPr>
        <w:t xml:space="preserve"> (en%)</w:t>
      </w:r>
    </w:p>
    <w:p w:rsidR="008E6A41" w:rsidRPr="00C036E5" w:rsidRDefault="00245532" w:rsidP="00245532">
      <w:pPr>
        <w:autoSpaceDE w:val="0"/>
        <w:autoSpaceDN w:val="0"/>
        <w:adjustRightInd w:val="0"/>
        <w:spacing w:line="276" w:lineRule="auto"/>
        <w:jc w:val="center"/>
        <w:rPr>
          <w:rFonts w:ascii="Book Antiqua" w:hAnsi="Book Antiqua" w:cs="Times New Roman"/>
          <w:b/>
          <w:bCs/>
          <w:sz w:val="20"/>
          <w:szCs w:val="20"/>
        </w:rPr>
      </w:pPr>
      <w:r w:rsidRPr="00245532">
        <w:rPr>
          <w:rFonts w:ascii="Book Antiqua" w:hAnsi="Book Antiqua" w:cs="Times New Roman"/>
          <w:b/>
          <w:bCs/>
          <w:noProof/>
          <w:sz w:val="20"/>
          <w:szCs w:val="20"/>
          <w:lang w:eastAsia="fr-FR"/>
        </w:rPr>
        <w:drawing>
          <wp:inline distT="0" distB="0" distL="0" distR="0">
            <wp:extent cx="4572000" cy="2743200"/>
            <wp:effectExtent l="0" t="0" r="0" b="0"/>
            <wp:docPr id="8"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401DB" w:rsidRPr="00B961E7" w:rsidRDefault="00906402" w:rsidP="00B93F42">
      <w:pPr>
        <w:spacing w:line="276" w:lineRule="auto"/>
        <w:ind w:right="76"/>
        <w:jc w:val="both"/>
        <w:rPr>
          <w:rFonts w:ascii="Book Antiqua" w:hAnsi="Book Antiqua" w:cs="Times New Roman"/>
          <w:sz w:val="24"/>
          <w:szCs w:val="24"/>
        </w:rPr>
      </w:pPr>
      <w:r>
        <w:rPr>
          <w:rFonts w:ascii="Book Antiqua" w:hAnsi="Book Antiqua"/>
          <w:sz w:val="24"/>
          <w:szCs w:val="24"/>
        </w:rPr>
        <w:t>S’ag</w:t>
      </w:r>
      <w:r w:rsidR="00015F97" w:rsidRPr="00B961E7">
        <w:rPr>
          <w:rFonts w:ascii="Book Antiqua" w:hAnsi="Book Antiqua"/>
          <w:sz w:val="24"/>
          <w:szCs w:val="24"/>
        </w:rPr>
        <w:t>is</w:t>
      </w:r>
      <w:r>
        <w:rPr>
          <w:rFonts w:ascii="Book Antiqua" w:hAnsi="Book Antiqua"/>
          <w:sz w:val="24"/>
          <w:szCs w:val="24"/>
        </w:rPr>
        <w:t>s</w:t>
      </w:r>
      <w:r w:rsidR="00015F97" w:rsidRPr="00B961E7">
        <w:rPr>
          <w:rFonts w:ascii="Book Antiqua" w:hAnsi="Book Antiqua"/>
          <w:sz w:val="24"/>
          <w:szCs w:val="24"/>
        </w:rPr>
        <w:t xml:space="preserve">ant </w:t>
      </w:r>
      <w:r w:rsidR="00D401DB" w:rsidRPr="00B961E7">
        <w:rPr>
          <w:rFonts w:ascii="Book Antiqua" w:hAnsi="Book Antiqua"/>
          <w:sz w:val="24"/>
          <w:szCs w:val="24"/>
        </w:rPr>
        <w:t>du chôm</w:t>
      </w:r>
      <w:r w:rsidR="00A846F8" w:rsidRPr="00B961E7">
        <w:rPr>
          <w:rFonts w:ascii="Book Antiqua" w:hAnsi="Book Antiqua"/>
          <w:sz w:val="24"/>
          <w:szCs w:val="24"/>
        </w:rPr>
        <w:t xml:space="preserve">age, cinq régions concentrent </w:t>
      </w:r>
      <w:r w:rsidR="00245532">
        <w:rPr>
          <w:rFonts w:ascii="Book Antiqua" w:hAnsi="Book Antiqua"/>
          <w:sz w:val="24"/>
          <w:szCs w:val="24"/>
        </w:rPr>
        <w:t>69,5</w:t>
      </w:r>
      <w:r w:rsidR="00D401DB" w:rsidRPr="00B961E7">
        <w:rPr>
          <w:rFonts w:ascii="Book Antiqua" w:hAnsi="Book Antiqua"/>
          <w:sz w:val="24"/>
          <w:szCs w:val="24"/>
        </w:rPr>
        <w:t>%</w:t>
      </w:r>
      <w:r w:rsidR="00015F97" w:rsidRPr="00B961E7">
        <w:rPr>
          <w:rFonts w:ascii="Book Antiqua" w:hAnsi="Book Antiqua" w:cs="Times New Roman"/>
          <w:sz w:val="24"/>
          <w:szCs w:val="24"/>
        </w:rPr>
        <w:t xml:space="preserve"> des chômeurs. La région de</w:t>
      </w:r>
      <w:r w:rsidR="00D401DB" w:rsidRPr="00B961E7">
        <w:rPr>
          <w:rFonts w:ascii="Book Antiqua" w:hAnsi="Book Antiqua" w:cs="Times New Roman"/>
          <w:sz w:val="24"/>
          <w:szCs w:val="24"/>
        </w:rPr>
        <w:t xml:space="preserve"> Casabla</w:t>
      </w:r>
      <w:r w:rsidR="00A846F8" w:rsidRPr="00B961E7">
        <w:rPr>
          <w:rFonts w:ascii="Book Antiqua" w:hAnsi="Book Antiqua" w:cs="Times New Roman"/>
          <w:sz w:val="24"/>
          <w:szCs w:val="24"/>
        </w:rPr>
        <w:t>nca-Settat vient en tête avec 25,</w:t>
      </w:r>
      <w:r w:rsidR="00245532">
        <w:rPr>
          <w:rFonts w:ascii="Book Antiqua" w:hAnsi="Book Antiqua" w:cs="Times New Roman"/>
          <w:sz w:val="24"/>
          <w:szCs w:val="24"/>
        </w:rPr>
        <w:t>8</w:t>
      </w:r>
      <w:r w:rsidR="00A846F8" w:rsidRPr="00B961E7">
        <w:rPr>
          <w:rFonts w:ascii="Book Antiqua" w:hAnsi="Book Antiqua" w:cs="Times New Roman"/>
          <w:sz w:val="24"/>
          <w:szCs w:val="24"/>
        </w:rPr>
        <w:t>%, suivie</w:t>
      </w:r>
      <w:r w:rsidR="00245532">
        <w:rPr>
          <w:rFonts w:ascii="Book Antiqua" w:hAnsi="Book Antiqua" w:cs="Times New Roman"/>
          <w:sz w:val="24"/>
          <w:szCs w:val="24"/>
        </w:rPr>
        <w:t xml:space="preserve"> </w:t>
      </w:r>
      <w:r w:rsidR="00245532" w:rsidRPr="00B961E7">
        <w:rPr>
          <w:rFonts w:ascii="Book Antiqua" w:hAnsi="Book Antiqua" w:cs="Times New Roman"/>
          <w:sz w:val="24"/>
          <w:szCs w:val="24"/>
        </w:rPr>
        <w:t>de Rabat-Salé-Kénitra (13</w:t>
      </w:r>
      <w:r w:rsidR="00245532">
        <w:rPr>
          <w:rFonts w:ascii="Book Antiqua" w:hAnsi="Book Antiqua" w:cs="Times New Roman"/>
          <w:sz w:val="24"/>
          <w:szCs w:val="24"/>
        </w:rPr>
        <w:t>,3</w:t>
      </w:r>
      <w:r w:rsidR="00245532" w:rsidRPr="00B961E7">
        <w:rPr>
          <w:rFonts w:ascii="Book Antiqua" w:hAnsi="Book Antiqua" w:cs="Times New Roman"/>
          <w:sz w:val="24"/>
          <w:szCs w:val="24"/>
        </w:rPr>
        <w:t>%),</w:t>
      </w:r>
      <w:r w:rsidR="00245532">
        <w:rPr>
          <w:rFonts w:ascii="Book Antiqua" w:hAnsi="Book Antiqua" w:cs="Times New Roman"/>
          <w:sz w:val="24"/>
          <w:szCs w:val="24"/>
        </w:rPr>
        <w:t xml:space="preserve"> </w:t>
      </w:r>
      <w:r w:rsidR="00A846F8" w:rsidRPr="00B961E7">
        <w:rPr>
          <w:rFonts w:ascii="Book Antiqua" w:hAnsi="Book Antiqua" w:cs="Times New Roman"/>
          <w:sz w:val="24"/>
          <w:szCs w:val="24"/>
        </w:rPr>
        <w:t>de Fès-Meknès (1</w:t>
      </w:r>
      <w:r w:rsidR="00245532">
        <w:rPr>
          <w:rFonts w:ascii="Book Antiqua" w:hAnsi="Book Antiqua" w:cs="Times New Roman"/>
          <w:sz w:val="24"/>
          <w:szCs w:val="24"/>
        </w:rPr>
        <w:t>1,9</w:t>
      </w:r>
      <w:r w:rsidR="00A846F8" w:rsidRPr="00B961E7">
        <w:rPr>
          <w:rFonts w:ascii="Book Antiqua" w:hAnsi="Book Antiqua" w:cs="Times New Roman"/>
          <w:sz w:val="24"/>
          <w:szCs w:val="24"/>
        </w:rPr>
        <w:t>%), de l’Oriental (10</w:t>
      </w:r>
      <w:r w:rsidR="00245532">
        <w:rPr>
          <w:rFonts w:ascii="Book Antiqua" w:hAnsi="Book Antiqua" w:cs="Times New Roman"/>
          <w:sz w:val="24"/>
          <w:szCs w:val="24"/>
        </w:rPr>
        <w:t>,4</w:t>
      </w:r>
      <w:r w:rsidR="00A846F8" w:rsidRPr="00B961E7">
        <w:rPr>
          <w:rFonts w:ascii="Book Antiqua" w:hAnsi="Book Antiqua" w:cs="Times New Roman"/>
          <w:sz w:val="24"/>
          <w:szCs w:val="24"/>
        </w:rPr>
        <w:t xml:space="preserve">%) et de </w:t>
      </w:r>
      <w:r w:rsidR="00D401DB" w:rsidRPr="00B961E7">
        <w:rPr>
          <w:rFonts w:ascii="Book Antiqua" w:hAnsi="Book Antiqua" w:cs="Times New Roman"/>
          <w:sz w:val="24"/>
          <w:szCs w:val="24"/>
        </w:rPr>
        <w:t>Tan</w:t>
      </w:r>
      <w:r w:rsidR="00015F97" w:rsidRPr="00B961E7">
        <w:rPr>
          <w:rFonts w:ascii="Book Antiqua" w:hAnsi="Book Antiqua" w:cs="Times New Roman"/>
          <w:sz w:val="24"/>
          <w:szCs w:val="24"/>
        </w:rPr>
        <w:t>ger-Tétouan</w:t>
      </w:r>
      <w:r w:rsidR="00A846F8" w:rsidRPr="00B961E7">
        <w:rPr>
          <w:rFonts w:ascii="Book Antiqua" w:hAnsi="Book Antiqua" w:cs="Times New Roman"/>
          <w:sz w:val="24"/>
          <w:szCs w:val="24"/>
        </w:rPr>
        <w:t>-Al Hoceima (</w:t>
      </w:r>
      <w:r w:rsidR="00245532">
        <w:rPr>
          <w:rFonts w:ascii="Book Antiqua" w:hAnsi="Book Antiqua" w:cs="Times New Roman"/>
          <w:sz w:val="24"/>
          <w:szCs w:val="24"/>
        </w:rPr>
        <w:t>8,2</w:t>
      </w:r>
      <w:r w:rsidR="00015F97" w:rsidRPr="00B961E7">
        <w:rPr>
          <w:rFonts w:ascii="Book Antiqua" w:hAnsi="Book Antiqua" w:cs="Times New Roman"/>
          <w:sz w:val="24"/>
          <w:szCs w:val="24"/>
        </w:rPr>
        <w:t>%)</w:t>
      </w:r>
      <w:r w:rsidR="00A846F8" w:rsidRPr="00B961E7">
        <w:rPr>
          <w:rFonts w:ascii="Book Antiqua" w:hAnsi="Book Antiqua" w:cs="Times New Roman"/>
          <w:sz w:val="24"/>
          <w:szCs w:val="24"/>
        </w:rPr>
        <w:t xml:space="preserve">. </w:t>
      </w:r>
    </w:p>
    <w:p w:rsidR="00D401DB" w:rsidRPr="00415954" w:rsidRDefault="00D401DB" w:rsidP="00256254">
      <w:pPr>
        <w:jc w:val="both"/>
        <w:rPr>
          <w:rFonts w:ascii="Book Antiqua" w:hAnsi="Book Antiqua"/>
          <w:sz w:val="24"/>
          <w:szCs w:val="24"/>
        </w:rPr>
      </w:pPr>
      <w:r w:rsidRPr="00415954">
        <w:rPr>
          <w:rFonts w:ascii="Book Antiqua" w:hAnsi="Book Antiqua"/>
          <w:sz w:val="24"/>
          <w:szCs w:val="24"/>
        </w:rPr>
        <w:t>Les taux de chômage les pl</w:t>
      </w:r>
      <w:r w:rsidR="00A846F8" w:rsidRPr="00415954">
        <w:rPr>
          <w:rFonts w:ascii="Book Antiqua" w:hAnsi="Book Antiqua"/>
          <w:sz w:val="24"/>
          <w:szCs w:val="24"/>
        </w:rPr>
        <w:t xml:space="preserve">us élevés sont observés </w:t>
      </w:r>
      <w:r w:rsidR="00245532" w:rsidRPr="00415954">
        <w:rPr>
          <w:rFonts w:ascii="Book Antiqua" w:hAnsi="Book Antiqua"/>
          <w:sz w:val="24"/>
          <w:szCs w:val="24"/>
        </w:rPr>
        <w:t>dans les régions du Sud (22,9%)</w:t>
      </w:r>
      <w:r w:rsidR="005276F5">
        <w:rPr>
          <w:rFonts w:ascii="Book Antiqua" w:hAnsi="Book Antiqua"/>
          <w:sz w:val="24"/>
          <w:szCs w:val="24"/>
        </w:rPr>
        <w:t xml:space="preserve"> et </w:t>
      </w:r>
      <w:r w:rsidR="00A846F8" w:rsidRPr="00415954">
        <w:rPr>
          <w:rFonts w:ascii="Book Antiqua" w:hAnsi="Book Antiqua"/>
          <w:sz w:val="24"/>
          <w:szCs w:val="24"/>
        </w:rPr>
        <w:t>de l’</w:t>
      </w:r>
      <w:r w:rsidR="00906402" w:rsidRPr="00415954">
        <w:rPr>
          <w:rFonts w:ascii="Book Antiqua" w:hAnsi="Book Antiqua"/>
          <w:sz w:val="24"/>
          <w:szCs w:val="24"/>
        </w:rPr>
        <w:t>Oriental</w:t>
      </w:r>
      <w:r w:rsidR="00245532" w:rsidRPr="00415954">
        <w:rPr>
          <w:rFonts w:ascii="Book Antiqua" w:hAnsi="Book Antiqua"/>
          <w:sz w:val="24"/>
          <w:szCs w:val="24"/>
        </w:rPr>
        <w:t xml:space="preserve"> (21,1</w:t>
      </w:r>
      <w:r w:rsidR="00A846F8" w:rsidRPr="00415954">
        <w:rPr>
          <w:rFonts w:ascii="Book Antiqua" w:hAnsi="Book Antiqua"/>
          <w:sz w:val="24"/>
          <w:szCs w:val="24"/>
        </w:rPr>
        <w:t>%)</w:t>
      </w:r>
      <w:r w:rsidR="00F246F7">
        <w:rPr>
          <w:rFonts w:ascii="Book Antiqua" w:hAnsi="Book Antiqua"/>
          <w:sz w:val="24"/>
          <w:szCs w:val="24"/>
        </w:rPr>
        <w:t>.</w:t>
      </w:r>
      <w:r w:rsidRPr="00415954">
        <w:rPr>
          <w:rFonts w:ascii="Book Antiqua" w:hAnsi="Book Antiqua"/>
          <w:sz w:val="24"/>
          <w:szCs w:val="24"/>
        </w:rPr>
        <w:t xml:space="preserve"> Avec moins d’acuité, </w:t>
      </w:r>
      <w:r w:rsidR="00415954" w:rsidRPr="00415954">
        <w:rPr>
          <w:rFonts w:ascii="Book Antiqua" w:hAnsi="Book Antiqua"/>
          <w:sz w:val="24"/>
          <w:szCs w:val="24"/>
        </w:rPr>
        <w:t>trois</w:t>
      </w:r>
      <w:r w:rsidRPr="00415954">
        <w:rPr>
          <w:rFonts w:ascii="Book Antiqua" w:hAnsi="Book Antiqua"/>
          <w:sz w:val="24"/>
          <w:szCs w:val="24"/>
        </w:rPr>
        <w:t xml:space="preserve"> régions dé</w:t>
      </w:r>
      <w:r w:rsidR="00A846F8" w:rsidRPr="00415954">
        <w:rPr>
          <w:rFonts w:ascii="Book Antiqua" w:hAnsi="Book Antiqua"/>
          <w:sz w:val="24"/>
          <w:szCs w:val="24"/>
        </w:rPr>
        <w:t>pa</w:t>
      </w:r>
      <w:r w:rsidR="00415954" w:rsidRPr="00415954">
        <w:rPr>
          <w:rFonts w:ascii="Book Antiqua" w:hAnsi="Book Antiqua"/>
          <w:sz w:val="24"/>
          <w:szCs w:val="24"/>
        </w:rPr>
        <w:t>ssent la moyenne nationale (13,1</w:t>
      </w:r>
      <w:r w:rsidRPr="00415954">
        <w:rPr>
          <w:rFonts w:ascii="Book Antiqua" w:hAnsi="Book Antiqua"/>
          <w:sz w:val="24"/>
          <w:szCs w:val="24"/>
        </w:rPr>
        <w:t>%) à savoir</w:t>
      </w:r>
      <w:r w:rsidR="004805D0" w:rsidRPr="00415954">
        <w:rPr>
          <w:rFonts w:ascii="Book Antiqua" w:hAnsi="Book Antiqua"/>
          <w:sz w:val="24"/>
          <w:szCs w:val="24"/>
        </w:rPr>
        <w:t xml:space="preserve"> </w:t>
      </w:r>
      <w:r w:rsidRPr="00415954">
        <w:rPr>
          <w:rFonts w:ascii="Book Antiqua" w:hAnsi="Book Antiqua"/>
          <w:sz w:val="24"/>
          <w:szCs w:val="24"/>
        </w:rPr>
        <w:t>Casablanca-Settat (1</w:t>
      </w:r>
      <w:r w:rsidR="00245532" w:rsidRPr="00415954">
        <w:rPr>
          <w:rFonts w:ascii="Book Antiqua" w:hAnsi="Book Antiqua"/>
          <w:sz w:val="24"/>
          <w:szCs w:val="24"/>
        </w:rPr>
        <w:t>4,9</w:t>
      </w:r>
      <w:r w:rsidRPr="00415954">
        <w:rPr>
          <w:rFonts w:ascii="Book Antiqua" w:hAnsi="Book Antiqua"/>
          <w:sz w:val="24"/>
          <w:szCs w:val="24"/>
        </w:rPr>
        <w:t>%)</w:t>
      </w:r>
      <w:r w:rsidR="00415954" w:rsidRPr="00415954">
        <w:rPr>
          <w:rFonts w:ascii="Book Antiqua" w:hAnsi="Book Antiqua"/>
          <w:sz w:val="24"/>
          <w:szCs w:val="24"/>
        </w:rPr>
        <w:t>,</w:t>
      </w:r>
      <w:r w:rsidR="00E766AB" w:rsidRPr="00415954">
        <w:rPr>
          <w:rFonts w:ascii="Book Antiqua" w:hAnsi="Book Antiqua" w:hint="cs"/>
          <w:sz w:val="24"/>
          <w:szCs w:val="24"/>
          <w:rtl/>
        </w:rPr>
        <w:t xml:space="preserve"> </w:t>
      </w:r>
      <w:r w:rsidR="00415954" w:rsidRPr="00245532">
        <w:rPr>
          <w:rFonts w:ascii="Book Antiqua" w:hAnsi="Book Antiqua"/>
          <w:sz w:val="24"/>
          <w:szCs w:val="24"/>
        </w:rPr>
        <w:t>Béni Mellal-Khénifra</w:t>
      </w:r>
      <w:r w:rsidR="00415954" w:rsidRPr="00415954">
        <w:rPr>
          <w:rFonts w:ascii="Book Antiqua" w:hAnsi="Book Antiqua"/>
          <w:sz w:val="24"/>
          <w:szCs w:val="24"/>
        </w:rPr>
        <w:t xml:space="preserve"> (14,7%) </w:t>
      </w:r>
      <w:r w:rsidR="00E766AB" w:rsidRPr="00415954">
        <w:rPr>
          <w:rFonts w:ascii="Book Antiqua" w:hAnsi="Book Antiqua"/>
          <w:sz w:val="24"/>
          <w:szCs w:val="24"/>
        </w:rPr>
        <w:t xml:space="preserve">et </w:t>
      </w:r>
      <w:r w:rsidR="00A846F8" w:rsidRPr="00415954">
        <w:rPr>
          <w:rFonts w:ascii="Book Antiqua" w:hAnsi="Book Antiqua"/>
          <w:sz w:val="24"/>
          <w:szCs w:val="24"/>
        </w:rPr>
        <w:t>Fès-Meknès (1</w:t>
      </w:r>
      <w:r w:rsidR="00415954" w:rsidRPr="00415954">
        <w:rPr>
          <w:rFonts w:ascii="Book Antiqua" w:hAnsi="Book Antiqua"/>
          <w:sz w:val="24"/>
          <w:szCs w:val="24"/>
        </w:rPr>
        <w:t>3,6</w:t>
      </w:r>
      <w:r w:rsidRPr="00415954">
        <w:rPr>
          <w:rFonts w:ascii="Book Antiqua" w:hAnsi="Book Antiqua"/>
          <w:sz w:val="24"/>
          <w:szCs w:val="24"/>
        </w:rPr>
        <w:t>%)</w:t>
      </w:r>
      <w:r w:rsidR="00256254">
        <w:rPr>
          <w:rFonts w:ascii="Book Antiqua" w:hAnsi="Book Antiqua"/>
          <w:sz w:val="24"/>
          <w:szCs w:val="24"/>
        </w:rPr>
        <w:t xml:space="preserve">. </w:t>
      </w:r>
      <w:r w:rsidRPr="00415954">
        <w:rPr>
          <w:rFonts w:ascii="Book Antiqua" w:hAnsi="Book Antiqua"/>
          <w:sz w:val="24"/>
          <w:szCs w:val="24"/>
        </w:rPr>
        <w:t>Cependant, les régions de</w:t>
      </w:r>
      <w:r w:rsidR="00940768" w:rsidRPr="00415954">
        <w:rPr>
          <w:rFonts w:ascii="Book Antiqua" w:hAnsi="Book Antiqua"/>
          <w:sz w:val="24"/>
          <w:szCs w:val="24"/>
        </w:rPr>
        <w:t xml:space="preserve"> </w:t>
      </w:r>
      <w:r w:rsidRPr="00415954">
        <w:rPr>
          <w:rFonts w:ascii="Book Antiqua" w:hAnsi="Book Antiqua"/>
          <w:sz w:val="24"/>
          <w:szCs w:val="24"/>
        </w:rPr>
        <w:t xml:space="preserve">Marrakech-Safi, </w:t>
      </w:r>
      <w:r w:rsidR="00A846F8" w:rsidRPr="00415954">
        <w:rPr>
          <w:rFonts w:ascii="Book Antiqua" w:hAnsi="Book Antiqua"/>
          <w:sz w:val="24"/>
          <w:szCs w:val="24"/>
        </w:rPr>
        <w:t xml:space="preserve">de Tanger-Tétouan-Al Hoceima et </w:t>
      </w:r>
      <w:r w:rsidRPr="00415954">
        <w:rPr>
          <w:rFonts w:ascii="Book Antiqua" w:hAnsi="Book Antiqua"/>
          <w:sz w:val="24"/>
          <w:szCs w:val="24"/>
        </w:rPr>
        <w:t>de Drâa-Tafilalet enregistrent les taux les plus bas</w:t>
      </w:r>
      <w:r w:rsidR="00015F97" w:rsidRPr="00415954">
        <w:rPr>
          <w:rFonts w:ascii="Book Antiqua" w:hAnsi="Book Antiqua"/>
          <w:sz w:val="24"/>
          <w:szCs w:val="24"/>
        </w:rPr>
        <w:t xml:space="preserve">, </w:t>
      </w:r>
      <w:r w:rsidR="00B961E7" w:rsidRPr="00415954">
        <w:rPr>
          <w:rFonts w:ascii="Book Antiqua" w:hAnsi="Book Antiqua"/>
          <w:sz w:val="24"/>
          <w:szCs w:val="24"/>
        </w:rPr>
        <w:t>respectivement 8,</w:t>
      </w:r>
      <w:r w:rsidR="00415954" w:rsidRPr="00415954">
        <w:rPr>
          <w:rFonts w:ascii="Book Antiqua" w:hAnsi="Book Antiqua"/>
          <w:sz w:val="24"/>
          <w:szCs w:val="24"/>
        </w:rPr>
        <w:t>1</w:t>
      </w:r>
      <w:r w:rsidR="00B961E7" w:rsidRPr="00415954">
        <w:rPr>
          <w:rFonts w:ascii="Book Antiqua" w:hAnsi="Book Antiqua"/>
          <w:sz w:val="24"/>
          <w:szCs w:val="24"/>
        </w:rPr>
        <w:t xml:space="preserve">%, </w:t>
      </w:r>
      <w:r w:rsidR="00415954" w:rsidRPr="00415954">
        <w:rPr>
          <w:rFonts w:ascii="Book Antiqua" w:hAnsi="Book Antiqua"/>
          <w:sz w:val="24"/>
          <w:szCs w:val="24"/>
        </w:rPr>
        <w:t>8,9</w:t>
      </w:r>
      <w:r w:rsidR="00B961E7" w:rsidRPr="00415954">
        <w:rPr>
          <w:rFonts w:ascii="Book Antiqua" w:hAnsi="Book Antiqua"/>
          <w:sz w:val="24"/>
          <w:szCs w:val="24"/>
        </w:rPr>
        <w:t xml:space="preserve">% et </w:t>
      </w:r>
      <w:r w:rsidR="00415954" w:rsidRPr="00415954">
        <w:rPr>
          <w:rFonts w:ascii="Book Antiqua" w:hAnsi="Book Antiqua"/>
          <w:sz w:val="24"/>
          <w:szCs w:val="24"/>
        </w:rPr>
        <w:t>9,6</w:t>
      </w:r>
      <w:r w:rsidRPr="00415954">
        <w:rPr>
          <w:rFonts w:ascii="Book Antiqua" w:hAnsi="Book Antiqua"/>
          <w:sz w:val="24"/>
          <w:szCs w:val="24"/>
        </w:rPr>
        <w:t xml:space="preserve">%. </w:t>
      </w:r>
    </w:p>
    <w:p w:rsidR="00A846F8" w:rsidRDefault="00A846F8">
      <w:pPr>
        <w:rPr>
          <w:rFonts w:ascii="Book Antiqua" w:hAnsi="Book Antiqua" w:cs="Times New Roman"/>
          <w:b/>
          <w:bCs/>
          <w:sz w:val="20"/>
          <w:szCs w:val="20"/>
        </w:rPr>
      </w:pPr>
    </w:p>
    <w:p w:rsidR="006E715E" w:rsidRDefault="006E715E">
      <w:pPr>
        <w:rPr>
          <w:rFonts w:ascii="Book Antiqua" w:hAnsi="Book Antiqua" w:cs="Times New Roman"/>
          <w:b/>
          <w:bCs/>
          <w:sz w:val="20"/>
          <w:szCs w:val="20"/>
        </w:rPr>
      </w:pPr>
      <w:r>
        <w:rPr>
          <w:rFonts w:ascii="Book Antiqua" w:hAnsi="Book Antiqua" w:cs="Times New Roman"/>
          <w:b/>
          <w:bCs/>
          <w:sz w:val="20"/>
          <w:szCs w:val="20"/>
        </w:rPr>
        <w:br w:type="page"/>
      </w:r>
    </w:p>
    <w:p w:rsidR="00A846F8" w:rsidRDefault="00D401DB" w:rsidP="00461C49">
      <w:pPr>
        <w:jc w:val="center"/>
        <w:rPr>
          <w:rFonts w:ascii="Book Antiqua" w:hAnsi="Book Antiqua" w:cs="Times New Roman"/>
          <w:b/>
          <w:bCs/>
          <w:sz w:val="20"/>
          <w:szCs w:val="20"/>
        </w:rPr>
      </w:pPr>
      <w:r w:rsidRPr="00C036E5">
        <w:rPr>
          <w:rFonts w:ascii="Book Antiqua" w:hAnsi="Book Antiqua" w:cs="Times New Roman"/>
          <w:b/>
          <w:bCs/>
          <w:sz w:val="20"/>
          <w:szCs w:val="20"/>
        </w:rPr>
        <w:lastRenderedPageBreak/>
        <w:t xml:space="preserve">Figure </w:t>
      </w:r>
      <w:r w:rsidR="00461C49" w:rsidRPr="00C036E5">
        <w:rPr>
          <w:rFonts w:ascii="Book Antiqua" w:hAnsi="Book Antiqua" w:cs="Times New Roman"/>
          <w:b/>
          <w:bCs/>
          <w:sz w:val="20"/>
          <w:szCs w:val="20"/>
        </w:rPr>
        <w:t>6</w:t>
      </w:r>
      <w:r w:rsidRPr="00C036E5">
        <w:rPr>
          <w:rFonts w:ascii="Book Antiqua" w:hAnsi="Book Antiqua" w:cs="Times New Roman"/>
          <w:b/>
          <w:bCs/>
          <w:sz w:val="20"/>
          <w:szCs w:val="20"/>
        </w:rPr>
        <w:t xml:space="preserve">. Taux de chômage selon les régions au </w:t>
      </w:r>
      <w:r w:rsidR="00145C7E">
        <w:rPr>
          <w:rFonts w:ascii="Book Antiqua" w:hAnsi="Book Antiqua" w:cs="Times New Roman"/>
          <w:b/>
          <w:bCs/>
          <w:sz w:val="20"/>
          <w:szCs w:val="20"/>
        </w:rPr>
        <w:t xml:space="preserve">deuxième </w:t>
      </w:r>
      <w:r w:rsidRPr="00C036E5">
        <w:rPr>
          <w:rFonts w:ascii="Book Antiqua" w:hAnsi="Book Antiqua" w:cs="Times New Roman"/>
          <w:b/>
          <w:bCs/>
          <w:sz w:val="20"/>
          <w:szCs w:val="20"/>
        </w:rPr>
        <w:t xml:space="preserve"> trimestre de </w:t>
      </w:r>
      <w:r w:rsidR="007A2EA8" w:rsidRPr="00C036E5">
        <w:rPr>
          <w:rFonts w:ascii="Book Antiqua" w:hAnsi="Book Antiqua" w:cs="Times New Roman"/>
          <w:b/>
          <w:bCs/>
          <w:sz w:val="20"/>
          <w:szCs w:val="20"/>
        </w:rPr>
        <w:t>2024</w:t>
      </w:r>
      <w:r w:rsidRPr="00C036E5">
        <w:rPr>
          <w:rFonts w:ascii="Book Antiqua" w:hAnsi="Book Antiqua" w:cs="Times New Roman"/>
          <w:b/>
          <w:bCs/>
          <w:sz w:val="20"/>
          <w:szCs w:val="20"/>
        </w:rPr>
        <w:t xml:space="preserve"> (en%)</w:t>
      </w:r>
    </w:p>
    <w:p w:rsidR="00D401DB" w:rsidRPr="00C036E5" w:rsidRDefault="00245532" w:rsidP="00461C49">
      <w:pPr>
        <w:jc w:val="center"/>
        <w:rPr>
          <w:rFonts w:ascii="Book Antiqua" w:hAnsi="Book Antiqua" w:cs="Times New Roman"/>
          <w:sz w:val="24"/>
          <w:szCs w:val="24"/>
        </w:rPr>
      </w:pPr>
      <w:r w:rsidRPr="00245532">
        <w:rPr>
          <w:rFonts w:ascii="Book Antiqua" w:hAnsi="Book Antiqua" w:cs="Browallia New"/>
          <w:b/>
          <w:bCs/>
          <w:noProof/>
          <w:color w:val="4472C4" w:themeColor="accent1"/>
          <w:sz w:val="20"/>
          <w:szCs w:val="20"/>
          <w:lang w:eastAsia="fr-FR"/>
        </w:rPr>
        <w:drawing>
          <wp:inline distT="0" distB="0" distL="0" distR="0">
            <wp:extent cx="4572000" cy="2743200"/>
            <wp:effectExtent l="0" t="0" r="0" b="0"/>
            <wp:docPr id="9"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45532" w:rsidRDefault="00245532">
      <w:pPr>
        <w:rPr>
          <w:rFonts w:ascii="Book Antiqua" w:hAnsi="Book Antiqua" w:cs="Browallia New"/>
          <w:b/>
          <w:bCs/>
          <w:color w:val="4472C4" w:themeColor="accent1"/>
          <w:sz w:val="20"/>
          <w:szCs w:val="20"/>
        </w:rPr>
      </w:pPr>
      <w:r>
        <w:rPr>
          <w:rFonts w:ascii="Book Antiqua" w:hAnsi="Book Antiqua" w:cs="Browallia New"/>
          <w:b/>
          <w:bCs/>
          <w:color w:val="4472C4" w:themeColor="accent1"/>
          <w:sz w:val="20"/>
          <w:szCs w:val="20"/>
        </w:rPr>
        <w:br w:type="page"/>
      </w:r>
    </w:p>
    <w:p w:rsidR="00D401DB" w:rsidRPr="00C036E5" w:rsidRDefault="00D401DB" w:rsidP="004E4854">
      <w:pPr>
        <w:spacing w:line="240" w:lineRule="auto"/>
        <w:jc w:val="center"/>
        <w:rPr>
          <w:rFonts w:ascii="Book Antiqua" w:hAnsi="Book Antiqua" w:cs="Browallia New"/>
          <w:b/>
          <w:bCs/>
          <w:color w:val="4472C4" w:themeColor="accent1"/>
          <w:sz w:val="20"/>
          <w:szCs w:val="20"/>
          <w:vertAlign w:val="superscript"/>
        </w:rPr>
      </w:pPr>
      <w:r w:rsidRPr="00C036E5">
        <w:rPr>
          <w:rFonts w:ascii="Book Antiqua" w:hAnsi="Book Antiqua" w:cs="Browallia New"/>
          <w:b/>
          <w:bCs/>
          <w:color w:val="4472C4" w:themeColor="accent1"/>
          <w:sz w:val="20"/>
          <w:szCs w:val="20"/>
        </w:rPr>
        <w:lastRenderedPageBreak/>
        <w:t>Tableau</w:t>
      </w:r>
      <w:r w:rsidR="0037275B">
        <w:rPr>
          <w:rFonts w:ascii="Book Antiqua" w:hAnsi="Book Antiqua" w:cs="Browallia New"/>
          <w:b/>
          <w:bCs/>
          <w:color w:val="4472C4" w:themeColor="accent1"/>
          <w:sz w:val="20"/>
          <w:szCs w:val="20"/>
        </w:rPr>
        <w:t xml:space="preserve"> 1 : Indicateurs trimestriels de l’activité, de l’emploi et du </w:t>
      </w:r>
      <w:r w:rsidRPr="00C036E5">
        <w:rPr>
          <w:rFonts w:ascii="Book Antiqua" w:hAnsi="Book Antiqua" w:cs="Browallia New"/>
          <w:b/>
          <w:bCs/>
          <w:color w:val="4472C4" w:themeColor="accent1"/>
          <w:sz w:val="20"/>
          <w:szCs w:val="20"/>
        </w:rPr>
        <w:t>chômage par milieu de résidence</w:t>
      </w:r>
      <w:r w:rsidRPr="00C036E5">
        <w:rPr>
          <w:rFonts w:ascii="Book Antiqua" w:hAnsi="Book Antiqua" w:cs="Browallia New"/>
          <w:b/>
          <w:bCs/>
          <w:color w:val="4472C4" w:themeColor="accent1"/>
          <w:sz w:val="20"/>
          <w:szCs w:val="20"/>
          <w:vertAlign w:val="superscript"/>
        </w:rPr>
        <w:t xml:space="preserve"> (1)</w:t>
      </w:r>
    </w:p>
    <w:tbl>
      <w:tblPr>
        <w:tblW w:w="9429" w:type="dxa"/>
        <w:tblInd w:w="-72" w:type="dxa"/>
        <w:tblCellMar>
          <w:left w:w="70" w:type="dxa"/>
          <w:right w:w="70" w:type="dxa"/>
        </w:tblCellMar>
        <w:tblLook w:val="04A0"/>
      </w:tblPr>
      <w:tblGrid>
        <w:gridCol w:w="4253"/>
        <w:gridCol w:w="738"/>
        <w:gridCol w:w="879"/>
        <w:gridCol w:w="921"/>
        <w:gridCol w:w="876"/>
        <w:gridCol w:w="841"/>
        <w:gridCol w:w="921"/>
      </w:tblGrid>
      <w:tr w:rsidR="00D401DB" w:rsidRPr="00C036E5" w:rsidTr="003703AC">
        <w:trPr>
          <w:trHeight w:hRule="exact" w:val="340"/>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401DB" w:rsidRPr="00C036E5" w:rsidRDefault="00D401DB" w:rsidP="00FB4D04">
            <w:pPr>
              <w:bidi/>
              <w:spacing w:after="0" w:line="240" w:lineRule="auto"/>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rtl/>
                <w:lang w:eastAsia="fr-FR"/>
              </w:rPr>
              <w:t> </w:t>
            </w:r>
          </w:p>
        </w:tc>
        <w:tc>
          <w:tcPr>
            <w:tcW w:w="2538" w:type="dxa"/>
            <w:gridSpan w:val="3"/>
            <w:tcBorders>
              <w:top w:val="single" w:sz="4" w:space="0" w:color="auto"/>
              <w:left w:val="nil"/>
              <w:bottom w:val="single" w:sz="4" w:space="0" w:color="auto"/>
              <w:right w:val="single" w:sz="4" w:space="0" w:color="auto"/>
            </w:tcBorders>
            <w:shd w:val="clear" w:color="auto" w:fill="auto"/>
            <w:noWrap/>
            <w:hideMark/>
          </w:tcPr>
          <w:p w:rsidR="00D401DB" w:rsidRPr="00C036E5" w:rsidRDefault="001A6732" w:rsidP="000F5704">
            <w:pPr>
              <w:spacing w:after="0" w:line="240" w:lineRule="auto"/>
              <w:jc w:val="center"/>
              <w:rPr>
                <w:rFonts w:ascii="Garamond" w:eastAsia="Times New Roman" w:hAnsi="Garamond" w:cs="Calibri"/>
                <w:b/>
                <w:bCs/>
                <w:color w:val="000000"/>
                <w:sz w:val="18"/>
                <w:szCs w:val="18"/>
                <w:lang w:eastAsia="fr-FR"/>
              </w:rPr>
            </w:pPr>
            <w:r>
              <w:rPr>
                <w:rFonts w:ascii="Garamond" w:eastAsia="Times New Roman" w:hAnsi="Garamond" w:cs="Calibri"/>
                <w:b/>
                <w:bCs/>
                <w:color w:val="000000"/>
                <w:sz w:val="20"/>
                <w:szCs w:val="20"/>
                <w:lang w:eastAsia="fr-FR"/>
              </w:rPr>
              <w:t>2</w:t>
            </w:r>
            <w:r w:rsidRPr="001A6732">
              <w:rPr>
                <w:rFonts w:ascii="Garamond" w:eastAsia="Times New Roman" w:hAnsi="Garamond" w:cs="Calibri"/>
                <w:b/>
                <w:bCs/>
                <w:color w:val="000000"/>
                <w:sz w:val="20"/>
                <w:szCs w:val="20"/>
                <w:vertAlign w:val="superscript"/>
                <w:lang w:eastAsia="fr-FR"/>
              </w:rPr>
              <w:t>ème</w:t>
            </w:r>
            <w:r>
              <w:rPr>
                <w:rFonts w:ascii="Garamond" w:eastAsia="Times New Roman" w:hAnsi="Garamond" w:cs="Calibri"/>
                <w:b/>
                <w:bCs/>
                <w:color w:val="000000"/>
                <w:sz w:val="20"/>
                <w:szCs w:val="20"/>
                <w:lang w:eastAsia="fr-FR"/>
              </w:rPr>
              <w:t xml:space="preserve"> </w:t>
            </w:r>
            <w:r w:rsidRPr="00C036E5">
              <w:rPr>
                <w:rFonts w:ascii="Garamond" w:eastAsia="Times New Roman" w:hAnsi="Garamond" w:cs="Calibri"/>
                <w:b/>
                <w:bCs/>
                <w:color w:val="000000"/>
                <w:sz w:val="20"/>
                <w:szCs w:val="20"/>
                <w:lang w:eastAsia="fr-FR"/>
              </w:rPr>
              <w:t>trimestre 202</w:t>
            </w:r>
            <w:r>
              <w:rPr>
                <w:rFonts w:ascii="Garamond" w:eastAsia="Times New Roman" w:hAnsi="Garamond" w:cs="Calibri"/>
                <w:b/>
                <w:bCs/>
                <w:color w:val="000000"/>
                <w:sz w:val="20"/>
                <w:szCs w:val="20"/>
                <w:lang w:eastAsia="fr-FR"/>
              </w:rPr>
              <w:t>3</w:t>
            </w:r>
          </w:p>
        </w:tc>
        <w:tc>
          <w:tcPr>
            <w:tcW w:w="2638" w:type="dxa"/>
            <w:gridSpan w:val="3"/>
            <w:tcBorders>
              <w:top w:val="single" w:sz="4" w:space="0" w:color="auto"/>
              <w:left w:val="nil"/>
              <w:bottom w:val="single" w:sz="4" w:space="0" w:color="auto"/>
              <w:right w:val="single" w:sz="4" w:space="0" w:color="auto"/>
            </w:tcBorders>
            <w:shd w:val="clear" w:color="auto" w:fill="auto"/>
            <w:noWrap/>
            <w:hideMark/>
          </w:tcPr>
          <w:p w:rsidR="00D401DB" w:rsidRPr="00C036E5" w:rsidRDefault="001A6732" w:rsidP="000F5704">
            <w:pPr>
              <w:spacing w:after="0" w:line="240" w:lineRule="auto"/>
              <w:jc w:val="center"/>
              <w:rPr>
                <w:rFonts w:ascii="Garamond" w:eastAsia="Times New Roman" w:hAnsi="Garamond" w:cs="Calibri"/>
                <w:b/>
                <w:bCs/>
                <w:color w:val="000000"/>
                <w:sz w:val="20"/>
                <w:szCs w:val="20"/>
                <w:lang w:eastAsia="fr-FR"/>
              </w:rPr>
            </w:pPr>
            <w:r>
              <w:rPr>
                <w:rFonts w:ascii="Garamond" w:eastAsia="Times New Roman" w:hAnsi="Garamond" w:cs="Calibri"/>
                <w:b/>
                <w:bCs/>
                <w:color w:val="000000"/>
                <w:sz w:val="20"/>
                <w:szCs w:val="20"/>
                <w:lang w:eastAsia="fr-FR"/>
              </w:rPr>
              <w:t>2</w:t>
            </w:r>
            <w:r w:rsidRPr="001A6732">
              <w:rPr>
                <w:rFonts w:ascii="Garamond" w:eastAsia="Times New Roman" w:hAnsi="Garamond" w:cs="Calibri"/>
                <w:b/>
                <w:bCs/>
                <w:color w:val="000000"/>
                <w:sz w:val="20"/>
                <w:szCs w:val="20"/>
                <w:vertAlign w:val="superscript"/>
                <w:lang w:eastAsia="fr-FR"/>
              </w:rPr>
              <w:t>ème</w:t>
            </w:r>
            <w:r>
              <w:rPr>
                <w:rFonts w:ascii="Garamond" w:eastAsia="Times New Roman" w:hAnsi="Garamond" w:cs="Calibri"/>
                <w:b/>
                <w:bCs/>
                <w:color w:val="000000"/>
                <w:sz w:val="20"/>
                <w:szCs w:val="20"/>
                <w:lang w:eastAsia="fr-FR"/>
              </w:rPr>
              <w:t xml:space="preserve"> </w:t>
            </w:r>
            <w:r w:rsidRPr="00C036E5">
              <w:rPr>
                <w:rFonts w:ascii="Garamond" w:eastAsia="Times New Roman" w:hAnsi="Garamond" w:cs="Calibri"/>
                <w:b/>
                <w:bCs/>
                <w:color w:val="000000"/>
                <w:sz w:val="20"/>
                <w:szCs w:val="20"/>
                <w:lang w:eastAsia="fr-FR"/>
              </w:rPr>
              <w:t>trimestre 202</w:t>
            </w:r>
            <w:r>
              <w:rPr>
                <w:rFonts w:ascii="Garamond" w:eastAsia="Times New Roman" w:hAnsi="Garamond" w:cs="Calibri"/>
                <w:b/>
                <w:bCs/>
                <w:color w:val="000000"/>
                <w:sz w:val="20"/>
                <w:szCs w:val="20"/>
                <w:lang w:eastAsia="fr-FR"/>
              </w:rPr>
              <w:t>4</w:t>
            </w:r>
          </w:p>
        </w:tc>
      </w:tr>
      <w:tr w:rsidR="00D401DB" w:rsidRPr="00C036E5" w:rsidTr="003703AC">
        <w:trPr>
          <w:trHeight w:hRule="exact" w:val="34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D401DB" w:rsidRPr="00C036E5" w:rsidRDefault="00D401DB" w:rsidP="00FB4D04">
            <w:pPr>
              <w:spacing w:after="0" w:line="240" w:lineRule="auto"/>
              <w:rPr>
                <w:rFonts w:ascii="Garamond" w:eastAsia="Times New Roman" w:hAnsi="Garamond" w:cs="Calibri"/>
                <w:b/>
                <w:bCs/>
                <w:color w:val="000000"/>
                <w:sz w:val="18"/>
                <w:szCs w:val="18"/>
                <w:lang w:eastAsia="fr-FR"/>
              </w:rPr>
            </w:pPr>
          </w:p>
        </w:tc>
        <w:tc>
          <w:tcPr>
            <w:tcW w:w="738" w:type="dxa"/>
            <w:tcBorders>
              <w:top w:val="nil"/>
              <w:left w:val="nil"/>
              <w:bottom w:val="single" w:sz="4" w:space="0" w:color="auto"/>
              <w:right w:val="single" w:sz="4" w:space="0" w:color="auto"/>
            </w:tcBorders>
            <w:shd w:val="clear" w:color="auto" w:fill="auto"/>
            <w:hideMark/>
          </w:tcPr>
          <w:p w:rsidR="00D401DB" w:rsidRPr="00C036E5" w:rsidRDefault="00D401DB" w:rsidP="00FB4D04">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Urbain</w:t>
            </w:r>
          </w:p>
        </w:tc>
        <w:tc>
          <w:tcPr>
            <w:tcW w:w="879" w:type="dxa"/>
            <w:tcBorders>
              <w:top w:val="nil"/>
              <w:left w:val="nil"/>
              <w:bottom w:val="single" w:sz="4" w:space="0" w:color="auto"/>
              <w:right w:val="single" w:sz="4" w:space="0" w:color="auto"/>
            </w:tcBorders>
            <w:shd w:val="clear" w:color="auto" w:fill="auto"/>
            <w:hideMark/>
          </w:tcPr>
          <w:p w:rsidR="00D401DB" w:rsidRPr="00C036E5" w:rsidRDefault="00D401DB" w:rsidP="00FB4D04">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Rural</w:t>
            </w:r>
          </w:p>
        </w:tc>
        <w:tc>
          <w:tcPr>
            <w:tcW w:w="921" w:type="dxa"/>
            <w:tcBorders>
              <w:top w:val="nil"/>
              <w:left w:val="nil"/>
              <w:bottom w:val="single" w:sz="4" w:space="0" w:color="auto"/>
              <w:right w:val="single" w:sz="4" w:space="0" w:color="auto"/>
            </w:tcBorders>
            <w:shd w:val="clear" w:color="auto" w:fill="auto"/>
            <w:hideMark/>
          </w:tcPr>
          <w:p w:rsidR="00D401DB" w:rsidRPr="00C036E5" w:rsidRDefault="00D401DB" w:rsidP="00FB4D04">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Ensemble</w:t>
            </w:r>
          </w:p>
        </w:tc>
        <w:tc>
          <w:tcPr>
            <w:tcW w:w="876" w:type="dxa"/>
            <w:tcBorders>
              <w:top w:val="nil"/>
              <w:left w:val="nil"/>
              <w:bottom w:val="single" w:sz="4" w:space="0" w:color="auto"/>
              <w:right w:val="single" w:sz="4" w:space="0" w:color="auto"/>
            </w:tcBorders>
            <w:shd w:val="clear" w:color="auto" w:fill="auto"/>
            <w:hideMark/>
          </w:tcPr>
          <w:p w:rsidR="00D401DB" w:rsidRPr="00C036E5" w:rsidRDefault="00D401DB" w:rsidP="00FB4D04">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Urbain</w:t>
            </w:r>
          </w:p>
        </w:tc>
        <w:tc>
          <w:tcPr>
            <w:tcW w:w="841" w:type="dxa"/>
            <w:tcBorders>
              <w:top w:val="nil"/>
              <w:left w:val="nil"/>
              <w:bottom w:val="single" w:sz="4" w:space="0" w:color="auto"/>
              <w:right w:val="single" w:sz="4" w:space="0" w:color="auto"/>
            </w:tcBorders>
            <w:shd w:val="clear" w:color="auto" w:fill="auto"/>
            <w:hideMark/>
          </w:tcPr>
          <w:p w:rsidR="00D401DB" w:rsidRPr="00C036E5" w:rsidRDefault="00D401DB" w:rsidP="00FB4D04">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Rural</w:t>
            </w:r>
          </w:p>
        </w:tc>
        <w:tc>
          <w:tcPr>
            <w:tcW w:w="921" w:type="dxa"/>
            <w:tcBorders>
              <w:top w:val="nil"/>
              <w:left w:val="nil"/>
              <w:bottom w:val="single" w:sz="4" w:space="0" w:color="auto"/>
              <w:right w:val="single" w:sz="4" w:space="0" w:color="auto"/>
            </w:tcBorders>
            <w:shd w:val="clear" w:color="auto" w:fill="auto"/>
            <w:hideMark/>
          </w:tcPr>
          <w:p w:rsidR="00D401DB" w:rsidRPr="00C036E5" w:rsidRDefault="00D401DB" w:rsidP="00FB4D04">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Ensemble</w:t>
            </w:r>
          </w:p>
        </w:tc>
      </w:tr>
      <w:tr w:rsidR="00D401DB" w:rsidRPr="00C036E5" w:rsidTr="003703AC">
        <w:trPr>
          <w:trHeight w:hRule="exact" w:val="340"/>
        </w:trPr>
        <w:tc>
          <w:tcPr>
            <w:tcW w:w="9429"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D401DB" w:rsidRPr="00C036E5" w:rsidRDefault="00D401DB" w:rsidP="00FB4D04">
            <w:pPr>
              <w:spacing w:after="0" w:line="240" w:lineRule="auto"/>
              <w:rPr>
                <w:rFonts w:ascii="Garamond" w:eastAsia="Times New Roman" w:hAnsi="Garamond" w:cs="Calibri"/>
                <w:b/>
                <w:bCs/>
                <w:color w:val="1F497D"/>
                <w:sz w:val="18"/>
                <w:szCs w:val="18"/>
                <w:lang w:eastAsia="fr-FR"/>
              </w:rPr>
            </w:pPr>
            <w:r w:rsidRPr="00C036E5">
              <w:rPr>
                <w:rFonts w:ascii="Garamond" w:eastAsia="Times New Roman" w:hAnsi="Garamond" w:cs="Calibri"/>
                <w:b/>
                <w:bCs/>
                <w:color w:val="1F497D"/>
                <w:sz w:val="18"/>
                <w:szCs w:val="18"/>
                <w:lang w:eastAsia="fr-FR"/>
              </w:rPr>
              <w:t>Activité (des 15 ans et plus)</w:t>
            </w:r>
          </w:p>
        </w:tc>
      </w:tr>
      <w:tr w:rsidR="00DA48F7"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DA48F7" w:rsidRPr="00C036E5" w:rsidRDefault="00DA48F7" w:rsidP="00FB4D04">
            <w:pPr>
              <w:spacing w:after="0" w:line="240" w:lineRule="auto"/>
              <w:ind w:firstLineChars="100" w:firstLine="181"/>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Population active (en milliers)</w:t>
            </w:r>
          </w:p>
        </w:tc>
        <w:tc>
          <w:tcPr>
            <w:tcW w:w="738"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181"/>
              <w:jc w:val="right"/>
              <w:rPr>
                <w:rFonts w:ascii="Garamond" w:hAnsi="Garamond" w:cs="Calibri"/>
                <w:b/>
                <w:bCs/>
                <w:color w:val="010205"/>
                <w:sz w:val="18"/>
                <w:szCs w:val="18"/>
              </w:rPr>
            </w:pPr>
            <w:r w:rsidRPr="00DA48F7">
              <w:rPr>
                <w:rFonts w:ascii="Garamond" w:hAnsi="Garamond" w:cs="Calibri"/>
                <w:b/>
                <w:bCs/>
                <w:color w:val="010205"/>
                <w:sz w:val="18"/>
                <w:szCs w:val="18"/>
              </w:rPr>
              <w:t>7 858</w:t>
            </w:r>
          </w:p>
        </w:tc>
        <w:tc>
          <w:tcPr>
            <w:tcW w:w="879"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181"/>
              <w:jc w:val="right"/>
              <w:rPr>
                <w:rFonts w:ascii="Garamond" w:hAnsi="Garamond" w:cs="Calibri"/>
                <w:b/>
                <w:bCs/>
                <w:color w:val="010205"/>
                <w:sz w:val="18"/>
                <w:szCs w:val="18"/>
              </w:rPr>
            </w:pPr>
            <w:r w:rsidRPr="00DA48F7">
              <w:rPr>
                <w:rFonts w:ascii="Garamond" w:hAnsi="Garamond" w:cs="Calibri"/>
                <w:b/>
                <w:bCs/>
                <w:color w:val="010205"/>
                <w:sz w:val="18"/>
                <w:szCs w:val="18"/>
              </w:rPr>
              <w:t>4 624</w:t>
            </w:r>
          </w:p>
        </w:tc>
        <w:tc>
          <w:tcPr>
            <w:tcW w:w="92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181"/>
              <w:jc w:val="right"/>
              <w:rPr>
                <w:rFonts w:ascii="Garamond" w:hAnsi="Garamond" w:cs="Calibri"/>
                <w:b/>
                <w:bCs/>
                <w:color w:val="010205"/>
                <w:sz w:val="18"/>
                <w:szCs w:val="18"/>
              </w:rPr>
            </w:pPr>
            <w:r w:rsidRPr="00DA48F7">
              <w:rPr>
                <w:rFonts w:ascii="Garamond" w:hAnsi="Garamond" w:cs="Calibri"/>
                <w:b/>
                <w:bCs/>
                <w:color w:val="010205"/>
                <w:sz w:val="18"/>
                <w:szCs w:val="18"/>
              </w:rPr>
              <w:t>12 482</w:t>
            </w:r>
          </w:p>
        </w:tc>
        <w:tc>
          <w:tcPr>
            <w:tcW w:w="876"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181"/>
              <w:jc w:val="right"/>
              <w:rPr>
                <w:rFonts w:ascii="Garamond" w:hAnsi="Garamond" w:cs="Calibri"/>
                <w:b/>
                <w:bCs/>
                <w:color w:val="010205"/>
                <w:sz w:val="18"/>
                <w:szCs w:val="18"/>
              </w:rPr>
            </w:pPr>
            <w:r w:rsidRPr="00DA48F7">
              <w:rPr>
                <w:rFonts w:ascii="Garamond" w:hAnsi="Garamond" w:cs="Calibri"/>
                <w:b/>
                <w:bCs/>
                <w:color w:val="010205"/>
                <w:sz w:val="18"/>
                <w:szCs w:val="18"/>
              </w:rPr>
              <w:t>7 966</w:t>
            </w:r>
          </w:p>
        </w:tc>
        <w:tc>
          <w:tcPr>
            <w:tcW w:w="84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181"/>
              <w:jc w:val="right"/>
              <w:rPr>
                <w:rFonts w:ascii="Garamond" w:hAnsi="Garamond" w:cs="Calibri"/>
                <w:b/>
                <w:bCs/>
                <w:color w:val="010205"/>
                <w:sz w:val="18"/>
                <w:szCs w:val="18"/>
              </w:rPr>
            </w:pPr>
            <w:r w:rsidRPr="00DA48F7">
              <w:rPr>
                <w:rFonts w:ascii="Garamond" w:hAnsi="Garamond" w:cs="Calibri"/>
                <w:b/>
                <w:bCs/>
                <w:color w:val="010205"/>
                <w:sz w:val="18"/>
                <w:szCs w:val="18"/>
              </w:rPr>
              <w:t>4 524</w:t>
            </w:r>
          </w:p>
        </w:tc>
        <w:tc>
          <w:tcPr>
            <w:tcW w:w="92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181"/>
              <w:jc w:val="right"/>
              <w:rPr>
                <w:rFonts w:ascii="Garamond" w:hAnsi="Garamond" w:cs="Calibri"/>
                <w:b/>
                <w:bCs/>
                <w:color w:val="010205"/>
                <w:sz w:val="18"/>
                <w:szCs w:val="18"/>
              </w:rPr>
            </w:pPr>
            <w:r w:rsidRPr="00DA48F7">
              <w:rPr>
                <w:rFonts w:ascii="Garamond" w:hAnsi="Garamond" w:cs="Calibri"/>
                <w:b/>
                <w:bCs/>
                <w:color w:val="010205"/>
                <w:sz w:val="18"/>
                <w:szCs w:val="18"/>
              </w:rPr>
              <w:t>12 490</w:t>
            </w:r>
          </w:p>
        </w:tc>
      </w:tr>
      <w:tr w:rsidR="00DA48F7"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DA48F7" w:rsidRPr="00C036E5" w:rsidRDefault="00DA48F7" w:rsidP="00FB4D04">
            <w:pPr>
              <w:spacing w:after="0" w:line="240" w:lineRule="auto"/>
              <w:ind w:firstLineChars="100" w:firstLine="18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Taux de féminité de la population active (en %)</w:t>
            </w:r>
          </w:p>
        </w:tc>
        <w:tc>
          <w:tcPr>
            <w:tcW w:w="738"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180"/>
              <w:jc w:val="right"/>
              <w:rPr>
                <w:rFonts w:ascii="Garamond" w:hAnsi="Garamond" w:cs="Calibri"/>
                <w:color w:val="000000"/>
                <w:sz w:val="18"/>
                <w:szCs w:val="18"/>
              </w:rPr>
            </w:pPr>
            <w:r w:rsidRPr="00DA48F7">
              <w:rPr>
                <w:rFonts w:ascii="Garamond" w:hAnsi="Garamond" w:cs="Calibri"/>
                <w:color w:val="000000"/>
                <w:sz w:val="18"/>
                <w:szCs w:val="18"/>
              </w:rPr>
              <w:t>23,4</w:t>
            </w:r>
          </w:p>
        </w:tc>
        <w:tc>
          <w:tcPr>
            <w:tcW w:w="879"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180"/>
              <w:jc w:val="right"/>
              <w:rPr>
                <w:rFonts w:ascii="Garamond" w:hAnsi="Garamond" w:cs="Calibri"/>
                <w:color w:val="000000"/>
                <w:sz w:val="18"/>
                <w:szCs w:val="18"/>
              </w:rPr>
            </w:pPr>
            <w:r w:rsidRPr="00DA48F7">
              <w:rPr>
                <w:rFonts w:ascii="Garamond" w:hAnsi="Garamond" w:cs="Calibri"/>
                <w:color w:val="000000"/>
                <w:sz w:val="18"/>
                <w:szCs w:val="18"/>
              </w:rPr>
              <w:t>22,9</w:t>
            </w:r>
          </w:p>
        </w:tc>
        <w:tc>
          <w:tcPr>
            <w:tcW w:w="92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180"/>
              <w:jc w:val="right"/>
              <w:rPr>
                <w:rFonts w:ascii="Garamond" w:hAnsi="Garamond" w:cs="Calibri"/>
                <w:color w:val="000000"/>
                <w:sz w:val="18"/>
                <w:szCs w:val="18"/>
              </w:rPr>
            </w:pPr>
            <w:r w:rsidRPr="00DA48F7">
              <w:rPr>
                <w:rFonts w:ascii="Garamond" w:hAnsi="Garamond" w:cs="Calibri"/>
                <w:color w:val="000000"/>
                <w:sz w:val="18"/>
                <w:szCs w:val="18"/>
              </w:rPr>
              <w:t>23,2</w:t>
            </w:r>
          </w:p>
        </w:tc>
        <w:tc>
          <w:tcPr>
            <w:tcW w:w="876"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180"/>
              <w:jc w:val="right"/>
              <w:rPr>
                <w:rFonts w:ascii="Garamond" w:hAnsi="Garamond" w:cs="Calibri"/>
                <w:color w:val="000000"/>
                <w:sz w:val="18"/>
                <w:szCs w:val="18"/>
              </w:rPr>
            </w:pPr>
            <w:r w:rsidRPr="00DA48F7">
              <w:rPr>
                <w:rFonts w:ascii="Garamond" w:hAnsi="Garamond" w:cs="Calibri"/>
                <w:color w:val="000000"/>
                <w:sz w:val="18"/>
                <w:szCs w:val="18"/>
              </w:rPr>
              <w:t>23,5</w:t>
            </w:r>
          </w:p>
        </w:tc>
        <w:tc>
          <w:tcPr>
            <w:tcW w:w="84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180"/>
              <w:jc w:val="right"/>
              <w:rPr>
                <w:rFonts w:ascii="Garamond" w:hAnsi="Garamond" w:cs="Calibri"/>
                <w:color w:val="000000"/>
                <w:sz w:val="18"/>
                <w:szCs w:val="18"/>
              </w:rPr>
            </w:pPr>
            <w:r w:rsidRPr="00DA48F7">
              <w:rPr>
                <w:rFonts w:ascii="Garamond" w:hAnsi="Garamond" w:cs="Calibri"/>
                <w:color w:val="000000"/>
                <w:sz w:val="18"/>
                <w:szCs w:val="18"/>
              </w:rPr>
              <w:t>22,0</w:t>
            </w:r>
          </w:p>
        </w:tc>
        <w:tc>
          <w:tcPr>
            <w:tcW w:w="92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180"/>
              <w:jc w:val="right"/>
              <w:rPr>
                <w:rFonts w:ascii="Garamond" w:hAnsi="Garamond" w:cs="Calibri"/>
                <w:color w:val="000000"/>
                <w:sz w:val="18"/>
                <w:szCs w:val="18"/>
              </w:rPr>
            </w:pPr>
            <w:r w:rsidRPr="00DA48F7">
              <w:rPr>
                <w:rFonts w:ascii="Garamond" w:hAnsi="Garamond" w:cs="Calibri"/>
                <w:color w:val="000000"/>
                <w:sz w:val="18"/>
                <w:szCs w:val="18"/>
              </w:rPr>
              <w:t>23,0</w:t>
            </w:r>
          </w:p>
        </w:tc>
      </w:tr>
      <w:tr w:rsidR="00DA48F7"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DA48F7" w:rsidRPr="00C036E5" w:rsidRDefault="00DA48F7" w:rsidP="00FB4D04">
            <w:pPr>
              <w:spacing w:after="0" w:line="240" w:lineRule="auto"/>
              <w:ind w:firstLineChars="100" w:firstLine="18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Taux d'activité (en %)</w:t>
            </w:r>
          </w:p>
        </w:tc>
        <w:tc>
          <w:tcPr>
            <w:tcW w:w="738"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180"/>
              <w:jc w:val="right"/>
              <w:rPr>
                <w:rFonts w:ascii="Garamond" w:hAnsi="Garamond" w:cs="Calibri"/>
                <w:color w:val="000000"/>
                <w:sz w:val="18"/>
                <w:szCs w:val="18"/>
              </w:rPr>
            </w:pPr>
            <w:r w:rsidRPr="00DA48F7">
              <w:rPr>
                <w:rFonts w:ascii="Garamond" w:hAnsi="Garamond" w:cs="Calibri"/>
                <w:color w:val="000000"/>
                <w:sz w:val="18"/>
                <w:szCs w:val="18"/>
              </w:rPr>
              <w:t>42,6</w:t>
            </w:r>
          </w:p>
        </w:tc>
        <w:tc>
          <w:tcPr>
            <w:tcW w:w="879"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180"/>
              <w:jc w:val="right"/>
              <w:rPr>
                <w:rFonts w:ascii="Garamond" w:hAnsi="Garamond" w:cs="Calibri"/>
                <w:color w:val="000000"/>
                <w:sz w:val="18"/>
                <w:szCs w:val="18"/>
              </w:rPr>
            </w:pPr>
            <w:r w:rsidRPr="00DA48F7">
              <w:rPr>
                <w:rFonts w:ascii="Garamond" w:hAnsi="Garamond" w:cs="Calibri"/>
                <w:color w:val="000000"/>
                <w:sz w:val="18"/>
                <w:szCs w:val="18"/>
              </w:rPr>
              <w:t>49,2</w:t>
            </w:r>
          </w:p>
        </w:tc>
        <w:tc>
          <w:tcPr>
            <w:tcW w:w="92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180"/>
              <w:jc w:val="right"/>
              <w:rPr>
                <w:rFonts w:ascii="Garamond" w:hAnsi="Garamond" w:cs="Calibri"/>
                <w:color w:val="000000"/>
                <w:sz w:val="18"/>
                <w:szCs w:val="18"/>
              </w:rPr>
            </w:pPr>
            <w:r w:rsidRPr="00DA48F7">
              <w:rPr>
                <w:rFonts w:ascii="Garamond" w:hAnsi="Garamond" w:cs="Calibri"/>
                <w:color w:val="000000"/>
                <w:sz w:val="18"/>
                <w:szCs w:val="18"/>
              </w:rPr>
              <w:t>44,8</w:t>
            </w:r>
          </w:p>
        </w:tc>
        <w:tc>
          <w:tcPr>
            <w:tcW w:w="876"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180"/>
              <w:jc w:val="right"/>
              <w:rPr>
                <w:rFonts w:ascii="Garamond" w:hAnsi="Garamond" w:cs="Calibri"/>
                <w:color w:val="000000"/>
                <w:sz w:val="18"/>
                <w:szCs w:val="18"/>
              </w:rPr>
            </w:pPr>
            <w:r w:rsidRPr="00DA48F7">
              <w:rPr>
                <w:rFonts w:ascii="Garamond" w:hAnsi="Garamond" w:cs="Calibri"/>
                <w:color w:val="000000"/>
                <w:sz w:val="18"/>
                <w:szCs w:val="18"/>
              </w:rPr>
              <w:t>42,3</w:t>
            </w:r>
          </w:p>
        </w:tc>
        <w:tc>
          <w:tcPr>
            <w:tcW w:w="84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180"/>
              <w:jc w:val="right"/>
              <w:rPr>
                <w:rFonts w:ascii="Garamond" w:hAnsi="Garamond" w:cs="Calibri"/>
                <w:color w:val="000000"/>
                <w:sz w:val="18"/>
                <w:szCs w:val="18"/>
              </w:rPr>
            </w:pPr>
            <w:r w:rsidRPr="00DA48F7">
              <w:rPr>
                <w:rFonts w:ascii="Garamond" w:hAnsi="Garamond" w:cs="Calibri"/>
                <w:color w:val="000000"/>
                <w:sz w:val="18"/>
                <w:szCs w:val="18"/>
              </w:rPr>
              <w:t>48,0</w:t>
            </w:r>
          </w:p>
        </w:tc>
        <w:tc>
          <w:tcPr>
            <w:tcW w:w="92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180"/>
              <w:jc w:val="right"/>
              <w:rPr>
                <w:rFonts w:ascii="Garamond" w:hAnsi="Garamond" w:cs="Calibri"/>
                <w:color w:val="000000"/>
                <w:sz w:val="18"/>
                <w:szCs w:val="18"/>
              </w:rPr>
            </w:pPr>
            <w:r w:rsidRPr="00DA48F7">
              <w:rPr>
                <w:rFonts w:ascii="Garamond" w:hAnsi="Garamond" w:cs="Calibri"/>
                <w:color w:val="000000"/>
                <w:sz w:val="18"/>
                <w:szCs w:val="18"/>
              </w:rPr>
              <w:t>44,2</w:t>
            </w:r>
          </w:p>
        </w:tc>
      </w:tr>
      <w:tr w:rsidR="00D401DB" w:rsidRPr="00C036E5" w:rsidTr="003703AC">
        <w:trPr>
          <w:trHeight w:hRule="exact" w:val="340"/>
        </w:trPr>
        <w:tc>
          <w:tcPr>
            <w:tcW w:w="9429"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401DB" w:rsidRPr="00C036E5" w:rsidRDefault="00D401DB" w:rsidP="00FB4D04">
            <w:pPr>
              <w:spacing w:after="0" w:line="240" w:lineRule="auto"/>
              <w:ind w:firstLineChars="200" w:firstLine="360"/>
              <w:rPr>
                <w:rFonts w:ascii="Garamond" w:eastAsia="Times New Roman" w:hAnsi="Garamond" w:cs="Calibri"/>
                <w:i/>
                <w:iCs/>
                <w:color w:val="000000"/>
                <w:sz w:val="18"/>
                <w:szCs w:val="18"/>
                <w:lang w:eastAsia="fr-FR"/>
              </w:rPr>
            </w:pPr>
            <w:r w:rsidRPr="00C036E5">
              <w:rPr>
                <w:rFonts w:ascii="Garamond" w:eastAsia="Times New Roman" w:hAnsi="Garamond" w:cs="Calibri"/>
                <w:i/>
                <w:iCs/>
                <w:color w:val="000000"/>
                <w:sz w:val="18"/>
                <w:szCs w:val="18"/>
                <w:lang w:eastAsia="fr-FR"/>
              </w:rPr>
              <w:t>• Selon le sexe</w:t>
            </w:r>
          </w:p>
        </w:tc>
      </w:tr>
      <w:tr w:rsidR="00DA48F7"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DA48F7" w:rsidRPr="00C036E5" w:rsidRDefault="00DA48F7"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Hommes</w:t>
            </w:r>
          </w:p>
        </w:tc>
        <w:tc>
          <w:tcPr>
            <w:tcW w:w="738"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67,3</w:t>
            </w:r>
          </w:p>
        </w:tc>
        <w:tc>
          <w:tcPr>
            <w:tcW w:w="879"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74,5</w:t>
            </w:r>
          </w:p>
        </w:tc>
        <w:tc>
          <w:tcPr>
            <w:tcW w:w="92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69,8</w:t>
            </w:r>
          </w:p>
        </w:tc>
        <w:tc>
          <w:tcPr>
            <w:tcW w:w="876"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66,8</w:t>
            </w:r>
          </w:p>
        </w:tc>
        <w:tc>
          <w:tcPr>
            <w:tcW w:w="84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73,3</w:t>
            </w:r>
          </w:p>
        </w:tc>
        <w:tc>
          <w:tcPr>
            <w:tcW w:w="92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69,0</w:t>
            </w:r>
          </w:p>
        </w:tc>
      </w:tr>
      <w:tr w:rsidR="00DA48F7"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DA48F7" w:rsidRPr="00C036E5" w:rsidRDefault="00DA48F7"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Femmes</w:t>
            </w:r>
          </w:p>
        </w:tc>
        <w:tc>
          <w:tcPr>
            <w:tcW w:w="738"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19,3</w:t>
            </w:r>
          </w:p>
        </w:tc>
        <w:tc>
          <w:tcPr>
            <w:tcW w:w="879"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23,0</w:t>
            </w:r>
          </w:p>
        </w:tc>
        <w:tc>
          <w:tcPr>
            <w:tcW w:w="92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20,5</w:t>
            </w:r>
          </w:p>
        </w:tc>
        <w:tc>
          <w:tcPr>
            <w:tcW w:w="876"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19,3</w:t>
            </w:r>
          </w:p>
        </w:tc>
        <w:tc>
          <w:tcPr>
            <w:tcW w:w="84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21,6</w:t>
            </w:r>
          </w:p>
        </w:tc>
        <w:tc>
          <w:tcPr>
            <w:tcW w:w="92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20,1</w:t>
            </w:r>
          </w:p>
        </w:tc>
      </w:tr>
      <w:tr w:rsidR="00D401DB" w:rsidRPr="00C036E5" w:rsidTr="003703AC">
        <w:trPr>
          <w:trHeight w:hRule="exact" w:val="340"/>
        </w:trPr>
        <w:tc>
          <w:tcPr>
            <w:tcW w:w="9429"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D401DB" w:rsidRPr="00C036E5" w:rsidRDefault="00D401DB" w:rsidP="00FB4D04">
            <w:pPr>
              <w:spacing w:after="0" w:line="240" w:lineRule="auto"/>
              <w:ind w:firstLineChars="200" w:firstLine="360"/>
              <w:rPr>
                <w:rFonts w:ascii="Garamond" w:eastAsia="Times New Roman" w:hAnsi="Garamond" w:cs="Calibri"/>
                <w:i/>
                <w:iCs/>
                <w:color w:val="000000"/>
                <w:sz w:val="18"/>
                <w:szCs w:val="18"/>
                <w:lang w:eastAsia="fr-FR"/>
              </w:rPr>
            </w:pPr>
            <w:r w:rsidRPr="00C036E5">
              <w:rPr>
                <w:rFonts w:ascii="Garamond" w:eastAsia="Times New Roman" w:hAnsi="Garamond" w:cs="Calibri"/>
                <w:i/>
                <w:iCs/>
                <w:color w:val="000000"/>
                <w:sz w:val="18"/>
                <w:szCs w:val="18"/>
                <w:lang w:eastAsia="fr-FR"/>
              </w:rPr>
              <w:t>• Selon l'âge</w:t>
            </w:r>
          </w:p>
        </w:tc>
      </w:tr>
      <w:tr w:rsidR="00DA48F7"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DA48F7" w:rsidRPr="00C036E5" w:rsidRDefault="00DA48F7"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15-24 ans</w:t>
            </w:r>
          </w:p>
        </w:tc>
        <w:tc>
          <w:tcPr>
            <w:tcW w:w="738"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20,9</w:t>
            </w:r>
          </w:p>
        </w:tc>
        <w:tc>
          <w:tcPr>
            <w:tcW w:w="879"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26,0</w:t>
            </w:r>
          </w:p>
        </w:tc>
        <w:tc>
          <w:tcPr>
            <w:tcW w:w="92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22,9</w:t>
            </w:r>
          </w:p>
        </w:tc>
        <w:tc>
          <w:tcPr>
            <w:tcW w:w="876"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21,0</w:t>
            </w:r>
          </w:p>
        </w:tc>
        <w:tc>
          <w:tcPr>
            <w:tcW w:w="84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25,4</w:t>
            </w:r>
          </w:p>
        </w:tc>
        <w:tc>
          <w:tcPr>
            <w:tcW w:w="92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22,8</w:t>
            </w:r>
          </w:p>
        </w:tc>
      </w:tr>
      <w:tr w:rsidR="00DA48F7"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DA48F7" w:rsidRPr="00C036E5" w:rsidRDefault="00DA48F7"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25-34 ans</w:t>
            </w:r>
          </w:p>
        </w:tc>
        <w:tc>
          <w:tcPr>
            <w:tcW w:w="738"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60,9</w:t>
            </w:r>
          </w:p>
        </w:tc>
        <w:tc>
          <w:tcPr>
            <w:tcW w:w="879"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61,5</w:t>
            </w:r>
          </w:p>
        </w:tc>
        <w:tc>
          <w:tcPr>
            <w:tcW w:w="92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61,1</w:t>
            </w:r>
          </w:p>
        </w:tc>
        <w:tc>
          <w:tcPr>
            <w:tcW w:w="876"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60,4</w:t>
            </w:r>
          </w:p>
        </w:tc>
        <w:tc>
          <w:tcPr>
            <w:tcW w:w="84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60,1</w:t>
            </w:r>
          </w:p>
        </w:tc>
        <w:tc>
          <w:tcPr>
            <w:tcW w:w="92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60,3</w:t>
            </w:r>
          </w:p>
        </w:tc>
      </w:tr>
      <w:tr w:rsidR="00DA48F7"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DA48F7" w:rsidRPr="00C036E5" w:rsidRDefault="00DA48F7"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35-44 ans</w:t>
            </w:r>
          </w:p>
        </w:tc>
        <w:tc>
          <w:tcPr>
            <w:tcW w:w="738"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57,6</w:t>
            </w:r>
          </w:p>
        </w:tc>
        <w:tc>
          <w:tcPr>
            <w:tcW w:w="879"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64,3</w:t>
            </w:r>
          </w:p>
        </w:tc>
        <w:tc>
          <w:tcPr>
            <w:tcW w:w="92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59,7</w:t>
            </w:r>
          </w:p>
        </w:tc>
        <w:tc>
          <w:tcPr>
            <w:tcW w:w="876"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57,9</w:t>
            </w:r>
          </w:p>
        </w:tc>
        <w:tc>
          <w:tcPr>
            <w:tcW w:w="84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63,9</w:t>
            </w:r>
          </w:p>
        </w:tc>
        <w:tc>
          <w:tcPr>
            <w:tcW w:w="92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59,7</w:t>
            </w:r>
          </w:p>
        </w:tc>
      </w:tr>
      <w:tr w:rsidR="00DA48F7"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DA48F7" w:rsidRPr="00C036E5" w:rsidRDefault="00DA48F7"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45 ans et plus</w:t>
            </w:r>
          </w:p>
        </w:tc>
        <w:tc>
          <w:tcPr>
            <w:tcW w:w="738"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35,9</w:t>
            </w:r>
          </w:p>
        </w:tc>
        <w:tc>
          <w:tcPr>
            <w:tcW w:w="879"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51,5</w:t>
            </w:r>
          </w:p>
        </w:tc>
        <w:tc>
          <w:tcPr>
            <w:tcW w:w="92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41,0</w:t>
            </w:r>
          </w:p>
        </w:tc>
        <w:tc>
          <w:tcPr>
            <w:tcW w:w="876"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35,3</w:t>
            </w:r>
          </w:p>
        </w:tc>
        <w:tc>
          <w:tcPr>
            <w:tcW w:w="84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49,8</w:t>
            </w:r>
          </w:p>
        </w:tc>
        <w:tc>
          <w:tcPr>
            <w:tcW w:w="92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40,0</w:t>
            </w:r>
          </w:p>
        </w:tc>
      </w:tr>
      <w:tr w:rsidR="00D401DB" w:rsidRPr="00C036E5" w:rsidTr="003703AC">
        <w:trPr>
          <w:trHeight w:hRule="exact" w:val="340"/>
        </w:trPr>
        <w:tc>
          <w:tcPr>
            <w:tcW w:w="9429"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401DB" w:rsidRPr="00C036E5" w:rsidRDefault="00D401DB" w:rsidP="00FB4D04">
            <w:pPr>
              <w:spacing w:after="0" w:line="240" w:lineRule="auto"/>
              <w:ind w:firstLineChars="200" w:firstLine="360"/>
              <w:rPr>
                <w:rFonts w:ascii="Garamond" w:eastAsia="Times New Roman" w:hAnsi="Garamond" w:cs="Calibri"/>
                <w:i/>
                <w:iCs/>
                <w:color w:val="000000"/>
                <w:sz w:val="18"/>
                <w:szCs w:val="18"/>
                <w:lang w:eastAsia="fr-FR"/>
              </w:rPr>
            </w:pPr>
            <w:r w:rsidRPr="00C036E5">
              <w:rPr>
                <w:rFonts w:ascii="Garamond" w:eastAsia="Times New Roman" w:hAnsi="Garamond" w:cs="Calibri"/>
                <w:i/>
                <w:iCs/>
                <w:color w:val="000000"/>
                <w:sz w:val="18"/>
                <w:szCs w:val="18"/>
                <w:lang w:eastAsia="fr-FR"/>
              </w:rPr>
              <w:t>• Selon le diplôme</w:t>
            </w:r>
          </w:p>
        </w:tc>
      </w:tr>
      <w:tr w:rsidR="00DA48F7"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DA48F7" w:rsidRPr="00C036E5" w:rsidRDefault="00DA48F7"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Non diplômés</w:t>
            </w:r>
          </w:p>
        </w:tc>
        <w:tc>
          <w:tcPr>
            <w:tcW w:w="738"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35,0</w:t>
            </w:r>
          </w:p>
        </w:tc>
        <w:tc>
          <w:tcPr>
            <w:tcW w:w="879"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51,9</w:t>
            </w:r>
          </w:p>
        </w:tc>
        <w:tc>
          <w:tcPr>
            <w:tcW w:w="92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42,7</w:t>
            </w:r>
          </w:p>
        </w:tc>
        <w:tc>
          <w:tcPr>
            <w:tcW w:w="876"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34,4</w:t>
            </w:r>
          </w:p>
        </w:tc>
        <w:tc>
          <w:tcPr>
            <w:tcW w:w="84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50,3</w:t>
            </w:r>
          </w:p>
        </w:tc>
        <w:tc>
          <w:tcPr>
            <w:tcW w:w="92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41,6</w:t>
            </w:r>
          </w:p>
        </w:tc>
      </w:tr>
      <w:tr w:rsidR="00DA48F7"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DA48F7" w:rsidRPr="00C036E5" w:rsidRDefault="00DA48F7"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Diplômés</w:t>
            </w:r>
          </w:p>
        </w:tc>
        <w:tc>
          <w:tcPr>
            <w:tcW w:w="738"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47,6</w:t>
            </w:r>
          </w:p>
        </w:tc>
        <w:tc>
          <w:tcPr>
            <w:tcW w:w="879"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44,1</w:t>
            </w:r>
          </w:p>
        </w:tc>
        <w:tc>
          <w:tcPr>
            <w:tcW w:w="92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46,8</w:t>
            </w:r>
          </w:p>
        </w:tc>
        <w:tc>
          <w:tcPr>
            <w:tcW w:w="876"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47,4</w:t>
            </w:r>
          </w:p>
        </w:tc>
        <w:tc>
          <w:tcPr>
            <w:tcW w:w="84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43,9</w:t>
            </w:r>
          </w:p>
        </w:tc>
        <w:tc>
          <w:tcPr>
            <w:tcW w:w="92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46,6</w:t>
            </w:r>
          </w:p>
        </w:tc>
      </w:tr>
      <w:tr w:rsidR="00D401DB" w:rsidRPr="00C036E5" w:rsidTr="003703AC">
        <w:trPr>
          <w:trHeight w:hRule="exact" w:val="340"/>
        </w:trPr>
        <w:tc>
          <w:tcPr>
            <w:tcW w:w="9429"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401DB" w:rsidRPr="00C036E5" w:rsidRDefault="00D401DB" w:rsidP="00FB4D04">
            <w:pPr>
              <w:spacing w:after="0" w:line="240" w:lineRule="auto"/>
              <w:rPr>
                <w:rFonts w:ascii="Garamond" w:eastAsia="Times New Roman" w:hAnsi="Garamond" w:cs="Calibri"/>
                <w:b/>
                <w:bCs/>
                <w:color w:val="1F497D"/>
                <w:sz w:val="18"/>
                <w:szCs w:val="18"/>
                <w:lang w:eastAsia="fr-FR"/>
              </w:rPr>
            </w:pPr>
            <w:r w:rsidRPr="00C036E5">
              <w:rPr>
                <w:rFonts w:ascii="Garamond" w:eastAsia="Times New Roman" w:hAnsi="Garamond" w:cs="Calibri"/>
                <w:b/>
                <w:bCs/>
                <w:color w:val="1F497D"/>
                <w:sz w:val="18"/>
                <w:szCs w:val="18"/>
                <w:lang w:eastAsia="fr-FR"/>
              </w:rPr>
              <w:t>Emploi (des 15 ans et plus)</w:t>
            </w:r>
          </w:p>
        </w:tc>
      </w:tr>
      <w:tr w:rsidR="00DA48F7"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DA48F7" w:rsidRPr="00C036E5" w:rsidRDefault="00DA48F7" w:rsidP="00FB4D04">
            <w:pPr>
              <w:spacing w:after="0" w:line="240" w:lineRule="auto"/>
              <w:ind w:firstLineChars="100" w:firstLine="181"/>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Population active occupée (en milliers)</w:t>
            </w:r>
          </w:p>
        </w:tc>
        <w:tc>
          <w:tcPr>
            <w:tcW w:w="738"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181"/>
              <w:jc w:val="right"/>
              <w:rPr>
                <w:rFonts w:ascii="Garamond" w:hAnsi="Garamond" w:cs="Calibri"/>
                <w:b/>
                <w:bCs/>
                <w:color w:val="010205"/>
                <w:sz w:val="18"/>
                <w:szCs w:val="18"/>
              </w:rPr>
            </w:pPr>
            <w:r w:rsidRPr="00DA48F7">
              <w:rPr>
                <w:rFonts w:ascii="Garamond" w:hAnsi="Garamond" w:cs="Calibri"/>
                <w:b/>
                <w:bCs/>
                <w:color w:val="010205"/>
                <w:sz w:val="18"/>
                <w:szCs w:val="18"/>
              </w:rPr>
              <w:t>6 579</w:t>
            </w:r>
          </w:p>
        </w:tc>
        <w:tc>
          <w:tcPr>
            <w:tcW w:w="879"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181"/>
              <w:jc w:val="right"/>
              <w:rPr>
                <w:rFonts w:ascii="Garamond" w:hAnsi="Garamond" w:cs="Calibri"/>
                <w:b/>
                <w:bCs/>
                <w:color w:val="010205"/>
                <w:sz w:val="18"/>
                <w:szCs w:val="18"/>
              </w:rPr>
            </w:pPr>
            <w:r w:rsidRPr="00DA48F7">
              <w:rPr>
                <w:rFonts w:ascii="Garamond" w:hAnsi="Garamond" w:cs="Calibri"/>
                <w:b/>
                <w:bCs/>
                <w:color w:val="010205"/>
                <w:sz w:val="18"/>
                <w:szCs w:val="18"/>
              </w:rPr>
              <w:t>4 360</w:t>
            </w:r>
          </w:p>
        </w:tc>
        <w:tc>
          <w:tcPr>
            <w:tcW w:w="92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181"/>
              <w:jc w:val="right"/>
              <w:rPr>
                <w:rFonts w:ascii="Garamond" w:hAnsi="Garamond" w:cs="Calibri"/>
                <w:b/>
                <w:bCs/>
                <w:color w:val="010205"/>
                <w:sz w:val="18"/>
                <w:szCs w:val="18"/>
              </w:rPr>
            </w:pPr>
            <w:r w:rsidRPr="00DA48F7">
              <w:rPr>
                <w:rFonts w:ascii="Garamond" w:hAnsi="Garamond" w:cs="Calibri"/>
                <w:b/>
                <w:bCs/>
                <w:color w:val="010205"/>
                <w:sz w:val="18"/>
                <w:szCs w:val="18"/>
              </w:rPr>
              <w:t>10 939</w:t>
            </w:r>
          </w:p>
        </w:tc>
        <w:tc>
          <w:tcPr>
            <w:tcW w:w="876"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181"/>
              <w:jc w:val="right"/>
              <w:rPr>
                <w:rFonts w:ascii="Garamond" w:hAnsi="Garamond" w:cs="Calibri"/>
                <w:b/>
                <w:bCs/>
                <w:color w:val="010205"/>
                <w:sz w:val="18"/>
                <w:szCs w:val="18"/>
              </w:rPr>
            </w:pPr>
            <w:r w:rsidRPr="00DA48F7">
              <w:rPr>
                <w:rFonts w:ascii="Garamond" w:hAnsi="Garamond" w:cs="Calibri"/>
                <w:b/>
                <w:bCs/>
                <w:color w:val="010205"/>
                <w:sz w:val="18"/>
                <w:szCs w:val="18"/>
              </w:rPr>
              <w:t>6 638</w:t>
            </w:r>
          </w:p>
        </w:tc>
        <w:tc>
          <w:tcPr>
            <w:tcW w:w="84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181"/>
              <w:jc w:val="right"/>
              <w:rPr>
                <w:rFonts w:ascii="Garamond" w:hAnsi="Garamond" w:cs="Calibri"/>
                <w:b/>
                <w:bCs/>
                <w:color w:val="010205"/>
                <w:sz w:val="18"/>
                <w:szCs w:val="18"/>
              </w:rPr>
            </w:pPr>
            <w:r w:rsidRPr="00DA48F7">
              <w:rPr>
                <w:rFonts w:ascii="Garamond" w:hAnsi="Garamond" w:cs="Calibri"/>
                <w:b/>
                <w:bCs/>
                <w:color w:val="010205"/>
                <w:sz w:val="18"/>
                <w:szCs w:val="18"/>
              </w:rPr>
              <w:t>4 219</w:t>
            </w:r>
          </w:p>
        </w:tc>
        <w:tc>
          <w:tcPr>
            <w:tcW w:w="92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181"/>
              <w:jc w:val="right"/>
              <w:rPr>
                <w:rFonts w:ascii="Garamond" w:hAnsi="Garamond" w:cs="Calibri"/>
                <w:b/>
                <w:bCs/>
                <w:color w:val="010205"/>
                <w:sz w:val="18"/>
                <w:szCs w:val="18"/>
              </w:rPr>
            </w:pPr>
            <w:r w:rsidRPr="00DA48F7">
              <w:rPr>
                <w:rFonts w:ascii="Garamond" w:hAnsi="Garamond" w:cs="Calibri"/>
                <w:b/>
                <w:bCs/>
                <w:color w:val="010205"/>
                <w:sz w:val="18"/>
                <w:szCs w:val="18"/>
              </w:rPr>
              <w:t>10 858</w:t>
            </w:r>
          </w:p>
        </w:tc>
      </w:tr>
      <w:tr w:rsidR="00DA48F7"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DA48F7" w:rsidRPr="00C036E5" w:rsidRDefault="00DA48F7" w:rsidP="00FB4D04">
            <w:pPr>
              <w:spacing w:after="0" w:line="240" w:lineRule="auto"/>
              <w:ind w:firstLineChars="100" w:firstLine="18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Taux d'emploi (en %)</w:t>
            </w:r>
          </w:p>
        </w:tc>
        <w:tc>
          <w:tcPr>
            <w:tcW w:w="738"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35,7</w:t>
            </w:r>
          </w:p>
        </w:tc>
        <w:tc>
          <w:tcPr>
            <w:tcW w:w="879"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46,4</w:t>
            </w:r>
          </w:p>
        </w:tc>
        <w:tc>
          <w:tcPr>
            <w:tcW w:w="92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39,3</w:t>
            </w:r>
          </w:p>
        </w:tc>
        <w:tc>
          <w:tcPr>
            <w:tcW w:w="876"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35,3</w:t>
            </w:r>
          </w:p>
        </w:tc>
        <w:tc>
          <w:tcPr>
            <w:tcW w:w="84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44,8</w:t>
            </w:r>
          </w:p>
        </w:tc>
        <w:tc>
          <w:tcPr>
            <w:tcW w:w="92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38,4</w:t>
            </w:r>
          </w:p>
        </w:tc>
      </w:tr>
      <w:tr w:rsidR="00D401DB" w:rsidRPr="00C036E5" w:rsidTr="003703AC">
        <w:trPr>
          <w:trHeight w:hRule="exact" w:val="340"/>
        </w:trPr>
        <w:tc>
          <w:tcPr>
            <w:tcW w:w="9429"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401DB" w:rsidRPr="00C036E5" w:rsidRDefault="00D401DB" w:rsidP="00FB4D04">
            <w:pPr>
              <w:spacing w:after="0" w:line="240" w:lineRule="auto"/>
              <w:ind w:firstLineChars="200" w:firstLine="360"/>
              <w:rPr>
                <w:rFonts w:ascii="Garamond" w:eastAsia="Times New Roman" w:hAnsi="Garamond" w:cs="Calibri"/>
                <w:i/>
                <w:iCs/>
                <w:color w:val="000000"/>
                <w:sz w:val="18"/>
                <w:szCs w:val="18"/>
                <w:lang w:eastAsia="fr-FR"/>
              </w:rPr>
            </w:pPr>
            <w:r w:rsidRPr="00C036E5">
              <w:rPr>
                <w:rFonts w:ascii="Garamond" w:eastAsia="Times New Roman" w:hAnsi="Garamond" w:cs="Calibri"/>
                <w:i/>
                <w:iCs/>
                <w:color w:val="000000"/>
                <w:sz w:val="18"/>
                <w:szCs w:val="18"/>
                <w:lang w:eastAsia="fr-FR"/>
              </w:rPr>
              <w:t>• Selon le sexe</w:t>
            </w:r>
          </w:p>
        </w:tc>
      </w:tr>
      <w:tr w:rsidR="00DA48F7"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DA48F7" w:rsidRPr="00C036E5" w:rsidRDefault="00DA48F7"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Hommes</w:t>
            </w:r>
          </w:p>
        </w:tc>
        <w:tc>
          <w:tcPr>
            <w:tcW w:w="738"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58,0</w:t>
            </w:r>
          </w:p>
        </w:tc>
        <w:tc>
          <w:tcPr>
            <w:tcW w:w="879"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70,0</w:t>
            </w:r>
          </w:p>
        </w:tc>
        <w:tc>
          <w:tcPr>
            <w:tcW w:w="92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62,2</w:t>
            </w:r>
          </w:p>
        </w:tc>
        <w:tc>
          <w:tcPr>
            <w:tcW w:w="876"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57,2</w:t>
            </w:r>
          </w:p>
        </w:tc>
        <w:tc>
          <w:tcPr>
            <w:tcW w:w="84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68,0</w:t>
            </w:r>
          </w:p>
        </w:tc>
        <w:tc>
          <w:tcPr>
            <w:tcW w:w="92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61,0</w:t>
            </w:r>
          </w:p>
        </w:tc>
      </w:tr>
      <w:tr w:rsidR="00DA48F7"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DA48F7" w:rsidRPr="00C036E5" w:rsidRDefault="00DA48F7"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Femmes</w:t>
            </w:r>
          </w:p>
        </w:tc>
        <w:tc>
          <w:tcPr>
            <w:tcW w:w="738"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14,6</w:t>
            </w:r>
          </w:p>
        </w:tc>
        <w:tc>
          <w:tcPr>
            <w:tcW w:w="879"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22,0</w:t>
            </w:r>
          </w:p>
        </w:tc>
        <w:tc>
          <w:tcPr>
            <w:tcW w:w="92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17,0</w:t>
            </w:r>
          </w:p>
        </w:tc>
        <w:tc>
          <w:tcPr>
            <w:tcW w:w="876"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14,6</w:t>
            </w:r>
          </w:p>
        </w:tc>
        <w:tc>
          <w:tcPr>
            <w:tcW w:w="84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20,5</w:t>
            </w:r>
          </w:p>
        </w:tc>
        <w:tc>
          <w:tcPr>
            <w:tcW w:w="921" w:type="dxa"/>
            <w:tcBorders>
              <w:top w:val="nil"/>
              <w:left w:val="nil"/>
              <w:bottom w:val="single" w:sz="4" w:space="0" w:color="auto"/>
              <w:right w:val="single" w:sz="4" w:space="0" w:color="auto"/>
            </w:tcBorders>
            <w:shd w:val="clear" w:color="auto" w:fill="auto"/>
            <w:noWrap/>
            <w:hideMark/>
          </w:tcPr>
          <w:p w:rsidR="00DA48F7" w:rsidRPr="00DA48F7" w:rsidRDefault="00DA48F7" w:rsidP="00DA48F7">
            <w:pPr>
              <w:ind w:firstLineChars="100" w:firstLine="200"/>
              <w:jc w:val="right"/>
              <w:rPr>
                <w:rFonts w:ascii="Garamond" w:hAnsi="Garamond" w:cs="Calibri"/>
                <w:color w:val="000000"/>
                <w:sz w:val="20"/>
                <w:szCs w:val="20"/>
              </w:rPr>
            </w:pPr>
            <w:r w:rsidRPr="00DA48F7">
              <w:rPr>
                <w:rFonts w:ascii="Garamond" w:hAnsi="Garamond" w:cs="Calibri"/>
                <w:color w:val="000000"/>
                <w:sz w:val="20"/>
                <w:szCs w:val="20"/>
              </w:rPr>
              <w:t>16,5</w:t>
            </w:r>
          </w:p>
        </w:tc>
      </w:tr>
      <w:tr w:rsidR="00D401DB" w:rsidRPr="00C036E5" w:rsidTr="003703AC">
        <w:trPr>
          <w:trHeight w:hRule="exact" w:val="340"/>
        </w:trPr>
        <w:tc>
          <w:tcPr>
            <w:tcW w:w="9429"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401DB" w:rsidRPr="00C036E5" w:rsidRDefault="00D401DB" w:rsidP="00FB4D04">
            <w:pPr>
              <w:spacing w:after="0" w:line="240" w:lineRule="auto"/>
              <w:ind w:firstLineChars="100" w:firstLine="18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Structure de l'emploi selon les secteurs d'activité économique</w:t>
            </w:r>
          </w:p>
        </w:tc>
      </w:tr>
      <w:tr w:rsidR="00C44318"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C44318" w:rsidRPr="00C036E5" w:rsidRDefault="00C44318" w:rsidP="008759D1">
            <w:pPr>
              <w:spacing w:after="0" w:line="240" w:lineRule="auto"/>
              <w:ind w:firstLineChars="200" w:firstLine="36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Agriculture, forêt et  pêche</w:t>
            </w:r>
          </w:p>
        </w:tc>
        <w:tc>
          <w:tcPr>
            <w:tcW w:w="738"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4,4</w:t>
            </w:r>
          </w:p>
        </w:tc>
        <w:tc>
          <w:tcPr>
            <w:tcW w:w="879"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65,1</w:t>
            </w:r>
          </w:p>
        </w:tc>
        <w:tc>
          <w:tcPr>
            <w:tcW w:w="921"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28,6</w:t>
            </w:r>
          </w:p>
        </w:tc>
        <w:tc>
          <w:tcPr>
            <w:tcW w:w="876"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4,3</w:t>
            </w:r>
          </w:p>
        </w:tc>
        <w:tc>
          <w:tcPr>
            <w:tcW w:w="841"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63,9</w:t>
            </w:r>
          </w:p>
        </w:tc>
        <w:tc>
          <w:tcPr>
            <w:tcW w:w="921"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27,4</w:t>
            </w:r>
          </w:p>
        </w:tc>
      </w:tr>
      <w:tr w:rsidR="00C44318"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C44318" w:rsidRPr="00C036E5" w:rsidRDefault="00C44318" w:rsidP="00FB4D04">
            <w:pPr>
              <w:spacing w:after="0" w:line="240" w:lineRule="auto"/>
              <w:ind w:firstLineChars="200" w:firstLine="36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Industrie (y compris artisanat)</w:t>
            </w:r>
          </w:p>
        </w:tc>
        <w:tc>
          <w:tcPr>
            <w:tcW w:w="738"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17,0</w:t>
            </w:r>
          </w:p>
        </w:tc>
        <w:tc>
          <w:tcPr>
            <w:tcW w:w="879"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4,9</w:t>
            </w:r>
          </w:p>
        </w:tc>
        <w:tc>
          <w:tcPr>
            <w:tcW w:w="921"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12,2</w:t>
            </w:r>
          </w:p>
        </w:tc>
        <w:tc>
          <w:tcPr>
            <w:tcW w:w="876"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17,4</w:t>
            </w:r>
          </w:p>
        </w:tc>
        <w:tc>
          <w:tcPr>
            <w:tcW w:w="841"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5,6</w:t>
            </w:r>
          </w:p>
        </w:tc>
        <w:tc>
          <w:tcPr>
            <w:tcW w:w="921"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12,8</w:t>
            </w:r>
          </w:p>
        </w:tc>
      </w:tr>
      <w:tr w:rsidR="00C44318"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C44318" w:rsidRPr="00C036E5" w:rsidRDefault="00C44318" w:rsidP="00FB4D04">
            <w:pPr>
              <w:spacing w:after="0" w:line="240" w:lineRule="auto"/>
              <w:ind w:firstLineChars="200" w:firstLine="36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BTP</w:t>
            </w:r>
          </w:p>
        </w:tc>
        <w:tc>
          <w:tcPr>
            <w:tcW w:w="738"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12,0</w:t>
            </w:r>
          </w:p>
        </w:tc>
        <w:tc>
          <w:tcPr>
            <w:tcW w:w="879"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9,5</w:t>
            </w:r>
          </w:p>
        </w:tc>
        <w:tc>
          <w:tcPr>
            <w:tcW w:w="921"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11,0</w:t>
            </w:r>
          </w:p>
        </w:tc>
        <w:tc>
          <w:tcPr>
            <w:tcW w:w="876"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11,2</w:t>
            </w:r>
          </w:p>
        </w:tc>
        <w:tc>
          <w:tcPr>
            <w:tcW w:w="841"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10,2</w:t>
            </w:r>
          </w:p>
        </w:tc>
        <w:tc>
          <w:tcPr>
            <w:tcW w:w="921"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10,8</w:t>
            </w:r>
          </w:p>
        </w:tc>
      </w:tr>
      <w:tr w:rsidR="00C44318"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C44318" w:rsidRPr="00C036E5" w:rsidRDefault="00C44318" w:rsidP="00FB4D04">
            <w:pPr>
              <w:spacing w:after="0" w:line="240" w:lineRule="auto"/>
              <w:ind w:firstLineChars="200" w:firstLine="36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Services</w:t>
            </w:r>
          </w:p>
        </w:tc>
        <w:tc>
          <w:tcPr>
            <w:tcW w:w="738"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66,5</w:t>
            </w:r>
          </w:p>
        </w:tc>
        <w:tc>
          <w:tcPr>
            <w:tcW w:w="879"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20,4</w:t>
            </w:r>
          </w:p>
        </w:tc>
        <w:tc>
          <w:tcPr>
            <w:tcW w:w="921"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48,1</w:t>
            </w:r>
          </w:p>
        </w:tc>
        <w:tc>
          <w:tcPr>
            <w:tcW w:w="876"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67,1</w:t>
            </w:r>
          </w:p>
        </w:tc>
        <w:tc>
          <w:tcPr>
            <w:tcW w:w="841"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20,4</w:t>
            </w:r>
          </w:p>
        </w:tc>
        <w:tc>
          <w:tcPr>
            <w:tcW w:w="921"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48,9</w:t>
            </w:r>
          </w:p>
        </w:tc>
      </w:tr>
      <w:tr w:rsidR="00C44318"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C44318" w:rsidRPr="00C036E5" w:rsidRDefault="00C44318" w:rsidP="00FB4D04">
            <w:pPr>
              <w:spacing w:after="0" w:line="240" w:lineRule="auto"/>
              <w:ind w:firstLineChars="200" w:firstLine="36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Activités non déterminées</w:t>
            </w:r>
          </w:p>
        </w:tc>
        <w:tc>
          <w:tcPr>
            <w:tcW w:w="738"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0,1</w:t>
            </w:r>
          </w:p>
        </w:tc>
        <w:tc>
          <w:tcPr>
            <w:tcW w:w="879"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0,0</w:t>
            </w:r>
          </w:p>
        </w:tc>
        <w:tc>
          <w:tcPr>
            <w:tcW w:w="921"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0,0</w:t>
            </w:r>
          </w:p>
        </w:tc>
        <w:tc>
          <w:tcPr>
            <w:tcW w:w="876"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0,0</w:t>
            </w:r>
          </w:p>
        </w:tc>
        <w:tc>
          <w:tcPr>
            <w:tcW w:w="841"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0,0</w:t>
            </w:r>
          </w:p>
        </w:tc>
        <w:tc>
          <w:tcPr>
            <w:tcW w:w="921"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0,0</w:t>
            </w:r>
          </w:p>
        </w:tc>
      </w:tr>
      <w:tr w:rsidR="00C44318"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C44318" w:rsidRPr="00C036E5" w:rsidRDefault="00C44318" w:rsidP="00FB4D04">
            <w:pPr>
              <w:spacing w:after="0" w:line="240" w:lineRule="auto"/>
              <w:ind w:firstLineChars="100" w:firstLine="18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Part de l'emploi rémunéré dans l'emploi total, dont :</w:t>
            </w:r>
          </w:p>
        </w:tc>
        <w:tc>
          <w:tcPr>
            <w:tcW w:w="738"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97,6</w:t>
            </w:r>
          </w:p>
        </w:tc>
        <w:tc>
          <w:tcPr>
            <w:tcW w:w="879"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72,7</w:t>
            </w:r>
          </w:p>
        </w:tc>
        <w:tc>
          <w:tcPr>
            <w:tcW w:w="921"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87,7</w:t>
            </w:r>
          </w:p>
        </w:tc>
        <w:tc>
          <w:tcPr>
            <w:tcW w:w="876"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97,7</w:t>
            </w:r>
          </w:p>
        </w:tc>
        <w:tc>
          <w:tcPr>
            <w:tcW w:w="841"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74,7</w:t>
            </w:r>
          </w:p>
        </w:tc>
        <w:tc>
          <w:tcPr>
            <w:tcW w:w="921"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88,8</w:t>
            </w:r>
          </w:p>
        </w:tc>
      </w:tr>
      <w:tr w:rsidR="00C44318"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C44318" w:rsidRPr="00C036E5" w:rsidRDefault="00C44318" w:rsidP="00FB4D04">
            <w:pPr>
              <w:spacing w:after="0" w:line="240" w:lineRule="auto"/>
              <w:ind w:firstLineChars="200" w:firstLine="36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Salariés</w:t>
            </w:r>
          </w:p>
        </w:tc>
        <w:tc>
          <w:tcPr>
            <w:tcW w:w="738"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72,6</w:t>
            </w:r>
          </w:p>
        </w:tc>
        <w:tc>
          <w:tcPr>
            <w:tcW w:w="879"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49,3</w:t>
            </w:r>
          </w:p>
        </w:tc>
        <w:tc>
          <w:tcPr>
            <w:tcW w:w="921"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64,9</w:t>
            </w:r>
          </w:p>
        </w:tc>
        <w:tc>
          <w:tcPr>
            <w:tcW w:w="876"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71,3</w:t>
            </w:r>
          </w:p>
        </w:tc>
        <w:tc>
          <w:tcPr>
            <w:tcW w:w="841"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52,5</w:t>
            </w:r>
          </w:p>
        </w:tc>
        <w:tc>
          <w:tcPr>
            <w:tcW w:w="921"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65,1</w:t>
            </w:r>
          </w:p>
        </w:tc>
      </w:tr>
      <w:tr w:rsidR="00C44318"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C44318" w:rsidRPr="00C036E5" w:rsidRDefault="00C44318" w:rsidP="00FB4D04">
            <w:pPr>
              <w:spacing w:after="0" w:line="240" w:lineRule="auto"/>
              <w:ind w:firstLineChars="200" w:firstLine="36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Auto-employés</w:t>
            </w:r>
          </w:p>
        </w:tc>
        <w:tc>
          <w:tcPr>
            <w:tcW w:w="738"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27,4</w:t>
            </w:r>
          </w:p>
        </w:tc>
        <w:tc>
          <w:tcPr>
            <w:tcW w:w="879"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50,7</w:t>
            </w:r>
          </w:p>
        </w:tc>
        <w:tc>
          <w:tcPr>
            <w:tcW w:w="921"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35,1</w:t>
            </w:r>
          </w:p>
        </w:tc>
        <w:tc>
          <w:tcPr>
            <w:tcW w:w="876"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28,7</w:t>
            </w:r>
          </w:p>
        </w:tc>
        <w:tc>
          <w:tcPr>
            <w:tcW w:w="841"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47,5</w:t>
            </w:r>
          </w:p>
        </w:tc>
        <w:tc>
          <w:tcPr>
            <w:tcW w:w="921"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00"/>
              <w:jc w:val="right"/>
              <w:rPr>
                <w:rFonts w:ascii="Garamond" w:hAnsi="Garamond" w:cs="Calibri"/>
                <w:color w:val="000000"/>
                <w:sz w:val="20"/>
                <w:szCs w:val="20"/>
              </w:rPr>
            </w:pPr>
            <w:r w:rsidRPr="00C44318">
              <w:rPr>
                <w:rFonts w:ascii="Garamond" w:hAnsi="Garamond" w:cs="Calibri"/>
                <w:color w:val="000000"/>
                <w:sz w:val="20"/>
                <w:szCs w:val="20"/>
              </w:rPr>
              <w:t>34,9</w:t>
            </w:r>
          </w:p>
        </w:tc>
      </w:tr>
      <w:tr w:rsidR="00C44318" w:rsidRPr="00C036E5" w:rsidTr="003703AC">
        <w:trPr>
          <w:trHeight w:hRule="exact" w:val="491"/>
        </w:trPr>
        <w:tc>
          <w:tcPr>
            <w:tcW w:w="4253" w:type="dxa"/>
            <w:tcBorders>
              <w:top w:val="nil"/>
              <w:left w:val="single" w:sz="4" w:space="0" w:color="auto"/>
              <w:bottom w:val="single" w:sz="4" w:space="0" w:color="auto"/>
              <w:right w:val="single" w:sz="4" w:space="0" w:color="auto"/>
            </w:tcBorders>
            <w:shd w:val="clear" w:color="auto" w:fill="auto"/>
            <w:noWrap/>
            <w:hideMark/>
          </w:tcPr>
          <w:p w:rsidR="00C44318" w:rsidRPr="00C036E5" w:rsidRDefault="00C44318" w:rsidP="00FB4D04">
            <w:pPr>
              <w:spacing w:after="0" w:line="240" w:lineRule="auto"/>
              <w:ind w:firstLineChars="100" w:firstLine="181"/>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 xml:space="preserve">Population active occupée en sous-emploi (en milliers) </w:t>
            </w:r>
          </w:p>
        </w:tc>
        <w:tc>
          <w:tcPr>
            <w:tcW w:w="738"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21"/>
              <w:jc w:val="right"/>
              <w:rPr>
                <w:rFonts w:ascii="Garamond" w:hAnsi="Garamond" w:cs="Calibri"/>
                <w:b/>
                <w:bCs/>
                <w:color w:val="010205"/>
                <w:sz w:val="22"/>
                <w:szCs w:val="22"/>
              </w:rPr>
            </w:pPr>
            <w:r w:rsidRPr="00C44318">
              <w:rPr>
                <w:rFonts w:ascii="Garamond" w:hAnsi="Garamond" w:cs="Calibri"/>
                <w:b/>
                <w:bCs/>
                <w:color w:val="010205"/>
                <w:sz w:val="22"/>
                <w:szCs w:val="22"/>
              </w:rPr>
              <w:t>549</w:t>
            </w:r>
          </w:p>
        </w:tc>
        <w:tc>
          <w:tcPr>
            <w:tcW w:w="879"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21"/>
              <w:jc w:val="right"/>
              <w:rPr>
                <w:rFonts w:ascii="Garamond" w:hAnsi="Garamond" w:cs="Calibri"/>
                <w:b/>
                <w:bCs/>
                <w:color w:val="010205"/>
                <w:sz w:val="22"/>
                <w:szCs w:val="22"/>
              </w:rPr>
            </w:pPr>
            <w:r w:rsidRPr="00C44318">
              <w:rPr>
                <w:rFonts w:ascii="Garamond" w:hAnsi="Garamond" w:cs="Calibri"/>
                <w:b/>
                <w:bCs/>
                <w:color w:val="010205"/>
                <w:sz w:val="22"/>
                <w:szCs w:val="22"/>
              </w:rPr>
              <w:t>434</w:t>
            </w:r>
          </w:p>
        </w:tc>
        <w:tc>
          <w:tcPr>
            <w:tcW w:w="921"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21"/>
              <w:jc w:val="right"/>
              <w:rPr>
                <w:rFonts w:ascii="Garamond" w:hAnsi="Garamond" w:cs="Calibri"/>
                <w:b/>
                <w:bCs/>
                <w:color w:val="010205"/>
                <w:sz w:val="22"/>
                <w:szCs w:val="22"/>
              </w:rPr>
            </w:pPr>
            <w:r w:rsidRPr="00C44318">
              <w:rPr>
                <w:rFonts w:ascii="Garamond" w:hAnsi="Garamond" w:cs="Calibri"/>
                <w:b/>
                <w:bCs/>
                <w:color w:val="010205"/>
                <w:sz w:val="22"/>
                <w:szCs w:val="22"/>
              </w:rPr>
              <w:t>983</w:t>
            </w:r>
          </w:p>
        </w:tc>
        <w:tc>
          <w:tcPr>
            <w:tcW w:w="876"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21"/>
              <w:jc w:val="right"/>
              <w:rPr>
                <w:rFonts w:ascii="Garamond" w:hAnsi="Garamond" w:cs="Calibri"/>
                <w:b/>
                <w:bCs/>
                <w:color w:val="010205"/>
                <w:sz w:val="22"/>
                <w:szCs w:val="22"/>
              </w:rPr>
            </w:pPr>
            <w:r w:rsidRPr="00C44318">
              <w:rPr>
                <w:rFonts w:ascii="Garamond" w:hAnsi="Garamond" w:cs="Calibri"/>
                <w:b/>
                <w:bCs/>
                <w:color w:val="010205"/>
                <w:sz w:val="22"/>
                <w:szCs w:val="22"/>
              </w:rPr>
              <w:t>552</w:t>
            </w:r>
          </w:p>
        </w:tc>
        <w:tc>
          <w:tcPr>
            <w:tcW w:w="841"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21"/>
              <w:jc w:val="right"/>
              <w:rPr>
                <w:rFonts w:ascii="Garamond" w:hAnsi="Garamond" w:cs="Calibri"/>
                <w:b/>
                <w:bCs/>
                <w:color w:val="010205"/>
                <w:sz w:val="22"/>
                <w:szCs w:val="22"/>
              </w:rPr>
            </w:pPr>
            <w:r w:rsidRPr="00C44318">
              <w:rPr>
                <w:rFonts w:ascii="Garamond" w:hAnsi="Garamond" w:cs="Calibri"/>
                <w:b/>
                <w:bCs/>
                <w:color w:val="010205"/>
                <w:sz w:val="22"/>
                <w:szCs w:val="22"/>
              </w:rPr>
              <w:t>490</w:t>
            </w:r>
          </w:p>
        </w:tc>
        <w:tc>
          <w:tcPr>
            <w:tcW w:w="921"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21"/>
              <w:jc w:val="right"/>
              <w:rPr>
                <w:rFonts w:ascii="Garamond" w:hAnsi="Garamond" w:cs="Calibri"/>
                <w:b/>
                <w:bCs/>
                <w:color w:val="010205"/>
                <w:sz w:val="22"/>
                <w:szCs w:val="22"/>
              </w:rPr>
            </w:pPr>
            <w:r w:rsidRPr="00C44318">
              <w:rPr>
                <w:rFonts w:ascii="Garamond" w:hAnsi="Garamond" w:cs="Calibri"/>
                <w:b/>
                <w:bCs/>
                <w:color w:val="010205"/>
                <w:sz w:val="22"/>
                <w:szCs w:val="22"/>
              </w:rPr>
              <w:t>1 042</w:t>
            </w:r>
          </w:p>
        </w:tc>
      </w:tr>
      <w:tr w:rsidR="00C44318"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noWrap/>
            <w:hideMark/>
          </w:tcPr>
          <w:p w:rsidR="00C44318" w:rsidRPr="00C036E5" w:rsidRDefault="00C44318" w:rsidP="00FB4D04">
            <w:pPr>
              <w:spacing w:after="0" w:line="240" w:lineRule="auto"/>
              <w:ind w:firstLineChars="100" w:firstLine="18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Taux de sous-emploi (en %)</w:t>
            </w:r>
          </w:p>
        </w:tc>
        <w:tc>
          <w:tcPr>
            <w:tcW w:w="738"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20"/>
              <w:jc w:val="right"/>
              <w:rPr>
                <w:rFonts w:ascii="Garamond" w:hAnsi="Garamond" w:cs="Calibri"/>
                <w:color w:val="000000"/>
                <w:sz w:val="22"/>
                <w:szCs w:val="22"/>
              </w:rPr>
            </w:pPr>
            <w:r w:rsidRPr="00C44318">
              <w:rPr>
                <w:rFonts w:ascii="Garamond" w:hAnsi="Garamond" w:cs="Calibri"/>
                <w:color w:val="000000"/>
                <w:sz w:val="22"/>
                <w:szCs w:val="22"/>
              </w:rPr>
              <w:t>8,4</w:t>
            </w:r>
          </w:p>
        </w:tc>
        <w:tc>
          <w:tcPr>
            <w:tcW w:w="879"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20"/>
              <w:jc w:val="right"/>
              <w:rPr>
                <w:rFonts w:ascii="Garamond" w:hAnsi="Garamond" w:cs="Calibri"/>
                <w:color w:val="000000"/>
                <w:sz w:val="22"/>
                <w:szCs w:val="22"/>
              </w:rPr>
            </w:pPr>
            <w:r w:rsidRPr="00C44318">
              <w:rPr>
                <w:rFonts w:ascii="Garamond" w:hAnsi="Garamond" w:cs="Calibri"/>
                <w:color w:val="000000"/>
                <w:sz w:val="22"/>
                <w:szCs w:val="22"/>
              </w:rPr>
              <w:t>9,9</w:t>
            </w:r>
          </w:p>
        </w:tc>
        <w:tc>
          <w:tcPr>
            <w:tcW w:w="921"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20"/>
              <w:jc w:val="right"/>
              <w:rPr>
                <w:rFonts w:ascii="Garamond" w:hAnsi="Garamond" w:cs="Calibri"/>
                <w:color w:val="000000"/>
                <w:sz w:val="22"/>
                <w:szCs w:val="22"/>
              </w:rPr>
            </w:pPr>
            <w:r w:rsidRPr="00C44318">
              <w:rPr>
                <w:rFonts w:ascii="Garamond" w:hAnsi="Garamond" w:cs="Calibri"/>
                <w:color w:val="000000"/>
                <w:sz w:val="22"/>
                <w:szCs w:val="22"/>
              </w:rPr>
              <w:t>9,0</w:t>
            </w:r>
          </w:p>
        </w:tc>
        <w:tc>
          <w:tcPr>
            <w:tcW w:w="876"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20"/>
              <w:jc w:val="right"/>
              <w:rPr>
                <w:rFonts w:ascii="Garamond" w:hAnsi="Garamond" w:cs="Calibri"/>
                <w:color w:val="000000"/>
                <w:sz w:val="22"/>
                <w:szCs w:val="22"/>
              </w:rPr>
            </w:pPr>
            <w:r w:rsidRPr="00C44318">
              <w:rPr>
                <w:rFonts w:ascii="Garamond" w:hAnsi="Garamond" w:cs="Calibri"/>
                <w:color w:val="000000"/>
                <w:sz w:val="22"/>
                <w:szCs w:val="22"/>
              </w:rPr>
              <w:t>8,3</w:t>
            </w:r>
          </w:p>
        </w:tc>
        <w:tc>
          <w:tcPr>
            <w:tcW w:w="841"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20"/>
              <w:jc w:val="right"/>
              <w:rPr>
                <w:rFonts w:ascii="Garamond" w:hAnsi="Garamond" w:cs="Calibri"/>
                <w:color w:val="000000"/>
                <w:sz w:val="22"/>
                <w:szCs w:val="22"/>
              </w:rPr>
            </w:pPr>
            <w:r w:rsidRPr="00C44318">
              <w:rPr>
                <w:rFonts w:ascii="Garamond" w:hAnsi="Garamond" w:cs="Calibri"/>
                <w:color w:val="000000"/>
                <w:sz w:val="22"/>
                <w:szCs w:val="22"/>
              </w:rPr>
              <w:t>11,6</w:t>
            </w:r>
          </w:p>
        </w:tc>
        <w:tc>
          <w:tcPr>
            <w:tcW w:w="921"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20"/>
              <w:jc w:val="right"/>
              <w:rPr>
                <w:rFonts w:ascii="Garamond" w:hAnsi="Garamond" w:cs="Calibri"/>
                <w:color w:val="000000"/>
                <w:sz w:val="22"/>
                <w:szCs w:val="22"/>
              </w:rPr>
            </w:pPr>
            <w:r w:rsidRPr="00C44318">
              <w:rPr>
                <w:rFonts w:ascii="Garamond" w:hAnsi="Garamond" w:cs="Calibri"/>
                <w:color w:val="000000"/>
                <w:sz w:val="22"/>
                <w:szCs w:val="22"/>
              </w:rPr>
              <w:t>9,6</w:t>
            </w:r>
          </w:p>
        </w:tc>
      </w:tr>
      <w:tr w:rsidR="00D401DB" w:rsidRPr="00C036E5" w:rsidTr="003703AC">
        <w:trPr>
          <w:trHeight w:hRule="exact" w:val="340"/>
        </w:trPr>
        <w:tc>
          <w:tcPr>
            <w:tcW w:w="9429"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401DB" w:rsidRPr="00C036E5" w:rsidRDefault="00D401DB" w:rsidP="00FB4D04">
            <w:pPr>
              <w:spacing w:after="0" w:line="240" w:lineRule="auto"/>
              <w:ind w:firstLineChars="200" w:firstLine="360"/>
              <w:rPr>
                <w:rFonts w:ascii="Garamond" w:eastAsia="Times New Roman" w:hAnsi="Garamond" w:cs="Calibri"/>
                <w:i/>
                <w:iCs/>
                <w:color w:val="000000"/>
                <w:sz w:val="18"/>
                <w:szCs w:val="18"/>
                <w:lang w:eastAsia="fr-FR"/>
              </w:rPr>
            </w:pPr>
            <w:r w:rsidRPr="00C036E5">
              <w:rPr>
                <w:rFonts w:ascii="Garamond" w:eastAsia="Times New Roman" w:hAnsi="Garamond" w:cs="Calibri"/>
                <w:i/>
                <w:iCs/>
                <w:color w:val="000000"/>
                <w:sz w:val="18"/>
                <w:szCs w:val="18"/>
                <w:lang w:eastAsia="fr-FR"/>
              </w:rPr>
              <w:t>• Selon la forme de sous-emploi</w:t>
            </w:r>
          </w:p>
        </w:tc>
      </w:tr>
      <w:tr w:rsidR="00C44318" w:rsidRPr="00C036E5" w:rsidTr="003703AC">
        <w:trPr>
          <w:trHeight w:hRule="exact" w:val="340"/>
        </w:trPr>
        <w:tc>
          <w:tcPr>
            <w:tcW w:w="4253" w:type="dxa"/>
            <w:tcBorders>
              <w:top w:val="nil"/>
              <w:left w:val="single" w:sz="4" w:space="0" w:color="auto"/>
              <w:bottom w:val="single" w:sz="4" w:space="0" w:color="auto"/>
              <w:right w:val="single" w:sz="4" w:space="0" w:color="auto"/>
            </w:tcBorders>
            <w:shd w:val="clear" w:color="auto" w:fill="auto"/>
            <w:hideMark/>
          </w:tcPr>
          <w:p w:rsidR="00C44318" w:rsidRPr="00C036E5" w:rsidRDefault="00C44318" w:rsidP="004E4854">
            <w:pPr>
              <w:spacing w:after="0" w:line="240" w:lineRule="auto"/>
              <w:ind w:firstLineChars="400" w:firstLine="720"/>
              <w:jc w:val="both"/>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Sous-emploi visible (lié à la durée de travail)</w:t>
            </w:r>
          </w:p>
        </w:tc>
        <w:tc>
          <w:tcPr>
            <w:tcW w:w="738"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20"/>
              <w:jc w:val="right"/>
              <w:rPr>
                <w:rFonts w:ascii="Garamond" w:hAnsi="Garamond" w:cs="Calibri"/>
                <w:color w:val="000000"/>
                <w:sz w:val="22"/>
                <w:szCs w:val="22"/>
              </w:rPr>
            </w:pPr>
            <w:r w:rsidRPr="00C44318">
              <w:rPr>
                <w:rFonts w:ascii="Garamond" w:hAnsi="Garamond" w:cs="Calibri"/>
                <w:color w:val="000000"/>
                <w:sz w:val="22"/>
                <w:szCs w:val="22"/>
              </w:rPr>
              <w:t>3,8</w:t>
            </w:r>
          </w:p>
        </w:tc>
        <w:tc>
          <w:tcPr>
            <w:tcW w:w="879"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20"/>
              <w:jc w:val="right"/>
              <w:rPr>
                <w:rFonts w:ascii="Garamond" w:hAnsi="Garamond" w:cs="Calibri"/>
                <w:color w:val="000000"/>
                <w:sz w:val="22"/>
                <w:szCs w:val="22"/>
              </w:rPr>
            </w:pPr>
            <w:r w:rsidRPr="00C44318">
              <w:rPr>
                <w:rFonts w:ascii="Garamond" w:hAnsi="Garamond" w:cs="Calibri"/>
                <w:color w:val="000000"/>
                <w:sz w:val="22"/>
                <w:szCs w:val="22"/>
              </w:rPr>
              <w:t>5,0</w:t>
            </w:r>
          </w:p>
        </w:tc>
        <w:tc>
          <w:tcPr>
            <w:tcW w:w="921"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20"/>
              <w:jc w:val="right"/>
              <w:rPr>
                <w:rFonts w:ascii="Garamond" w:hAnsi="Garamond" w:cs="Calibri"/>
                <w:color w:val="000000"/>
                <w:sz w:val="22"/>
                <w:szCs w:val="22"/>
              </w:rPr>
            </w:pPr>
            <w:r w:rsidRPr="00C44318">
              <w:rPr>
                <w:rFonts w:ascii="Garamond" w:hAnsi="Garamond" w:cs="Calibri"/>
                <w:color w:val="000000"/>
                <w:sz w:val="22"/>
                <w:szCs w:val="22"/>
              </w:rPr>
              <w:t>4,2</w:t>
            </w:r>
          </w:p>
        </w:tc>
        <w:tc>
          <w:tcPr>
            <w:tcW w:w="876"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20"/>
              <w:jc w:val="right"/>
              <w:rPr>
                <w:rFonts w:ascii="Garamond" w:hAnsi="Garamond" w:cs="Calibri"/>
                <w:color w:val="000000"/>
                <w:sz w:val="22"/>
                <w:szCs w:val="22"/>
              </w:rPr>
            </w:pPr>
            <w:r w:rsidRPr="00C44318">
              <w:rPr>
                <w:rFonts w:ascii="Garamond" w:hAnsi="Garamond" w:cs="Calibri"/>
                <w:color w:val="000000"/>
                <w:sz w:val="22"/>
                <w:szCs w:val="22"/>
              </w:rPr>
              <w:t>4,1</w:t>
            </w:r>
          </w:p>
        </w:tc>
        <w:tc>
          <w:tcPr>
            <w:tcW w:w="841"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20"/>
              <w:jc w:val="right"/>
              <w:rPr>
                <w:rFonts w:ascii="Garamond" w:hAnsi="Garamond" w:cs="Calibri"/>
                <w:color w:val="000000"/>
                <w:sz w:val="22"/>
                <w:szCs w:val="22"/>
              </w:rPr>
            </w:pPr>
            <w:r w:rsidRPr="00C44318">
              <w:rPr>
                <w:rFonts w:ascii="Garamond" w:hAnsi="Garamond" w:cs="Calibri"/>
                <w:color w:val="000000"/>
                <w:sz w:val="22"/>
                <w:szCs w:val="22"/>
              </w:rPr>
              <w:t>7,4</w:t>
            </w:r>
          </w:p>
        </w:tc>
        <w:tc>
          <w:tcPr>
            <w:tcW w:w="921" w:type="dxa"/>
            <w:tcBorders>
              <w:top w:val="nil"/>
              <w:left w:val="nil"/>
              <w:bottom w:val="single" w:sz="4" w:space="0" w:color="auto"/>
              <w:right w:val="single" w:sz="4" w:space="0" w:color="auto"/>
            </w:tcBorders>
            <w:shd w:val="clear" w:color="auto" w:fill="auto"/>
            <w:noWrap/>
            <w:hideMark/>
          </w:tcPr>
          <w:p w:rsidR="00C44318" w:rsidRPr="00C44318" w:rsidRDefault="00C44318" w:rsidP="00C44318">
            <w:pPr>
              <w:ind w:firstLineChars="100" w:firstLine="220"/>
              <w:jc w:val="right"/>
              <w:rPr>
                <w:rFonts w:ascii="Garamond" w:hAnsi="Garamond" w:cs="Calibri"/>
                <w:color w:val="000000"/>
                <w:sz w:val="22"/>
                <w:szCs w:val="22"/>
              </w:rPr>
            </w:pPr>
            <w:r w:rsidRPr="00C44318">
              <w:rPr>
                <w:rFonts w:ascii="Garamond" w:hAnsi="Garamond" w:cs="Calibri"/>
                <w:color w:val="000000"/>
                <w:sz w:val="22"/>
                <w:szCs w:val="22"/>
              </w:rPr>
              <w:t>5,4</w:t>
            </w:r>
          </w:p>
        </w:tc>
      </w:tr>
      <w:tr w:rsidR="00C44318" w:rsidRPr="00C036E5" w:rsidTr="003703AC">
        <w:trPr>
          <w:trHeight w:hRule="exact" w:val="694"/>
        </w:trPr>
        <w:tc>
          <w:tcPr>
            <w:tcW w:w="4253" w:type="dxa"/>
            <w:tcBorders>
              <w:top w:val="nil"/>
              <w:left w:val="single" w:sz="4" w:space="0" w:color="auto"/>
              <w:bottom w:val="single" w:sz="4" w:space="0" w:color="auto"/>
              <w:right w:val="single" w:sz="4" w:space="0" w:color="auto"/>
            </w:tcBorders>
            <w:shd w:val="clear" w:color="auto" w:fill="auto"/>
            <w:hideMark/>
          </w:tcPr>
          <w:p w:rsidR="00C44318" w:rsidRDefault="00C44318" w:rsidP="004E4854">
            <w:pPr>
              <w:spacing w:after="0" w:line="240" w:lineRule="auto"/>
              <w:ind w:firstLineChars="400" w:firstLine="720"/>
              <w:jc w:val="both"/>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Sous-emploi invisible (lié aux revenus</w:t>
            </w:r>
          </w:p>
          <w:p w:rsidR="00C44318" w:rsidRDefault="00C44318" w:rsidP="004E4854">
            <w:pPr>
              <w:spacing w:after="0" w:line="240" w:lineRule="auto"/>
              <w:ind w:firstLineChars="400" w:firstLine="720"/>
              <w:jc w:val="both"/>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d'activité et à l'adéquation formation-emploi)</w:t>
            </w:r>
          </w:p>
          <w:p w:rsidR="00C44318" w:rsidRPr="00C036E5" w:rsidRDefault="00C44318" w:rsidP="004E4854">
            <w:pPr>
              <w:spacing w:after="0" w:line="240" w:lineRule="auto"/>
              <w:ind w:firstLineChars="400" w:firstLine="720"/>
              <w:jc w:val="both"/>
              <w:rPr>
                <w:rFonts w:ascii="Garamond" w:eastAsia="Times New Roman" w:hAnsi="Garamond" w:cs="Calibri"/>
                <w:color w:val="000000"/>
                <w:sz w:val="18"/>
                <w:szCs w:val="18"/>
                <w:lang w:eastAsia="fr-FR"/>
              </w:rPr>
            </w:pPr>
          </w:p>
        </w:tc>
        <w:tc>
          <w:tcPr>
            <w:tcW w:w="738" w:type="dxa"/>
            <w:tcBorders>
              <w:top w:val="nil"/>
              <w:left w:val="nil"/>
              <w:bottom w:val="single" w:sz="4" w:space="0" w:color="auto"/>
              <w:right w:val="single" w:sz="4" w:space="0" w:color="auto"/>
            </w:tcBorders>
            <w:shd w:val="clear" w:color="auto" w:fill="auto"/>
            <w:noWrap/>
            <w:vAlign w:val="bottom"/>
            <w:hideMark/>
          </w:tcPr>
          <w:p w:rsidR="00C44318" w:rsidRPr="00C44318" w:rsidRDefault="00C44318" w:rsidP="00C44318">
            <w:pPr>
              <w:ind w:firstLineChars="100" w:firstLine="220"/>
              <w:jc w:val="right"/>
              <w:rPr>
                <w:rFonts w:ascii="Garamond" w:hAnsi="Garamond" w:cs="Calibri"/>
                <w:color w:val="010205"/>
                <w:sz w:val="22"/>
                <w:szCs w:val="22"/>
              </w:rPr>
            </w:pPr>
            <w:r w:rsidRPr="00C44318">
              <w:rPr>
                <w:rFonts w:ascii="Garamond" w:hAnsi="Garamond" w:cs="Calibri"/>
                <w:color w:val="010205"/>
                <w:sz w:val="22"/>
                <w:szCs w:val="22"/>
              </w:rPr>
              <w:t>4,6</w:t>
            </w:r>
          </w:p>
        </w:tc>
        <w:tc>
          <w:tcPr>
            <w:tcW w:w="879" w:type="dxa"/>
            <w:tcBorders>
              <w:top w:val="nil"/>
              <w:left w:val="nil"/>
              <w:bottom w:val="single" w:sz="4" w:space="0" w:color="auto"/>
              <w:right w:val="single" w:sz="4" w:space="0" w:color="auto"/>
            </w:tcBorders>
            <w:shd w:val="clear" w:color="auto" w:fill="auto"/>
            <w:noWrap/>
            <w:vAlign w:val="bottom"/>
            <w:hideMark/>
          </w:tcPr>
          <w:p w:rsidR="00C44318" w:rsidRPr="00C44318" w:rsidRDefault="00C44318" w:rsidP="00C44318">
            <w:pPr>
              <w:ind w:firstLineChars="100" w:firstLine="220"/>
              <w:jc w:val="right"/>
              <w:rPr>
                <w:rFonts w:ascii="Garamond" w:hAnsi="Garamond" w:cs="Calibri"/>
                <w:color w:val="010205"/>
                <w:sz w:val="22"/>
                <w:szCs w:val="22"/>
              </w:rPr>
            </w:pPr>
            <w:r w:rsidRPr="00C44318">
              <w:rPr>
                <w:rFonts w:ascii="Garamond" w:hAnsi="Garamond" w:cs="Calibri"/>
                <w:color w:val="010205"/>
                <w:sz w:val="22"/>
                <w:szCs w:val="22"/>
              </w:rPr>
              <w:t>5,0</w:t>
            </w:r>
          </w:p>
        </w:tc>
        <w:tc>
          <w:tcPr>
            <w:tcW w:w="921" w:type="dxa"/>
            <w:tcBorders>
              <w:top w:val="nil"/>
              <w:left w:val="nil"/>
              <w:bottom w:val="single" w:sz="4" w:space="0" w:color="auto"/>
              <w:right w:val="single" w:sz="4" w:space="0" w:color="auto"/>
            </w:tcBorders>
            <w:shd w:val="clear" w:color="auto" w:fill="auto"/>
            <w:noWrap/>
            <w:vAlign w:val="bottom"/>
            <w:hideMark/>
          </w:tcPr>
          <w:p w:rsidR="00C44318" w:rsidRPr="00C44318" w:rsidRDefault="00C44318" w:rsidP="00C44318">
            <w:pPr>
              <w:ind w:firstLineChars="100" w:firstLine="220"/>
              <w:jc w:val="right"/>
              <w:rPr>
                <w:rFonts w:ascii="Garamond" w:hAnsi="Garamond" w:cs="Calibri"/>
                <w:color w:val="010205"/>
                <w:sz w:val="22"/>
                <w:szCs w:val="22"/>
              </w:rPr>
            </w:pPr>
            <w:r w:rsidRPr="00C44318">
              <w:rPr>
                <w:rFonts w:ascii="Garamond" w:hAnsi="Garamond" w:cs="Calibri"/>
                <w:color w:val="010205"/>
                <w:sz w:val="22"/>
                <w:szCs w:val="22"/>
              </w:rPr>
              <w:t>4,7</w:t>
            </w:r>
          </w:p>
        </w:tc>
        <w:tc>
          <w:tcPr>
            <w:tcW w:w="876" w:type="dxa"/>
            <w:tcBorders>
              <w:top w:val="nil"/>
              <w:left w:val="nil"/>
              <w:bottom w:val="single" w:sz="4" w:space="0" w:color="auto"/>
              <w:right w:val="single" w:sz="4" w:space="0" w:color="auto"/>
            </w:tcBorders>
            <w:shd w:val="clear" w:color="auto" w:fill="auto"/>
            <w:noWrap/>
            <w:vAlign w:val="bottom"/>
            <w:hideMark/>
          </w:tcPr>
          <w:p w:rsidR="00C44318" w:rsidRPr="00C44318" w:rsidRDefault="00C44318" w:rsidP="00C44318">
            <w:pPr>
              <w:ind w:firstLineChars="100" w:firstLine="220"/>
              <w:jc w:val="right"/>
              <w:rPr>
                <w:rFonts w:ascii="Garamond" w:hAnsi="Garamond" w:cs="Calibri"/>
                <w:color w:val="010205"/>
                <w:sz w:val="22"/>
                <w:szCs w:val="22"/>
              </w:rPr>
            </w:pPr>
            <w:r w:rsidRPr="00C44318">
              <w:rPr>
                <w:rFonts w:ascii="Garamond" w:hAnsi="Garamond" w:cs="Calibri"/>
                <w:color w:val="010205"/>
                <w:sz w:val="22"/>
                <w:szCs w:val="22"/>
              </w:rPr>
              <w:t>4,2</w:t>
            </w:r>
          </w:p>
        </w:tc>
        <w:tc>
          <w:tcPr>
            <w:tcW w:w="841" w:type="dxa"/>
            <w:tcBorders>
              <w:top w:val="nil"/>
              <w:left w:val="nil"/>
              <w:bottom w:val="single" w:sz="4" w:space="0" w:color="auto"/>
              <w:right w:val="single" w:sz="4" w:space="0" w:color="auto"/>
            </w:tcBorders>
            <w:shd w:val="clear" w:color="auto" w:fill="auto"/>
            <w:noWrap/>
            <w:vAlign w:val="bottom"/>
            <w:hideMark/>
          </w:tcPr>
          <w:p w:rsidR="00C44318" w:rsidRPr="00C44318" w:rsidRDefault="00C44318" w:rsidP="00C44318">
            <w:pPr>
              <w:ind w:firstLineChars="100" w:firstLine="220"/>
              <w:jc w:val="right"/>
              <w:rPr>
                <w:rFonts w:ascii="Garamond" w:hAnsi="Garamond" w:cs="Calibri"/>
                <w:color w:val="010205"/>
                <w:sz w:val="22"/>
                <w:szCs w:val="22"/>
              </w:rPr>
            </w:pPr>
            <w:r w:rsidRPr="00C44318">
              <w:rPr>
                <w:rFonts w:ascii="Garamond" w:hAnsi="Garamond" w:cs="Calibri"/>
                <w:color w:val="010205"/>
                <w:sz w:val="22"/>
                <w:szCs w:val="22"/>
              </w:rPr>
              <w:t>4,2</w:t>
            </w:r>
          </w:p>
        </w:tc>
        <w:tc>
          <w:tcPr>
            <w:tcW w:w="921" w:type="dxa"/>
            <w:tcBorders>
              <w:top w:val="nil"/>
              <w:left w:val="nil"/>
              <w:bottom w:val="single" w:sz="4" w:space="0" w:color="auto"/>
              <w:right w:val="single" w:sz="4" w:space="0" w:color="auto"/>
            </w:tcBorders>
            <w:shd w:val="clear" w:color="auto" w:fill="auto"/>
            <w:noWrap/>
            <w:vAlign w:val="bottom"/>
            <w:hideMark/>
          </w:tcPr>
          <w:p w:rsidR="00C44318" w:rsidRPr="00C44318" w:rsidRDefault="00C44318" w:rsidP="00C44318">
            <w:pPr>
              <w:ind w:firstLineChars="100" w:firstLine="220"/>
              <w:jc w:val="right"/>
              <w:rPr>
                <w:rFonts w:ascii="Garamond" w:hAnsi="Garamond" w:cs="Calibri"/>
                <w:color w:val="010205"/>
                <w:sz w:val="22"/>
                <w:szCs w:val="22"/>
              </w:rPr>
            </w:pPr>
            <w:r w:rsidRPr="00C44318">
              <w:rPr>
                <w:rFonts w:ascii="Garamond" w:hAnsi="Garamond" w:cs="Calibri"/>
                <w:color w:val="010205"/>
                <w:sz w:val="22"/>
                <w:szCs w:val="22"/>
              </w:rPr>
              <w:t>4,2</w:t>
            </w:r>
          </w:p>
        </w:tc>
      </w:tr>
    </w:tbl>
    <w:p w:rsidR="00FB4D04" w:rsidRPr="00C036E5" w:rsidRDefault="00FB4D04" w:rsidP="00D401DB">
      <w:pPr>
        <w:tabs>
          <w:tab w:val="left" w:pos="-720"/>
        </w:tabs>
        <w:suppressAutoHyphens/>
        <w:spacing w:after="0" w:line="276" w:lineRule="auto"/>
        <w:ind w:left="360"/>
        <w:jc w:val="both"/>
        <w:rPr>
          <w:rFonts w:ascii="Book Antiqua" w:hAnsi="Book Antiqua" w:cs="Browallia New"/>
          <w:b/>
          <w:bCs/>
          <w:color w:val="4472C4" w:themeColor="accent1"/>
          <w:sz w:val="20"/>
          <w:szCs w:val="20"/>
        </w:rPr>
      </w:pPr>
    </w:p>
    <w:p w:rsidR="00D401DB" w:rsidRPr="00C036E5" w:rsidRDefault="00FB4D04" w:rsidP="004E4854">
      <w:pPr>
        <w:rPr>
          <w:color w:val="222222"/>
          <w:sz w:val="20"/>
          <w:szCs w:val="20"/>
          <w:shd w:val="clear" w:color="auto" w:fill="FFFFFF"/>
        </w:rPr>
      </w:pPr>
      <w:r w:rsidRPr="00C036E5">
        <w:rPr>
          <w:rFonts w:ascii="Book Antiqua" w:hAnsi="Book Antiqua" w:cs="Browallia New"/>
          <w:b/>
          <w:bCs/>
          <w:color w:val="4472C4" w:themeColor="accent1"/>
          <w:sz w:val="20"/>
          <w:szCs w:val="20"/>
        </w:rPr>
        <w:br w:type="page"/>
      </w:r>
      <w:r w:rsidR="00D401DB" w:rsidRPr="00C036E5">
        <w:rPr>
          <w:rFonts w:ascii="Book Antiqua" w:hAnsi="Book Antiqua" w:cs="Browallia New"/>
          <w:b/>
          <w:bCs/>
          <w:color w:val="4472C4" w:themeColor="accent1"/>
          <w:sz w:val="20"/>
          <w:szCs w:val="20"/>
        </w:rPr>
        <w:lastRenderedPageBreak/>
        <w:t>Tableau</w:t>
      </w:r>
      <w:r w:rsidR="0037275B">
        <w:rPr>
          <w:rFonts w:ascii="Book Antiqua" w:hAnsi="Book Antiqua" w:cs="Browallia New"/>
          <w:b/>
          <w:bCs/>
          <w:color w:val="4472C4" w:themeColor="accent1"/>
          <w:sz w:val="20"/>
          <w:szCs w:val="20"/>
        </w:rPr>
        <w:t xml:space="preserve"> 1 : Indicateurs trimestriels de l’activité, de l’emploi et du</w:t>
      </w:r>
      <w:r w:rsidR="00D401DB" w:rsidRPr="00C036E5">
        <w:rPr>
          <w:rFonts w:ascii="Book Antiqua" w:hAnsi="Book Antiqua" w:cs="Browallia New"/>
          <w:b/>
          <w:bCs/>
          <w:color w:val="4472C4" w:themeColor="accent1"/>
          <w:sz w:val="20"/>
          <w:szCs w:val="20"/>
        </w:rPr>
        <w:t xml:space="preserve"> chômage par milieu de résidence (suite)</w:t>
      </w:r>
    </w:p>
    <w:tbl>
      <w:tblPr>
        <w:tblW w:w="9807" w:type="dxa"/>
        <w:jc w:val="center"/>
        <w:tblCellMar>
          <w:left w:w="70" w:type="dxa"/>
          <w:right w:w="70" w:type="dxa"/>
        </w:tblCellMar>
        <w:tblLook w:val="04A0"/>
      </w:tblPr>
      <w:tblGrid>
        <w:gridCol w:w="4047"/>
        <w:gridCol w:w="1154"/>
        <w:gridCol w:w="880"/>
        <w:gridCol w:w="966"/>
        <w:gridCol w:w="916"/>
        <w:gridCol w:w="878"/>
        <w:gridCol w:w="966"/>
      </w:tblGrid>
      <w:tr w:rsidR="00D401DB" w:rsidRPr="00C036E5" w:rsidTr="00FB4D04">
        <w:trPr>
          <w:trHeight w:val="300"/>
          <w:jc w:val="center"/>
        </w:trPr>
        <w:tc>
          <w:tcPr>
            <w:tcW w:w="404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401DB" w:rsidRPr="00C036E5" w:rsidRDefault="00D401DB" w:rsidP="00FB4D04">
            <w:pPr>
              <w:bidi/>
              <w:spacing w:after="0" w:line="240" w:lineRule="auto"/>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rtl/>
                <w:lang w:eastAsia="fr-FR"/>
              </w:rPr>
              <w:t> </w:t>
            </w:r>
          </w:p>
        </w:tc>
        <w:tc>
          <w:tcPr>
            <w:tcW w:w="3000" w:type="dxa"/>
            <w:gridSpan w:val="3"/>
            <w:tcBorders>
              <w:top w:val="single" w:sz="4" w:space="0" w:color="auto"/>
              <w:left w:val="nil"/>
              <w:bottom w:val="single" w:sz="4" w:space="0" w:color="auto"/>
              <w:right w:val="single" w:sz="4" w:space="0" w:color="auto"/>
            </w:tcBorders>
            <w:shd w:val="clear" w:color="auto" w:fill="auto"/>
            <w:noWrap/>
            <w:hideMark/>
          </w:tcPr>
          <w:p w:rsidR="00D401DB" w:rsidRPr="00C036E5" w:rsidRDefault="001A6732" w:rsidP="000F5704">
            <w:pPr>
              <w:spacing w:after="0" w:line="240" w:lineRule="auto"/>
              <w:jc w:val="center"/>
              <w:rPr>
                <w:rFonts w:ascii="Garamond" w:eastAsia="Times New Roman" w:hAnsi="Garamond" w:cs="Calibri"/>
                <w:b/>
                <w:bCs/>
                <w:color w:val="000000"/>
                <w:sz w:val="18"/>
                <w:szCs w:val="18"/>
                <w:lang w:eastAsia="fr-FR"/>
              </w:rPr>
            </w:pPr>
            <w:r>
              <w:rPr>
                <w:rFonts w:ascii="Garamond" w:eastAsia="Times New Roman" w:hAnsi="Garamond" w:cs="Calibri"/>
                <w:b/>
                <w:bCs/>
                <w:color w:val="000000"/>
                <w:sz w:val="20"/>
                <w:szCs w:val="20"/>
                <w:lang w:eastAsia="fr-FR"/>
              </w:rPr>
              <w:t>2</w:t>
            </w:r>
            <w:r w:rsidRPr="001A6732">
              <w:rPr>
                <w:rFonts w:ascii="Garamond" w:eastAsia="Times New Roman" w:hAnsi="Garamond" w:cs="Calibri"/>
                <w:b/>
                <w:bCs/>
                <w:color w:val="000000"/>
                <w:sz w:val="20"/>
                <w:szCs w:val="20"/>
                <w:vertAlign w:val="superscript"/>
                <w:lang w:eastAsia="fr-FR"/>
              </w:rPr>
              <w:t>ème</w:t>
            </w:r>
            <w:r>
              <w:rPr>
                <w:rFonts w:ascii="Garamond" w:eastAsia="Times New Roman" w:hAnsi="Garamond" w:cs="Calibri"/>
                <w:b/>
                <w:bCs/>
                <w:color w:val="000000"/>
                <w:sz w:val="20"/>
                <w:szCs w:val="20"/>
                <w:lang w:eastAsia="fr-FR"/>
              </w:rPr>
              <w:t xml:space="preserve"> </w:t>
            </w:r>
            <w:r w:rsidRPr="00C036E5">
              <w:rPr>
                <w:rFonts w:ascii="Garamond" w:eastAsia="Times New Roman" w:hAnsi="Garamond" w:cs="Calibri"/>
                <w:b/>
                <w:bCs/>
                <w:color w:val="000000"/>
                <w:sz w:val="20"/>
                <w:szCs w:val="20"/>
                <w:lang w:eastAsia="fr-FR"/>
              </w:rPr>
              <w:t>trimestre 202</w:t>
            </w:r>
            <w:r>
              <w:rPr>
                <w:rFonts w:ascii="Garamond" w:eastAsia="Times New Roman" w:hAnsi="Garamond" w:cs="Calibri"/>
                <w:b/>
                <w:bCs/>
                <w:color w:val="000000"/>
                <w:sz w:val="20"/>
                <w:szCs w:val="20"/>
                <w:lang w:eastAsia="fr-FR"/>
              </w:rPr>
              <w:t>3</w:t>
            </w:r>
          </w:p>
        </w:tc>
        <w:tc>
          <w:tcPr>
            <w:tcW w:w="2760" w:type="dxa"/>
            <w:gridSpan w:val="3"/>
            <w:tcBorders>
              <w:top w:val="single" w:sz="4" w:space="0" w:color="auto"/>
              <w:left w:val="nil"/>
              <w:bottom w:val="single" w:sz="4" w:space="0" w:color="auto"/>
              <w:right w:val="single" w:sz="4" w:space="0" w:color="auto"/>
            </w:tcBorders>
            <w:shd w:val="clear" w:color="auto" w:fill="auto"/>
            <w:noWrap/>
            <w:hideMark/>
          </w:tcPr>
          <w:p w:rsidR="00D401DB" w:rsidRPr="00C036E5" w:rsidRDefault="001A6732" w:rsidP="00FB4D04">
            <w:pPr>
              <w:spacing w:after="0" w:line="240" w:lineRule="auto"/>
              <w:jc w:val="center"/>
              <w:rPr>
                <w:rFonts w:ascii="Garamond" w:eastAsia="Times New Roman" w:hAnsi="Garamond" w:cs="Calibri"/>
                <w:b/>
                <w:bCs/>
                <w:color w:val="000000"/>
                <w:sz w:val="18"/>
                <w:szCs w:val="18"/>
                <w:lang w:eastAsia="fr-FR"/>
              </w:rPr>
            </w:pPr>
            <w:r>
              <w:rPr>
                <w:rFonts w:ascii="Garamond" w:eastAsia="Times New Roman" w:hAnsi="Garamond" w:cs="Calibri"/>
                <w:b/>
                <w:bCs/>
                <w:color w:val="000000"/>
                <w:sz w:val="20"/>
                <w:szCs w:val="20"/>
                <w:lang w:eastAsia="fr-FR"/>
              </w:rPr>
              <w:t>2</w:t>
            </w:r>
            <w:r w:rsidRPr="001A6732">
              <w:rPr>
                <w:rFonts w:ascii="Garamond" w:eastAsia="Times New Roman" w:hAnsi="Garamond" w:cs="Calibri"/>
                <w:b/>
                <w:bCs/>
                <w:color w:val="000000"/>
                <w:sz w:val="20"/>
                <w:szCs w:val="20"/>
                <w:vertAlign w:val="superscript"/>
                <w:lang w:eastAsia="fr-FR"/>
              </w:rPr>
              <w:t>ème</w:t>
            </w:r>
            <w:r>
              <w:rPr>
                <w:rFonts w:ascii="Garamond" w:eastAsia="Times New Roman" w:hAnsi="Garamond" w:cs="Calibri"/>
                <w:b/>
                <w:bCs/>
                <w:color w:val="000000"/>
                <w:sz w:val="20"/>
                <w:szCs w:val="20"/>
                <w:lang w:eastAsia="fr-FR"/>
              </w:rPr>
              <w:t xml:space="preserve"> </w:t>
            </w:r>
            <w:r w:rsidRPr="00C036E5">
              <w:rPr>
                <w:rFonts w:ascii="Garamond" w:eastAsia="Times New Roman" w:hAnsi="Garamond" w:cs="Calibri"/>
                <w:b/>
                <w:bCs/>
                <w:color w:val="000000"/>
                <w:sz w:val="20"/>
                <w:szCs w:val="20"/>
                <w:lang w:eastAsia="fr-FR"/>
              </w:rPr>
              <w:t>trimestre 202</w:t>
            </w:r>
            <w:r>
              <w:rPr>
                <w:rFonts w:ascii="Garamond" w:eastAsia="Times New Roman" w:hAnsi="Garamond" w:cs="Calibri"/>
                <w:b/>
                <w:bCs/>
                <w:color w:val="000000"/>
                <w:sz w:val="20"/>
                <w:szCs w:val="20"/>
                <w:lang w:eastAsia="fr-FR"/>
              </w:rPr>
              <w:t>4</w:t>
            </w:r>
          </w:p>
        </w:tc>
      </w:tr>
      <w:tr w:rsidR="00D401DB" w:rsidRPr="00C036E5" w:rsidTr="008759D1">
        <w:trPr>
          <w:trHeight w:val="408"/>
          <w:jc w:val="center"/>
        </w:trPr>
        <w:tc>
          <w:tcPr>
            <w:tcW w:w="4047" w:type="dxa"/>
            <w:vMerge/>
            <w:tcBorders>
              <w:top w:val="single" w:sz="4" w:space="0" w:color="auto"/>
              <w:left w:val="single" w:sz="4" w:space="0" w:color="auto"/>
              <w:bottom w:val="single" w:sz="4" w:space="0" w:color="auto"/>
              <w:right w:val="single" w:sz="4" w:space="0" w:color="auto"/>
            </w:tcBorders>
            <w:vAlign w:val="center"/>
            <w:hideMark/>
          </w:tcPr>
          <w:p w:rsidR="00D401DB" w:rsidRPr="00C036E5" w:rsidRDefault="00D401DB" w:rsidP="00FB4D04">
            <w:pPr>
              <w:spacing w:after="0" w:line="240" w:lineRule="auto"/>
              <w:rPr>
                <w:rFonts w:ascii="Garamond" w:eastAsia="Times New Roman" w:hAnsi="Garamond" w:cs="Calibri"/>
                <w:b/>
                <w:bCs/>
                <w:color w:val="000000"/>
                <w:sz w:val="18"/>
                <w:szCs w:val="18"/>
                <w:lang w:eastAsia="fr-FR"/>
              </w:rPr>
            </w:pPr>
          </w:p>
        </w:tc>
        <w:tc>
          <w:tcPr>
            <w:tcW w:w="1154" w:type="dxa"/>
            <w:tcBorders>
              <w:top w:val="nil"/>
              <w:left w:val="nil"/>
              <w:bottom w:val="single" w:sz="4" w:space="0" w:color="auto"/>
              <w:right w:val="single" w:sz="4" w:space="0" w:color="auto"/>
            </w:tcBorders>
            <w:shd w:val="clear" w:color="auto" w:fill="auto"/>
            <w:hideMark/>
          </w:tcPr>
          <w:p w:rsidR="00D401DB" w:rsidRPr="00C036E5" w:rsidRDefault="00D401DB" w:rsidP="00FB4D04">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Urbain</w:t>
            </w:r>
          </w:p>
        </w:tc>
        <w:tc>
          <w:tcPr>
            <w:tcW w:w="880" w:type="dxa"/>
            <w:tcBorders>
              <w:top w:val="nil"/>
              <w:left w:val="nil"/>
              <w:bottom w:val="single" w:sz="4" w:space="0" w:color="auto"/>
              <w:right w:val="single" w:sz="4" w:space="0" w:color="auto"/>
            </w:tcBorders>
            <w:shd w:val="clear" w:color="auto" w:fill="auto"/>
            <w:hideMark/>
          </w:tcPr>
          <w:p w:rsidR="00D401DB" w:rsidRPr="00C036E5" w:rsidRDefault="00D401DB" w:rsidP="00FB4D04">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Rural</w:t>
            </w:r>
          </w:p>
        </w:tc>
        <w:tc>
          <w:tcPr>
            <w:tcW w:w="966" w:type="dxa"/>
            <w:tcBorders>
              <w:top w:val="nil"/>
              <w:left w:val="nil"/>
              <w:bottom w:val="single" w:sz="4" w:space="0" w:color="auto"/>
              <w:right w:val="single" w:sz="4" w:space="0" w:color="auto"/>
            </w:tcBorders>
            <w:shd w:val="clear" w:color="auto" w:fill="auto"/>
            <w:hideMark/>
          </w:tcPr>
          <w:p w:rsidR="00D401DB" w:rsidRPr="00C036E5" w:rsidRDefault="00D401DB" w:rsidP="00FB4D04">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Ensemble</w:t>
            </w:r>
          </w:p>
        </w:tc>
        <w:tc>
          <w:tcPr>
            <w:tcW w:w="916" w:type="dxa"/>
            <w:tcBorders>
              <w:top w:val="nil"/>
              <w:left w:val="nil"/>
              <w:bottom w:val="single" w:sz="4" w:space="0" w:color="auto"/>
              <w:right w:val="single" w:sz="4" w:space="0" w:color="auto"/>
            </w:tcBorders>
            <w:shd w:val="clear" w:color="auto" w:fill="auto"/>
            <w:hideMark/>
          </w:tcPr>
          <w:p w:rsidR="00D401DB" w:rsidRPr="00C036E5" w:rsidRDefault="00D401DB" w:rsidP="00FB4D04">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Urbain</w:t>
            </w:r>
          </w:p>
        </w:tc>
        <w:tc>
          <w:tcPr>
            <w:tcW w:w="878" w:type="dxa"/>
            <w:tcBorders>
              <w:top w:val="nil"/>
              <w:left w:val="nil"/>
              <w:bottom w:val="single" w:sz="4" w:space="0" w:color="auto"/>
              <w:right w:val="single" w:sz="4" w:space="0" w:color="auto"/>
            </w:tcBorders>
            <w:shd w:val="clear" w:color="auto" w:fill="auto"/>
            <w:hideMark/>
          </w:tcPr>
          <w:p w:rsidR="00D401DB" w:rsidRPr="00C036E5" w:rsidRDefault="00D401DB" w:rsidP="00FB4D04">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Rural</w:t>
            </w:r>
          </w:p>
        </w:tc>
        <w:tc>
          <w:tcPr>
            <w:tcW w:w="966" w:type="dxa"/>
            <w:tcBorders>
              <w:top w:val="nil"/>
              <w:left w:val="nil"/>
              <w:bottom w:val="single" w:sz="4" w:space="0" w:color="auto"/>
              <w:right w:val="single" w:sz="4" w:space="0" w:color="auto"/>
            </w:tcBorders>
            <w:shd w:val="clear" w:color="auto" w:fill="auto"/>
            <w:hideMark/>
          </w:tcPr>
          <w:p w:rsidR="00D401DB" w:rsidRPr="00C036E5" w:rsidRDefault="00D401DB" w:rsidP="00FB4D04">
            <w:pPr>
              <w:bidi/>
              <w:spacing w:after="0" w:line="240" w:lineRule="auto"/>
              <w:jc w:val="center"/>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Ensemble</w:t>
            </w:r>
          </w:p>
        </w:tc>
      </w:tr>
      <w:tr w:rsidR="00D401DB" w:rsidRPr="00C036E5" w:rsidTr="00FB4D04">
        <w:trPr>
          <w:trHeight w:val="300"/>
          <w:jc w:val="center"/>
        </w:trPr>
        <w:tc>
          <w:tcPr>
            <w:tcW w:w="9807"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401DB" w:rsidRPr="00C036E5" w:rsidRDefault="00D401DB" w:rsidP="00FB4D04">
            <w:pPr>
              <w:spacing w:after="0" w:line="240" w:lineRule="auto"/>
              <w:rPr>
                <w:rFonts w:ascii="Garamond" w:eastAsia="Times New Roman" w:hAnsi="Garamond" w:cs="Calibri"/>
                <w:b/>
                <w:bCs/>
                <w:color w:val="1F497D"/>
                <w:sz w:val="18"/>
                <w:szCs w:val="18"/>
                <w:lang w:eastAsia="fr-FR"/>
              </w:rPr>
            </w:pPr>
            <w:r w:rsidRPr="00C036E5">
              <w:rPr>
                <w:rFonts w:ascii="Garamond" w:eastAsia="Times New Roman" w:hAnsi="Garamond" w:cs="Calibri"/>
                <w:b/>
                <w:bCs/>
                <w:color w:val="1F497D"/>
                <w:sz w:val="18"/>
                <w:szCs w:val="18"/>
                <w:lang w:eastAsia="fr-FR"/>
              </w:rPr>
              <w:t>Chômage</w:t>
            </w:r>
          </w:p>
        </w:tc>
      </w:tr>
      <w:tr w:rsidR="001A6732" w:rsidRPr="00C036E5" w:rsidTr="00FB4D04">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1A6732" w:rsidRPr="00C036E5" w:rsidRDefault="001A6732" w:rsidP="00FB4D04">
            <w:pPr>
              <w:spacing w:after="0" w:line="240" w:lineRule="auto"/>
              <w:ind w:firstLineChars="100" w:firstLine="181"/>
              <w:rPr>
                <w:rFonts w:ascii="Garamond" w:eastAsia="Times New Roman" w:hAnsi="Garamond" w:cs="Calibri"/>
                <w:b/>
                <w:bCs/>
                <w:color w:val="000000"/>
                <w:sz w:val="18"/>
                <w:szCs w:val="18"/>
                <w:lang w:eastAsia="fr-FR"/>
              </w:rPr>
            </w:pPr>
            <w:r w:rsidRPr="00C036E5">
              <w:rPr>
                <w:rFonts w:ascii="Garamond" w:eastAsia="Times New Roman" w:hAnsi="Garamond" w:cs="Calibri"/>
                <w:b/>
                <w:bCs/>
                <w:color w:val="000000"/>
                <w:sz w:val="18"/>
                <w:szCs w:val="18"/>
                <w:lang w:eastAsia="fr-FR"/>
              </w:rPr>
              <w:t>Population active en chômage (en milliers)</w:t>
            </w:r>
          </w:p>
        </w:tc>
        <w:tc>
          <w:tcPr>
            <w:tcW w:w="1154"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1"/>
              <w:jc w:val="center"/>
              <w:rPr>
                <w:rFonts w:ascii="Garamond" w:hAnsi="Garamond" w:cs="Calibri"/>
                <w:b/>
                <w:bCs/>
                <w:color w:val="010205"/>
                <w:sz w:val="22"/>
                <w:szCs w:val="22"/>
              </w:rPr>
            </w:pPr>
            <w:r w:rsidRPr="001A6732">
              <w:rPr>
                <w:rFonts w:ascii="Garamond" w:hAnsi="Garamond" w:cs="Calibri"/>
                <w:b/>
                <w:bCs/>
                <w:color w:val="010205"/>
                <w:sz w:val="22"/>
                <w:szCs w:val="22"/>
              </w:rPr>
              <w:t>1 280</w:t>
            </w:r>
          </w:p>
        </w:tc>
        <w:tc>
          <w:tcPr>
            <w:tcW w:w="880"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1"/>
              <w:jc w:val="center"/>
              <w:rPr>
                <w:rFonts w:ascii="Garamond" w:hAnsi="Garamond" w:cs="Calibri"/>
                <w:b/>
                <w:bCs/>
                <w:color w:val="010205"/>
                <w:sz w:val="22"/>
                <w:szCs w:val="22"/>
              </w:rPr>
            </w:pPr>
            <w:r w:rsidRPr="001A6732">
              <w:rPr>
                <w:rFonts w:ascii="Garamond" w:hAnsi="Garamond" w:cs="Calibri"/>
                <w:b/>
                <w:bCs/>
                <w:color w:val="010205"/>
                <w:sz w:val="22"/>
                <w:szCs w:val="22"/>
              </w:rPr>
              <w:t>263</w:t>
            </w:r>
          </w:p>
        </w:tc>
        <w:tc>
          <w:tcPr>
            <w:tcW w:w="966"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1"/>
              <w:jc w:val="center"/>
              <w:rPr>
                <w:rFonts w:ascii="Garamond" w:hAnsi="Garamond" w:cs="Calibri"/>
                <w:b/>
                <w:bCs/>
                <w:color w:val="010205"/>
                <w:sz w:val="22"/>
                <w:szCs w:val="22"/>
              </w:rPr>
            </w:pPr>
            <w:r w:rsidRPr="001A6732">
              <w:rPr>
                <w:rFonts w:ascii="Garamond" w:hAnsi="Garamond" w:cs="Calibri"/>
                <w:b/>
                <w:bCs/>
                <w:color w:val="010205"/>
                <w:sz w:val="22"/>
                <w:szCs w:val="22"/>
              </w:rPr>
              <w:t>1 543</w:t>
            </w:r>
          </w:p>
        </w:tc>
        <w:tc>
          <w:tcPr>
            <w:tcW w:w="916"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1"/>
              <w:jc w:val="center"/>
              <w:rPr>
                <w:rFonts w:ascii="Garamond" w:hAnsi="Garamond" w:cs="Calibri"/>
                <w:b/>
                <w:bCs/>
                <w:color w:val="010205"/>
                <w:sz w:val="22"/>
                <w:szCs w:val="22"/>
              </w:rPr>
            </w:pPr>
            <w:r w:rsidRPr="001A6732">
              <w:rPr>
                <w:rFonts w:ascii="Garamond" w:hAnsi="Garamond" w:cs="Calibri"/>
                <w:b/>
                <w:bCs/>
                <w:color w:val="010205"/>
                <w:sz w:val="22"/>
                <w:szCs w:val="22"/>
              </w:rPr>
              <w:t>1 328</w:t>
            </w:r>
          </w:p>
        </w:tc>
        <w:tc>
          <w:tcPr>
            <w:tcW w:w="878"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1"/>
              <w:jc w:val="center"/>
              <w:rPr>
                <w:rFonts w:ascii="Garamond" w:hAnsi="Garamond" w:cs="Calibri"/>
                <w:b/>
                <w:bCs/>
                <w:color w:val="010205"/>
                <w:sz w:val="22"/>
                <w:szCs w:val="22"/>
              </w:rPr>
            </w:pPr>
            <w:r w:rsidRPr="001A6732">
              <w:rPr>
                <w:rFonts w:ascii="Garamond" w:hAnsi="Garamond" w:cs="Calibri"/>
                <w:b/>
                <w:bCs/>
                <w:color w:val="010205"/>
                <w:sz w:val="22"/>
                <w:szCs w:val="22"/>
              </w:rPr>
              <w:t>305</w:t>
            </w:r>
          </w:p>
        </w:tc>
        <w:tc>
          <w:tcPr>
            <w:tcW w:w="966"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1"/>
              <w:jc w:val="center"/>
              <w:rPr>
                <w:rFonts w:ascii="Garamond" w:hAnsi="Garamond" w:cs="Calibri"/>
                <w:b/>
                <w:bCs/>
                <w:color w:val="010205"/>
                <w:sz w:val="22"/>
                <w:szCs w:val="22"/>
              </w:rPr>
            </w:pPr>
            <w:r w:rsidRPr="001A6732">
              <w:rPr>
                <w:rFonts w:ascii="Garamond" w:hAnsi="Garamond" w:cs="Calibri"/>
                <w:b/>
                <w:bCs/>
                <w:color w:val="010205"/>
                <w:sz w:val="22"/>
                <w:szCs w:val="22"/>
              </w:rPr>
              <w:t>1 633</w:t>
            </w:r>
          </w:p>
        </w:tc>
      </w:tr>
      <w:tr w:rsidR="001A6732" w:rsidRPr="00C036E5" w:rsidTr="00FB4D04">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1A6732" w:rsidRPr="00C036E5" w:rsidRDefault="001A6732" w:rsidP="00FB4D04">
            <w:pPr>
              <w:spacing w:after="0" w:line="240" w:lineRule="auto"/>
              <w:ind w:firstLineChars="100" w:firstLine="18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Taux de féminité de la population active en chômage (en %)</w:t>
            </w:r>
          </w:p>
        </w:tc>
        <w:tc>
          <w:tcPr>
            <w:tcW w:w="1154"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center"/>
              <w:rPr>
                <w:rFonts w:ascii="Garamond" w:hAnsi="Garamond" w:cs="Calibri"/>
                <w:color w:val="000000"/>
                <w:sz w:val="22"/>
                <w:szCs w:val="22"/>
              </w:rPr>
            </w:pPr>
            <w:r w:rsidRPr="001A6732">
              <w:rPr>
                <w:rFonts w:ascii="Garamond" w:hAnsi="Garamond" w:cs="Calibri"/>
                <w:color w:val="000000"/>
                <w:sz w:val="22"/>
                <w:szCs w:val="22"/>
              </w:rPr>
              <w:t>34,9</w:t>
            </w:r>
          </w:p>
        </w:tc>
        <w:tc>
          <w:tcPr>
            <w:tcW w:w="880"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center"/>
              <w:rPr>
                <w:rFonts w:ascii="Garamond" w:hAnsi="Garamond" w:cs="Calibri"/>
                <w:color w:val="000000"/>
                <w:sz w:val="22"/>
                <w:szCs w:val="22"/>
              </w:rPr>
            </w:pPr>
            <w:r w:rsidRPr="001A6732">
              <w:rPr>
                <w:rFonts w:ascii="Garamond" w:hAnsi="Garamond" w:cs="Calibri"/>
                <w:color w:val="000000"/>
                <w:sz w:val="22"/>
                <w:szCs w:val="22"/>
              </w:rPr>
              <w:t>17,6</w:t>
            </w:r>
          </w:p>
        </w:tc>
        <w:tc>
          <w:tcPr>
            <w:tcW w:w="966"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center"/>
              <w:rPr>
                <w:rFonts w:ascii="Garamond" w:hAnsi="Garamond" w:cs="Calibri"/>
                <w:color w:val="000000"/>
                <w:sz w:val="22"/>
                <w:szCs w:val="22"/>
              </w:rPr>
            </w:pPr>
            <w:r w:rsidRPr="001A6732">
              <w:rPr>
                <w:rFonts w:ascii="Garamond" w:hAnsi="Garamond" w:cs="Calibri"/>
                <w:color w:val="000000"/>
                <w:sz w:val="22"/>
                <w:szCs w:val="22"/>
              </w:rPr>
              <w:t>31,9</w:t>
            </w:r>
          </w:p>
        </w:tc>
        <w:tc>
          <w:tcPr>
            <w:tcW w:w="916"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center"/>
              <w:rPr>
                <w:rFonts w:ascii="Garamond" w:hAnsi="Garamond" w:cs="Calibri"/>
                <w:color w:val="000000"/>
                <w:sz w:val="22"/>
                <w:szCs w:val="22"/>
              </w:rPr>
            </w:pPr>
            <w:r w:rsidRPr="001A6732">
              <w:rPr>
                <w:rFonts w:ascii="Garamond" w:hAnsi="Garamond" w:cs="Calibri"/>
                <w:color w:val="000000"/>
                <w:sz w:val="22"/>
                <w:szCs w:val="22"/>
              </w:rPr>
              <w:t>34,5</w:t>
            </w:r>
          </w:p>
        </w:tc>
        <w:tc>
          <w:tcPr>
            <w:tcW w:w="878"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center"/>
              <w:rPr>
                <w:rFonts w:ascii="Garamond" w:hAnsi="Garamond" w:cs="Calibri"/>
                <w:color w:val="000000"/>
                <w:sz w:val="22"/>
                <w:szCs w:val="22"/>
              </w:rPr>
            </w:pPr>
            <w:r w:rsidRPr="001A6732">
              <w:rPr>
                <w:rFonts w:ascii="Garamond" w:hAnsi="Garamond" w:cs="Calibri"/>
                <w:color w:val="000000"/>
                <w:sz w:val="22"/>
                <w:szCs w:val="22"/>
              </w:rPr>
              <w:t>16,6</w:t>
            </w:r>
          </w:p>
        </w:tc>
        <w:tc>
          <w:tcPr>
            <w:tcW w:w="966"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center"/>
              <w:rPr>
                <w:rFonts w:ascii="Garamond" w:hAnsi="Garamond" w:cs="Calibri"/>
                <w:color w:val="000000"/>
                <w:sz w:val="22"/>
                <w:szCs w:val="22"/>
              </w:rPr>
            </w:pPr>
            <w:r w:rsidRPr="001A6732">
              <w:rPr>
                <w:rFonts w:ascii="Garamond" w:hAnsi="Garamond" w:cs="Calibri"/>
                <w:color w:val="000000"/>
                <w:sz w:val="22"/>
                <w:szCs w:val="22"/>
              </w:rPr>
              <w:t>31,2</w:t>
            </w:r>
          </w:p>
        </w:tc>
      </w:tr>
      <w:tr w:rsidR="001A6732" w:rsidRPr="00C036E5" w:rsidTr="00FB4D04">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1A6732" w:rsidRPr="00C036E5" w:rsidRDefault="001A6732" w:rsidP="00FB4D04">
            <w:pPr>
              <w:spacing w:after="0" w:line="240" w:lineRule="auto"/>
              <w:ind w:firstLineChars="100" w:firstLine="18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Taux de chômage (en %)</w:t>
            </w:r>
          </w:p>
        </w:tc>
        <w:tc>
          <w:tcPr>
            <w:tcW w:w="1154"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center"/>
              <w:rPr>
                <w:rFonts w:ascii="Garamond" w:hAnsi="Garamond" w:cs="Calibri"/>
                <w:color w:val="000000"/>
                <w:sz w:val="22"/>
                <w:szCs w:val="22"/>
              </w:rPr>
            </w:pPr>
            <w:r w:rsidRPr="001A6732">
              <w:rPr>
                <w:rFonts w:ascii="Garamond" w:hAnsi="Garamond" w:cs="Calibri"/>
                <w:color w:val="000000"/>
                <w:sz w:val="22"/>
                <w:szCs w:val="22"/>
              </w:rPr>
              <w:t>16,3</w:t>
            </w:r>
          </w:p>
        </w:tc>
        <w:tc>
          <w:tcPr>
            <w:tcW w:w="880"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center"/>
              <w:rPr>
                <w:rFonts w:ascii="Garamond" w:hAnsi="Garamond" w:cs="Calibri"/>
                <w:color w:val="000000"/>
                <w:sz w:val="22"/>
                <w:szCs w:val="22"/>
              </w:rPr>
            </w:pPr>
            <w:r w:rsidRPr="001A6732">
              <w:rPr>
                <w:rFonts w:ascii="Garamond" w:hAnsi="Garamond" w:cs="Calibri"/>
                <w:color w:val="000000"/>
                <w:sz w:val="22"/>
                <w:szCs w:val="22"/>
              </w:rPr>
              <w:t>5,7</w:t>
            </w:r>
          </w:p>
        </w:tc>
        <w:tc>
          <w:tcPr>
            <w:tcW w:w="966"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center"/>
              <w:rPr>
                <w:rFonts w:ascii="Garamond" w:hAnsi="Garamond" w:cs="Calibri"/>
                <w:color w:val="000000"/>
                <w:sz w:val="22"/>
                <w:szCs w:val="22"/>
              </w:rPr>
            </w:pPr>
            <w:r w:rsidRPr="001A6732">
              <w:rPr>
                <w:rFonts w:ascii="Garamond" w:hAnsi="Garamond" w:cs="Calibri"/>
                <w:color w:val="000000"/>
                <w:sz w:val="22"/>
                <w:szCs w:val="22"/>
              </w:rPr>
              <w:t>12,4</w:t>
            </w:r>
          </w:p>
        </w:tc>
        <w:tc>
          <w:tcPr>
            <w:tcW w:w="916"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center"/>
              <w:rPr>
                <w:rFonts w:ascii="Garamond" w:hAnsi="Garamond" w:cs="Calibri"/>
                <w:color w:val="000000"/>
                <w:sz w:val="22"/>
                <w:szCs w:val="22"/>
              </w:rPr>
            </w:pPr>
            <w:r w:rsidRPr="001A6732">
              <w:rPr>
                <w:rFonts w:ascii="Garamond" w:hAnsi="Garamond" w:cs="Calibri"/>
                <w:color w:val="000000"/>
                <w:sz w:val="22"/>
                <w:szCs w:val="22"/>
              </w:rPr>
              <w:t>16,7</w:t>
            </w:r>
          </w:p>
        </w:tc>
        <w:tc>
          <w:tcPr>
            <w:tcW w:w="878"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center"/>
              <w:rPr>
                <w:rFonts w:ascii="Garamond" w:hAnsi="Garamond" w:cs="Calibri"/>
                <w:color w:val="000000"/>
                <w:sz w:val="22"/>
                <w:szCs w:val="22"/>
              </w:rPr>
            </w:pPr>
            <w:r w:rsidRPr="001A6732">
              <w:rPr>
                <w:rFonts w:ascii="Garamond" w:hAnsi="Garamond" w:cs="Calibri"/>
                <w:color w:val="000000"/>
                <w:sz w:val="22"/>
                <w:szCs w:val="22"/>
              </w:rPr>
              <w:t>6,7</w:t>
            </w:r>
          </w:p>
        </w:tc>
        <w:tc>
          <w:tcPr>
            <w:tcW w:w="966"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center"/>
              <w:rPr>
                <w:rFonts w:ascii="Garamond" w:hAnsi="Garamond" w:cs="Calibri"/>
                <w:color w:val="000000"/>
                <w:sz w:val="22"/>
                <w:szCs w:val="22"/>
              </w:rPr>
            </w:pPr>
            <w:r w:rsidRPr="001A6732">
              <w:rPr>
                <w:rFonts w:ascii="Garamond" w:hAnsi="Garamond" w:cs="Calibri"/>
                <w:color w:val="000000"/>
                <w:sz w:val="22"/>
                <w:szCs w:val="22"/>
              </w:rPr>
              <w:t>13,1</w:t>
            </w:r>
          </w:p>
        </w:tc>
      </w:tr>
      <w:tr w:rsidR="00D401DB" w:rsidRPr="00C036E5" w:rsidTr="00FB4D04">
        <w:trPr>
          <w:trHeight w:val="300"/>
          <w:jc w:val="center"/>
        </w:trPr>
        <w:tc>
          <w:tcPr>
            <w:tcW w:w="9807"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401DB" w:rsidRPr="00C036E5" w:rsidRDefault="00D401DB" w:rsidP="00FB4D04">
            <w:pPr>
              <w:spacing w:after="0" w:line="240" w:lineRule="auto"/>
              <w:ind w:firstLineChars="200" w:firstLine="360"/>
              <w:rPr>
                <w:rFonts w:ascii="Garamond" w:eastAsia="Times New Roman" w:hAnsi="Garamond" w:cs="Calibri"/>
                <w:i/>
                <w:iCs/>
                <w:color w:val="000000"/>
                <w:sz w:val="18"/>
                <w:szCs w:val="18"/>
                <w:lang w:eastAsia="fr-FR"/>
              </w:rPr>
            </w:pPr>
            <w:r w:rsidRPr="00C036E5">
              <w:rPr>
                <w:rFonts w:ascii="Garamond" w:eastAsia="Times New Roman" w:hAnsi="Garamond" w:cs="Calibri"/>
                <w:i/>
                <w:iCs/>
                <w:color w:val="000000"/>
                <w:sz w:val="18"/>
                <w:szCs w:val="18"/>
                <w:lang w:eastAsia="fr-FR"/>
              </w:rPr>
              <w:t>• Selon le sexe</w:t>
            </w:r>
          </w:p>
        </w:tc>
      </w:tr>
      <w:tr w:rsidR="001A6732" w:rsidRPr="00C036E5" w:rsidTr="00FB4D04">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1A6732" w:rsidRPr="00C036E5" w:rsidRDefault="001A6732"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Hommes</w:t>
            </w:r>
          </w:p>
        </w:tc>
        <w:tc>
          <w:tcPr>
            <w:tcW w:w="1154"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13,8</w:t>
            </w:r>
          </w:p>
        </w:tc>
        <w:tc>
          <w:tcPr>
            <w:tcW w:w="880"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6,1</w:t>
            </w:r>
          </w:p>
        </w:tc>
        <w:tc>
          <w:tcPr>
            <w:tcW w:w="966"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11,0</w:t>
            </w:r>
          </w:p>
        </w:tc>
        <w:tc>
          <w:tcPr>
            <w:tcW w:w="916"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14,3</w:t>
            </w:r>
          </w:p>
        </w:tc>
        <w:tc>
          <w:tcPr>
            <w:tcW w:w="878"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7,2</w:t>
            </w:r>
          </w:p>
        </w:tc>
        <w:tc>
          <w:tcPr>
            <w:tcW w:w="966"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11,7</w:t>
            </w:r>
          </w:p>
        </w:tc>
      </w:tr>
      <w:tr w:rsidR="001A6732" w:rsidRPr="00C036E5" w:rsidTr="00FB4D04">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1A6732" w:rsidRPr="00C036E5" w:rsidRDefault="001A6732"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Femmes</w:t>
            </w:r>
          </w:p>
        </w:tc>
        <w:tc>
          <w:tcPr>
            <w:tcW w:w="1154"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24,3</w:t>
            </w:r>
          </w:p>
        </w:tc>
        <w:tc>
          <w:tcPr>
            <w:tcW w:w="880"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4,4</w:t>
            </w:r>
          </w:p>
        </w:tc>
        <w:tc>
          <w:tcPr>
            <w:tcW w:w="966"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17,0</w:t>
            </w:r>
          </w:p>
        </w:tc>
        <w:tc>
          <w:tcPr>
            <w:tcW w:w="916"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24,4</w:t>
            </w:r>
          </w:p>
        </w:tc>
        <w:tc>
          <w:tcPr>
            <w:tcW w:w="878"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5,1</w:t>
            </w:r>
          </w:p>
        </w:tc>
        <w:tc>
          <w:tcPr>
            <w:tcW w:w="966"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17,7</w:t>
            </w:r>
          </w:p>
        </w:tc>
      </w:tr>
      <w:tr w:rsidR="00D401DB" w:rsidRPr="00C036E5" w:rsidTr="00FB4D04">
        <w:trPr>
          <w:trHeight w:val="300"/>
          <w:jc w:val="center"/>
        </w:trPr>
        <w:tc>
          <w:tcPr>
            <w:tcW w:w="9807"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401DB" w:rsidRPr="00C036E5" w:rsidRDefault="00D401DB" w:rsidP="00FB4D04">
            <w:pPr>
              <w:spacing w:after="0" w:line="240" w:lineRule="auto"/>
              <w:ind w:firstLineChars="200" w:firstLine="360"/>
              <w:rPr>
                <w:rFonts w:ascii="Garamond" w:eastAsia="Times New Roman" w:hAnsi="Garamond" w:cs="Calibri"/>
                <w:i/>
                <w:iCs/>
                <w:color w:val="000000"/>
                <w:sz w:val="18"/>
                <w:szCs w:val="18"/>
                <w:lang w:eastAsia="fr-FR"/>
              </w:rPr>
            </w:pPr>
            <w:r w:rsidRPr="00C036E5">
              <w:rPr>
                <w:rFonts w:ascii="Garamond" w:eastAsia="Times New Roman" w:hAnsi="Garamond" w:cs="Calibri"/>
                <w:i/>
                <w:iCs/>
                <w:color w:val="000000"/>
                <w:sz w:val="18"/>
                <w:szCs w:val="18"/>
                <w:lang w:eastAsia="fr-FR"/>
              </w:rPr>
              <w:t>• Selon l'âge</w:t>
            </w:r>
          </w:p>
        </w:tc>
      </w:tr>
      <w:tr w:rsidR="001A6732" w:rsidRPr="00C036E5" w:rsidTr="00FB4D04">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1A6732" w:rsidRPr="00C036E5" w:rsidRDefault="001A6732"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15-24 ans</w:t>
            </w:r>
          </w:p>
        </w:tc>
        <w:tc>
          <w:tcPr>
            <w:tcW w:w="1154"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46,1</w:t>
            </w:r>
          </w:p>
        </w:tc>
        <w:tc>
          <w:tcPr>
            <w:tcW w:w="880"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18,4</w:t>
            </w:r>
          </w:p>
        </w:tc>
        <w:tc>
          <w:tcPr>
            <w:tcW w:w="966"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33,6</w:t>
            </w:r>
          </w:p>
        </w:tc>
        <w:tc>
          <w:tcPr>
            <w:tcW w:w="916"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48,8</w:t>
            </w:r>
          </w:p>
        </w:tc>
        <w:tc>
          <w:tcPr>
            <w:tcW w:w="878"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20,2</w:t>
            </w:r>
          </w:p>
        </w:tc>
        <w:tc>
          <w:tcPr>
            <w:tcW w:w="966"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36,1</w:t>
            </w:r>
          </w:p>
        </w:tc>
      </w:tr>
      <w:tr w:rsidR="001A6732" w:rsidRPr="00C036E5" w:rsidTr="00FB4D04">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1A6732" w:rsidRPr="00C036E5" w:rsidRDefault="001A6732"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25-34 ans</w:t>
            </w:r>
          </w:p>
        </w:tc>
        <w:tc>
          <w:tcPr>
            <w:tcW w:w="1154"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25,8</w:t>
            </w:r>
          </w:p>
        </w:tc>
        <w:tc>
          <w:tcPr>
            <w:tcW w:w="880"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6,9</w:t>
            </w:r>
          </w:p>
        </w:tc>
        <w:tc>
          <w:tcPr>
            <w:tcW w:w="966"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19,8</w:t>
            </w:r>
          </w:p>
        </w:tc>
        <w:tc>
          <w:tcPr>
            <w:tcW w:w="916"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26,6</w:t>
            </w:r>
          </w:p>
        </w:tc>
        <w:tc>
          <w:tcPr>
            <w:tcW w:w="878"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10,0</w:t>
            </w:r>
          </w:p>
        </w:tc>
        <w:tc>
          <w:tcPr>
            <w:tcW w:w="966"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21,4</w:t>
            </w:r>
          </w:p>
        </w:tc>
      </w:tr>
      <w:tr w:rsidR="001A6732" w:rsidRPr="00C036E5" w:rsidTr="00FB4D04">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1A6732" w:rsidRPr="00C036E5" w:rsidRDefault="001A6732"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35-44 ans</w:t>
            </w:r>
          </w:p>
        </w:tc>
        <w:tc>
          <w:tcPr>
            <w:tcW w:w="1154"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9,0</w:t>
            </w:r>
          </w:p>
        </w:tc>
        <w:tc>
          <w:tcPr>
            <w:tcW w:w="880"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3,6</w:t>
            </w:r>
          </w:p>
        </w:tc>
        <w:tc>
          <w:tcPr>
            <w:tcW w:w="966"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7,2</w:t>
            </w:r>
          </w:p>
        </w:tc>
        <w:tc>
          <w:tcPr>
            <w:tcW w:w="916"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9,2</w:t>
            </w:r>
          </w:p>
        </w:tc>
        <w:tc>
          <w:tcPr>
            <w:tcW w:w="878"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3,3</w:t>
            </w:r>
          </w:p>
        </w:tc>
        <w:tc>
          <w:tcPr>
            <w:tcW w:w="966"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7,3</w:t>
            </w:r>
          </w:p>
        </w:tc>
      </w:tr>
      <w:tr w:rsidR="001A6732" w:rsidRPr="00C036E5" w:rsidTr="00FB4D04">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1A6732" w:rsidRPr="00C036E5" w:rsidRDefault="001A6732"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45 ans et plus</w:t>
            </w:r>
          </w:p>
        </w:tc>
        <w:tc>
          <w:tcPr>
            <w:tcW w:w="1154"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4,8</w:t>
            </w:r>
          </w:p>
        </w:tc>
        <w:tc>
          <w:tcPr>
            <w:tcW w:w="880"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1,9</w:t>
            </w:r>
          </w:p>
        </w:tc>
        <w:tc>
          <w:tcPr>
            <w:tcW w:w="966"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3,6</w:t>
            </w:r>
          </w:p>
        </w:tc>
        <w:tc>
          <w:tcPr>
            <w:tcW w:w="916"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4,6</w:t>
            </w:r>
          </w:p>
        </w:tc>
        <w:tc>
          <w:tcPr>
            <w:tcW w:w="878"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2,3</w:t>
            </w:r>
          </w:p>
        </w:tc>
        <w:tc>
          <w:tcPr>
            <w:tcW w:w="966"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3,7</w:t>
            </w:r>
          </w:p>
        </w:tc>
      </w:tr>
      <w:tr w:rsidR="00D401DB" w:rsidRPr="00C036E5" w:rsidTr="00FB4D04">
        <w:trPr>
          <w:trHeight w:val="300"/>
          <w:jc w:val="center"/>
        </w:trPr>
        <w:tc>
          <w:tcPr>
            <w:tcW w:w="9807"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401DB" w:rsidRPr="00C036E5" w:rsidRDefault="00D401DB" w:rsidP="00FB4D04">
            <w:pPr>
              <w:spacing w:after="0" w:line="240" w:lineRule="auto"/>
              <w:ind w:firstLineChars="200" w:firstLine="360"/>
              <w:rPr>
                <w:rFonts w:ascii="Garamond" w:eastAsia="Times New Roman" w:hAnsi="Garamond" w:cs="Calibri"/>
                <w:i/>
                <w:iCs/>
                <w:color w:val="000000"/>
                <w:sz w:val="18"/>
                <w:szCs w:val="18"/>
                <w:lang w:eastAsia="fr-FR"/>
              </w:rPr>
            </w:pPr>
            <w:r w:rsidRPr="00C036E5">
              <w:rPr>
                <w:rFonts w:ascii="Garamond" w:eastAsia="Times New Roman" w:hAnsi="Garamond" w:cs="Calibri"/>
                <w:i/>
                <w:iCs/>
                <w:color w:val="000000"/>
                <w:sz w:val="18"/>
                <w:szCs w:val="18"/>
                <w:lang w:eastAsia="fr-FR"/>
              </w:rPr>
              <w:t>• Selon le diplôme</w:t>
            </w:r>
          </w:p>
        </w:tc>
      </w:tr>
      <w:tr w:rsidR="001A6732" w:rsidRPr="00C036E5" w:rsidTr="00FB4D04">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1A6732" w:rsidRPr="00C036E5" w:rsidRDefault="001A6732"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Non diplômés</w:t>
            </w:r>
          </w:p>
        </w:tc>
        <w:tc>
          <w:tcPr>
            <w:tcW w:w="1154"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7,0</w:t>
            </w:r>
          </w:p>
        </w:tc>
        <w:tc>
          <w:tcPr>
            <w:tcW w:w="880"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2,4</w:t>
            </w:r>
          </w:p>
        </w:tc>
        <w:tc>
          <w:tcPr>
            <w:tcW w:w="966"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4,5</w:t>
            </w:r>
          </w:p>
        </w:tc>
        <w:tc>
          <w:tcPr>
            <w:tcW w:w="916"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7,6</w:t>
            </w:r>
          </w:p>
        </w:tc>
        <w:tc>
          <w:tcPr>
            <w:tcW w:w="878"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3,4</w:t>
            </w:r>
          </w:p>
        </w:tc>
        <w:tc>
          <w:tcPr>
            <w:tcW w:w="966"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5,3</w:t>
            </w:r>
          </w:p>
        </w:tc>
      </w:tr>
      <w:tr w:rsidR="001A6732" w:rsidRPr="00C036E5" w:rsidTr="00FB4D04">
        <w:trPr>
          <w:trHeight w:val="300"/>
          <w:jc w:val="center"/>
        </w:trPr>
        <w:tc>
          <w:tcPr>
            <w:tcW w:w="4047" w:type="dxa"/>
            <w:tcBorders>
              <w:top w:val="nil"/>
              <w:left w:val="single" w:sz="4" w:space="0" w:color="auto"/>
              <w:bottom w:val="single" w:sz="4" w:space="0" w:color="auto"/>
              <w:right w:val="single" w:sz="4" w:space="0" w:color="auto"/>
            </w:tcBorders>
            <w:shd w:val="clear" w:color="auto" w:fill="auto"/>
            <w:noWrap/>
            <w:hideMark/>
          </w:tcPr>
          <w:p w:rsidR="001A6732" w:rsidRPr="00C036E5" w:rsidRDefault="001A6732" w:rsidP="00FB4D04">
            <w:pPr>
              <w:spacing w:after="0" w:line="240" w:lineRule="auto"/>
              <w:ind w:firstLineChars="400" w:firstLine="720"/>
              <w:rPr>
                <w:rFonts w:ascii="Garamond" w:eastAsia="Times New Roman" w:hAnsi="Garamond" w:cs="Calibri"/>
                <w:color w:val="000000"/>
                <w:sz w:val="18"/>
                <w:szCs w:val="18"/>
                <w:lang w:eastAsia="fr-FR"/>
              </w:rPr>
            </w:pPr>
            <w:r w:rsidRPr="00C036E5">
              <w:rPr>
                <w:rFonts w:ascii="Garamond" w:eastAsia="Times New Roman" w:hAnsi="Garamond" w:cs="Calibri"/>
                <w:color w:val="000000"/>
                <w:sz w:val="18"/>
                <w:szCs w:val="18"/>
                <w:lang w:eastAsia="fr-FR"/>
              </w:rPr>
              <w:t>Diplômés</w:t>
            </w:r>
          </w:p>
        </w:tc>
        <w:tc>
          <w:tcPr>
            <w:tcW w:w="1154"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20,8</w:t>
            </w:r>
          </w:p>
        </w:tc>
        <w:tc>
          <w:tcPr>
            <w:tcW w:w="880"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13,1</w:t>
            </w:r>
          </w:p>
        </w:tc>
        <w:tc>
          <w:tcPr>
            <w:tcW w:w="966"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19,2</w:t>
            </w:r>
          </w:p>
        </w:tc>
        <w:tc>
          <w:tcPr>
            <w:tcW w:w="916"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21,0</w:t>
            </w:r>
          </w:p>
        </w:tc>
        <w:tc>
          <w:tcPr>
            <w:tcW w:w="878"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13,7</w:t>
            </w:r>
          </w:p>
        </w:tc>
        <w:tc>
          <w:tcPr>
            <w:tcW w:w="966" w:type="dxa"/>
            <w:tcBorders>
              <w:top w:val="nil"/>
              <w:left w:val="nil"/>
              <w:bottom w:val="single" w:sz="4" w:space="0" w:color="auto"/>
              <w:right w:val="single" w:sz="4" w:space="0" w:color="auto"/>
            </w:tcBorders>
            <w:shd w:val="clear" w:color="auto" w:fill="auto"/>
            <w:noWrap/>
            <w:hideMark/>
          </w:tcPr>
          <w:p w:rsidR="001A6732" w:rsidRPr="001A6732" w:rsidRDefault="001A6732" w:rsidP="001A6732">
            <w:pPr>
              <w:ind w:firstLineChars="100" w:firstLine="220"/>
              <w:jc w:val="right"/>
              <w:rPr>
                <w:rFonts w:ascii="Garamond" w:hAnsi="Garamond" w:cs="Calibri"/>
                <w:color w:val="000000"/>
                <w:sz w:val="22"/>
                <w:szCs w:val="22"/>
              </w:rPr>
            </w:pPr>
            <w:r w:rsidRPr="001A6732">
              <w:rPr>
                <w:rFonts w:ascii="Garamond" w:hAnsi="Garamond" w:cs="Calibri"/>
                <w:color w:val="000000"/>
                <w:sz w:val="22"/>
                <w:szCs w:val="22"/>
              </w:rPr>
              <w:t>19,4</w:t>
            </w:r>
          </w:p>
        </w:tc>
      </w:tr>
    </w:tbl>
    <w:p w:rsidR="00FB4D04" w:rsidRPr="00D91140" w:rsidRDefault="00FB4D04" w:rsidP="00FB4D04">
      <w:pPr>
        <w:pStyle w:val="Paragraphedeliste"/>
        <w:numPr>
          <w:ilvl w:val="0"/>
          <w:numId w:val="14"/>
        </w:numPr>
        <w:tabs>
          <w:tab w:val="left" w:pos="-720"/>
        </w:tabs>
        <w:suppressAutoHyphens/>
        <w:spacing w:after="0" w:line="276" w:lineRule="auto"/>
        <w:jc w:val="both"/>
        <w:rPr>
          <w:color w:val="222222"/>
          <w:sz w:val="18"/>
          <w:szCs w:val="18"/>
          <w:shd w:val="clear" w:color="auto" w:fill="FFFFFF"/>
        </w:rPr>
      </w:pPr>
      <w:r w:rsidRPr="00D91140">
        <w:rPr>
          <w:color w:val="222222"/>
          <w:sz w:val="18"/>
          <w:szCs w:val="18"/>
          <w:shd w:val="clear" w:color="auto" w:fill="FFFFFF"/>
        </w:rPr>
        <w:t xml:space="preserve">Source : Enquête nationale sur l'emploi, Haut Commissariat au Plan </w:t>
      </w:r>
    </w:p>
    <w:p w:rsidR="00FB4D04" w:rsidRPr="00D91140" w:rsidRDefault="00FB4D04" w:rsidP="00FB4D04">
      <w:pPr>
        <w:pStyle w:val="Paragraphedeliste"/>
        <w:numPr>
          <w:ilvl w:val="0"/>
          <w:numId w:val="14"/>
        </w:numPr>
        <w:tabs>
          <w:tab w:val="left" w:pos="-720"/>
        </w:tabs>
        <w:suppressAutoHyphens/>
        <w:spacing w:after="0" w:line="276" w:lineRule="auto"/>
        <w:jc w:val="both"/>
        <w:rPr>
          <w:color w:val="222222"/>
          <w:sz w:val="18"/>
          <w:szCs w:val="18"/>
          <w:shd w:val="clear" w:color="auto" w:fill="FFFFFF"/>
        </w:rPr>
      </w:pPr>
      <w:r w:rsidRPr="00D91140">
        <w:rPr>
          <w:color w:val="222222"/>
          <w:sz w:val="18"/>
          <w:szCs w:val="18"/>
          <w:shd w:val="clear" w:color="auto" w:fill="FFFFFF"/>
        </w:rPr>
        <w:t>Pour les définitions des concepts et indicateurs utilisés, se référer au glossaire disponible sur le site web du HCP </w:t>
      </w:r>
      <w:r w:rsidRPr="00D91140">
        <w:rPr>
          <w:b/>
          <w:bCs/>
          <w:color w:val="222222"/>
          <w:sz w:val="18"/>
          <w:szCs w:val="18"/>
          <w:shd w:val="clear" w:color="auto" w:fill="FFFFFF"/>
        </w:rPr>
        <w:t xml:space="preserve">: </w:t>
      </w:r>
      <w:hyperlink r:id="rId14" w:history="1">
        <w:r w:rsidRPr="00D91140">
          <w:rPr>
            <w:b/>
            <w:bCs/>
            <w:color w:val="222222"/>
            <w:sz w:val="18"/>
            <w:szCs w:val="18"/>
            <w:shd w:val="clear" w:color="auto" w:fill="FFFFFF"/>
          </w:rPr>
          <w:t>http://www.hcp.ma</w:t>
        </w:r>
      </w:hyperlink>
      <w:r w:rsidRPr="00D91140">
        <w:rPr>
          <w:color w:val="222222"/>
          <w:sz w:val="18"/>
          <w:szCs w:val="18"/>
          <w:shd w:val="clear" w:color="auto" w:fill="FFFFFF"/>
        </w:rPr>
        <w:t>.</w:t>
      </w:r>
    </w:p>
    <w:p w:rsidR="00FB4D04" w:rsidRPr="00D91140" w:rsidRDefault="00FB4D04" w:rsidP="00FB4D04">
      <w:pPr>
        <w:pStyle w:val="Paragraphedeliste"/>
        <w:numPr>
          <w:ilvl w:val="0"/>
          <w:numId w:val="14"/>
        </w:numPr>
        <w:tabs>
          <w:tab w:val="left" w:pos="-720"/>
        </w:tabs>
        <w:suppressAutoHyphens/>
        <w:spacing w:after="0" w:line="276" w:lineRule="auto"/>
        <w:jc w:val="both"/>
        <w:rPr>
          <w:color w:val="222222"/>
          <w:sz w:val="18"/>
          <w:szCs w:val="18"/>
          <w:shd w:val="clear" w:color="auto" w:fill="FFFFFF"/>
        </w:rPr>
      </w:pPr>
      <w:r w:rsidRPr="00D91140">
        <w:rPr>
          <w:color w:val="222222"/>
          <w:sz w:val="18"/>
          <w:szCs w:val="18"/>
          <w:shd w:val="clear" w:color="auto" w:fill="FFFFFF"/>
        </w:rPr>
        <w:t>Les données chiffrées sont arrondies. Le résultat arrondi d’une combinaison de données chiffrées (qui fait intervenir leurs valeurs réelles) peut se trouver légèrement différent de celui que donnerait la combinaison de leurs valeurs arrondies.</w:t>
      </w: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D401DB" w:rsidRPr="00C036E5" w:rsidRDefault="00D401DB" w:rsidP="00D401DB">
      <w:pPr>
        <w:pStyle w:val="Paragraphedeliste"/>
        <w:tabs>
          <w:tab w:val="left" w:pos="-720"/>
        </w:tabs>
        <w:suppressAutoHyphens/>
        <w:spacing w:after="0" w:line="276" w:lineRule="auto"/>
        <w:jc w:val="both"/>
        <w:rPr>
          <w:rFonts w:ascii="Book Antiqua" w:hAnsi="Book Antiqua" w:cs="Browallia New"/>
          <w:b/>
          <w:bCs/>
          <w:color w:val="4472C4" w:themeColor="accent1"/>
          <w:sz w:val="20"/>
          <w:szCs w:val="20"/>
        </w:rPr>
      </w:pPr>
    </w:p>
    <w:p w:rsidR="00FB4D04" w:rsidRDefault="00297245" w:rsidP="00C44318">
      <w:pPr>
        <w:jc w:val="center"/>
        <w:rPr>
          <w:rFonts w:ascii="Book Antiqua" w:hAnsi="Book Antiqua" w:cs="Browallia New"/>
          <w:b/>
          <w:bCs/>
          <w:color w:val="4472C4" w:themeColor="accent1"/>
          <w:sz w:val="20"/>
          <w:szCs w:val="20"/>
        </w:rPr>
      </w:pPr>
      <w:r>
        <w:rPr>
          <w:rFonts w:ascii="Book Antiqua" w:hAnsi="Book Antiqua" w:cs="Browallia New"/>
          <w:b/>
          <w:bCs/>
          <w:color w:val="4472C4" w:themeColor="accent1"/>
          <w:sz w:val="20"/>
          <w:szCs w:val="20"/>
        </w:rPr>
        <w:br w:type="page"/>
      </w:r>
      <w:r w:rsidR="00D401DB" w:rsidRPr="00C036E5">
        <w:rPr>
          <w:rFonts w:ascii="Book Antiqua" w:hAnsi="Book Antiqua" w:cs="Browallia New"/>
          <w:b/>
          <w:bCs/>
          <w:color w:val="4472C4" w:themeColor="accent1"/>
          <w:sz w:val="20"/>
          <w:szCs w:val="20"/>
        </w:rPr>
        <w:lastRenderedPageBreak/>
        <w:t>Tableau 2 : Taux d'activité, d’emploi et de chômage par région (en</w:t>
      </w:r>
      <w:r w:rsidR="001A6732">
        <w:rPr>
          <w:rFonts w:ascii="Book Antiqua" w:hAnsi="Book Antiqua" w:cs="Browallia New"/>
          <w:b/>
          <w:bCs/>
          <w:color w:val="4472C4" w:themeColor="accent1"/>
          <w:sz w:val="20"/>
          <w:szCs w:val="20"/>
        </w:rPr>
        <w:t xml:space="preserve"> </w:t>
      </w:r>
      <w:r w:rsidR="00D401DB" w:rsidRPr="00C036E5">
        <w:rPr>
          <w:rFonts w:ascii="Book Antiqua" w:hAnsi="Book Antiqua" w:cs="Browallia New"/>
          <w:b/>
          <w:bCs/>
          <w:color w:val="4472C4" w:themeColor="accent1"/>
          <w:sz w:val="20"/>
          <w:szCs w:val="20"/>
        </w:rPr>
        <w:t>%)</w:t>
      </w:r>
    </w:p>
    <w:p w:rsidR="00B961E7" w:rsidRPr="00C036E5" w:rsidRDefault="00B961E7" w:rsidP="004A6A9E">
      <w:pPr>
        <w:pStyle w:val="Paragraphedeliste"/>
        <w:tabs>
          <w:tab w:val="left" w:pos="-720"/>
        </w:tabs>
        <w:suppressAutoHyphens/>
        <w:spacing w:after="0" w:line="276" w:lineRule="auto"/>
        <w:rPr>
          <w:color w:val="222222"/>
          <w:sz w:val="20"/>
          <w:szCs w:val="20"/>
          <w:shd w:val="clear" w:color="auto" w:fill="FFFFFF"/>
        </w:rPr>
      </w:pPr>
    </w:p>
    <w:tbl>
      <w:tblPr>
        <w:tblW w:w="7676" w:type="dxa"/>
        <w:jc w:val="center"/>
        <w:tblCellMar>
          <w:left w:w="70" w:type="dxa"/>
          <w:right w:w="70" w:type="dxa"/>
        </w:tblCellMar>
        <w:tblLook w:val="04A0"/>
      </w:tblPr>
      <w:tblGrid>
        <w:gridCol w:w="3720"/>
        <w:gridCol w:w="1960"/>
        <w:gridCol w:w="1996"/>
      </w:tblGrid>
      <w:tr w:rsidR="00D401DB" w:rsidRPr="00C036E5" w:rsidTr="004A6A9E">
        <w:trPr>
          <w:trHeight w:hRule="exact" w:val="340"/>
          <w:jc w:val="center"/>
        </w:trPr>
        <w:tc>
          <w:tcPr>
            <w:tcW w:w="3720" w:type="dxa"/>
            <w:tcBorders>
              <w:top w:val="single" w:sz="4" w:space="0" w:color="auto"/>
              <w:left w:val="single" w:sz="4" w:space="0" w:color="auto"/>
              <w:bottom w:val="single" w:sz="4" w:space="0" w:color="auto"/>
              <w:right w:val="single" w:sz="4" w:space="0" w:color="auto"/>
            </w:tcBorders>
            <w:shd w:val="clear" w:color="auto" w:fill="auto"/>
            <w:noWrap/>
            <w:hideMark/>
          </w:tcPr>
          <w:p w:rsidR="00D401DB" w:rsidRPr="00C036E5" w:rsidRDefault="00D401DB" w:rsidP="00FB4D04">
            <w:pPr>
              <w:spacing w:after="0" w:line="240" w:lineRule="auto"/>
              <w:jc w:val="center"/>
              <w:rPr>
                <w:rFonts w:ascii="Garamond" w:eastAsia="Times New Roman" w:hAnsi="Garamond" w:cs="Calibri"/>
                <w:b/>
                <w:bCs/>
                <w:color w:val="000000"/>
                <w:sz w:val="24"/>
                <w:szCs w:val="24"/>
                <w:lang w:eastAsia="fr-FR"/>
              </w:rPr>
            </w:pPr>
            <w:r w:rsidRPr="00C036E5">
              <w:rPr>
                <w:rFonts w:ascii="Garamond" w:eastAsia="Times New Roman" w:hAnsi="Garamond" w:cs="Calibri"/>
                <w:b/>
                <w:bCs/>
                <w:color w:val="000000"/>
                <w:sz w:val="24"/>
                <w:szCs w:val="24"/>
                <w:lang w:eastAsia="fr-FR"/>
              </w:rPr>
              <w:t> </w:t>
            </w:r>
          </w:p>
        </w:tc>
        <w:tc>
          <w:tcPr>
            <w:tcW w:w="1960" w:type="dxa"/>
            <w:tcBorders>
              <w:top w:val="single" w:sz="4" w:space="0" w:color="auto"/>
              <w:left w:val="nil"/>
              <w:bottom w:val="single" w:sz="4" w:space="0" w:color="auto"/>
              <w:right w:val="single" w:sz="4" w:space="0" w:color="auto"/>
            </w:tcBorders>
            <w:shd w:val="clear" w:color="auto" w:fill="auto"/>
            <w:noWrap/>
            <w:hideMark/>
          </w:tcPr>
          <w:p w:rsidR="00D401DB" w:rsidRPr="00C036E5" w:rsidRDefault="001A6732" w:rsidP="000F5704">
            <w:pPr>
              <w:spacing w:after="0" w:line="240" w:lineRule="auto"/>
              <w:jc w:val="center"/>
              <w:rPr>
                <w:rFonts w:ascii="Garamond" w:eastAsia="Times New Roman" w:hAnsi="Garamond" w:cs="Calibri"/>
                <w:b/>
                <w:bCs/>
                <w:color w:val="000000"/>
                <w:sz w:val="20"/>
                <w:szCs w:val="20"/>
                <w:lang w:eastAsia="fr-FR"/>
              </w:rPr>
            </w:pPr>
            <w:r>
              <w:rPr>
                <w:rFonts w:ascii="Garamond" w:eastAsia="Times New Roman" w:hAnsi="Garamond" w:cs="Calibri"/>
                <w:b/>
                <w:bCs/>
                <w:color w:val="000000"/>
                <w:sz w:val="20"/>
                <w:szCs w:val="20"/>
                <w:lang w:eastAsia="fr-FR"/>
              </w:rPr>
              <w:t>2</w:t>
            </w:r>
            <w:r w:rsidRPr="001A6732">
              <w:rPr>
                <w:rFonts w:ascii="Garamond" w:eastAsia="Times New Roman" w:hAnsi="Garamond" w:cs="Calibri"/>
                <w:b/>
                <w:bCs/>
                <w:color w:val="000000"/>
                <w:sz w:val="20"/>
                <w:szCs w:val="20"/>
                <w:vertAlign w:val="superscript"/>
                <w:lang w:eastAsia="fr-FR"/>
              </w:rPr>
              <w:t>ème</w:t>
            </w:r>
            <w:r>
              <w:rPr>
                <w:rFonts w:ascii="Garamond" w:eastAsia="Times New Roman" w:hAnsi="Garamond" w:cs="Calibri"/>
                <w:b/>
                <w:bCs/>
                <w:color w:val="000000"/>
                <w:sz w:val="20"/>
                <w:szCs w:val="20"/>
                <w:lang w:eastAsia="fr-FR"/>
              </w:rPr>
              <w:t xml:space="preserve"> </w:t>
            </w:r>
            <w:r w:rsidR="004D3E03" w:rsidRPr="00C036E5">
              <w:rPr>
                <w:rFonts w:ascii="Garamond" w:eastAsia="Times New Roman" w:hAnsi="Garamond" w:cs="Calibri"/>
                <w:b/>
                <w:bCs/>
                <w:color w:val="000000"/>
                <w:sz w:val="20"/>
                <w:szCs w:val="20"/>
                <w:lang w:eastAsia="fr-FR"/>
              </w:rPr>
              <w:t>trimestre</w:t>
            </w:r>
            <w:r w:rsidR="00D401DB" w:rsidRPr="00C036E5">
              <w:rPr>
                <w:rFonts w:ascii="Garamond" w:eastAsia="Times New Roman" w:hAnsi="Garamond" w:cs="Calibri"/>
                <w:b/>
                <w:bCs/>
                <w:color w:val="000000"/>
                <w:sz w:val="20"/>
                <w:szCs w:val="20"/>
                <w:lang w:eastAsia="fr-FR"/>
              </w:rPr>
              <w:t xml:space="preserve"> </w:t>
            </w:r>
            <w:r w:rsidR="007A2EA8" w:rsidRPr="00C036E5">
              <w:rPr>
                <w:rFonts w:ascii="Garamond" w:eastAsia="Times New Roman" w:hAnsi="Garamond" w:cs="Calibri"/>
                <w:b/>
                <w:bCs/>
                <w:color w:val="000000"/>
                <w:sz w:val="20"/>
                <w:szCs w:val="20"/>
                <w:lang w:eastAsia="fr-FR"/>
              </w:rPr>
              <w:t>202</w:t>
            </w:r>
            <w:r w:rsidR="00C036E5">
              <w:rPr>
                <w:rFonts w:ascii="Garamond" w:eastAsia="Times New Roman" w:hAnsi="Garamond" w:cs="Calibri"/>
                <w:b/>
                <w:bCs/>
                <w:color w:val="000000"/>
                <w:sz w:val="20"/>
                <w:szCs w:val="20"/>
                <w:lang w:eastAsia="fr-FR"/>
              </w:rPr>
              <w:t>3</w:t>
            </w:r>
          </w:p>
        </w:tc>
        <w:tc>
          <w:tcPr>
            <w:tcW w:w="1996" w:type="dxa"/>
            <w:tcBorders>
              <w:top w:val="single" w:sz="4" w:space="0" w:color="auto"/>
              <w:left w:val="nil"/>
              <w:bottom w:val="single" w:sz="4" w:space="0" w:color="auto"/>
              <w:right w:val="single" w:sz="4" w:space="0" w:color="auto"/>
            </w:tcBorders>
            <w:shd w:val="clear" w:color="auto" w:fill="auto"/>
            <w:noWrap/>
            <w:hideMark/>
          </w:tcPr>
          <w:p w:rsidR="00D401DB" w:rsidRPr="00C036E5" w:rsidRDefault="001A6732" w:rsidP="000F5704">
            <w:pPr>
              <w:spacing w:after="0" w:line="240" w:lineRule="auto"/>
              <w:jc w:val="center"/>
              <w:rPr>
                <w:rFonts w:ascii="Garamond" w:eastAsia="Times New Roman" w:hAnsi="Garamond" w:cs="Calibri"/>
                <w:b/>
                <w:bCs/>
                <w:color w:val="000000"/>
                <w:sz w:val="20"/>
                <w:szCs w:val="20"/>
                <w:lang w:eastAsia="fr-FR"/>
              </w:rPr>
            </w:pPr>
            <w:r>
              <w:rPr>
                <w:rFonts w:ascii="Garamond" w:eastAsia="Times New Roman" w:hAnsi="Garamond" w:cs="Calibri"/>
                <w:b/>
                <w:bCs/>
                <w:color w:val="000000"/>
                <w:sz w:val="20"/>
                <w:szCs w:val="20"/>
                <w:lang w:eastAsia="fr-FR"/>
              </w:rPr>
              <w:t>2</w:t>
            </w:r>
            <w:r w:rsidRPr="001A6732">
              <w:rPr>
                <w:rFonts w:ascii="Garamond" w:eastAsia="Times New Roman" w:hAnsi="Garamond" w:cs="Calibri"/>
                <w:b/>
                <w:bCs/>
                <w:color w:val="000000"/>
                <w:sz w:val="20"/>
                <w:szCs w:val="20"/>
                <w:vertAlign w:val="superscript"/>
                <w:lang w:eastAsia="fr-FR"/>
              </w:rPr>
              <w:t>ème</w:t>
            </w:r>
            <w:r>
              <w:rPr>
                <w:rFonts w:ascii="Garamond" w:eastAsia="Times New Roman" w:hAnsi="Garamond" w:cs="Calibri"/>
                <w:b/>
                <w:bCs/>
                <w:color w:val="000000"/>
                <w:sz w:val="20"/>
                <w:szCs w:val="20"/>
                <w:lang w:eastAsia="fr-FR"/>
              </w:rPr>
              <w:t xml:space="preserve"> </w:t>
            </w:r>
            <w:r w:rsidRPr="00C036E5">
              <w:rPr>
                <w:rFonts w:ascii="Garamond" w:eastAsia="Times New Roman" w:hAnsi="Garamond" w:cs="Calibri"/>
                <w:b/>
                <w:bCs/>
                <w:color w:val="000000"/>
                <w:sz w:val="20"/>
                <w:szCs w:val="20"/>
                <w:lang w:eastAsia="fr-FR"/>
              </w:rPr>
              <w:t>trimestre 202</w:t>
            </w:r>
            <w:r>
              <w:rPr>
                <w:rFonts w:ascii="Garamond" w:eastAsia="Times New Roman" w:hAnsi="Garamond" w:cs="Calibri"/>
                <w:b/>
                <w:bCs/>
                <w:color w:val="000000"/>
                <w:sz w:val="20"/>
                <w:szCs w:val="20"/>
                <w:lang w:eastAsia="fr-FR"/>
              </w:rPr>
              <w:t>4</w:t>
            </w:r>
          </w:p>
        </w:tc>
      </w:tr>
      <w:tr w:rsidR="00D401DB" w:rsidRPr="00C036E5" w:rsidTr="004A6A9E">
        <w:trPr>
          <w:trHeight w:hRule="exact" w:val="340"/>
          <w:jc w:val="center"/>
        </w:trPr>
        <w:tc>
          <w:tcPr>
            <w:tcW w:w="767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401DB" w:rsidRPr="00C036E5" w:rsidRDefault="00D401DB" w:rsidP="00FB4D04">
            <w:pPr>
              <w:spacing w:after="0" w:line="240" w:lineRule="auto"/>
              <w:rPr>
                <w:rFonts w:ascii="Garamond" w:eastAsia="Times New Roman" w:hAnsi="Garamond" w:cs="Calibri"/>
                <w:b/>
                <w:bCs/>
                <w:color w:val="1F497D"/>
                <w:sz w:val="20"/>
                <w:szCs w:val="20"/>
                <w:lang w:eastAsia="fr-FR"/>
              </w:rPr>
            </w:pPr>
            <w:r w:rsidRPr="00C036E5">
              <w:rPr>
                <w:rFonts w:ascii="Garamond" w:eastAsia="Times New Roman" w:hAnsi="Garamond" w:cs="Calibri"/>
                <w:b/>
                <w:bCs/>
                <w:color w:val="1F497D"/>
                <w:sz w:val="20"/>
                <w:szCs w:val="20"/>
                <w:lang w:eastAsia="fr-FR"/>
              </w:rPr>
              <w:t>Taux d'activité (des 15 ans et plus)</w:t>
            </w:r>
          </w:p>
        </w:tc>
      </w:tr>
      <w:tr w:rsidR="001A6732"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1A6732" w:rsidRPr="00C036E5" w:rsidRDefault="001A6732"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Tanger-Tétouan-Al Hoceïma</w:t>
            </w:r>
          </w:p>
        </w:tc>
        <w:tc>
          <w:tcPr>
            <w:tcW w:w="1960"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50,2</w:t>
            </w:r>
          </w:p>
        </w:tc>
        <w:tc>
          <w:tcPr>
            <w:tcW w:w="1996"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50,1</w:t>
            </w:r>
          </w:p>
        </w:tc>
      </w:tr>
      <w:tr w:rsidR="001A6732"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1A6732" w:rsidRPr="00C036E5" w:rsidRDefault="001A6732"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Oriental</w:t>
            </w:r>
          </w:p>
        </w:tc>
        <w:tc>
          <w:tcPr>
            <w:tcW w:w="1960"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41,2</w:t>
            </w:r>
          </w:p>
        </w:tc>
        <w:tc>
          <w:tcPr>
            <w:tcW w:w="1996"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40,4</w:t>
            </w:r>
          </w:p>
        </w:tc>
      </w:tr>
      <w:tr w:rsidR="001A6732"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1A6732" w:rsidRPr="00C036E5" w:rsidRDefault="001A6732"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Fès-Meknès</w:t>
            </w:r>
          </w:p>
        </w:tc>
        <w:tc>
          <w:tcPr>
            <w:tcW w:w="1960"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42,5</w:t>
            </w:r>
          </w:p>
        </w:tc>
        <w:tc>
          <w:tcPr>
            <w:tcW w:w="1996"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41,8</w:t>
            </w:r>
          </w:p>
        </w:tc>
      </w:tr>
      <w:tr w:rsidR="001A6732"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1A6732" w:rsidRPr="00C036E5" w:rsidRDefault="001A6732"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Rabat-Salé-Kénitra</w:t>
            </w:r>
          </w:p>
        </w:tc>
        <w:tc>
          <w:tcPr>
            <w:tcW w:w="1960"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45,5</w:t>
            </w:r>
          </w:p>
        </w:tc>
        <w:tc>
          <w:tcPr>
            <w:tcW w:w="1996"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43,8</w:t>
            </w:r>
          </w:p>
        </w:tc>
      </w:tr>
      <w:tr w:rsidR="001A6732"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1A6732" w:rsidRPr="00C036E5" w:rsidRDefault="001A6732"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Béni Mellal-Khénifra</w:t>
            </w:r>
          </w:p>
        </w:tc>
        <w:tc>
          <w:tcPr>
            <w:tcW w:w="1960"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40,1</w:t>
            </w:r>
          </w:p>
        </w:tc>
        <w:tc>
          <w:tcPr>
            <w:tcW w:w="1996"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40,0</w:t>
            </w:r>
          </w:p>
        </w:tc>
      </w:tr>
      <w:tr w:rsidR="001A6732"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1A6732" w:rsidRPr="00C036E5" w:rsidRDefault="001A6732"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Casablanca-Settat</w:t>
            </w:r>
          </w:p>
        </w:tc>
        <w:tc>
          <w:tcPr>
            <w:tcW w:w="1960"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47,0</w:t>
            </w:r>
          </w:p>
        </w:tc>
        <w:tc>
          <w:tcPr>
            <w:tcW w:w="1996"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47,1</w:t>
            </w:r>
          </w:p>
        </w:tc>
      </w:tr>
      <w:tr w:rsidR="001A6732"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1A6732" w:rsidRPr="00C036E5" w:rsidRDefault="001A6732"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Marrakech-Safi</w:t>
            </w:r>
          </w:p>
        </w:tc>
        <w:tc>
          <w:tcPr>
            <w:tcW w:w="1960"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44,6</w:t>
            </w:r>
          </w:p>
        </w:tc>
        <w:tc>
          <w:tcPr>
            <w:tcW w:w="1996"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44,1</w:t>
            </w:r>
          </w:p>
        </w:tc>
      </w:tr>
      <w:tr w:rsidR="001A6732"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1A6732" w:rsidRPr="00C036E5" w:rsidRDefault="001A6732"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Drâa-Tafilalet</w:t>
            </w:r>
          </w:p>
        </w:tc>
        <w:tc>
          <w:tcPr>
            <w:tcW w:w="1960"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46,1</w:t>
            </w:r>
          </w:p>
        </w:tc>
        <w:tc>
          <w:tcPr>
            <w:tcW w:w="1996"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42,1</w:t>
            </w:r>
          </w:p>
        </w:tc>
      </w:tr>
      <w:tr w:rsidR="001A6732"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1A6732" w:rsidRPr="00C036E5" w:rsidRDefault="001A6732"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Souss-Massa</w:t>
            </w:r>
          </w:p>
        </w:tc>
        <w:tc>
          <w:tcPr>
            <w:tcW w:w="1960"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41,2</w:t>
            </w:r>
          </w:p>
        </w:tc>
        <w:tc>
          <w:tcPr>
            <w:tcW w:w="1996"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41,4</w:t>
            </w:r>
          </w:p>
        </w:tc>
      </w:tr>
      <w:tr w:rsidR="001A6732"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1A6732" w:rsidRPr="00C036E5" w:rsidRDefault="001A6732"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Régions du Sud</w:t>
            </w:r>
          </w:p>
        </w:tc>
        <w:tc>
          <w:tcPr>
            <w:tcW w:w="1960"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45,6</w:t>
            </w:r>
          </w:p>
        </w:tc>
        <w:tc>
          <w:tcPr>
            <w:tcW w:w="1996"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44,8</w:t>
            </w:r>
          </w:p>
        </w:tc>
      </w:tr>
      <w:tr w:rsidR="001A6732"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1A6732" w:rsidRPr="00C036E5" w:rsidRDefault="001A6732" w:rsidP="00FB4D04">
            <w:pPr>
              <w:spacing w:after="0" w:line="240" w:lineRule="auto"/>
              <w:ind w:firstLineChars="100" w:firstLine="201"/>
              <w:rPr>
                <w:rFonts w:ascii="Garamond" w:eastAsia="Times New Roman" w:hAnsi="Garamond" w:cs="Calibri"/>
                <w:b/>
                <w:bCs/>
                <w:color w:val="000000"/>
                <w:sz w:val="20"/>
                <w:szCs w:val="20"/>
                <w:lang w:eastAsia="fr-FR"/>
              </w:rPr>
            </w:pPr>
            <w:r w:rsidRPr="00C036E5">
              <w:rPr>
                <w:rFonts w:ascii="Garamond" w:eastAsia="Times New Roman" w:hAnsi="Garamond" w:cs="Calibri"/>
                <w:b/>
                <w:bCs/>
                <w:color w:val="000000"/>
                <w:sz w:val="20"/>
                <w:szCs w:val="20"/>
                <w:lang w:eastAsia="fr-FR"/>
              </w:rPr>
              <w:t>National</w:t>
            </w:r>
          </w:p>
        </w:tc>
        <w:tc>
          <w:tcPr>
            <w:tcW w:w="1960"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3"/>
              <w:jc w:val="center"/>
              <w:rPr>
                <w:rFonts w:ascii="Garamond" w:hAnsi="Garamond" w:cs="Calibri"/>
                <w:b/>
                <w:bCs/>
                <w:color w:val="000000"/>
                <w:sz w:val="24"/>
                <w:szCs w:val="24"/>
              </w:rPr>
            </w:pPr>
            <w:r w:rsidRPr="00C44318">
              <w:rPr>
                <w:rFonts w:ascii="Garamond" w:hAnsi="Garamond" w:cs="Calibri"/>
                <w:b/>
                <w:bCs/>
                <w:color w:val="000000"/>
                <w:sz w:val="24"/>
                <w:szCs w:val="24"/>
              </w:rPr>
              <w:t>44,8</w:t>
            </w:r>
          </w:p>
        </w:tc>
        <w:tc>
          <w:tcPr>
            <w:tcW w:w="1996"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3"/>
              <w:jc w:val="center"/>
              <w:rPr>
                <w:rFonts w:ascii="Garamond" w:hAnsi="Garamond" w:cs="Calibri"/>
                <w:b/>
                <w:bCs/>
                <w:color w:val="000000"/>
                <w:sz w:val="24"/>
                <w:szCs w:val="24"/>
              </w:rPr>
            </w:pPr>
            <w:r w:rsidRPr="00C44318">
              <w:rPr>
                <w:rFonts w:ascii="Garamond" w:hAnsi="Garamond" w:cs="Calibri"/>
                <w:b/>
                <w:bCs/>
                <w:color w:val="000000"/>
                <w:sz w:val="24"/>
                <w:szCs w:val="24"/>
              </w:rPr>
              <w:t>44,2</w:t>
            </w:r>
          </w:p>
        </w:tc>
      </w:tr>
      <w:tr w:rsidR="00D401DB" w:rsidRPr="00C036E5" w:rsidTr="004A6A9E">
        <w:trPr>
          <w:trHeight w:hRule="exact" w:val="340"/>
          <w:jc w:val="center"/>
        </w:trPr>
        <w:tc>
          <w:tcPr>
            <w:tcW w:w="767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401DB" w:rsidRPr="00C036E5" w:rsidRDefault="00D401DB" w:rsidP="00FB4D04">
            <w:pPr>
              <w:spacing w:after="0" w:line="240" w:lineRule="auto"/>
              <w:rPr>
                <w:rFonts w:ascii="Garamond" w:eastAsia="Times New Roman" w:hAnsi="Garamond" w:cs="Calibri"/>
                <w:b/>
                <w:bCs/>
                <w:color w:val="1F497D"/>
                <w:sz w:val="20"/>
                <w:szCs w:val="20"/>
                <w:lang w:eastAsia="fr-FR"/>
              </w:rPr>
            </w:pPr>
            <w:r w:rsidRPr="00C036E5">
              <w:rPr>
                <w:rFonts w:ascii="Garamond" w:eastAsia="Times New Roman" w:hAnsi="Garamond" w:cs="Calibri"/>
                <w:b/>
                <w:bCs/>
                <w:color w:val="1F497D"/>
                <w:sz w:val="20"/>
                <w:szCs w:val="20"/>
                <w:lang w:eastAsia="fr-FR"/>
              </w:rPr>
              <w:t>Taux d'emploi (des 15 ans et plus)</w:t>
            </w:r>
          </w:p>
        </w:tc>
      </w:tr>
      <w:tr w:rsidR="001A6732"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1A6732" w:rsidRPr="00C036E5" w:rsidRDefault="001A6732"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Tanger-Tétouan-Al Hoceïma</w:t>
            </w:r>
          </w:p>
        </w:tc>
        <w:tc>
          <w:tcPr>
            <w:tcW w:w="1960"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45,9</w:t>
            </w:r>
          </w:p>
        </w:tc>
        <w:tc>
          <w:tcPr>
            <w:tcW w:w="1996"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45,6</w:t>
            </w:r>
          </w:p>
        </w:tc>
      </w:tr>
      <w:tr w:rsidR="001A6732"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1A6732" w:rsidRPr="00C036E5" w:rsidRDefault="001A6732"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Oriental</w:t>
            </w:r>
          </w:p>
        </w:tc>
        <w:tc>
          <w:tcPr>
            <w:tcW w:w="1960"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32,9</w:t>
            </w:r>
          </w:p>
        </w:tc>
        <w:tc>
          <w:tcPr>
            <w:tcW w:w="1996"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31,9</w:t>
            </w:r>
          </w:p>
        </w:tc>
      </w:tr>
      <w:tr w:rsidR="001A6732"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1A6732" w:rsidRPr="00C036E5" w:rsidRDefault="001A6732"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Fès-Meknès</w:t>
            </w:r>
          </w:p>
        </w:tc>
        <w:tc>
          <w:tcPr>
            <w:tcW w:w="1960"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36,9</w:t>
            </w:r>
          </w:p>
        </w:tc>
        <w:tc>
          <w:tcPr>
            <w:tcW w:w="1996"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36,1</w:t>
            </w:r>
          </w:p>
        </w:tc>
      </w:tr>
      <w:tr w:rsidR="001A6732"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1A6732" w:rsidRPr="00C036E5" w:rsidRDefault="001A6732"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Rabat-Salé-Kénitra</w:t>
            </w:r>
          </w:p>
        </w:tc>
        <w:tc>
          <w:tcPr>
            <w:tcW w:w="1960"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40,3</w:t>
            </w:r>
          </w:p>
        </w:tc>
        <w:tc>
          <w:tcPr>
            <w:tcW w:w="1996"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38,2</w:t>
            </w:r>
          </w:p>
        </w:tc>
      </w:tr>
      <w:tr w:rsidR="001A6732"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1A6732" w:rsidRPr="00C036E5" w:rsidRDefault="001A6732"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Béni Mellal-Khénifra</w:t>
            </w:r>
          </w:p>
        </w:tc>
        <w:tc>
          <w:tcPr>
            <w:tcW w:w="1960"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35,0</w:t>
            </w:r>
          </w:p>
        </w:tc>
        <w:tc>
          <w:tcPr>
            <w:tcW w:w="1996"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34,1</w:t>
            </w:r>
          </w:p>
        </w:tc>
      </w:tr>
      <w:tr w:rsidR="001A6732"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1A6732" w:rsidRPr="00C036E5" w:rsidRDefault="001A6732"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Casablanca-Settat</w:t>
            </w:r>
          </w:p>
        </w:tc>
        <w:tc>
          <w:tcPr>
            <w:tcW w:w="1960"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40,3</w:t>
            </w:r>
          </w:p>
        </w:tc>
        <w:tc>
          <w:tcPr>
            <w:tcW w:w="1996"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40,1</w:t>
            </w:r>
          </w:p>
        </w:tc>
      </w:tr>
      <w:tr w:rsidR="001A6732"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1A6732" w:rsidRPr="00C036E5" w:rsidRDefault="001A6732"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Marrakech-Safi</w:t>
            </w:r>
          </w:p>
        </w:tc>
        <w:tc>
          <w:tcPr>
            <w:tcW w:w="1960"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41,6</w:t>
            </w:r>
          </w:p>
        </w:tc>
        <w:tc>
          <w:tcPr>
            <w:tcW w:w="1996"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40,5</w:t>
            </w:r>
          </w:p>
        </w:tc>
      </w:tr>
      <w:tr w:rsidR="001A6732"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1A6732" w:rsidRPr="00C036E5" w:rsidRDefault="001A6732"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Drâa-Tafilalet</w:t>
            </w:r>
          </w:p>
        </w:tc>
        <w:tc>
          <w:tcPr>
            <w:tcW w:w="1960"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41,5</w:t>
            </w:r>
          </w:p>
        </w:tc>
        <w:tc>
          <w:tcPr>
            <w:tcW w:w="1996"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38,0</w:t>
            </w:r>
          </w:p>
        </w:tc>
      </w:tr>
      <w:tr w:rsidR="001A6732"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1A6732" w:rsidRPr="00C036E5" w:rsidRDefault="001A6732"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Souss-Massa</w:t>
            </w:r>
          </w:p>
        </w:tc>
        <w:tc>
          <w:tcPr>
            <w:tcW w:w="1960"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36,0</w:t>
            </w:r>
          </w:p>
        </w:tc>
        <w:tc>
          <w:tcPr>
            <w:tcW w:w="1996"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36,4</w:t>
            </w:r>
          </w:p>
        </w:tc>
      </w:tr>
      <w:tr w:rsidR="001A6732"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1A6732" w:rsidRPr="00C036E5" w:rsidRDefault="001A6732"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Régions du Sud</w:t>
            </w:r>
          </w:p>
        </w:tc>
        <w:tc>
          <w:tcPr>
            <w:tcW w:w="1960"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34,8</w:t>
            </w:r>
          </w:p>
        </w:tc>
        <w:tc>
          <w:tcPr>
            <w:tcW w:w="1996"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34,5</w:t>
            </w:r>
          </w:p>
        </w:tc>
      </w:tr>
      <w:tr w:rsidR="001A6732"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1A6732" w:rsidRPr="00C036E5" w:rsidRDefault="001A6732" w:rsidP="00FB4D04">
            <w:pPr>
              <w:spacing w:after="0" w:line="240" w:lineRule="auto"/>
              <w:ind w:firstLineChars="100" w:firstLine="201"/>
              <w:rPr>
                <w:rFonts w:ascii="Garamond" w:eastAsia="Times New Roman" w:hAnsi="Garamond" w:cs="Calibri"/>
                <w:b/>
                <w:bCs/>
                <w:color w:val="000000"/>
                <w:sz w:val="20"/>
                <w:szCs w:val="20"/>
                <w:lang w:eastAsia="fr-FR"/>
              </w:rPr>
            </w:pPr>
            <w:r w:rsidRPr="00C036E5">
              <w:rPr>
                <w:rFonts w:ascii="Garamond" w:eastAsia="Times New Roman" w:hAnsi="Garamond" w:cs="Calibri"/>
                <w:b/>
                <w:bCs/>
                <w:color w:val="000000"/>
                <w:sz w:val="20"/>
                <w:szCs w:val="20"/>
                <w:lang w:eastAsia="fr-FR"/>
              </w:rPr>
              <w:t>National</w:t>
            </w:r>
          </w:p>
        </w:tc>
        <w:tc>
          <w:tcPr>
            <w:tcW w:w="1960"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3"/>
              <w:jc w:val="center"/>
              <w:rPr>
                <w:rFonts w:ascii="Garamond" w:hAnsi="Garamond" w:cs="Calibri"/>
                <w:b/>
                <w:bCs/>
                <w:color w:val="000000"/>
                <w:sz w:val="24"/>
                <w:szCs w:val="24"/>
              </w:rPr>
            </w:pPr>
            <w:r w:rsidRPr="00C44318">
              <w:rPr>
                <w:rFonts w:ascii="Garamond" w:hAnsi="Garamond" w:cs="Calibri"/>
                <w:b/>
                <w:bCs/>
                <w:color w:val="000000"/>
                <w:sz w:val="24"/>
                <w:szCs w:val="24"/>
              </w:rPr>
              <w:t>39,3</w:t>
            </w:r>
          </w:p>
        </w:tc>
        <w:tc>
          <w:tcPr>
            <w:tcW w:w="1996"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3"/>
              <w:jc w:val="center"/>
              <w:rPr>
                <w:rFonts w:ascii="Garamond" w:hAnsi="Garamond" w:cs="Calibri"/>
                <w:b/>
                <w:bCs/>
                <w:color w:val="000000"/>
                <w:sz w:val="24"/>
                <w:szCs w:val="24"/>
              </w:rPr>
            </w:pPr>
            <w:r w:rsidRPr="00C44318">
              <w:rPr>
                <w:rFonts w:ascii="Garamond" w:hAnsi="Garamond" w:cs="Calibri"/>
                <w:b/>
                <w:bCs/>
                <w:color w:val="000000"/>
                <w:sz w:val="24"/>
                <w:szCs w:val="24"/>
              </w:rPr>
              <w:t>38,4</w:t>
            </w:r>
          </w:p>
        </w:tc>
      </w:tr>
      <w:tr w:rsidR="00D401DB" w:rsidRPr="00C036E5" w:rsidTr="004A6A9E">
        <w:trPr>
          <w:trHeight w:hRule="exact" w:val="340"/>
          <w:jc w:val="center"/>
        </w:trPr>
        <w:tc>
          <w:tcPr>
            <w:tcW w:w="767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D401DB" w:rsidRPr="00C036E5" w:rsidRDefault="00D401DB" w:rsidP="00FB4D04">
            <w:pPr>
              <w:spacing w:after="0" w:line="240" w:lineRule="auto"/>
              <w:rPr>
                <w:rFonts w:ascii="Garamond" w:eastAsia="Times New Roman" w:hAnsi="Garamond" w:cs="Calibri"/>
                <w:b/>
                <w:bCs/>
                <w:color w:val="1F497D"/>
                <w:sz w:val="20"/>
                <w:szCs w:val="20"/>
                <w:lang w:eastAsia="fr-FR"/>
              </w:rPr>
            </w:pPr>
            <w:r w:rsidRPr="00C036E5">
              <w:rPr>
                <w:rFonts w:ascii="Garamond" w:eastAsia="Times New Roman" w:hAnsi="Garamond" w:cs="Calibri"/>
                <w:b/>
                <w:bCs/>
                <w:color w:val="1F497D"/>
                <w:sz w:val="20"/>
                <w:szCs w:val="20"/>
                <w:lang w:eastAsia="fr-FR"/>
              </w:rPr>
              <w:t>Taux de chômage</w:t>
            </w:r>
          </w:p>
        </w:tc>
      </w:tr>
      <w:tr w:rsidR="001A6732"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1A6732" w:rsidRPr="00C036E5" w:rsidRDefault="001A6732"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Tanger-Tétouan-Al Hoceïma</w:t>
            </w:r>
          </w:p>
        </w:tc>
        <w:tc>
          <w:tcPr>
            <w:tcW w:w="1960"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8,5</w:t>
            </w:r>
          </w:p>
        </w:tc>
        <w:tc>
          <w:tcPr>
            <w:tcW w:w="1996"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8,9</w:t>
            </w:r>
          </w:p>
        </w:tc>
      </w:tr>
      <w:tr w:rsidR="001A6732"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1A6732" w:rsidRPr="00C036E5" w:rsidRDefault="001A6732"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Oriental</w:t>
            </w:r>
          </w:p>
        </w:tc>
        <w:tc>
          <w:tcPr>
            <w:tcW w:w="1960"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20,3</w:t>
            </w:r>
          </w:p>
        </w:tc>
        <w:tc>
          <w:tcPr>
            <w:tcW w:w="1996"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21,1</w:t>
            </w:r>
          </w:p>
        </w:tc>
      </w:tr>
      <w:tr w:rsidR="001A6732"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1A6732" w:rsidRPr="00C036E5" w:rsidRDefault="001A6732"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Fès-Meknès</w:t>
            </w:r>
          </w:p>
        </w:tc>
        <w:tc>
          <w:tcPr>
            <w:tcW w:w="1960"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13,2</w:t>
            </w:r>
          </w:p>
        </w:tc>
        <w:tc>
          <w:tcPr>
            <w:tcW w:w="1996"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13,6</w:t>
            </w:r>
          </w:p>
        </w:tc>
      </w:tr>
      <w:tr w:rsidR="001A6732"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1A6732" w:rsidRPr="00C036E5" w:rsidRDefault="001A6732"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Rabat-Salé-Kénitra</w:t>
            </w:r>
          </w:p>
        </w:tc>
        <w:tc>
          <w:tcPr>
            <w:tcW w:w="1960"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11,4</w:t>
            </w:r>
          </w:p>
        </w:tc>
        <w:tc>
          <w:tcPr>
            <w:tcW w:w="1996"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12,8</w:t>
            </w:r>
          </w:p>
        </w:tc>
      </w:tr>
      <w:tr w:rsidR="001A6732"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1A6732" w:rsidRPr="00C036E5" w:rsidRDefault="001A6732"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Béni Mellal-Khénifra</w:t>
            </w:r>
          </w:p>
        </w:tc>
        <w:tc>
          <w:tcPr>
            <w:tcW w:w="1960"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12,9</w:t>
            </w:r>
          </w:p>
        </w:tc>
        <w:tc>
          <w:tcPr>
            <w:tcW w:w="1996"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14,7</w:t>
            </w:r>
          </w:p>
        </w:tc>
      </w:tr>
      <w:tr w:rsidR="001A6732"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1A6732" w:rsidRPr="00C036E5" w:rsidRDefault="001A6732"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Casablanca-Settat</w:t>
            </w:r>
          </w:p>
        </w:tc>
        <w:tc>
          <w:tcPr>
            <w:tcW w:w="1960"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14,3</w:t>
            </w:r>
          </w:p>
        </w:tc>
        <w:tc>
          <w:tcPr>
            <w:tcW w:w="1996"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14,9</w:t>
            </w:r>
          </w:p>
        </w:tc>
      </w:tr>
      <w:tr w:rsidR="001A6732"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1A6732" w:rsidRPr="00C036E5" w:rsidRDefault="001A6732"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Marrakech-Safi</w:t>
            </w:r>
          </w:p>
        </w:tc>
        <w:tc>
          <w:tcPr>
            <w:tcW w:w="1960"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6,7</w:t>
            </w:r>
          </w:p>
        </w:tc>
        <w:tc>
          <w:tcPr>
            <w:tcW w:w="1996"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8,1</w:t>
            </w:r>
          </w:p>
        </w:tc>
      </w:tr>
      <w:tr w:rsidR="001A6732"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1A6732" w:rsidRPr="00C036E5" w:rsidRDefault="001A6732"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Drâa-Tafilalet</w:t>
            </w:r>
          </w:p>
        </w:tc>
        <w:tc>
          <w:tcPr>
            <w:tcW w:w="1960"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10,1</w:t>
            </w:r>
          </w:p>
        </w:tc>
        <w:tc>
          <w:tcPr>
            <w:tcW w:w="1996"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9,6</w:t>
            </w:r>
          </w:p>
        </w:tc>
      </w:tr>
      <w:tr w:rsidR="001A6732"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1A6732" w:rsidRPr="00C036E5" w:rsidRDefault="001A6732"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Souss-Massa</w:t>
            </w:r>
          </w:p>
        </w:tc>
        <w:tc>
          <w:tcPr>
            <w:tcW w:w="1960"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12,6</w:t>
            </w:r>
          </w:p>
        </w:tc>
        <w:tc>
          <w:tcPr>
            <w:tcW w:w="1996"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12,1</w:t>
            </w:r>
          </w:p>
        </w:tc>
      </w:tr>
      <w:tr w:rsidR="001A6732"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1A6732" w:rsidRPr="00C036E5" w:rsidRDefault="001A6732" w:rsidP="00FB4D04">
            <w:pPr>
              <w:spacing w:after="0" w:line="240" w:lineRule="auto"/>
              <w:ind w:firstLineChars="100" w:firstLine="200"/>
              <w:rPr>
                <w:rFonts w:ascii="Garamond" w:eastAsia="Times New Roman" w:hAnsi="Garamond" w:cs="Calibri"/>
                <w:color w:val="000000"/>
                <w:sz w:val="20"/>
                <w:szCs w:val="20"/>
                <w:lang w:eastAsia="fr-FR"/>
              </w:rPr>
            </w:pPr>
            <w:r w:rsidRPr="00C036E5">
              <w:rPr>
                <w:rFonts w:ascii="Garamond" w:eastAsia="Times New Roman" w:hAnsi="Garamond" w:cs="Calibri"/>
                <w:color w:val="000000"/>
                <w:sz w:val="20"/>
                <w:szCs w:val="20"/>
                <w:lang w:eastAsia="fr-FR"/>
              </w:rPr>
              <w:t>Régions du Sud</w:t>
            </w:r>
          </w:p>
        </w:tc>
        <w:tc>
          <w:tcPr>
            <w:tcW w:w="1960"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23,8</w:t>
            </w:r>
          </w:p>
        </w:tc>
        <w:tc>
          <w:tcPr>
            <w:tcW w:w="1996"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0"/>
              <w:jc w:val="center"/>
              <w:rPr>
                <w:rFonts w:ascii="Garamond" w:hAnsi="Garamond" w:cs="Calibri"/>
                <w:color w:val="000000"/>
                <w:sz w:val="24"/>
                <w:szCs w:val="24"/>
              </w:rPr>
            </w:pPr>
            <w:r w:rsidRPr="00C44318">
              <w:rPr>
                <w:rFonts w:ascii="Garamond" w:hAnsi="Garamond" w:cs="Calibri"/>
                <w:color w:val="000000"/>
                <w:sz w:val="24"/>
                <w:szCs w:val="24"/>
              </w:rPr>
              <w:t>22,9</w:t>
            </w:r>
          </w:p>
        </w:tc>
      </w:tr>
      <w:tr w:rsidR="001A6732" w:rsidRPr="00C036E5" w:rsidTr="004A6A9E">
        <w:trPr>
          <w:trHeight w:hRule="exact" w:val="340"/>
          <w:jc w:val="center"/>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1A6732" w:rsidRPr="00C036E5" w:rsidRDefault="001A6732" w:rsidP="00FB4D04">
            <w:pPr>
              <w:spacing w:after="0" w:line="240" w:lineRule="auto"/>
              <w:ind w:firstLineChars="100" w:firstLine="201"/>
              <w:rPr>
                <w:rFonts w:ascii="Garamond" w:eastAsia="Times New Roman" w:hAnsi="Garamond" w:cs="Calibri"/>
                <w:b/>
                <w:bCs/>
                <w:color w:val="000000"/>
                <w:sz w:val="20"/>
                <w:szCs w:val="20"/>
                <w:lang w:eastAsia="fr-FR"/>
              </w:rPr>
            </w:pPr>
            <w:r w:rsidRPr="00C036E5">
              <w:rPr>
                <w:rFonts w:ascii="Garamond" w:eastAsia="Times New Roman" w:hAnsi="Garamond" w:cs="Calibri"/>
                <w:b/>
                <w:bCs/>
                <w:color w:val="000000"/>
                <w:sz w:val="20"/>
                <w:szCs w:val="20"/>
                <w:lang w:eastAsia="fr-FR"/>
              </w:rPr>
              <w:t>National</w:t>
            </w:r>
          </w:p>
        </w:tc>
        <w:tc>
          <w:tcPr>
            <w:tcW w:w="1960"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3"/>
              <w:jc w:val="center"/>
              <w:rPr>
                <w:rFonts w:ascii="Garamond" w:hAnsi="Garamond" w:cs="Calibri"/>
                <w:b/>
                <w:bCs/>
                <w:color w:val="000000"/>
                <w:sz w:val="24"/>
                <w:szCs w:val="24"/>
              </w:rPr>
            </w:pPr>
            <w:r w:rsidRPr="00C44318">
              <w:rPr>
                <w:rFonts w:ascii="Garamond" w:hAnsi="Garamond" w:cs="Calibri"/>
                <w:b/>
                <w:bCs/>
                <w:color w:val="000000"/>
                <w:sz w:val="24"/>
                <w:szCs w:val="24"/>
              </w:rPr>
              <w:t>12,4</w:t>
            </w:r>
          </w:p>
        </w:tc>
        <w:tc>
          <w:tcPr>
            <w:tcW w:w="1996" w:type="dxa"/>
            <w:tcBorders>
              <w:top w:val="nil"/>
              <w:left w:val="nil"/>
              <w:bottom w:val="single" w:sz="4" w:space="0" w:color="auto"/>
              <w:right w:val="single" w:sz="4" w:space="0" w:color="auto"/>
            </w:tcBorders>
            <w:shd w:val="clear" w:color="auto" w:fill="auto"/>
            <w:noWrap/>
            <w:vAlign w:val="bottom"/>
            <w:hideMark/>
          </w:tcPr>
          <w:p w:rsidR="001A6732" w:rsidRPr="00C44318" w:rsidRDefault="001A6732" w:rsidP="00C44318">
            <w:pPr>
              <w:ind w:firstLineChars="300" w:firstLine="723"/>
              <w:jc w:val="center"/>
              <w:rPr>
                <w:rFonts w:ascii="Garamond" w:hAnsi="Garamond" w:cs="Calibri"/>
                <w:b/>
                <w:bCs/>
                <w:color w:val="000000"/>
                <w:sz w:val="24"/>
                <w:szCs w:val="24"/>
              </w:rPr>
            </w:pPr>
            <w:r w:rsidRPr="00C44318">
              <w:rPr>
                <w:rFonts w:ascii="Garamond" w:hAnsi="Garamond" w:cs="Calibri"/>
                <w:b/>
                <w:bCs/>
                <w:color w:val="000000"/>
                <w:sz w:val="24"/>
                <w:szCs w:val="24"/>
              </w:rPr>
              <w:t>13,1</w:t>
            </w:r>
          </w:p>
        </w:tc>
      </w:tr>
    </w:tbl>
    <w:p w:rsidR="00D401DB" w:rsidRDefault="00940768" w:rsidP="00FB4D04">
      <w:pPr>
        <w:tabs>
          <w:tab w:val="left" w:pos="-720"/>
        </w:tabs>
        <w:suppressAutoHyphens/>
        <w:spacing w:after="0" w:line="276" w:lineRule="auto"/>
        <w:jc w:val="both"/>
        <w:rPr>
          <w:rFonts w:ascii="Book Antiqua" w:hAnsi="Book Antiqua" w:cs="Browallia New"/>
          <w:b/>
          <w:bCs/>
          <w:color w:val="4472C4" w:themeColor="accent1"/>
          <w:sz w:val="20"/>
          <w:szCs w:val="20"/>
        </w:rPr>
      </w:pPr>
      <w:r w:rsidRPr="00C036E5">
        <w:rPr>
          <w:color w:val="222222"/>
          <w:sz w:val="20"/>
          <w:szCs w:val="20"/>
          <w:shd w:val="clear" w:color="auto" w:fill="FFFFFF"/>
        </w:rPr>
        <w:t xml:space="preserve">                 </w:t>
      </w:r>
      <w:r w:rsidR="00D401DB" w:rsidRPr="00C036E5">
        <w:rPr>
          <w:color w:val="222222"/>
          <w:sz w:val="20"/>
          <w:szCs w:val="20"/>
          <w:shd w:val="clear" w:color="auto" w:fill="FFFFFF"/>
        </w:rPr>
        <w:t>Source : Enquête nationale sur l'emploi, Haut-commissariat au Plan</w:t>
      </w:r>
      <w:r w:rsidR="00FB4D04" w:rsidRPr="00C036E5">
        <w:rPr>
          <w:color w:val="222222"/>
          <w:sz w:val="20"/>
          <w:szCs w:val="20"/>
          <w:shd w:val="clear" w:color="auto" w:fill="FFFFFF"/>
        </w:rPr>
        <w:t>.</w:t>
      </w:r>
    </w:p>
    <w:p w:rsidR="002365B5" w:rsidRDefault="002365B5" w:rsidP="00AB58EE">
      <w:pPr>
        <w:rPr>
          <w:rFonts w:ascii="Book Antiqua" w:hAnsi="Book Antiqua" w:cs="Browallia New"/>
          <w:b/>
          <w:bCs/>
          <w:color w:val="4472C4" w:themeColor="accent1"/>
          <w:sz w:val="20"/>
          <w:szCs w:val="20"/>
        </w:rPr>
      </w:pPr>
    </w:p>
    <w:sectPr w:rsidR="002365B5" w:rsidSect="00101148">
      <w:footerReference w:type="default" r:id="rId15"/>
      <w:headerReference w:type="first" r:id="rId16"/>
      <w:type w:val="continuous"/>
      <w:pgSz w:w="11906" w:h="16838"/>
      <w:pgMar w:top="1418" w:right="1304" w:bottom="1418" w:left="130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B83" w:rsidRDefault="00B50B83" w:rsidP="00647547">
      <w:pPr>
        <w:spacing w:after="0" w:line="240" w:lineRule="auto"/>
      </w:pPr>
      <w:r>
        <w:separator/>
      </w:r>
    </w:p>
  </w:endnote>
  <w:endnote w:type="continuationSeparator" w:id="1">
    <w:p w:rsidR="00B50B83" w:rsidRDefault="00B50B83" w:rsidP="006475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owallia New">
    <w:panose1 w:val="020B06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26797"/>
      <w:docPartObj>
        <w:docPartGallery w:val="Page Numbers (Bottom of Page)"/>
        <w:docPartUnique/>
      </w:docPartObj>
    </w:sdtPr>
    <w:sdtEndPr>
      <w:rPr>
        <w:sz w:val="22"/>
        <w:szCs w:val="22"/>
      </w:rPr>
    </w:sdtEndPr>
    <w:sdtContent>
      <w:p w:rsidR="0051391F" w:rsidRPr="003537FF" w:rsidRDefault="00583BC8">
        <w:pPr>
          <w:pStyle w:val="Pieddepage"/>
          <w:jc w:val="center"/>
          <w:rPr>
            <w:sz w:val="22"/>
            <w:szCs w:val="22"/>
          </w:rPr>
        </w:pPr>
        <w:r w:rsidRPr="003537FF">
          <w:rPr>
            <w:sz w:val="16"/>
            <w:szCs w:val="16"/>
          </w:rPr>
          <w:fldChar w:fldCharType="begin"/>
        </w:r>
        <w:r w:rsidR="0051391F" w:rsidRPr="003537FF">
          <w:rPr>
            <w:sz w:val="16"/>
            <w:szCs w:val="16"/>
          </w:rPr>
          <w:instrText xml:space="preserve"> PAGE   \* MERGEFORMAT </w:instrText>
        </w:r>
        <w:r w:rsidRPr="003537FF">
          <w:rPr>
            <w:sz w:val="16"/>
            <w:szCs w:val="16"/>
          </w:rPr>
          <w:fldChar w:fldCharType="separate"/>
        </w:r>
        <w:r w:rsidR="009926E3">
          <w:rPr>
            <w:noProof/>
            <w:sz w:val="16"/>
            <w:szCs w:val="16"/>
          </w:rPr>
          <w:t>2</w:t>
        </w:r>
        <w:r w:rsidRPr="003537FF">
          <w:rPr>
            <w:sz w:val="16"/>
            <w:szCs w:val="16"/>
          </w:rPr>
          <w:fldChar w:fldCharType="end"/>
        </w:r>
      </w:p>
    </w:sdtContent>
  </w:sdt>
  <w:p w:rsidR="0051391F" w:rsidRDefault="0051391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B83" w:rsidRDefault="00B50B83" w:rsidP="00647547">
      <w:pPr>
        <w:spacing w:after="0" w:line="240" w:lineRule="auto"/>
      </w:pPr>
      <w:r>
        <w:separator/>
      </w:r>
    </w:p>
  </w:footnote>
  <w:footnote w:type="continuationSeparator" w:id="1">
    <w:p w:rsidR="00B50B83" w:rsidRDefault="00B50B83" w:rsidP="00647547">
      <w:pPr>
        <w:spacing w:after="0" w:line="240" w:lineRule="auto"/>
      </w:pPr>
      <w:r>
        <w:continuationSeparator/>
      </w:r>
    </w:p>
  </w:footnote>
  <w:footnote w:id="2">
    <w:p w:rsidR="0051391F" w:rsidRPr="00B84F3C" w:rsidRDefault="0051391F" w:rsidP="00EB5A99">
      <w:pPr>
        <w:pStyle w:val="Notedebasdepage"/>
        <w:rPr>
          <w:sz w:val="14"/>
          <w:szCs w:val="14"/>
        </w:rPr>
      </w:pPr>
      <w:r>
        <w:rPr>
          <w:rStyle w:val="Appelnotedebasdep"/>
        </w:rPr>
        <w:footnoteRef/>
      </w:r>
      <w:r w:rsidRPr="00B84F3C">
        <w:rPr>
          <w:sz w:val="14"/>
          <w:szCs w:val="14"/>
        </w:rPr>
        <w:t>L’écart entre la baisse d’emploi au niveau global et par secteurs concerne les activités mal ou non désignées</w:t>
      </w:r>
      <w:r>
        <w:rPr>
          <w:sz w:val="14"/>
          <w:szCs w:val="1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91F" w:rsidRDefault="0051391F" w:rsidP="00101148">
    <w:pPr>
      <w:pStyle w:val="En-tte"/>
      <w:jc w:val="center"/>
    </w:pPr>
    <w:r w:rsidRPr="00101148">
      <w:rPr>
        <w:noProof/>
        <w:lang w:eastAsia="fr-FR"/>
      </w:rPr>
      <w:drawing>
        <wp:inline distT="0" distB="0" distL="0" distR="0">
          <wp:extent cx="1339850" cy="865646"/>
          <wp:effectExtent l="1905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343915" cy="86827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pt;height:11pt" o:bullet="t">
        <v:imagedata r:id="rId1" o:title="BD14565_"/>
      </v:shape>
    </w:pict>
  </w:numPicBullet>
  <w:abstractNum w:abstractNumId="0">
    <w:nsid w:val="0D1920CF"/>
    <w:multiLevelType w:val="hybridMultilevel"/>
    <w:tmpl w:val="0B02A664"/>
    <w:lvl w:ilvl="0" w:tplc="1A1C14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A182E79"/>
    <w:multiLevelType w:val="hybridMultilevel"/>
    <w:tmpl w:val="D0F6EAC6"/>
    <w:lvl w:ilvl="0" w:tplc="54048DB4">
      <w:start w:val="1"/>
      <w:numFmt w:val="upperRoman"/>
      <w:lvlText w:val="%1."/>
      <w:lvlJc w:val="left"/>
      <w:pPr>
        <w:ind w:left="1080" w:hanging="72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2">
    <w:nsid w:val="22567B4F"/>
    <w:multiLevelType w:val="hybridMultilevel"/>
    <w:tmpl w:val="0B02A664"/>
    <w:lvl w:ilvl="0" w:tplc="1A1C14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32625D9"/>
    <w:multiLevelType w:val="hybridMultilevel"/>
    <w:tmpl w:val="3BB02524"/>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B687A91"/>
    <w:multiLevelType w:val="hybridMultilevel"/>
    <w:tmpl w:val="990E3FBC"/>
    <w:lvl w:ilvl="0" w:tplc="040C0003">
      <w:start w:val="1"/>
      <w:numFmt w:val="bullet"/>
      <w:lvlText w:val="o"/>
      <w:lvlJc w:val="left"/>
      <w:pPr>
        <w:ind w:left="1068" w:hanging="360"/>
      </w:pPr>
      <w:rPr>
        <w:rFonts w:ascii="Courier New" w:hAnsi="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2DC33EF8"/>
    <w:multiLevelType w:val="hybridMultilevel"/>
    <w:tmpl w:val="CD5AB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1C642A6"/>
    <w:multiLevelType w:val="multilevel"/>
    <w:tmpl w:val="CDAE4488"/>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6D242CB"/>
    <w:multiLevelType w:val="singleLevel"/>
    <w:tmpl w:val="769EE5B4"/>
    <w:name w:val="Callout Template"/>
    <w:lvl w:ilvl="0">
      <w:start w:val="1"/>
      <w:numFmt w:val="decimal"/>
      <w:suff w:val="space"/>
      <w:lvlText w:val="="/>
      <w:lvlJc w:val="left"/>
      <w:pPr>
        <w:ind w:left="200" w:hanging="200"/>
      </w:pPr>
      <w:rPr>
        <w:rFonts w:ascii="Webdings" w:hAnsi="Webdings"/>
        <w:sz w:val="16"/>
      </w:rPr>
    </w:lvl>
  </w:abstractNum>
  <w:abstractNum w:abstractNumId="8">
    <w:nsid w:val="4202086A"/>
    <w:multiLevelType w:val="hybridMultilevel"/>
    <w:tmpl w:val="7C3202E0"/>
    <w:lvl w:ilvl="0" w:tplc="2A964910">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9">
    <w:nsid w:val="55A278B9"/>
    <w:multiLevelType w:val="hybridMultilevel"/>
    <w:tmpl w:val="52B2CF52"/>
    <w:lvl w:ilvl="0" w:tplc="BDBE96A2">
      <w:start w:val="1"/>
      <w:numFmt w:val="upperRoman"/>
      <w:lvlText w:val="%1-"/>
      <w:lvlJc w:val="left"/>
      <w:pPr>
        <w:ind w:left="1080" w:hanging="72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0">
    <w:nsid w:val="5E3A162F"/>
    <w:multiLevelType w:val="hybridMultilevel"/>
    <w:tmpl w:val="5E882042"/>
    <w:lvl w:ilvl="0" w:tplc="D76829CC">
      <w:start w:val="1"/>
      <w:numFmt w:val="bullet"/>
      <w:lvlText w:val=""/>
      <w:lvlJc w:val="left"/>
      <w:pPr>
        <w:ind w:left="360" w:hanging="360"/>
      </w:pPr>
      <w:rPr>
        <w:rFonts w:ascii="Wingdings" w:hAnsi="Wingdings" w:hint="default"/>
        <w:color w:val="C00000"/>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5F194B70"/>
    <w:multiLevelType w:val="multilevel"/>
    <w:tmpl w:val="00000001"/>
    <w:name w:val="HTML-List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12">
    <w:nsid w:val="70326D3D"/>
    <w:multiLevelType w:val="hybridMultilevel"/>
    <w:tmpl w:val="04C68812"/>
    <w:lvl w:ilvl="0" w:tplc="040C0003">
      <w:start w:val="1"/>
      <w:numFmt w:val="bullet"/>
      <w:lvlText w:val="o"/>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73EB4257"/>
    <w:multiLevelType w:val="hybridMultilevel"/>
    <w:tmpl w:val="77DA5F0A"/>
    <w:lvl w:ilvl="0" w:tplc="040C0003">
      <w:start w:val="1"/>
      <w:numFmt w:val="bullet"/>
      <w:lvlText w:val="o"/>
      <w:lvlJc w:val="left"/>
      <w:pPr>
        <w:ind w:left="778" w:hanging="360"/>
      </w:pPr>
      <w:rPr>
        <w:rFonts w:ascii="Courier New" w:hAnsi="Courier New" w:cs="Courier New"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4">
    <w:nsid w:val="7D73003C"/>
    <w:multiLevelType w:val="hybridMultilevel"/>
    <w:tmpl w:val="AC6AF4FE"/>
    <w:lvl w:ilvl="0" w:tplc="7E4C9D8A">
      <w:start w:val="1"/>
      <w:numFmt w:val="bullet"/>
      <w:lvlText w:val=""/>
      <w:lvlJc w:val="left"/>
      <w:pPr>
        <w:ind w:left="360" w:hanging="360"/>
      </w:pPr>
      <w:rPr>
        <w:rFonts w:ascii="Wingdings" w:hAnsi="Wingdings" w:hint="default"/>
        <w:color w:val="C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8"/>
  </w:num>
  <w:num w:numId="4">
    <w:abstractNumId w:val="10"/>
  </w:num>
  <w:num w:numId="5">
    <w:abstractNumId w:val="5"/>
  </w:num>
  <w:num w:numId="6">
    <w:abstractNumId w:val="13"/>
  </w:num>
  <w:num w:numId="7">
    <w:abstractNumId w:val="4"/>
  </w:num>
  <w:num w:numId="8">
    <w:abstractNumId w:val="3"/>
  </w:num>
  <w:num w:numId="9">
    <w:abstractNumId w:val="12"/>
  </w:num>
  <w:num w:numId="10">
    <w:abstractNumId w:val="14"/>
  </w:num>
  <w:num w:numId="11">
    <w:abstractNumId w:val="6"/>
  </w:num>
  <w:num w:numId="12">
    <w:abstractNumId w:val="6"/>
  </w:num>
  <w:num w:numId="13">
    <w:abstractNumId w:val="6"/>
  </w:num>
  <w:num w:numId="14">
    <w:abstractNumId w:val="2"/>
  </w:num>
  <w:num w:numId="15">
    <w:abstractNumId w:val="0"/>
  </w:num>
  <w:num w:numId="16">
    <w:abstractNumId w:val="6"/>
  </w:num>
  <w:num w:numId="17">
    <w:abstractNumId w:val="6"/>
  </w:num>
  <w:num w:numId="18">
    <w:abstractNumId w:val="6"/>
  </w:num>
  <w:num w:numId="19">
    <w:abstractNumId w:val="6"/>
  </w:num>
  <w:num w:numId="20">
    <w:abstractNumId w:val="9"/>
  </w:num>
  <w:num w:numId="21">
    <w:abstractNumId w:val="1"/>
  </w:num>
  <w:num w:numId="22">
    <w:abstractNumId w:val="6"/>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708"/>
  <w:hyphenationZone w:val="425"/>
  <w:drawingGridHorizontalSpacing w:val="140"/>
  <w:displayHorizontalDrawingGridEvery w:val="2"/>
  <w:characterSpacingControl w:val="doNotCompress"/>
  <w:footnotePr>
    <w:footnote w:id="0"/>
    <w:footnote w:id="1"/>
  </w:footnotePr>
  <w:endnotePr>
    <w:endnote w:id="0"/>
    <w:endnote w:id="1"/>
  </w:endnotePr>
  <w:compat/>
  <w:rsids>
    <w:rsidRoot w:val="00285965"/>
    <w:rsid w:val="00000609"/>
    <w:rsid w:val="000046E5"/>
    <w:rsid w:val="000148F4"/>
    <w:rsid w:val="00015F97"/>
    <w:rsid w:val="000215D5"/>
    <w:rsid w:val="0003179E"/>
    <w:rsid w:val="00033F4E"/>
    <w:rsid w:val="00034341"/>
    <w:rsid w:val="0003577E"/>
    <w:rsid w:val="00035BB3"/>
    <w:rsid w:val="00035F35"/>
    <w:rsid w:val="00036416"/>
    <w:rsid w:val="00037BD3"/>
    <w:rsid w:val="000410C1"/>
    <w:rsid w:val="000410FF"/>
    <w:rsid w:val="00052A83"/>
    <w:rsid w:val="00052C59"/>
    <w:rsid w:val="00061D2F"/>
    <w:rsid w:val="000630F5"/>
    <w:rsid w:val="000726D0"/>
    <w:rsid w:val="0007315E"/>
    <w:rsid w:val="000740C1"/>
    <w:rsid w:val="00076DFC"/>
    <w:rsid w:val="00080183"/>
    <w:rsid w:val="000816D3"/>
    <w:rsid w:val="00082DFD"/>
    <w:rsid w:val="0008430D"/>
    <w:rsid w:val="00084E3B"/>
    <w:rsid w:val="00085F2E"/>
    <w:rsid w:val="00087A29"/>
    <w:rsid w:val="00093BA4"/>
    <w:rsid w:val="000948D2"/>
    <w:rsid w:val="00095DF4"/>
    <w:rsid w:val="000A2034"/>
    <w:rsid w:val="000A3014"/>
    <w:rsid w:val="000A32EE"/>
    <w:rsid w:val="000A7BAD"/>
    <w:rsid w:val="000B6099"/>
    <w:rsid w:val="000B688E"/>
    <w:rsid w:val="000B6D44"/>
    <w:rsid w:val="000C27FA"/>
    <w:rsid w:val="000D3310"/>
    <w:rsid w:val="000D7430"/>
    <w:rsid w:val="000E5B92"/>
    <w:rsid w:val="000E6BD5"/>
    <w:rsid w:val="000E7E15"/>
    <w:rsid w:val="000F5704"/>
    <w:rsid w:val="000F5DA6"/>
    <w:rsid w:val="00101148"/>
    <w:rsid w:val="001037D8"/>
    <w:rsid w:val="00107023"/>
    <w:rsid w:val="001173B5"/>
    <w:rsid w:val="00121272"/>
    <w:rsid w:val="001252D0"/>
    <w:rsid w:val="00127106"/>
    <w:rsid w:val="00140CE4"/>
    <w:rsid w:val="00144545"/>
    <w:rsid w:val="00145C7E"/>
    <w:rsid w:val="00146B9D"/>
    <w:rsid w:val="001513F9"/>
    <w:rsid w:val="00151A63"/>
    <w:rsid w:val="001561CA"/>
    <w:rsid w:val="00157552"/>
    <w:rsid w:val="0016011B"/>
    <w:rsid w:val="0016011E"/>
    <w:rsid w:val="001610BF"/>
    <w:rsid w:val="0016181E"/>
    <w:rsid w:val="001631E7"/>
    <w:rsid w:val="00165862"/>
    <w:rsid w:val="00167B85"/>
    <w:rsid w:val="00172219"/>
    <w:rsid w:val="00172A9A"/>
    <w:rsid w:val="00176553"/>
    <w:rsid w:val="00181110"/>
    <w:rsid w:val="001817C2"/>
    <w:rsid w:val="00190E2D"/>
    <w:rsid w:val="00195716"/>
    <w:rsid w:val="00196401"/>
    <w:rsid w:val="001968C4"/>
    <w:rsid w:val="001A1CF4"/>
    <w:rsid w:val="001A62C8"/>
    <w:rsid w:val="001A6732"/>
    <w:rsid w:val="001A7F81"/>
    <w:rsid w:val="001B5A6E"/>
    <w:rsid w:val="001C174F"/>
    <w:rsid w:val="001C22C6"/>
    <w:rsid w:val="001C4D45"/>
    <w:rsid w:val="001C7038"/>
    <w:rsid w:val="001D45AF"/>
    <w:rsid w:val="001D5675"/>
    <w:rsid w:val="001D6579"/>
    <w:rsid w:val="001E0795"/>
    <w:rsid w:val="001E1DF6"/>
    <w:rsid w:val="001E214E"/>
    <w:rsid w:val="001E6589"/>
    <w:rsid w:val="001E75D4"/>
    <w:rsid w:val="001E7C69"/>
    <w:rsid w:val="001F6E0B"/>
    <w:rsid w:val="00202BC3"/>
    <w:rsid w:val="00207292"/>
    <w:rsid w:val="00212A51"/>
    <w:rsid w:val="00214268"/>
    <w:rsid w:val="00217BFC"/>
    <w:rsid w:val="0022296C"/>
    <w:rsid w:val="00227708"/>
    <w:rsid w:val="00231FDD"/>
    <w:rsid w:val="00232B1D"/>
    <w:rsid w:val="00233E1A"/>
    <w:rsid w:val="00234BD0"/>
    <w:rsid w:val="00236201"/>
    <w:rsid w:val="002365B5"/>
    <w:rsid w:val="00245532"/>
    <w:rsid w:val="002522BF"/>
    <w:rsid w:val="00254EBB"/>
    <w:rsid w:val="00256254"/>
    <w:rsid w:val="00256C85"/>
    <w:rsid w:val="00260A22"/>
    <w:rsid w:val="002620DE"/>
    <w:rsid w:val="00262755"/>
    <w:rsid w:val="00262EB0"/>
    <w:rsid w:val="00263CFE"/>
    <w:rsid w:val="002646BD"/>
    <w:rsid w:val="00266D76"/>
    <w:rsid w:val="00274FBF"/>
    <w:rsid w:val="002771FF"/>
    <w:rsid w:val="00280A24"/>
    <w:rsid w:val="0028300C"/>
    <w:rsid w:val="00285965"/>
    <w:rsid w:val="00286060"/>
    <w:rsid w:val="00287CF6"/>
    <w:rsid w:val="0029080A"/>
    <w:rsid w:val="00293788"/>
    <w:rsid w:val="002966AE"/>
    <w:rsid w:val="00297245"/>
    <w:rsid w:val="002A6D8E"/>
    <w:rsid w:val="002A783A"/>
    <w:rsid w:val="002B0A07"/>
    <w:rsid w:val="002B18F9"/>
    <w:rsid w:val="002B285E"/>
    <w:rsid w:val="002B46F4"/>
    <w:rsid w:val="002B507F"/>
    <w:rsid w:val="002B6DD9"/>
    <w:rsid w:val="002B6EBA"/>
    <w:rsid w:val="002C1818"/>
    <w:rsid w:val="002C1B88"/>
    <w:rsid w:val="002C261B"/>
    <w:rsid w:val="002C3E4D"/>
    <w:rsid w:val="002C6A41"/>
    <w:rsid w:val="002C79AD"/>
    <w:rsid w:val="002D2EF4"/>
    <w:rsid w:val="002D324E"/>
    <w:rsid w:val="002D385D"/>
    <w:rsid w:val="002E4619"/>
    <w:rsid w:val="002E4DC1"/>
    <w:rsid w:val="002F3BC4"/>
    <w:rsid w:val="002F4BF8"/>
    <w:rsid w:val="002F60C9"/>
    <w:rsid w:val="00301539"/>
    <w:rsid w:val="00306D84"/>
    <w:rsid w:val="003130F2"/>
    <w:rsid w:val="00314E05"/>
    <w:rsid w:val="00314F7F"/>
    <w:rsid w:val="0031528C"/>
    <w:rsid w:val="00315C73"/>
    <w:rsid w:val="00321C79"/>
    <w:rsid w:val="0032706B"/>
    <w:rsid w:val="003300E1"/>
    <w:rsid w:val="003320D4"/>
    <w:rsid w:val="003367CF"/>
    <w:rsid w:val="00340F57"/>
    <w:rsid w:val="00341AE7"/>
    <w:rsid w:val="003537FF"/>
    <w:rsid w:val="00354547"/>
    <w:rsid w:val="00355DCE"/>
    <w:rsid w:val="00364648"/>
    <w:rsid w:val="003703AC"/>
    <w:rsid w:val="0037275B"/>
    <w:rsid w:val="003749A6"/>
    <w:rsid w:val="003817C8"/>
    <w:rsid w:val="003A1F0F"/>
    <w:rsid w:val="003A3A92"/>
    <w:rsid w:val="003A4C5F"/>
    <w:rsid w:val="003A5C6F"/>
    <w:rsid w:val="003B035F"/>
    <w:rsid w:val="003B265C"/>
    <w:rsid w:val="003B696A"/>
    <w:rsid w:val="003C446E"/>
    <w:rsid w:val="003C44CE"/>
    <w:rsid w:val="003C7AEF"/>
    <w:rsid w:val="003E1F2B"/>
    <w:rsid w:val="003F36A7"/>
    <w:rsid w:val="003F555E"/>
    <w:rsid w:val="003F5D19"/>
    <w:rsid w:val="00404D4E"/>
    <w:rsid w:val="004111DF"/>
    <w:rsid w:val="00414315"/>
    <w:rsid w:val="00415954"/>
    <w:rsid w:val="0042120C"/>
    <w:rsid w:val="004246D9"/>
    <w:rsid w:val="004264E0"/>
    <w:rsid w:val="004307DD"/>
    <w:rsid w:val="00430D5D"/>
    <w:rsid w:val="004337F2"/>
    <w:rsid w:val="004349C8"/>
    <w:rsid w:val="00441F6F"/>
    <w:rsid w:val="00442956"/>
    <w:rsid w:val="00442E1D"/>
    <w:rsid w:val="00445805"/>
    <w:rsid w:val="004473B0"/>
    <w:rsid w:val="0045673D"/>
    <w:rsid w:val="0045679B"/>
    <w:rsid w:val="00457DCA"/>
    <w:rsid w:val="00460D39"/>
    <w:rsid w:val="00461C49"/>
    <w:rsid w:val="00462C5C"/>
    <w:rsid w:val="004805D0"/>
    <w:rsid w:val="00483B64"/>
    <w:rsid w:val="00491A91"/>
    <w:rsid w:val="0049600B"/>
    <w:rsid w:val="004A3D1F"/>
    <w:rsid w:val="004A6A9E"/>
    <w:rsid w:val="004A7501"/>
    <w:rsid w:val="004B06B2"/>
    <w:rsid w:val="004B7A72"/>
    <w:rsid w:val="004C095B"/>
    <w:rsid w:val="004C25F2"/>
    <w:rsid w:val="004C42DC"/>
    <w:rsid w:val="004D3E03"/>
    <w:rsid w:val="004E4854"/>
    <w:rsid w:val="004F7BDB"/>
    <w:rsid w:val="00502823"/>
    <w:rsid w:val="005045D2"/>
    <w:rsid w:val="0051391F"/>
    <w:rsid w:val="00515B04"/>
    <w:rsid w:val="00516C8D"/>
    <w:rsid w:val="00524474"/>
    <w:rsid w:val="005276F5"/>
    <w:rsid w:val="00533791"/>
    <w:rsid w:val="0054104E"/>
    <w:rsid w:val="00543385"/>
    <w:rsid w:val="00543595"/>
    <w:rsid w:val="005464AF"/>
    <w:rsid w:val="0055397B"/>
    <w:rsid w:val="00554A03"/>
    <w:rsid w:val="00564871"/>
    <w:rsid w:val="00565BD2"/>
    <w:rsid w:val="00565EA7"/>
    <w:rsid w:val="0056706F"/>
    <w:rsid w:val="0057563B"/>
    <w:rsid w:val="005756A1"/>
    <w:rsid w:val="00581347"/>
    <w:rsid w:val="00583BC8"/>
    <w:rsid w:val="005A53AB"/>
    <w:rsid w:val="005B077A"/>
    <w:rsid w:val="005B0D3E"/>
    <w:rsid w:val="005B54C7"/>
    <w:rsid w:val="005B7114"/>
    <w:rsid w:val="005C0C27"/>
    <w:rsid w:val="005C380C"/>
    <w:rsid w:val="005C5615"/>
    <w:rsid w:val="005C6691"/>
    <w:rsid w:val="005D2105"/>
    <w:rsid w:val="005D2869"/>
    <w:rsid w:val="005D443D"/>
    <w:rsid w:val="005E1317"/>
    <w:rsid w:val="005E348B"/>
    <w:rsid w:val="005E3F54"/>
    <w:rsid w:val="005F3AAA"/>
    <w:rsid w:val="006052A0"/>
    <w:rsid w:val="006074CB"/>
    <w:rsid w:val="00612C6A"/>
    <w:rsid w:val="00616864"/>
    <w:rsid w:val="00620013"/>
    <w:rsid w:val="006209A1"/>
    <w:rsid w:val="00621F03"/>
    <w:rsid w:val="006220C7"/>
    <w:rsid w:val="006233A1"/>
    <w:rsid w:val="006255A6"/>
    <w:rsid w:val="0063036C"/>
    <w:rsid w:val="006318CF"/>
    <w:rsid w:val="0063480B"/>
    <w:rsid w:val="006425A7"/>
    <w:rsid w:val="00645CCA"/>
    <w:rsid w:val="006464DC"/>
    <w:rsid w:val="00647547"/>
    <w:rsid w:val="00647784"/>
    <w:rsid w:val="0065727D"/>
    <w:rsid w:val="00666CC4"/>
    <w:rsid w:val="0067431C"/>
    <w:rsid w:val="00675AD5"/>
    <w:rsid w:val="006815F9"/>
    <w:rsid w:val="00683E13"/>
    <w:rsid w:val="00683F3E"/>
    <w:rsid w:val="006849BF"/>
    <w:rsid w:val="00686F85"/>
    <w:rsid w:val="00694716"/>
    <w:rsid w:val="00697171"/>
    <w:rsid w:val="006971EF"/>
    <w:rsid w:val="006A0780"/>
    <w:rsid w:val="006A091E"/>
    <w:rsid w:val="006A12E8"/>
    <w:rsid w:val="006A1A4A"/>
    <w:rsid w:val="006A2F7B"/>
    <w:rsid w:val="006A5427"/>
    <w:rsid w:val="006A7E0E"/>
    <w:rsid w:val="006B33A2"/>
    <w:rsid w:val="006B5CC2"/>
    <w:rsid w:val="006C333F"/>
    <w:rsid w:val="006C38CE"/>
    <w:rsid w:val="006C478D"/>
    <w:rsid w:val="006D1971"/>
    <w:rsid w:val="006D262E"/>
    <w:rsid w:val="006D6F75"/>
    <w:rsid w:val="006E3A6E"/>
    <w:rsid w:val="006E5294"/>
    <w:rsid w:val="006E599F"/>
    <w:rsid w:val="006E715E"/>
    <w:rsid w:val="006F2179"/>
    <w:rsid w:val="006F2A7A"/>
    <w:rsid w:val="006F51D5"/>
    <w:rsid w:val="007015E0"/>
    <w:rsid w:val="007060D4"/>
    <w:rsid w:val="00720B31"/>
    <w:rsid w:val="00720BC7"/>
    <w:rsid w:val="00725167"/>
    <w:rsid w:val="00725D25"/>
    <w:rsid w:val="007324DD"/>
    <w:rsid w:val="00733A4E"/>
    <w:rsid w:val="00733F0E"/>
    <w:rsid w:val="007362D2"/>
    <w:rsid w:val="00745A50"/>
    <w:rsid w:val="00754384"/>
    <w:rsid w:val="007556A0"/>
    <w:rsid w:val="00755AC8"/>
    <w:rsid w:val="007675DD"/>
    <w:rsid w:val="00770336"/>
    <w:rsid w:val="00780682"/>
    <w:rsid w:val="00780A85"/>
    <w:rsid w:val="0079020B"/>
    <w:rsid w:val="007913BC"/>
    <w:rsid w:val="007940D4"/>
    <w:rsid w:val="0079437E"/>
    <w:rsid w:val="00797D4A"/>
    <w:rsid w:val="007A2EA8"/>
    <w:rsid w:val="007B5DE3"/>
    <w:rsid w:val="007C0FBE"/>
    <w:rsid w:val="007C6B26"/>
    <w:rsid w:val="007D2CB3"/>
    <w:rsid w:val="007D3392"/>
    <w:rsid w:val="0080042A"/>
    <w:rsid w:val="00801731"/>
    <w:rsid w:val="008056DF"/>
    <w:rsid w:val="00805EC1"/>
    <w:rsid w:val="00815AD5"/>
    <w:rsid w:val="008161F0"/>
    <w:rsid w:val="00827F05"/>
    <w:rsid w:val="00832B2C"/>
    <w:rsid w:val="008363F2"/>
    <w:rsid w:val="0084445F"/>
    <w:rsid w:val="00845945"/>
    <w:rsid w:val="00846208"/>
    <w:rsid w:val="00850E10"/>
    <w:rsid w:val="00850E87"/>
    <w:rsid w:val="00853C86"/>
    <w:rsid w:val="00863BF7"/>
    <w:rsid w:val="00871778"/>
    <w:rsid w:val="008753C0"/>
    <w:rsid w:val="008759D1"/>
    <w:rsid w:val="00877D4C"/>
    <w:rsid w:val="00880C81"/>
    <w:rsid w:val="00897884"/>
    <w:rsid w:val="008A215D"/>
    <w:rsid w:val="008A54B7"/>
    <w:rsid w:val="008B0022"/>
    <w:rsid w:val="008B43C7"/>
    <w:rsid w:val="008B4959"/>
    <w:rsid w:val="008C2468"/>
    <w:rsid w:val="008D1973"/>
    <w:rsid w:val="008D2989"/>
    <w:rsid w:val="008D2A34"/>
    <w:rsid w:val="008D2A96"/>
    <w:rsid w:val="008D3D1B"/>
    <w:rsid w:val="008D435D"/>
    <w:rsid w:val="008D44C3"/>
    <w:rsid w:val="008D790F"/>
    <w:rsid w:val="008E21DA"/>
    <w:rsid w:val="008E228B"/>
    <w:rsid w:val="008E6A41"/>
    <w:rsid w:val="008F65A3"/>
    <w:rsid w:val="00901E10"/>
    <w:rsid w:val="009024A6"/>
    <w:rsid w:val="009038C4"/>
    <w:rsid w:val="009055D4"/>
    <w:rsid w:val="00906402"/>
    <w:rsid w:val="00907D68"/>
    <w:rsid w:val="00910387"/>
    <w:rsid w:val="009132AC"/>
    <w:rsid w:val="0091405C"/>
    <w:rsid w:val="009145A3"/>
    <w:rsid w:val="00916A10"/>
    <w:rsid w:val="0091797E"/>
    <w:rsid w:val="009246FB"/>
    <w:rsid w:val="0092728C"/>
    <w:rsid w:val="00940768"/>
    <w:rsid w:val="0095056A"/>
    <w:rsid w:val="00952A83"/>
    <w:rsid w:val="00953339"/>
    <w:rsid w:val="009576F3"/>
    <w:rsid w:val="00964928"/>
    <w:rsid w:val="009674D0"/>
    <w:rsid w:val="00970335"/>
    <w:rsid w:val="00972048"/>
    <w:rsid w:val="009732FA"/>
    <w:rsid w:val="0097469D"/>
    <w:rsid w:val="009749D3"/>
    <w:rsid w:val="0097600C"/>
    <w:rsid w:val="00982DF9"/>
    <w:rsid w:val="00985EEA"/>
    <w:rsid w:val="0098752D"/>
    <w:rsid w:val="009926E3"/>
    <w:rsid w:val="00992CAD"/>
    <w:rsid w:val="00992F2C"/>
    <w:rsid w:val="0099497A"/>
    <w:rsid w:val="009A54A3"/>
    <w:rsid w:val="009B7967"/>
    <w:rsid w:val="009C7C02"/>
    <w:rsid w:val="009D235D"/>
    <w:rsid w:val="009D2668"/>
    <w:rsid w:val="009F09AB"/>
    <w:rsid w:val="009F1175"/>
    <w:rsid w:val="009F7B91"/>
    <w:rsid w:val="00A018A4"/>
    <w:rsid w:val="00A0224C"/>
    <w:rsid w:val="00A052B7"/>
    <w:rsid w:val="00A11323"/>
    <w:rsid w:val="00A1521D"/>
    <w:rsid w:val="00A20FC1"/>
    <w:rsid w:val="00A23561"/>
    <w:rsid w:val="00A24C00"/>
    <w:rsid w:val="00A2524F"/>
    <w:rsid w:val="00A2581F"/>
    <w:rsid w:val="00A27C88"/>
    <w:rsid w:val="00A32A4D"/>
    <w:rsid w:val="00A32AB4"/>
    <w:rsid w:val="00A37E42"/>
    <w:rsid w:val="00A44B01"/>
    <w:rsid w:val="00A457DA"/>
    <w:rsid w:val="00A55FAE"/>
    <w:rsid w:val="00A567BA"/>
    <w:rsid w:val="00A64BE0"/>
    <w:rsid w:val="00A64FE2"/>
    <w:rsid w:val="00A83219"/>
    <w:rsid w:val="00A846F8"/>
    <w:rsid w:val="00A86633"/>
    <w:rsid w:val="00A92112"/>
    <w:rsid w:val="00A92E6B"/>
    <w:rsid w:val="00AB1205"/>
    <w:rsid w:val="00AB477A"/>
    <w:rsid w:val="00AB58EE"/>
    <w:rsid w:val="00AB6015"/>
    <w:rsid w:val="00AB6B49"/>
    <w:rsid w:val="00AC1405"/>
    <w:rsid w:val="00AC4B58"/>
    <w:rsid w:val="00AC6FF4"/>
    <w:rsid w:val="00AD2871"/>
    <w:rsid w:val="00AD2E74"/>
    <w:rsid w:val="00AF4969"/>
    <w:rsid w:val="00B32FEF"/>
    <w:rsid w:val="00B34C0B"/>
    <w:rsid w:val="00B3721C"/>
    <w:rsid w:val="00B37D68"/>
    <w:rsid w:val="00B4437C"/>
    <w:rsid w:val="00B50B83"/>
    <w:rsid w:val="00B5105D"/>
    <w:rsid w:val="00B51DE6"/>
    <w:rsid w:val="00B5254B"/>
    <w:rsid w:val="00B6340A"/>
    <w:rsid w:val="00B675E7"/>
    <w:rsid w:val="00B817FF"/>
    <w:rsid w:val="00B84F3C"/>
    <w:rsid w:val="00B86B9B"/>
    <w:rsid w:val="00B916BA"/>
    <w:rsid w:val="00B93F42"/>
    <w:rsid w:val="00B961E7"/>
    <w:rsid w:val="00BA157D"/>
    <w:rsid w:val="00BA5443"/>
    <w:rsid w:val="00BA5579"/>
    <w:rsid w:val="00BB0F44"/>
    <w:rsid w:val="00BB2674"/>
    <w:rsid w:val="00BB5534"/>
    <w:rsid w:val="00BC4B3C"/>
    <w:rsid w:val="00BC5B03"/>
    <w:rsid w:val="00BD026B"/>
    <w:rsid w:val="00BD26D0"/>
    <w:rsid w:val="00BD7EBF"/>
    <w:rsid w:val="00BE7E8B"/>
    <w:rsid w:val="00BF351C"/>
    <w:rsid w:val="00C003DE"/>
    <w:rsid w:val="00C024D4"/>
    <w:rsid w:val="00C036E5"/>
    <w:rsid w:val="00C103B4"/>
    <w:rsid w:val="00C2077D"/>
    <w:rsid w:val="00C211A0"/>
    <w:rsid w:val="00C23589"/>
    <w:rsid w:val="00C25CC9"/>
    <w:rsid w:val="00C27C90"/>
    <w:rsid w:val="00C346AA"/>
    <w:rsid w:val="00C42A76"/>
    <w:rsid w:val="00C440A6"/>
    <w:rsid w:val="00C44318"/>
    <w:rsid w:val="00C4595A"/>
    <w:rsid w:val="00C46277"/>
    <w:rsid w:val="00C54527"/>
    <w:rsid w:val="00C74E21"/>
    <w:rsid w:val="00C77BFC"/>
    <w:rsid w:val="00C80243"/>
    <w:rsid w:val="00C82EFA"/>
    <w:rsid w:val="00C85203"/>
    <w:rsid w:val="00C87D49"/>
    <w:rsid w:val="00C9312E"/>
    <w:rsid w:val="00C9609C"/>
    <w:rsid w:val="00CA41D9"/>
    <w:rsid w:val="00CA4A9D"/>
    <w:rsid w:val="00CB1E1D"/>
    <w:rsid w:val="00CB2105"/>
    <w:rsid w:val="00CD255D"/>
    <w:rsid w:val="00CD269C"/>
    <w:rsid w:val="00CD4A44"/>
    <w:rsid w:val="00CD6737"/>
    <w:rsid w:val="00CE1CCD"/>
    <w:rsid w:val="00CE5110"/>
    <w:rsid w:val="00CF3157"/>
    <w:rsid w:val="00CF3982"/>
    <w:rsid w:val="00CF698C"/>
    <w:rsid w:val="00D00F2C"/>
    <w:rsid w:val="00D02552"/>
    <w:rsid w:val="00D03B76"/>
    <w:rsid w:val="00D24AD3"/>
    <w:rsid w:val="00D309B9"/>
    <w:rsid w:val="00D33371"/>
    <w:rsid w:val="00D33DD3"/>
    <w:rsid w:val="00D3401E"/>
    <w:rsid w:val="00D34692"/>
    <w:rsid w:val="00D35F35"/>
    <w:rsid w:val="00D401DB"/>
    <w:rsid w:val="00D42D78"/>
    <w:rsid w:val="00D45972"/>
    <w:rsid w:val="00D4727C"/>
    <w:rsid w:val="00D54F64"/>
    <w:rsid w:val="00D63663"/>
    <w:rsid w:val="00D651A9"/>
    <w:rsid w:val="00D674C6"/>
    <w:rsid w:val="00D67A67"/>
    <w:rsid w:val="00D730C6"/>
    <w:rsid w:val="00D73A59"/>
    <w:rsid w:val="00D76640"/>
    <w:rsid w:val="00D773E9"/>
    <w:rsid w:val="00D822FD"/>
    <w:rsid w:val="00D84689"/>
    <w:rsid w:val="00D8774D"/>
    <w:rsid w:val="00D87DCC"/>
    <w:rsid w:val="00D906F9"/>
    <w:rsid w:val="00D91140"/>
    <w:rsid w:val="00D95289"/>
    <w:rsid w:val="00D97825"/>
    <w:rsid w:val="00DA2818"/>
    <w:rsid w:val="00DA48F7"/>
    <w:rsid w:val="00DA4C4D"/>
    <w:rsid w:val="00DB2439"/>
    <w:rsid w:val="00DB38FA"/>
    <w:rsid w:val="00DB4955"/>
    <w:rsid w:val="00DC4241"/>
    <w:rsid w:val="00DC4BDA"/>
    <w:rsid w:val="00DC5BEF"/>
    <w:rsid w:val="00DC67EF"/>
    <w:rsid w:val="00DE049F"/>
    <w:rsid w:val="00DE2836"/>
    <w:rsid w:val="00DE5202"/>
    <w:rsid w:val="00DF0AE8"/>
    <w:rsid w:val="00DF2983"/>
    <w:rsid w:val="00DF2FF2"/>
    <w:rsid w:val="00DF551A"/>
    <w:rsid w:val="00DF79CB"/>
    <w:rsid w:val="00DF7CDE"/>
    <w:rsid w:val="00E00FAF"/>
    <w:rsid w:val="00E14AA6"/>
    <w:rsid w:val="00E17669"/>
    <w:rsid w:val="00E17A21"/>
    <w:rsid w:val="00E212BC"/>
    <w:rsid w:val="00E245D1"/>
    <w:rsid w:val="00E251C2"/>
    <w:rsid w:val="00E26361"/>
    <w:rsid w:val="00E30BA4"/>
    <w:rsid w:val="00E31034"/>
    <w:rsid w:val="00E37D1D"/>
    <w:rsid w:val="00E420A8"/>
    <w:rsid w:val="00E43914"/>
    <w:rsid w:val="00E457BE"/>
    <w:rsid w:val="00E463EA"/>
    <w:rsid w:val="00E47837"/>
    <w:rsid w:val="00E52F42"/>
    <w:rsid w:val="00E624BF"/>
    <w:rsid w:val="00E625CB"/>
    <w:rsid w:val="00E62E54"/>
    <w:rsid w:val="00E646B3"/>
    <w:rsid w:val="00E6586C"/>
    <w:rsid w:val="00E67247"/>
    <w:rsid w:val="00E67374"/>
    <w:rsid w:val="00E766AB"/>
    <w:rsid w:val="00E77B54"/>
    <w:rsid w:val="00E81196"/>
    <w:rsid w:val="00E902E3"/>
    <w:rsid w:val="00E903A7"/>
    <w:rsid w:val="00E94CFB"/>
    <w:rsid w:val="00EA13EB"/>
    <w:rsid w:val="00EA1DEE"/>
    <w:rsid w:val="00EA40A9"/>
    <w:rsid w:val="00EA4718"/>
    <w:rsid w:val="00EA6DC2"/>
    <w:rsid w:val="00EB009D"/>
    <w:rsid w:val="00EB0858"/>
    <w:rsid w:val="00EB5A99"/>
    <w:rsid w:val="00EC1C89"/>
    <w:rsid w:val="00EC41B9"/>
    <w:rsid w:val="00EC4430"/>
    <w:rsid w:val="00EC4B3E"/>
    <w:rsid w:val="00EC79D8"/>
    <w:rsid w:val="00EC7B5D"/>
    <w:rsid w:val="00ED1629"/>
    <w:rsid w:val="00ED5410"/>
    <w:rsid w:val="00EE0108"/>
    <w:rsid w:val="00EF117E"/>
    <w:rsid w:val="00EF260A"/>
    <w:rsid w:val="00F05010"/>
    <w:rsid w:val="00F070A4"/>
    <w:rsid w:val="00F10E48"/>
    <w:rsid w:val="00F114C5"/>
    <w:rsid w:val="00F246F7"/>
    <w:rsid w:val="00F37B21"/>
    <w:rsid w:val="00F47F4B"/>
    <w:rsid w:val="00F5429F"/>
    <w:rsid w:val="00F55453"/>
    <w:rsid w:val="00F56F27"/>
    <w:rsid w:val="00F63ECB"/>
    <w:rsid w:val="00F64816"/>
    <w:rsid w:val="00F66777"/>
    <w:rsid w:val="00F72752"/>
    <w:rsid w:val="00F752B4"/>
    <w:rsid w:val="00F7731B"/>
    <w:rsid w:val="00F84545"/>
    <w:rsid w:val="00F8609F"/>
    <w:rsid w:val="00F877CA"/>
    <w:rsid w:val="00F91DB1"/>
    <w:rsid w:val="00FA0B06"/>
    <w:rsid w:val="00FA107E"/>
    <w:rsid w:val="00FB02D4"/>
    <w:rsid w:val="00FB4D04"/>
    <w:rsid w:val="00FC3D44"/>
    <w:rsid w:val="00FC4347"/>
    <w:rsid w:val="00FC5968"/>
    <w:rsid w:val="00FD743E"/>
    <w:rsid w:val="00FE2808"/>
    <w:rsid w:val="00FE7112"/>
    <w:rsid w:val="00FF020E"/>
    <w:rsid w:val="00FF051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8"/>
        <w:szCs w:val="28"/>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86C"/>
  </w:style>
  <w:style w:type="paragraph" w:styleId="Titre1">
    <w:name w:val="heading 1"/>
    <w:basedOn w:val="Normal"/>
    <w:next w:val="Normal"/>
    <w:link w:val="Titre1Car"/>
    <w:uiPriority w:val="9"/>
    <w:qFormat/>
    <w:rsid w:val="00C87D49"/>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Titre2">
    <w:name w:val="heading 2"/>
    <w:basedOn w:val="Normal"/>
    <w:next w:val="Normal"/>
    <w:link w:val="Titre2Car"/>
    <w:uiPriority w:val="9"/>
    <w:unhideWhenUsed/>
    <w:qFormat/>
    <w:rsid w:val="00C87D49"/>
    <w:pPr>
      <w:keepNext/>
      <w:keepLines/>
      <w:spacing w:before="40" w:after="0"/>
      <w:outlineLvl w:val="1"/>
    </w:pPr>
    <w:rPr>
      <w:rFonts w:asciiTheme="majorHAnsi" w:eastAsiaTheme="majorEastAsia" w:hAnsiTheme="majorHAnsi"/>
      <w:color w:val="2F5496" w:themeColor="accent1" w:themeShade="BF"/>
      <w:sz w:val="26"/>
      <w:szCs w:val="26"/>
    </w:rPr>
  </w:style>
  <w:style w:type="paragraph" w:styleId="Titre3">
    <w:name w:val="heading 3"/>
    <w:basedOn w:val="Normal"/>
    <w:next w:val="Normal"/>
    <w:link w:val="Titre3Car"/>
    <w:uiPriority w:val="9"/>
    <w:unhideWhenUsed/>
    <w:qFormat/>
    <w:rsid w:val="00C87D49"/>
    <w:pPr>
      <w:keepNext/>
      <w:keepLines/>
      <w:spacing w:before="40" w:after="0"/>
      <w:outlineLvl w:val="2"/>
    </w:pPr>
    <w:rPr>
      <w:rFonts w:asciiTheme="majorHAnsi" w:eastAsiaTheme="majorEastAsia" w:hAnsiTheme="majorHAnsi"/>
      <w:color w:val="1F3763" w:themeColor="accent1" w:themeShade="7F"/>
      <w:sz w:val="24"/>
      <w:szCs w:val="24"/>
    </w:rPr>
  </w:style>
  <w:style w:type="paragraph" w:styleId="Titre4">
    <w:name w:val="heading 4"/>
    <w:basedOn w:val="Normal"/>
    <w:next w:val="Normal"/>
    <w:link w:val="Titre4Car"/>
    <w:uiPriority w:val="9"/>
    <w:unhideWhenUsed/>
    <w:qFormat/>
    <w:rsid w:val="00C87D49"/>
    <w:pPr>
      <w:keepNext/>
      <w:keepLines/>
      <w:spacing w:before="40" w:after="0"/>
      <w:outlineLvl w:val="3"/>
    </w:pPr>
    <w:rPr>
      <w:rFonts w:asciiTheme="majorHAnsi" w:eastAsiaTheme="majorEastAsia" w:hAnsiTheme="majorHAnsi"/>
      <w:i/>
      <w:iCs/>
      <w:color w:val="2F5496" w:themeColor="accent1" w:themeShade="BF"/>
    </w:rPr>
  </w:style>
  <w:style w:type="paragraph" w:styleId="Titre5">
    <w:name w:val="heading 5"/>
    <w:basedOn w:val="Normal"/>
    <w:next w:val="Normal"/>
    <w:link w:val="Titre5Car"/>
    <w:uiPriority w:val="9"/>
    <w:unhideWhenUsed/>
    <w:qFormat/>
    <w:rsid w:val="00C87D49"/>
    <w:pPr>
      <w:keepNext/>
      <w:keepLines/>
      <w:spacing w:before="40" w:after="0"/>
      <w:outlineLvl w:val="4"/>
    </w:pPr>
    <w:rPr>
      <w:rFonts w:asciiTheme="majorHAnsi" w:eastAsiaTheme="majorEastAsia" w:hAnsiTheme="majorHAns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87D49"/>
    <w:pPr>
      <w:spacing w:after="0" w:line="240" w:lineRule="auto"/>
      <w:contextualSpacing/>
    </w:pPr>
    <w:rPr>
      <w:rFonts w:asciiTheme="majorHAnsi" w:eastAsiaTheme="majorEastAsia" w:hAnsiTheme="majorHAnsi"/>
      <w:spacing w:val="-10"/>
      <w:kern w:val="28"/>
      <w:sz w:val="56"/>
      <w:szCs w:val="56"/>
    </w:rPr>
  </w:style>
  <w:style w:type="character" w:customStyle="1" w:styleId="TitreCar">
    <w:name w:val="Titre Car"/>
    <w:basedOn w:val="Policepardfaut"/>
    <w:link w:val="Titre"/>
    <w:uiPriority w:val="10"/>
    <w:rsid w:val="00C87D49"/>
    <w:rPr>
      <w:rFonts w:asciiTheme="majorHAnsi" w:eastAsiaTheme="majorEastAsia" w:hAnsiTheme="majorHAnsi"/>
      <w:spacing w:val="-10"/>
      <w:kern w:val="28"/>
      <w:sz w:val="56"/>
      <w:szCs w:val="56"/>
    </w:rPr>
  </w:style>
  <w:style w:type="paragraph" w:customStyle="1" w:styleId="MMTitle">
    <w:name w:val="MM Title"/>
    <w:basedOn w:val="Titre"/>
    <w:link w:val="MMTitleCar"/>
    <w:rsid w:val="00C87D49"/>
  </w:style>
  <w:style w:type="character" w:customStyle="1" w:styleId="MMTitleCar">
    <w:name w:val="MM Title Car"/>
    <w:basedOn w:val="TitreCar"/>
    <w:link w:val="MMTitle"/>
    <w:rsid w:val="00C87D49"/>
    <w:rPr>
      <w:rFonts w:asciiTheme="majorHAnsi" w:eastAsiaTheme="majorEastAsia" w:hAnsiTheme="majorHAnsi"/>
      <w:spacing w:val="-10"/>
      <w:kern w:val="28"/>
      <w:sz w:val="56"/>
      <w:szCs w:val="56"/>
    </w:rPr>
  </w:style>
  <w:style w:type="character" w:customStyle="1" w:styleId="Titre1Car">
    <w:name w:val="Titre 1 Car"/>
    <w:basedOn w:val="Policepardfaut"/>
    <w:link w:val="Titre1"/>
    <w:uiPriority w:val="9"/>
    <w:rsid w:val="00C87D49"/>
    <w:rPr>
      <w:rFonts w:asciiTheme="majorHAnsi" w:eastAsiaTheme="majorEastAsia" w:hAnsiTheme="majorHAnsi"/>
      <w:color w:val="2F5496" w:themeColor="accent1" w:themeShade="BF"/>
      <w:sz w:val="32"/>
      <w:szCs w:val="32"/>
    </w:rPr>
  </w:style>
  <w:style w:type="paragraph" w:customStyle="1" w:styleId="MMTopic1">
    <w:name w:val="MM Topic 1"/>
    <w:basedOn w:val="Titre1"/>
    <w:link w:val="MMTopic1Car"/>
    <w:rsid w:val="00C87D49"/>
    <w:pPr>
      <w:numPr>
        <w:numId w:val="1"/>
      </w:numPr>
    </w:pPr>
  </w:style>
  <w:style w:type="character" w:customStyle="1" w:styleId="MMTopic1Car">
    <w:name w:val="MM Topic 1 Car"/>
    <w:basedOn w:val="Titre1Car"/>
    <w:link w:val="MMTopic1"/>
    <w:rsid w:val="00C87D49"/>
    <w:rPr>
      <w:rFonts w:asciiTheme="majorHAnsi" w:eastAsiaTheme="majorEastAsia" w:hAnsiTheme="majorHAnsi"/>
      <w:color w:val="2F5496" w:themeColor="accent1" w:themeShade="BF"/>
      <w:sz w:val="32"/>
      <w:szCs w:val="32"/>
    </w:rPr>
  </w:style>
  <w:style w:type="character" w:customStyle="1" w:styleId="Titre2Car">
    <w:name w:val="Titre 2 Car"/>
    <w:basedOn w:val="Policepardfaut"/>
    <w:link w:val="Titre2"/>
    <w:uiPriority w:val="9"/>
    <w:rsid w:val="00C87D49"/>
    <w:rPr>
      <w:rFonts w:asciiTheme="majorHAnsi" w:eastAsiaTheme="majorEastAsia" w:hAnsiTheme="majorHAnsi"/>
      <w:color w:val="2F5496" w:themeColor="accent1" w:themeShade="BF"/>
      <w:sz w:val="26"/>
      <w:szCs w:val="26"/>
    </w:rPr>
  </w:style>
  <w:style w:type="paragraph" w:customStyle="1" w:styleId="MMTopic2">
    <w:name w:val="MM Topic 2"/>
    <w:basedOn w:val="Titre2"/>
    <w:link w:val="MMTopic2Car"/>
    <w:rsid w:val="00C87D49"/>
    <w:pPr>
      <w:numPr>
        <w:ilvl w:val="1"/>
        <w:numId w:val="1"/>
      </w:numPr>
    </w:pPr>
  </w:style>
  <w:style w:type="character" w:customStyle="1" w:styleId="MMTopic2Car">
    <w:name w:val="MM Topic 2 Car"/>
    <w:basedOn w:val="Titre2Car"/>
    <w:link w:val="MMTopic2"/>
    <w:rsid w:val="00C87D49"/>
    <w:rPr>
      <w:rFonts w:asciiTheme="majorHAnsi" w:eastAsiaTheme="majorEastAsia" w:hAnsiTheme="majorHAnsi"/>
      <w:color w:val="2F5496" w:themeColor="accent1" w:themeShade="BF"/>
      <w:sz w:val="26"/>
      <w:szCs w:val="26"/>
    </w:rPr>
  </w:style>
  <w:style w:type="character" w:customStyle="1" w:styleId="Titre3Car">
    <w:name w:val="Titre 3 Car"/>
    <w:basedOn w:val="Policepardfaut"/>
    <w:link w:val="Titre3"/>
    <w:uiPriority w:val="9"/>
    <w:rsid w:val="00C87D49"/>
    <w:rPr>
      <w:rFonts w:asciiTheme="majorHAnsi" w:eastAsiaTheme="majorEastAsia" w:hAnsiTheme="majorHAnsi"/>
      <w:color w:val="1F3763" w:themeColor="accent1" w:themeShade="7F"/>
      <w:sz w:val="24"/>
      <w:szCs w:val="24"/>
    </w:rPr>
  </w:style>
  <w:style w:type="paragraph" w:customStyle="1" w:styleId="MMTopic3">
    <w:name w:val="MM Topic 3"/>
    <w:basedOn w:val="Titre3"/>
    <w:link w:val="MMTopic3Car"/>
    <w:rsid w:val="00C87D49"/>
    <w:pPr>
      <w:numPr>
        <w:ilvl w:val="2"/>
        <w:numId w:val="1"/>
      </w:numPr>
      <w:ind w:left="360"/>
    </w:pPr>
  </w:style>
  <w:style w:type="character" w:customStyle="1" w:styleId="MMTopic3Car">
    <w:name w:val="MM Topic 3 Car"/>
    <w:basedOn w:val="Titre3Car"/>
    <w:link w:val="MMTopic3"/>
    <w:rsid w:val="00C87D49"/>
    <w:rPr>
      <w:rFonts w:asciiTheme="majorHAnsi" w:eastAsiaTheme="majorEastAsia" w:hAnsiTheme="majorHAnsi"/>
      <w:color w:val="1F3763" w:themeColor="accent1" w:themeShade="7F"/>
      <w:sz w:val="24"/>
      <w:szCs w:val="24"/>
    </w:rPr>
  </w:style>
  <w:style w:type="character" w:customStyle="1" w:styleId="Titre4Car">
    <w:name w:val="Titre 4 Car"/>
    <w:basedOn w:val="Policepardfaut"/>
    <w:link w:val="Titre4"/>
    <w:uiPriority w:val="9"/>
    <w:rsid w:val="00C87D49"/>
    <w:rPr>
      <w:rFonts w:asciiTheme="majorHAnsi" w:eastAsiaTheme="majorEastAsia" w:hAnsiTheme="majorHAnsi"/>
      <w:i/>
      <w:iCs/>
      <w:color w:val="2F5496" w:themeColor="accent1" w:themeShade="BF"/>
    </w:rPr>
  </w:style>
  <w:style w:type="paragraph" w:customStyle="1" w:styleId="MMTopic4">
    <w:name w:val="MM Topic 4"/>
    <w:basedOn w:val="Titre4"/>
    <w:link w:val="MMTopic4Car"/>
    <w:rsid w:val="00C87D49"/>
    <w:pPr>
      <w:numPr>
        <w:ilvl w:val="3"/>
        <w:numId w:val="1"/>
      </w:numPr>
      <w:ind w:left="540"/>
    </w:pPr>
  </w:style>
  <w:style w:type="character" w:customStyle="1" w:styleId="MMTopic4Car">
    <w:name w:val="MM Topic 4 Car"/>
    <w:basedOn w:val="Titre4Car"/>
    <w:link w:val="MMTopic4"/>
    <w:rsid w:val="00C87D49"/>
    <w:rPr>
      <w:rFonts w:asciiTheme="majorHAnsi" w:eastAsiaTheme="majorEastAsia" w:hAnsiTheme="majorHAnsi"/>
      <w:i/>
      <w:iCs/>
      <w:color w:val="2F5496" w:themeColor="accent1" w:themeShade="BF"/>
    </w:rPr>
  </w:style>
  <w:style w:type="character" w:customStyle="1" w:styleId="Titre5Car">
    <w:name w:val="Titre 5 Car"/>
    <w:basedOn w:val="Policepardfaut"/>
    <w:link w:val="Titre5"/>
    <w:uiPriority w:val="9"/>
    <w:rsid w:val="00C87D49"/>
    <w:rPr>
      <w:rFonts w:asciiTheme="majorHAnsi" w:eastAsiaTheme="majorEastAsia" w:hAnsiTheme="majorHAnsi"/>
      <w:color w:val="2F5496" w:themeColor="accent1" w:themeShade="BF"/>
    </w:rPr>
  </w:style>
  <w:style w:type="paragraph" w:customStyle="1" w:styleId="MMTopic5">
    <w:name w:val="MM Topic 5"/>
    <w:basedOn w:val="Titre5"/>
    <w:link w:val="MMTopic5Car"/>
    <w:rsid w:val="00C87D49"/>
    <w:pPr>
      <w:numPr>
        <w:ilvl w:val="4"/>
        <w:numId w:val="1"/>
      </w:numPr>
      <w:ind w:left="720"/>
    </w:pPr>
  </w:style>
  <w:style w:type="character" w:customStyle="1" w:styleId="MMTopic5Car">
    <w:name w:val="MM Topic 5 Car"/>
    <w:basedOn w:val="Titre5Car"/>
    <w:link w:val="MMTopic5"/>
    <w:rsid w:val="00C87D49"/>
    <w:rPr>
      <w:rFonts w:asciiTheme="majorHAnsi" w:eastAsiaTheme="majorEastAsia" w:hAnsiTheme="majorHAnsi"/>
      <w:color w:val="2F5496" w:themeColor="accent1" w:themeShade="BF"/>
    </w:rPr>
  </w:style>
  <w:style w:type="paragraph" w:customStyle="1" w:styleId="MMEmpty">
    <w:name w:val="MM Empty"/>
    <w:basedOn w:val="Normal"/>
    <w:link w:val="MMEmptyCar"/>
    <w:rsid w:val="00C87D49"/>
  </w:style>
  <w:style w:type="character" w:customStyle="1" w:styleId="MMEmptyCar">
    <w:name w:val="MM Empty Car"/>
    <w:basedOn w:val="Policepardfaut"/>
    <w:link w:val="MMEmpty"/>
    <w:rsid w:val="00C87D49"/>
  </w:style>
  <w:style w:type="paragraph" w:styleId="Textedebulles">
    <w:name w:val="Balloon Text"/>
    <w:basedOn w:val="Normal"/>
    <w:link w:val="TextedebullesCar"/>
    <w:uiPriority w:val="99"/>
    <w:semiHidden/>
    <w:unhideWhenUsed/>
    <w:rsid w:val="00CE1C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1CCD"/>
    <w:rPr>
      <w:rFonts w:ascii="Tahoma" w:hAnsi="Tahoma" w:cs="Tahoma"/>
      <w:sz w:val="16"/>
      <w:szCs w:val="16"/>
    </w:rPr>
  </w:style>
  <w:style w:type="paragraph" w:styleId="Paragraphedeliste">
    <w:name w:val="List Paragraph"/>
    <w:basedOn w:val="Normal"/>
    <w:uiPriority w:val="34"/>
    <w:qFormat/>
    <w:rsid w:val="00964928"/>
    <w:pPr>
      <w:ind w:left="720"/>
      <w:contextualSpacing/>
    </w:pPr>
  </w:style>
  <w:style w:type="paragraph" w:styleId="Notedebasdepage">
    <w:name w:val="footnote text"/>
    <w:basedOn w:val="Normal"/>
    <w:link w:val="NotedebasdepageCar"/>
    <w:uiPriority w:val="99"/>
    <w:semiHidden/>
    <w:rsid w:val="00647547"/>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647547"/>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647547"/>
    <w:rPr>
      <w:vertAlign w:val="superscript"/>
    </w:rPr>
  </w:style>
  <w:style w:type="paragraph" w:styleId="Corpsdetexte">
    <w:name w:val="Body Text"/>
    <w:basedOn w:val="Normal"/>
    <w:link w:val="CorpsdetexteCar"/>
    <w:uiPriority w:val="99"/>
    <w:semiHidden/>
    <w:unhideWhenUsed/>
    <w:rsid w:val="00647547"/>
    <w:pPr>
      <w:bidi/>
      <w:spacing w:after="120" w:line="240" w:lineRule="auto"/>
    </w:pPr>
    <w:rPr>
      <w:rFonts w:ascii="Times New Roman" w:eastAsia="Times New Roman" w:hAnsi="Times New Roman" w:cs="Traditional Arabic"/>
      <w:noProof/>
      <w:sz w:val="20"/>
      <w:szCs w:val="20"/>
      <w:lang w:eastAsia="fr-FR"/>
    </w:rPr>
  </w:style>
  <w:style w:type="character" w:customStyle="1" w:styleId="CorpsdetexteCar">
    <w:name w:val="Corps de texte Car"/>
    <w:basedOn w:val="Policepardfaut"/>
    <w:link w:val="Corpsdetexte"/>
    <w:uiPriority w:val="99"/>
    <w:semiHidden/>
    <w:rsid w:val="00647547"/>
    <w:rPr>
      <w:rFonts w:ascii="Times New Roman" w:eastAsia="Times New Roman" w:hAnsi="Times New Roman" w:cs="Traditional Arabic"/>
      <w:noProof/>
      <w:sz w:val="20"/>
      <w:szCs w:val="20"/>
      <w:lang w:eastAsia="fr-FR"/>
    </w:rPr>
  </w:style>
  <w:style w:type="paragraph" w:styleId="En-tte">
    <w:name w:val="header"/>
    <w:basedOn w:val="Normal"/>
    <w:link w:val="En-tteCar"/>
    <w:uiPriority w:val="99"/>
    <w:semiHidden/>
    <w:unhideWhenUsed/>
    <w:rsid w:val="007B5D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B5DE3"/>
  </w:style>
  <w:style w:type="paragraph" w:styleId="Pieddepage">
    <w:name w:val="footer"/>
    <w:basedOn w:val="Normal"/>
    <w:link w:val="PieddepageCar"/>
    <w:uiPriority w:val="99"/>
    <w:unhideWhenUsed/>
    <w:rsid w:val="007B5D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5DE3"/>
  </w:style>
  <w:style w:type="paragraph" w:styleId="Corpsdetexte2">
    <w:name w:val="Body Text 2"/>
    <w:basedOn w:val="Normal"/>
    <w:link w:val="Corpsdetexte2Car"/>
    <w:uiPriority w:val="99"/>
    <w:semiHidden/>
    <w:unhideWhenUsed/>
    <w:rsid w:val="00AC1405"/>
    <w:pPr>
      <w:spacing w:after="120" w:line="480" w:lineRule="auto"/>
    </w:pPr>
  </w:style>
  <w:style w:type="character" w:customStyle="1" w:styleId="Corpsdetexte2Car">
    <w:name w:val="Corps de texte 2 Car"/>
    <w:basedOn w:val="Policepardfaut"/>
    <w:link w:val="Corpsdetexte2"/>
    <w:uiPriority w:val="99"/>
    <w:semiHidden/>
    <w:rsid w:val="00AC1405"/>
  </w:style>
  <w:style w:type="character" w:styleId="lev">
    <w:name w:val="Strong"/>
    <w:basedOn w:val="Policepardfaut"/>
    <w:uiPriority w:val="22"/>
    <w:qFormat/>
    <w:rsid w:val="00675AD5"/>
    <w:rPr>
      <w:b/>
      <w:bCs/>
    </w:rPr>
  </w:style>
</w:styles>
</file>

<file path=word/webSettings.xml><?xml version="1.0" encoding="utf-8"?>
<w:webSettings xmlns:r="http://schemas.openxmlformats.org/officeDocument/2006/relationships" xmlns:w="http://schemas.openxmlformats.org/wordprocessingml/2006/main">
  <w:divs>
    <w:div w:id="81420659">
      <w:bodyDiv w:val="1"/>
      <w:marLeft w:val="0"/>
      <w:marRight w:val="0"/>
      <w:marTop w:val="0"/>
      <w:marBottom w:val="0"/>
      <w:divBdr>
        <w:top w:val="none" w:sz="0" w:space="0" w:color="auto"/>
        <w:left w:val="none" w:sz="0" w:space="0" w:color="auto"/>
        <w:bottom w:val="none" w:sz="0" w:space="0" w:color="auto"/>
        <w:right w:val="none" w:sz="0" w:space="0" w:color="auto"/>
      </w:divBdr>
    </w:div>
    <w:div w:id="243608864">
      <w:bodyDiv w:val="1"/>
      <w:marLeft w:val="0"/>
      <w:marRight w:val="0"/>
      <w:marTop w:val="0"/>
      <w:marBottom w:val="0"/>
      <w:divBdr>
        <w:top w:val="none" w:sz="0" w:space="0" w:color="auto"/>
        <w:left w:val="none" w:sz="0" w:space="0" w:color="auto"/>
        <w:bottom w:val="none" w:sz="0" w:space="0" w:color="auto"/>
        <w:right w:val="none" w:sz="0" w:space="0" w:color="auto"/>
      </w:divBdr>
    </w:div>
    <w:div w:id="272251103">
      <w:bodyDiv w:val="1"/>
      <w:marLeft w:val="0"/>
      <w:marRight w:val="0"/>
      <w:marTop w:val="0"/>
      <w:marBottom w:val="0"/>
      <w:divBdr>
        <w:top w:val="none" w:sz="0" w:space="0" w:color="auto"/>
        <w:left w:val="none" w:sz="0" w:space="0" w:color="auto"/>
        <w:bottom w:val="none" w:sz="0" w:space="0" w:color="auto"/>
        <w:right w:val="none" w:sz="0" w:space="0" w:color="auto"/>
      </w:divBdr>
    </w:div>
    <w:div w:id="884558524">
      <w:bodyDiv w:val="1"/>
      <w:marLeft w:val="0"/>
      <w:marRight w:val="0"/>
      <w:marTop w:val="0"/>
      <w:marBottom w:val="0"/>
      <w:divBdr>
        <w:top w:val="none" w:sz="0" w:space="0" w:color="auto"/>
        <w:left w:val="none" w:sz="0" w:space="0" w:color="auto"/>
        <w:bottom w:val="none" w:sz="0" w:space="0" w:color="auto"/>
        <w:right w:val="none" w:sz="0" w:space="0" w:color="auto"/>
      </w:divBdr>
    </w:div>
    <w:div w:id="910702174">
      <w:bodyDiv w:val="1"/>
      <w:marLeft w:val="0"/>
      <w:marRight w:val="0"/>
      <w:marTop w:val="0"/>
      <w:marBottom w:val="0"/>
      <w:divBdr>
        <w:top w:val="none" w:sz="0" w:space="0" w:color="auto"/>
        <w:left w:val="none" w:sz="0" w:space="0" w:color="auto"/>
        <w:bottom w:val="none" w:sz="0" w:space="0" w:color="auto"/>
        <w:right w:val="none" w:sz="0" w:space="0" w:color="auto"/>
      </w:divBdr>
    </w:div>
    <w:div w:id="974532332">
      <w:bodyDiv w:val="1"/>
      <w:marLeft w:val="0"/>
      <w:marRight w:val="0"/>
      <w:marTop w:val="0"/>
      <w:marBottom w:val="0"/>
      <w:divBdr>
        <w:top w:val="none" w:sz="0" w:space="0" w:color="auto"/>
        <w:left w:val="none" w:sz="0" w:space="0" w:color="auto"/>
        <w:bottom w:val="none" w:sz="0" w:space="0" w:color="auto"/>
        <w:right w:val="none" w:sz="0" w:space="0" w:color="auto"/>
      </w:divBdr>
    </w:div>
    <w:div w:id="1076635915">
      <w:bodyDiv w:val="1"/>
      <w:marLeft w:val="0"/>
      <w:marRight w:val="0"/>
      <w:marTop w:val="0"/>
      <w:marBottom w:val="0"/>
      <w:divBdr>
        <w:top w:val="none" w:sz="0" w:space="0" w:color="auto"/>
        <w:left w:val="none" w:sz="0" w:space="0" w:color="auto"/>
        <w:bottom w:val="none" w:sz="0" w:space="0" w:color="auto"/>
        <w:right w:val="none" w:sz="0" w:space="0" w:color="auto"/>
      </w:divBdr>
    </w:div>
    <w:div w:id="1077823629">
      <w:bodyDiv w:val="1"/>
      <w:marLeft w:val="0"/>
      <w:marRight w:val="0"/>
      <w:marTop w:val="0"/>
      <w:marBottom w:val="0"/>
      <w:divBdr>
        <w:top w:val="none" w:sz="0" w:space="0" w:color="auto"/>
        <w:left w:val="none" w:sz="0" w:space="0" w:color="auto"/>
        <w:bottom w:val="none" w:sz="0" w:space="0" w:color="auto"/>
        <w:right w:val="none" w:sz="0" w:space="0" w:color="auto"/>
      </w:divBdr>
    </w:div>
    <w:div w:id="1148789630">
      <w:bodyDiv w:val="1"/>
      <w:marLeft w:val="0"/>
      <w:marRight w:val="0"/>
      <w:marTop w:val="0"/>
      <w:marBottom w:val="0"/>
      <w:divBdr>
        <w:top w:val="none" w:sz="0" w:space="0" w:color="auto"/>
        <w:left w:val="none" w:sz="0" w:space="0" w:color="auto"/>
        <w:bottom w:val="none" w:sz="0" w:space="0" w:color="auto"/>
        <w:right w:val="none" w:sz="0" w:space="0" w:color="auto"/>
      </w:divBdr>
    </w:div>
    <w:div w:id="1326202721">
      <w:bodyDiv w:val="1"/>
      <w:marLeft w:val="0"/>
      <w:marRight w:val="0"/>
      <w:marTop w:val="0"/>
      <w:marBottom w:val="0"/>
      <w:divBdr>
        <w:top w:val="none" w:sz="0" w:space="0" w:color="auto"/>
        <w:left w:val="none" w:sz="0" w:space="0" w:color="auto"/>
        <w:bottom w:val="none" w:sz="0" w:space="0" w:color="auto"/>
        <w:right w:val="none" w:sz="0" w:space="0" w:color="auto"/>
      </w:divBdr>
    </w:div>
    <w:div w:id="1419591840">
      <w:bodyDiv w:val="1"/>
      <w:marLeft w:val="0"/>
      <w:marRight w:val="0"/>
      <w:marTop w:val="0"/>
      <w:marBottom w:val="0"/>
      <w:divBdr>
        <w:top w:val="none" w:sz="0" w:space="0" w:color="auto"/>
        <w:left w:val="none" w:sz="0" w:space="0" w:color="auto"/>
        <w:bottom w:val="none" w:sz="0" w:space="0" w:color="auto"/>
        <w:right w:val="none" w:sz="0" w:space="0" w:color="auto"/>
      </w:divBdr>
    </w:div>
    <w:div w:id="1681813600">
      <w:bodyDiv w:val="1"/>
      <w:marLeft w:val="0"/>
      <w:marRight w:val="0"/>
      <w:marTop w:val="0"/>
      <w:marBottom w:val="0"/>
      <w:divBdr>
        <w:top w:val="none" w:sz="0" w:space="0" w:color="auto"/>
        <w:left w:val="none" w:sz="0" w:space="0" w:color="auto"/>
        <w:bottom w:val="none" w:sz="0" w:space="0" w:color="auto"/>
        <w:right w:val="none" w:sz="0" w:space="0" w:color="auto"/>
      </w:divBdr>
    </w:div>
    <w:div w:id="189762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hcp.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Classeur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lasseur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Classeur2"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Classeur2"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Classeur2"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Classeur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2.2345049795711634E-2"/>
          <c:y val="0.13225679426974007"/>
          <c:w val="0.95530990040858155"/>
          <c:h val="0.67031381699487147"/>
        </c:manualLayout>
      </c:layout>
      <c:barChart>
        <c:barDir val="col"/>
        <c:grouping val="clustered"/>
        <c:ser>
          <c:idx val="0"/>
          <c:order val="0"/>
          <c:tx>
            <c:strRef>
              <c:f>Feuil1!$B$46</c:f>
              <c:strCache>
                <c:ptCount val="1"/>
                <c:pt idx="0">
                  <c:v>Urbain</c:v>
                </c:pt>
              </c:strCache>
            </c:strRef>
          </c:tx>
          <c:dLbls>
            <c:showVal val="1"/>
          </c:dLbls>
          <c:cat>
            <c:strRef>
              <c:f>Feuil1!$A$47:$A$50</c:f>
              <c:strCache>
                <c:ptCount val="4"/>
                <c:pt idx="0">
                  <c:v>Agriculture, forêt et  pêche</c:v>
                </c:pt>
                <c:pt idx="1">
                  <c:v>Industrie (y compris artisanat)</c:v>
                </c:pt>
                <c:pt idx="2">
                  <c:v>BTP</c:v>
                </c:pt>
                <c:pt idx="3">
                  <c:v>Services</c:v>
                </c:pt>
              </c:strCache>
            </c:strRef>
          </c:cat>
          <c:val>
            <c:numRef>
              <c:f>Feuil1!$B$47:$B$50</c:f>
              <c:numCache>
                <c:formatCode>_-* #,##0\ _€_-;\-* #,##0\ _€_-;_-* "-"??\ _€_-;_-@_-</c:formatCode>
                <c:ptCount val="4"/>
                <c:pt idx="0">
                  <c:v>-6000</c:v>
                </c:pt>
                <c:pt idx="1">
                  <c:v>38000</c:v>
                </c:pt>
                <c:pt idx="2">
                  <c:v>-51000</c:v>
                </c:pt>
                <c:pt idx="3">
                  <c:v>80000</c:v>
                </c:pt>
              </c:numCache>
            </c:numRef>
          </c:val>
        </c:ser>
        <c:ser>
          <c:idx val="1"/>
          <c:order val="1"/>
          <c:tx>
            <c:strRef>
              <c:f>Feuil1!$C$46</c:f>
              <c:strCache>
                <c:ptCount val="1"/>
                <c:pt idx="0">
                  <c:v>Rural</c:v>
                </c:pt>
              </c:strCache>
            </c:strRef>
          </c:tx>
          <c:dLbls>
            <c:showVal val="1"/>
          </c:dLbls>
          <c:cat>
            <c:strRef>
              <c:f>Feuil1!$A$47:$A$50</c:f>
              <c:strCache>
                <c:ptCount val="4"/>
                <c:pt idx="0">
                  <c:v>Agriculture, forêt et  pêche</c:v>
                </c:pt>
                <c:pt idx="1">
                  <c:v>Industrie (y compris artisanat)</c:v>
                </c:pt>
                <c:pt idx="2">
                  <c:v>BTP</c:v>
                </c:pt>
                <c:pt idx="3">
                  <c:v>Services</c:v>
                </c:pt>
              </c:strCache>
            </c:strRef>
          </c:cat>
          <c:val>
            <c:numRef>
              <c:f>Feuil1!$C$47:$C$50</c:f>
              <c:numCache>
                <c:formatCode>_-* #,##0\ _€_-;\-* #,##0\ _€_-;_-* "-"??\ _€_-;_-@_-</c:formatCode>
                <c:ptCount val="4"/>
                <c:pt idx="0">
                  <c:v>-146000</c:v>
                </c:pt>
                <c:pt idx="1">
                  <c:v>20000</c:v>
                </c:pt>
                <c:pt idx="2">
                  <c:v>15000</c:v>
                </c:pt>
                <c:pt idx="3">
                  <c:v>-31000</c:v>
                </c:pt>
              </c:numCache>
            </c:numRef>
          </c:val>
        </c:ser>
        <c:ser>
          <c:idx val="2"/>
          <c:order val="2"/>
          <c:tx>
            <c:strRef>
              <c:f>Feuil1!$D$46</c:f>
              <c:strCache>
                <c:ptCount val="1"/>
                <c:pt idx="0">
                  <c:v>National</c:v>
                </c:pt>
              </c:strCache>
            </c:strRef>
          </c:tx>
          <c:dLbls>
            <c:showVal val="1"/>
          </c:dLbls>
          <c:cat>
            <c:strRef>
              <c:f>Feuil1!$A$47:$A$50</c:f>
              <c:strCache>
                <c:ptCount val="4"/>
                <c:pt idx="0">
                  <c:v>Agriculture, forêt et  pêche</c:v>
                </c:pt>
                <c:pt idx="1">
                  <c:v>Industrie (y compris artisanat)</c:v>
                </c:pt>
                <c:pt idx="2">
                  <c:v>BTP</c:v>
                </c:pt>
                <c:pt idx="3">
                  <c:v>Services</c:v>
                </c:pt>
              </c:strCache>
            </c:strRef>
          </c:cat>
          <c:val>
            <c:numRef>
              <c:f>Feuil1!$D$47:$D$50</c:f>
              <c:numCache>
                <c:formatCode>_-* #,##0\ _€_-;\-* #,##0\ _€_-;_-* "-"??\ _€_-;_-@_-</c:formatCode>
                <c:ptCount val="4"/>
                <c:pt idx="0">
                  <c:v>-152000</c:v>
                </c:pt>
                <c:pt idx="1">
                  <c:v>58000</c:v>
                </c:pt>
                <c:pt idx="2">
                  <c:v>-35000</c:v>
                </c:pt>
                <c:pt idx="3">
                  <c:v>49000</c:v>
                </c:pt>
              </c:numCache>
            </c:numRef>
          </c:val>
        </c:ser>
        <c:gapWidth val="75"/>
        <c:overlap val="-25"/>
        <c:axId val="104617088"/>
        <c:axId val="104618624"/>
      </c:barChart>
      <c:catAx>
        <c:axId val="104617088"/>
        <c:scaling>
          <c:orientation val="minMax"/>
        </c:scaling>
        <c:axPos val="b"/>
        <c:majorTickMark val="none"/>
        <c:tickLblPos val="low"/>
        <c:crossAx val="104618624"/>
        <c:crosses val="autoZero"/>
        <c:auto val="1"/>
        <c:lblAlgn val="ctr"/>
        <c:lblOffset val="100"/>
      </c:catAx>
      <c:valAx>
        <c:axId val="104618624"/>
        <c:scaling>
          <c:orientation val="minMax"/>
        </c:scaling>
        <c:delete val="1"/>
        <c:axPos val="l"/>
        <c:numFmt formatCode="_-* #,##0\ _€_-;\-* #,##0\ _€_-;_-* &quot;-&quot;??\ _€_-;_-@_-" sourceLinked="1"/>
        <c:majorTickMark val="none"/>
        <c:tickLblPos val="nextTo"/>
        <c:crossAx val="104617088"/>
        <c:crosses val="autoZero"/>
        <c:crossBetween val="between"/>
      </c:valAx>
    </c:plotArea>
    <c:legend>
      <c:legendPos val="b"/>
      <c:layout>
        <c:manualLayout>
          <c:xMode val="edge"/>
          <c:yMode val="edge"/>
          <c:x val="0.28527030377887436"/>
          <c:y val="1.4082165458760685E-2"/>
          <c:w val="0.29749378729763393"/>
          <c:h val="6.3953716660748991E-2"/>
        </c:manualLayout>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Feuil1!$B$83</c:f>
              <c:strCache>
                <c:ptCount val="1"/>
                <c:pt idx="0">
                  <c:v>2023</c:v>
                </c:pt>
              </c:strCache>
            </c:strRef>
          </c:tx>
          <c:dLbls>
            <c:showVal val="1"/>
          </c:dLbls>
          <c:cat>
            <c:strRef>
              <c:f>Feuil1!$A$84:$A$91</c:f>
              <c:strCache>
                <c:ptCount val="8"/>
                <c:pt idx="0">
                  <c:v>Urbain</c:v>
                </c:pt>
                <c:pt idx="1">
                  <c:v>Rural</c:v>
                </c:pt>
                <c:pt idx="2">
                  <c:v>Masculin</c:v>
                </c:pt>
                <c:pt idx="3">
                  <c:v>Féminin</c:v>
                </c:pt>
                <c:pt idx="4">
                  <c:v>15-24 ans</c:v>
                </c:pt>
                <c:pt idx="5">
                  <c:v>25-34 ans</c:v>
                </c:pt>
                <c:pt idx="6">
                  <c:v>Aynat un diplôme</c:v>
                </c:pt>
                <c:pt idx="7">
                  <c:v>National</c:v>
                </c:pt>
              </c:strCache>
            </c:strRef>
          </c:cat>
          <c:val>
            <c:numRef>
              <c:f>Feuil1!$B$84:$B$91</c:f>
              <c:numCache>
                <c:formatCode>0.0</c:formatCode>
                <c:ptCount val="8"/>
                <c:pt idx="0">
                  <c:v>16.3</c:v>
                </c:pt>
                <c:pt idx="1">
                  <c:v>5.7</c:v>
                </c:pt>
                <c:pt idx="2">
                  <c:v>11</c:v>
                </c:pt>
                <c:pt idx="3">
                  <c:v>17</c:v>
                </c:pt>
                <c:pt idx="4">
                  <c:v>33.6</c:v>
                </c:pt>
                <c:pt idx="5">
                  <c:v>19.8</c:v>
                </c:pt>
                <c:pt idx="6">
                  <c:v>19.2</c:v>
                </c:pt>
                <c:pt idx="7">
                  <c:v>12.4</c:v>
                </c:pt>
              </c:numCache>
            </c:numRef>
          </c:val>
        </c:ser>
        <c:ser>
          <c:idx val="1"/>
          <c:order val="1"/>
          <c:tx>
            <c:strRef>
              <c:f>Feuil1!$C$83</c:f>
              <c:strCache>
                <c:ptCount val="1"/>
                <c:pt idx="0">
                  <c:v>2024</c:v>
                </c:pt>
              </c:strCache>
            </c:strRef>
          </c:tx>
          <c:dLbls>
            <c:showVal val="1"/>
          </c:dLbls>
          <c:cat>
            <c:strRef>
              <c:f>Feuil1!$A$84:$A$91</c:f>
              <c:strCache>
                <c:ptCount val="8"/>
                <c:pt idx="0">
                  <c:v>Urbain</c:v>
                </c:pt>
                <c:pt idx="1">
                  <c:v>Rural</c:v>
                </c:pt>
                <c:pt idx="2">
                  <c:v>Masculin</c:v>
                </c:pt>
                <c:pt idx="3">
                  <c:v>Féminin</c:v>
                </c:pt>
                <c:pt idx="4">
                  <c:v>15-24 ans</c:v>
                </c:pt>
                <c:pt idx="5">
                  <c:v>25-34 ans</c:v>
                </c:pt>
                <c:pt idx="6">
                  <c:v>Aynat un diplôme</c:v>
                </c:pt>
                <c:pt idx="7">
                  <c:v>National</c:v>
                </c:pt>
              </c:strCache>
            </c:strRef>
          </c:cat>
          <c:val>
            <c:numRef>
              <c:f>Feuil1!$C$84:$C$91</c:f>
              <c:numCache>
                <c:formatCode>0.0</c:formatCode>
                <c:ptCount val="8"/>
                <c:pt idx="0">
                  <c:v>16.7</c:v>
                </c:pt>
                <c:pt idx="1">
                  <c:v>6.7</c:v>
                </c:pt>
                <c:pt idx="2">
                  <c:v>11.7</c:v>
                </c:pt>
                <c:pt idx="3">
                  <c:v>17.7</c:v>
                </c:pt>
                <c:pt idx="4">
                  <c:v>36.1</c:v>
                </c:pt>
                <c:pt idx="5">
                  <c:v>21.4</c:v>
                </c:pt>
                <c:pt idx="6">
                  <c:v>19.399999999999999</c:v>
                </c:pt>
                <c:pt idx="7">
                  <c:v>13.1</c:v>
                </c:pt>
              </c:numCache>
            </c:numRef>
          </c:val>
        </c:ser>
        <c:gapWidth val="75"/>
        <c:overlap val="-25"/>
        <c:axId val="107138432"/>
        <c:axId val="104465536"/>
      </c:barChart>
      <c:catAx>
        <c:axId val="107138432"/>
        <c:scaling>
          <c:orientation val="minMax"/>
        </c:scaling>
        <c:axPos val="b"/>
        <c:majorTickMark val="none"/>
        <c:tickLblPos val="nextTo"/>
        <c:crossAx val="104465536"/>
        <c:crosses val="autoZero"/>
        <c:auto val="1"/>
        <c:lblAlgn val="ctr"/>
        <c:lblOffset val="100"/>
      </c:catAx>
      <c:valAx>
        <c:axId val="104465536"/>
        <c:scaling>
          <c:orientation val="minMax"/>
        </c:scaling>
        <c:delete val="1"/>
        <c:axPos val="l"/>
        <c:numFmt formatCode="0.0" sourceLinked="1"/>
        <c:majorTickMark val="none"/>
        <c:tickLblPos val="nextTo"/>
        <c:crossAx val="107138432"/>
        <c:crosses val="autoZero"/>
        <c:crossBetween val="between"/>
      </c:valAx>
    </c:plotArea>
    <c:legend>
      <c:legendPos val="b"/>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Feuil1!$B$103</c:f>
              <c:strCache>
                <c:ptCount val="1"/>
                <c:pt idx="0">
                  <c:v>2023</c:v>
                </c:pt>
              </c:strCache>
            </c:strRef>
          </c:tx>
          <c:dLbls>
            <c:showVal val="1"/>
          </c:dLbls>
          <c:cat>
            <c:strRef>
              <c:f>Feuil1!$A$104:$A$110</c:f>
              <c:strCache>
                <c:ptCount val="7"/>
                <c:pt idx="0">
                  <c:v>Urbain</c:v>
                </c:pt>
                <c:pt idx="1">
                  <c:v>Rural</c:v>
                </c:pt>
                <c:pt idx="2">
                  <c:v>Masculin</c:v>
                </c:pt>
                <c:pt idx="3">
                  <c:v>Féminin</c:v>
                </c:pt>
                <c:pt idx="4">
                  <c:v>15-24 ans</c:v>
                </c:pt>
                <c:pt idx="5">
                  <c:v>Aucun diplôme</c:v>
                </c:pt>
                <c:pt idx="6">
                  <c:v>National</c:v>
                </c:pt>
              </c:strCache>
            </c:strRef>
          </c:cat>
          <c:val>
            <c:numRef>
              <c:f>Feuil1!$B$104:$B$110</c:f>
              <c:numCache>
                <c:formatCode>0.0</c:formatCode>
                <c:ptCount val="7"/>
                <c:pt idx="0">
                  <c:v>8.4</c:v>
                </c:pt>
                <c:pt idx="1">
                  <c:v>9.9</c:v>
                </c:pt>
                <c:pt idx="2">
                  <c:v>10.1</c:v>
                </c:pt>
                <c:pt idx="3">
                  <c:v>5</c:v>
                </c:pt>
                <c:pt idx="4">
                  <c:v>13.2</c:v>
                </c:pt>
                <c:pt idx="5">
                  <c:v>8.5</c:v>
                </c:pt>
                <c:pt idx="6">
                  <c:v>9</c:v>
                </c:pt>
              </c:numCache>
            </c:numRef>
          </c:val>
        </c:ser>
        <c:ser>
          <c:idx val="1"/>
          <c:order val="1"/>
          <c:tx>
            <c:strRef>
              <c:f>Feuil1!$C$103</c:f>
              <c:strCache>
                <c:ptCount val="1"/>
                <c:pt idx="0">
                  <c:v>2024</c:v>
                </c:pt>
              </c:strCache>
            </c:strRef>
          </c:tx>
          <c:dLbls>
            <c:showVal val="1"/>
          </c:dLbls>
          <c:cat>
            <c:strRef>
              <c:f>Feuil1!$A$104:$A$110</c:f>
              <c:strCache>
                <c:ptCount val="7"/>
                <c:pt idx="0">
                  <c:v>Urbain</c:v>
                </c:pt>
                <c:pt idx="1">
                  <c:v>Rural</c:v>
                </c:pt>
                <c:pt idx="2">
                  <c:v>Masculin</c:v>
                </c:pt>
                <c:pt idx="3">
                  <c:v>Féminin</c:v>
                </c:pt>
                <c:pt idx="4">
                  <c:v>15-24 ans</c:v>
                </c:pt>
                <c:pt idx="5">
                  <c:v>Aucun diplôme</c:v>
                </c:pt>
                <c:pt idx="6">
                  <c:v>National</c:v>
                </c:pt>
              </c:strCache>
            </c:strRef>
          </c:cat>
          <c:val>
            <c:numRef>
              <c:f>Feuil1!$C$104:$C$110</c:f>
              <c:numCache>
                <c:formatCode>0.0</c:formatCode>
                <c:ptCount val="7"/>
                <c:pt idx="0">
                  <c:v>8.3000000000000007</c:v>
                </c:pt>
                <c:pt idx="1">
                  <c:v>11.6</c:v>
                </c:pt>
                <c:pt idx="2">
                  <c:v>10.7</c:v>
                </c:pt>
                <c:pt idx="3">
                  <c:v>5.7</c:v>
                </c:pt>
                <c:pt idx="4">
                  <c:v>14.9</c:v>
                </c:pt>
                <c:pt idx="5">
                  <c:v>9.7000000000000011</c:v>
                </c:pt>
                <c:pt idx="6">
                  <c:v>9.6</c:v>
                </c:pt>
              </c:numCache>
            </c:numRef>
          </c:val>
        </c:ser>
        <c:gapWidth val="75"/>
        <c:overlap val="-25"/>
        <c:axId val="104490880"/>
        <c:axId val="104492416"/>
      </c:barChart>
      <c:catAx>
        <c:axId val="104490880"/>
        <c:scaling>
          <c:orientation val="minMax"/>
        </c:scaling>
        <c:axPos val="b"/>
        <c:majorTickMark val="none"/>
        <c:tickLblPos val="nextTo"/>
        <c:crossAx val="104492416"/>
        <c:crosses val="autoZero"/>
        <c:auto val="1"/>
        <c:lblAlgn val="ctr"/>
        <c:lblOffset val="100"/>
      </c:catAx>
      <c:valAx>
        <c:axId val="104492416"/>
        <c:scaling>
          <c:orientation val="minMax"/>
        </c:scaling>
        <c:delete val="1"/>
        <c:axPos val="l"/>
        <c:numFmt formatCode="0.0" sourceLinked="1"/>
        <c:majorTickMark val="none"/>
        <c:tickLblPos val="nextTo"/>
        <c:crossAx val="104490880"/>
        <c:crosses val="autoZero"/>
        <c:crossBetween val="between"/>
      </c:valAx>
    </c:plotArea>
    <c:legend>
      <c:legendPos val="b"/>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Feuil1!$B$64</c:f>
              <c:strCache>
                <c:ptCount val="1"/>
                <c:pt idx="0">
                  <c:v>2023</c:v>
                </c:pt>
              </c:strCache>
            </c:strRef>
          </c:tx>
          <c:dLbls>
            <c:showVal val="1"/>
          </c:dLbls>
          <c:cat>
            <c:strRef>
              <c:f>Feuil1!$A$65:$A$68</c:f>
              <c:strCache>
                <c:ptCount val="4"/>
                <c:pt idx="0">
                  <c:v>Agriculture, forêt et  pêche</c:v>
                </c:pt>
                <c:pt idx="1">
                  <c:v>Industrie (y compris artisanat)</c:v>
                </c:pt>
                <c:pt idx="2">
                  <c:v>BTP</c:v>
                </c:pt>
                <c:pt idx="3">
                  <c:v>Services</c:v>
                </c:pt>
              </c:strCache>
            </c:strRef>
          </c:cat>
          <c:val>
            <c:numRef>
              <c:f>Feuil1!$B$65:$B$68</c:f>
              <c:numCache>
                <c:formatCode>0.0</c:formatCode>
                <c:ptCount val="4"/>
                <c:pt idx="0">
                  <c:v>9.6403010044981361</c:v>
                </c:pt>
                <c:pt idx="1">
                  <c:v>5.3244940832135566</c:v>
                </c:pt>
                <c:pt idx="2">
                  <c:v>17.159843362812868</c:v>
                </c:pt>
                <c:pt idx="3">
                  <c:v>7.656077806475774</c:v>
                </c:pt>
              </c:numCache>
            </c:numRef>
          </c:val>
        </c:ser>
        <c:ser>
          <c:idx val="1"/>
          <c:order val="1"/>
          <c:tx>
            <c:strRef>
              <c:f>Feuil1!$C$64</c:f>
              <c:strCache>
                <c:ptCount val="1"/>
                <c:pt idx="0">
                  <c:v>2024</c:v>
                </c:pt>
              </c:strCache>
            </c:strRef>
          </c:tx>
          <c:dLbls>
            <c:showVal val="1"/>
          </c:dLbls>
          <c:cat>
            <c:strRef>
              <c:f>Feuil1!$A$65:$A$68</c:f>
              <c:strCache>
                <c:ptCount val="4"/>
                <c:pt idx="0">
                  <c:v>Agriculture, forêt et  pêche</c:v>
                </c:pt>
                <c:pt idx="1">
                  <c:v>Industrie (y compris artisanat)</c:v>
                </c:pt>
                <c:pt idx="2">
                  <c:v>BTP</c:v>
                </c:pt>
                <c:pt idx="3">
                  <c:v>Services</c:v>
                </c:pt>
              </c:strCache>
            </c:strRef>
          </c:cat>
          <c:val>
            <c:numRef>
              <c:f>Feuil1!$C$65:$C$68</c:f>
              <c:numCache>
                <c:formatCode>0.0</c:formatCode>
                <c:ptCount val="4"/>
                <c:pt idx="0">
                  <c:v>11.536021493227612</c:v>
                </c:pt>
                <c:pt idx="1">
                  <c:v>4.9930887381799254</c:v>
                </c:pt>
                <c:pt idx="2">
                  <c:v>18.856927309719392</c:v>
                </c:pt>
                <c:pt idx="3">
                  <c:v>7.6710152260866256</c:v>
                </c:pt>
              </c:numCache>
            </c:numRef>
          </c:val>
        </c:ser>
        <c:gapWidth val="75"/>
        <c:overlap val="-25"/>
        <c:axId val="107127168"/>
        <c:axId val="107128704"/>
      </c:barChart>
      <c:catAx>
        <c:axId val="107127168"/>
        <c:scaling>
          <c:orientation val="minMax"/>
        </c:scaling>
        <c:axPos val="b"/>
        <c:majorTickMark val="none"/>
        <c:tickLblPos val="nextTo"/>
        <c:crossAx val="107128704"/>
        <c:crosses val="autoZero"/>
        <c:auto val="1"/>
        <c:lblAlgn val="ctr"/>
        <c:lblOffset val="100"/>
      </c:catAx>
      <c:valAx>
        <c:axId val="107128704"/>
        <c:scaling>
          <c:orientation val="minMax"/>
        </c:scaling>
        <c:delete val="1"/>
        <c:axPos val="l"/>
        <c:numFmt formatCode="0.0" sourceLinked="1"/>
        <c:majorTickMark val="none"/>
        <c:tickLblPos val="nextTo"/>
        <c:crossAx val="107127168"/>
        <c:crosses val="autoZero"/>
        <c:crossBetween val="between"/>
      </c:valAx>
    </c:plotArea>
    <c:legend>
      <c:legendPos val="b"/>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bar"/>
        <c:grouping val="clustered"/>
        <c:ser>
          <c:idx val="0"/>
          <c:order val="0"/>
          <c:dPt>
            <c:idx val="3"/>
            <c:spPr>
              <a:solidFill>
                <a:schemeClr val="accent2"/>
              </a:solidFill>
            </c:spPr>
          </c:dPt>
          <c:dLbls>
            <c:showVal val="1"/>
          </c:dLbls>
          <c:cat>
            <c:strRef>
              <c:f>Feuil1!$A$4:$A$14</c:f>
              <c:strCache>
                <c:ptCount val="11"/>
                <c:pt idx="0">
                  <c:v>Tanger-Tétouan-Al Hoceïma</c:v>
                </c:pt>
                <c:pt idx="1">
                  <c:v>Casablanca-Settat</c:v>
                </c:pt>
                <c:pt idx="2">
                  <c:v>Régions du Sud</c:v>
                </c:pt>
                <c:pt idx="3">
                  <c:v>Natoional</c:v>
                </c:pt>
                <c:pt idx="4">
                  <c:v>Marrakech-Safi</c:v>
                </c:pt>
                <c:pt idx="5">
                  <c:v>Rabat-Salé-Kénitra</c:v>
                </c:pt>
                <c:pt idx="6">
                  <c:v>Drâa-Tafilalet</c:v>
                </c:pt>
                <c:pt idx="7">
                  <c:v>Fès-Meknès</c:v>
                </c:pt>
                <c:pt idx="8">
                  <c:v>Souss-Massa</c:v>
                </c:pt>
                <c:pt idx="9">
                  <c:v>Oriental</c:v>
                </c:pt>
                <c:pt idx="10">
                  <c:v>Béni Mellal-Khénifra</c:v>
                </c:pt>
              </c:strCache>
            </c:strRef>
          </c:cat>
          <c:val>
            <c:numRef>
              <c:f>Feuil1!$B$4:$B$14</c:f>
              <c:numCache>
                <c:formatCode>0.0</c:formatCode>
                <c:ptCount val="11"/>
                <c:pt idx="0">
                  <c:v>50.102495783984551</c:v>
                </c:pt>
                <c:pt idx="1">
                  <c:v>47.124378342990894</c:v>
                </c:pt>
                <c:pt idx="2">
                  <c:v>44.809220438512277</c:v>
                </c:pt>
                <c:pt idx="3">
                  <c:v>44.22133396793194</c:v>
                </c:pt>
                <c:pt idx="4">
                  <c:v>44.086516184460812</c:v>
                </c:pt>
                <c:pt idx="5">
                  <c:v>43.773504926640761</c:v>
                </c:pt>
                <c:pt idx="6">
                  <c:v>42.053898197946104</c:v>
                </c:pt>
                <c:pt idx="7">
                  <c:v>41.825061221087722</c:v>
                </c:pt>
                <c:pt idx="8">
                  <c:v>41.417052460244427</c:v>
                </c:pt>
                <c:pt idx="9">
                  <c:v>40.422666454629749</c:v>
                </c:pt>
                <c:pt idx="10">
                  <c:v>40.00656380375279</c:v>
                </c:pt>
              </c:numCache>
            </c:numRef>
          </c:val>
        </c:ser>
        <c:axId val="104671104"/>
        <c:axId val="104672640"/>
      </c:barChart>
      <c:catAx>
        <c:axId val="104671104"/>
        <c:scaling>
          <c:orientation val="maxMin"/>
        </c:scaling>
        <c:axPos val="l"/>
        <c:tickLblPos val="nextTo"/>
        <c:crossAx val="104672640"/>
        <c:crosses val="autoZero"/>
        <c:auto val="1"/>
        <c:lblAlgn val="ctr"/>
        <c:lblOffset val="100"/>
      </c:catAx>
      <c:valAx>
        <c:axId val="104672640"/>
        <c:scaling>
          <c:orientation val="minMax"/>
        </c:scaling>
        <c:delete val="1"/>
        <c:axPos val="t"/>
        <c:numFmt formatCode="0.0" sourceLinked="1"/>
        <c:tickLblPos val="nextTo"/>
        <c:crossAx val="104671104"/>
        <c:crosses val="autoZero"/>
        <c:crossBetween val="between"/>
      </c:valAx>
    </c:plotArea>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bar"/>
        <c:grouping val="clustered"/>
        <c:ser>
          <c:idx val="0"/>
          <c:order val="0"/>
          <c:dPt>
            <c:idx val="5"/>
            <c:spPr>
              <a:solidFill>
                <a:schemeClr val="accent2"/>
              </a:solidFill>
            </c:spPr>
          </c:dPt>
          <c:dLbls>
            <c:showVal val="1"/>
          </c:dLbls>
          <c:cat>
            <c:strRef>
              <c:f>Feuil1!$A$22:$A$32</c:f>
              <c:strCache>
                <c:ptCount val="11"/>
                <c:pt idx="0">
                  <c:v>Marrakech-Safi</c:v>
                </c:pt>
                <c:pt idx="1">
                  <c:v>Tanger-Tétouan-Al Hoceïma</c:v>
                </c:pt>
                <c:pt idx="2">
                  <c:v>Drâa-Tafilalet</c:v>
                </c:pt>
                <c:pt idx="3">
                  <c:v>Souss-Massa</c:v>
                </c:pt>
                <c:pt idx="4">
                  <c:v>Rabat-Salé-Kénitra</c:v>
                </c:pt>
                <c:pt idx="5">
                  <c:v>National</c:v>
                </c:pt>
                <c:pt idx="6">
                  <c:v>Fès-Meknès</c:v>
                </c:pt>
                <c:pt idx="7">
                  <c:v>Béni Mellal-Khénifra</c:v>
                </c:pt>
                <c:pt idx="8">
                  <c:v>Casablanca-Settat</c:v>
                </c:pt>
                <c:pt idx="9">
                  <c:v>Oriental</c:v>
                </c:pt>
                <c:pt idx="10">
                  <c:v>Régions du Sud</c:v>
                </c:pt>
              </c:strCache>
            </c:strRef>
          </c:cat>
          <c:val>
            <c:numRef>
              <c:f>Feuil1!$B$22:$B$32</c:f>
              <c:numCache>
                <c:formatCode>0.0</c:formatCode>
                <c:ptCount val="11"/>
                <c:pt idx="0">
                  <c:v>8.1244663194210727</c:v>
                </c:pt>
                <c:pt idx="1">
                  <c:v>8.9371952044091252</c:v>
                </c:pt>
                <c:pt idx="2">
                  <c:v>9.5826980403208637</c:v>
                </c:pt>
                <c:pt idx="3">
                  <c:v>12.129867943549232</c:v>
                </c:pt>
                <c:pt idx="4">
                  <c:v>12.81690021569155</c:v>
                </c:pt>
                <c:pt idx="5">
                  <c:v>13.072145542115956</c:v>
                </c:pt>
                <c:pt idx="6">
                  <c:v>13.62878787797845</c:v>
                </c:pt>
                <c:pt idx="7">
                  <c:v>14.670602454891775</c:v>
                </c:pt>
                <c:pt idx="8">
                  <c:v>14.915296967566826</c:v>
                </c:pt>
                <c:pt idx="9">
                  <c:v>21.146633637556789</c:v>
                </c:pt>
                <c:pt idx="10">
                  <c:v>22.926363648514222</c:v>
                </c:pt>
              </c:numCache>
            </c:numRef>
          </c:val>
        </c:ser>
        <c:axId val="104725504"/>
        <c:axId val="104727296"/>
      </c:barChart>
      <c:catAx>
        <c:axId val="104725504"/>
        <c:scaling>
          <c:orientation val="minMax"/>
        </c:scaling>
        <c:axPos val="l"/>
        <c:tickLblPos val="nextTo"/>
        <c:crossAx val="104727296"/>
        <c:crosses val="autoZero"/>
        <c:auto val="1"/>
        <c:lblAlgn val="ctr"/>
        <c:lblOffset val="100"/>
      </c:catAx>
      <c:valAx>
        <c:axId val="104727296"/>
        <c:scaling>
          <c:orientation val="minMax"/>
        </c:scaling>
        <c:delete val="1"/>
        <c:axPos val="b"/>
        <c:numFmt formatCode="0.0" sourceLinked="1"/>
        <c:tickLblPos val="nextTo"/>
        <c:crossAx val="104725504"/>
        <c:crosses val="autoZero"/>
        <c:crossBetween val="between"/>
      </c:valAx>
    </c:plotArea>
    <c:plotVisOnly val="1"/>
  </c:chart>
  <c:spPr>
    <a:ln>
      <a:noFill/>
    </a:ln>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D044C-BFE3-484A-A169-50957AFD2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1991</Words>
  <Characters>10954</Characters>
  <Application>Microsoft Office Word</Application>
  <DocSecurity>0</DocSecurity>
  <Lines>91</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c:creator>
  <cp:lastModifiedBy>User</cp:lastModifiedBy>
  <cp:revision>3</cp:revision>
  <cp:lastPrinted>2024-07-22T15:47:00Z</cp:lastPrinted>
  <dcterms:created xsi:type="dcterms:W3CDTF">2024-08-01T10:08:00Z</dcterms:created>
  <dcterms:modified xsi:type="dcterms:W3CDTF">2024-08-01T15:16:00Z</dcterms:modified>
</cp:coreProperties>
</file>