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33" w:rsidRDefault="00803633" w:rsidP="00803633">
      <w:pPr>
        <w:jc w:val="center"/>
        <w:rPr>
          <w:rtl/>
          <w:lang w:bidi="ar-MA"/>
        </w:rPr>
      </w:pPr>
    </w:p>
    <w:p w:rsidR="00803633" w:rsidRDefault="00803633" w:rsidP="00803633">
      <w:pPr>
        <w:jc w:val="center"/>
        <w:rPr>
          <w:rtl/>
          <w:lang w:bidi="tzm-Arab-MA"/>
        </w:rPr>
      </w:pPr>
    </w:p>
    <w:p w:rsidR="00F619F8" w:rsidRDefault="00F619F8" w:rsidP="00803633">
      <w:pPr>
        <w:jc w:val="center"/>
        <w:rPr>
          <w:rtl/>
          <w:lang w:bidi="tzm-Arab-MA"/>
        </w:rPr>
      </w:pPr>
    </w:p>
    <w:p w:rsidR="00803633" w:rsidRPr="00405EA7" w:rsidRDefault="00803633" w:rsidP="00803633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مذكرة إخبارية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  <w:t>لل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مندوبية السامية للتخطيط حول</w:t>
      </w:r>
    </w:p>
    <w:p w:rsidR="00803633" w:rsidRPr="00405EA7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</w:pP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وضعية سوق الشغل خلال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الفصل </w:t>
      </w:r>
      <w:r w:rsidRPr="00405EA7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MA"/>
        </w:rPr>
        <w:t xml:space="preserve">الثاني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من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سنة </w:t>
      </w:r>
      <w:r w:rsidR="006809EA" w:rsidRPr="00405EA7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2024</w:t>
      </w:r>
    </w:p>
    <w:p w:rsidR="00043286" w:rsidRPr="00405EA7" w:rsidRDefault="00131893" w:rsidP="0004328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</w:pPr>
      <w:r>
        <w:rPr>
          <w:rFonts w:asciiTheme="majorBidi" w:hAnsiTheme="majorBidi" w:cstheme="majorBidi"/>
          <w:b/>
          <w:bCs/>
          <w:color w:val="1F497D" w:themeColor="text2"/>
          <w:sz w:val="32"/>
          <w:szCs w:val="32"/>
          <w:lang w:bidi="tzm-Arab-MA"/>
        </w:rPr>
        <w:t xml:space="preserve">    </w:t>
      </w:r>
    </w:p>
    <w:p w:rsid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</w:pPr>
    </w:p>
    <w:p w:rsidR="003D5618" w:rsidRDefault="00D40D8D" w:rsidP="00405EA7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لا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زال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ت وضعية سوق الشغل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خلال ال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فصل الثاني </w:t>
      </w:r>
      <w:r w:rsidR="0003177C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من سنة </w:t>
      </w:r>
      <w:r w:rsid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4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ت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عاني من آثار الجفاف. هكذا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،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 xml:space="preserve"> بفقدان 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141.000 </w:t>
      </w:r>
      <w:r w:rsidR="009057AC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 شغل بالوسط القروي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 أساسا غير مؤدى عنها، و</w:t>
      </w:r>
      <w:r w:rsidR="009057AC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إحداث</w:t>
      </w:r>
      <w:r w:rsidR="009057AC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60.000</w:t>
      </w:r>
      <w:r w:rsidR="009057AC" w:rsidRPr="00F27B1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9057AC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9057AC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 بالوسط الحضري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، تراجع </w:t>
      </w:r>
      <w:r w:rsidR="0041167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الحجم</w:t>
      </w:r>
      <w:r w:rsidR="009057A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الإجمالي للشغل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9057AC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3D5618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ما بين الفصل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ال</w:t>
      </w:r>
      <w:r w:rsidR="003D561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ثاني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 سنة </w:t>
      </w:r>
      <w:r w:rsidR="006809E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2023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ونفس الفصل من سنة </w:t>
      </w:r>
      <w:r w:rsidR="006809E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2024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 82.000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منصب شغل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.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</w:p>
    <w:p w:rsidR="00FC31AF" w:rsidRDefault="00D40D8D" w:rsidP="00D40D8D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ar-MA"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سجل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قطاع "الفلاحة والغابة والصيد فقدان"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152.000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شغل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وقطاع "البناء والأشغال العمومية"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35.000</w:t>
      </w:r>
      <w:r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منصب.</w:t>
      </w:r>
      <w:r w:rsidRPr="00D40D8D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في حين</w:t>
      </w:r>
      <w:r w:rsidR="00A92E2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043286"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أحدث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قطاع "الصناعة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بما فيها الصناعة التقليدية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"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58.000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منصب،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متبوعا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</w:t>
      </w:r>
      <w:r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قطاع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"الخدمات"</w:t>
      </w:r>
      <w:r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49.000</w:t>
      </w:r>
      <w:r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</w:p>
    <w:p w:rsidR="00FC31AF" w:rsidRDefault="00800CFB" w:rsidP="00D40D8D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tzm-Arab-MA"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D627A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و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عرف</w:t>
      </w:r>
      <w:r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حجم البطالة</w:t>
      </w:r>
      <w:r w:rsidR="00043286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</w:t>
      </w:r>
      <w:r w:rsidR="00F76FB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رتفاعا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A61E8A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</w:t>
      </w:r>
      <w:r w:rsidR="00A61E8A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90.000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شخص</w:t>
      </w:r>
      <w:r w:rsidR="00FC31AF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EC383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نتيجة </w:t>
      </w:r>
      <w:r w:rsidR="00F76FB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ارتفاع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قدره 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48.000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عاطل 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 و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42.000 </w:t>
      </w:r>
      <w:r w:rsidR="00FC31AF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القروي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لي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بلغ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عدد العاطلين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1.633.000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شخص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.</w:t>
      </w:r>
    </w:p>
    <w:p w:rsidR="003D5618" w:rsidRPr="006C2E53" w:rsidRDefault="00800CFB" w:rsidP="006F6E92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وهكذا، انتقل معدل البطالة من </w:t>
      </w:r>
      <w:r w:rsidR="00D40D8D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="00D40D8D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</w:t>
      </w:r>
      <w:r w:rsidR="00D40D8D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D40D8D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D40D8D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="00D40D8D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13,1%</w:t>
      </w:r>
      <w:r w:rsidR="00D40D8D" w:rsidRP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(</w:t>
      </w:r>
      <w:r w:rsidR="00D40D8D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+0,7</w:t>
      </w:r>
      <w:r w:rsidR="00D40D8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)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، من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6F6E92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%</w:t>
      </w:r>
      <w:r w:rsidR="006F6E92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</w:t>
      </w:r>
      <w:r w:rsidR="006F6E92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6F6E92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16,7%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الحضري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(</w:t>
      </w:r>
      <w:r w:rsidR="006F6E92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+0,4</w:t>
      </w:r>
      <w:r w:rsidR="006F6E92" w:rsidRP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نقطة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)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ومن </w:t>
      </w:r>
      <w:r w:rsid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</w:t>
      </w:r>
      <w:r w:rsidR="006F6E92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7</w:t>
      </w:r>
      <w:r w:rsidR="006F6E92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="006F6E92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6,7%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(</w:t>
      </w:r>
      <w:r w:rsid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+1</w:t>
      </w:r>
      <w:r w:rsidR="006F6E92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نقطة)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 و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يبقى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معدل البطالة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م</w:t>
      </w:r>
      <w:r w:rsidR="00043286"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رتفعا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بين الشباب المتراوحة أعمارهم مابين 15 و24 سنة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</w:t>
      </w:r>
      <w:r w:rsidR="006F6E92" w:rsidRP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36,1%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حاملي الشهادات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</w:t>
      </w:r>
      <w:r w:rsidR="00F76FB6" w:rsidRPr="006C2E5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19,</w:t>
      </w:r>
      <w:r w:rsid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F76FB6" w:rsidRPr="006C2E5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والنساء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(1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7</w:t>
      </w:r>
      <w:r w:rsidR="006F6E92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,7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%)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</w:p>
    <w:p w:rsidR="00EE263A" w:rsidRPr="0003177C" w:rsidRDefault="00EE263A" w:rsidP="00D627A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ارتفع حجم النشيطين المشتغلين في حالة الشغل الناقص، خلال نفس الفترة، من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983.000 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1.042.000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شخص على الصعيد الوطني، من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549.000 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552.000 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ومن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434.000 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490.000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القروي. وهكذا، انتقل معدل الشغل الناقص من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9%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9,6%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الصعيد الوطني</w:t>
      </w:r>
      <w:r w:rsidR="00D627A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،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</w:t>
      </w:r>
      <w:r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9,9%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إلى 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11,6%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</w:t>
      </w:r>
      <w:r w:rsidR="00D627A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ومن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8,4% </w:t>
      </w:r>
      <w:r w:rsidR="00D627A8"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8,3% </w:t>
      </w:r>
      <w:r w:rsidR="00D627A8" w:rsidRPr="0003177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D627A8"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</w:t>
      </w:r>
      <w:r w:rsidRPr="0003177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. </w:t>
      </w:r>
    </w:p>
    <w:p w:rsidR="00EE263A" w:rsidRPr="00EE263A" w:rsidRDefault="00EE263A" w:rsidP="00EE263A">
      <w:pPr>
        <w:bidi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6C2E53" w:rsidRDefault="006C2E53" w:rsidP="006C2E53">
      <w:pPr>
        <w:pStyle w:val="Paragraphedeliste"/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760FE2" w:rsidRDefault="00760FE2" w:rsidP="00760FE2">
      <w:pPr>
        <w:pStyle w:val="Paragraphedeliste"/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</w:pPr>
    </w:p>
    <w:p w:rsidR="00187ECE" w:rsidRDefault="00187ECE" w:rsidP="00187ECE">
      <w:pPr>
        <w:pStyle w:val="Paragraphedeliste"/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983B3A" w:rsidRPr="00187ECE" w:rsidRDefault="00983B3A" w:rsidP="006C2E53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</w:rPr>
      </w:pPr>
      <w:r w:rsidRPr="00187ECE"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  <w:lastRenderedPageBreak/>
        <w:t>النشاط والشغل</w:t>
      </w:r>
    </w:p>
    <w:p w:rsidR="00983B3A" w:rsidRPr="00C40DF5" w:rsidRDefault="00043286" w:rsidP="00983B3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 xml:space="preserve">   </w:t>
      </w:r>
      <w:r w:rsidR="00983B3A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انخفاض</w:t>
      </w:r>
      <w:r w:rsidR="00983B3A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النشاط </w:t>
      </w:r>
    </w:p>
    <w:p w:rsidR="007D3E4E" w:rsidRPr="007D3E4E" w:rsidRDefault="00983B3A" w:rsidP="00AC16F2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انخفض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معدل النشاط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6F6E92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="00A61E8A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نقطة</w:t>
      </w:r>
      <w:r w:rsidR="00D87C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ما بين الفصل الثاني من سنة 2023 و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نفس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الفصل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سنة </w:t>
      </w:r>
      <w:r w:rsidR="006809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202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4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منتقلا من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إلى </w:t>
      </w:r>
      <w:r w:rsidR="006F6E92" w:rsidRP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44,2%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ويعزى هذا 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الانخفاض 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إلى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زيادة السكان في سن النشاط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(15 سنة فأكثر)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بمعدل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1,4%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F6E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خلال نفس الفترة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 طفيف ل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عدد السكان النشيطين 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="00831D11" w:rsidRP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+0,1%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).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معدل النشاط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043286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نخفاض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بـ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بالوسط 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لقروي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منتقلا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من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49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48%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024EB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024EB9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 الحضري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42,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%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42,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% 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</w:p>
    <w:p w:rsidR="00983B3A" w:rsidRPr="00AC2CA0" w:rsidRDefault="00B85D74" w:rsidP="0014125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ولقد 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معدل الشغل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بدوره </w:t>
      </w:r>
      <w:r w:rsidR="00024EB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024EB9"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9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على المستوى الوطني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منتقلا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من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831D11" w:rsidRP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39,3%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إلى</w:t>
      </w:r>
      <w:r w:rsidR="00831D11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38,4%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 و</w:t>
      </w:r>
      <w:r w:rsidR="00831D1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انخفض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هذا المعدل 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بـ </w:t>
      </w:r>
      <w:r w:rsidR="00831D1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1,6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 بـالوسط القروي</w:t>
      </w:r>
      <w:r w:rsidR="00831D1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منتقلا 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من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831D1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31D1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44,8%</w:t>
      </w:r>
      <w:r w:rsidR="00AC16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0,4 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نقطة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 الحضري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35,7%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إلى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35,3%</w:t>
      </w:r>
      <w:r w:rsidR="006E2D3D" w:rsidRP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E38A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تراجع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هذا المعدل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أيضا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E38A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CE38A8"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نقطة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صفوف الرجال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(من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62,2%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61%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6E2D3D" w:rsidRP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6E2D3D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6E2D3D"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</w:t>
      </w:r>
      <w:r w:rsid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14125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نقطة </w:t>
      </w:r>
      <w:r w:rsidR="006E2D3D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صفوف النساء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 من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17%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 </w:t>
      </w:r>
      <w:r w:rsidR="006E2D3D" w:rsidRPr="006E2D3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16,5%</w:t>
      </w:r>
      <w:r w:rsidR="006E2D3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983B3A" w:rsidRPr="00C40DF5" w:rsidRDefault="008551F6" w:rsidP="008551F6">
      <w:pPr>
        <w:jc w:val="right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ارتفاع الشغل بالوسط الحضري مقابل تراجعه بالوسط القروي</w:t>
      </w:r>
    </w:p>
    <w:p w:rsidR="00983B3A" w:rsidRPr="00AC2CA0" w:rsidRDefault="00CE38A8" w:rsidP="008551F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الاقتصاد الوطني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8551F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</w:t>
      </w:r>
      <w:r w:rsidR="001207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شغل</w:t>
      </w:r>
      <w:r w:rsidR="0030414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خلال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الفصل الثاني من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 </w:t>
      </w:r>
      <w:r w:rsidR="006809E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2024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="00EC383C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حداث </w:t>
      </w:r>
      <w:r w:rsidR="008551F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بالوسط الحضري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551F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141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8551F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983B3A" w:rsidRPr="00983B3A" w:rsidRDefault="001207E7" w:rsidP="00AB715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نوع الشغل، تم إحداث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مؤدى عنه،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إحداث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63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وفقدان 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في حين، </w:t>
      </w:r>
      <w:r w:rsidR="00AB715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الشغل غير 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مؤدى عنه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26</w:t>
      </w:r>
      <w:r w:rsidR="00AB7159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AB715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</w:t>
      </w:r>
      <w:r w:rsid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نتيجة </w:t>
      </w:r>
      <w:r w:rsidR="000D6FD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فقدان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 بالوسط القروي</w:t>
      </w:r>
      <w:r w:rsidR="000D6FD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C44AD" w:rsidRPr="0003177C" w:rsidRDefault="00AB7159" w:rsidP="00D627A8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eastAsiaTheme="minorHAnsi" w:hAnsiTheme="majorBidi" w:cstheme="majorBidi"/>
          <w:b/>
          <w:bCs/>
          <w:color w:val="548DD4"/>
          <w:sz w:val="28"/>
          <w:szCs w:val="28"/>
          <w:lang w:eastAsia="en-US" w:bidi="ar-MA"/>
        </w:rPr>
      </w:pPr>
      <w:r w:rsidRPr="0003177C">
        <w:rPr>
          <w:rFonts w:asciiTheme="majorBidi" w:eastAsiaTheme="minorHAnsi" w:hAnsiTheme="majorBidi" w:cstheme="majorBidi" w:hint="cs"/>
          <w:b/>
          <w:bCs/>
          <w:color w:val="548DD4"/>
          <w:sz w:val="28"/>
          <w:szCs w:val="28"/>
          <w:rtl/>
          <w:lang w:eastAsia="en-US" w:bidi="ar-MA"/>
        </w:rPr>
        <w:t xml:space="preserve">تطور الشغل حسب قطاعات النشاط </w:t>
      </w:r>
      <w:r w:rsidR="00D627A8" w:rsidRPr="0003177C">
        <w:rPr>
          <w:rFonts w:asciiTheme="majorBidi" w:eastAsiaTheme="minorHAnsi" w:hAnsiTheme="majorBidi" w:cstheme="majorBidi" w:hint="cs"/>
          <w:b/>
          <w:bCs/>
          <w:color w:val="548DD4"/>
          <w:sz w:val="28"/>
          <w:szCs w:val="28"/>
          <w:rtl/>
          <w:lang w:eastAsia="en-US" w:bidi="ar-MA"/>
        </w:rPr>
        <w:t>الاقتصادي</w:t>
      </w:r>
    </w:p>
    <w:p w:rsidR="00AB7159" w:rsidRDefault="00AB7159" w:rsidP="00AB715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ما بين الفصل الثاني من سنة 2023 ونفس الفصل من سنة 2024،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"الفلاحة والغابة والصيد"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152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نصب شغل على المستوى الوطني،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وهو ما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يمثل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انخفاض بـ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 إجمالي الشغل بهذا القطاع.</w:t>
      </w:r>
      <w:r w:rsidRPr="00AB71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</w:p>
    <w:p w:rsidR="00983B3A" w:rsidRPr="00AC2CA0" w:rsidRDefault="00AB7159" w:rsidP="0041167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كما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t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فقد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"البناء والأشغال العمومية"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فقدان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51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و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إحداث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4116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مسجلا تراجعا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بـ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 إجمالي الشغل بهذا القطاع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983B3A" w:rsidRPr="00AC2CA0" w:rsidRDefault="008B3393" w:rsidP="00304142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 حين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DC44AD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"الخدمات"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49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</w:t>
      </w:r>
      <w:r w:rsidR="00044F1E" w:rsidRPr="00EE476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(+1%)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044F1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044F1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إحداث </w:t>
      </w:r>
      <w:r w:rsidR="00AB715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="00044F1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فقدان </w:t>
      </w:r>
      <w:r w:rsidR="00044F1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31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044F1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983B3A" w:rsidRPr="00AC2CA0" w:rsidRDefault="00EE4761" w:rsidP="00EF6D5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lastRenderedPageBreak/>
        <w:t>و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DC44A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"الصناعة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بما فيها الصناعة التقليدية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"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58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</w:t>
      </w:r>
      <w:r w:rsidRPr="00EE476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(+4%)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38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:rsidR="008657D0" w:rsidRDefault="005639C8" w:rsidP="00D627A8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 w:bidi="tzm-Arab-MA"/>
        </w:rPr>
      </w:pP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مبيان </w:t>
      </w:r>
      <w:r w:rsidR="00D627A8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1</w:t>
      </w: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: صافي التغير في الشغل</w:t>
      </w:r>
      <w:r w:rsidRP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</w:t>
      </w:r>
      <w:r w:rsidR="00D627A8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مابين </w:t>
      </w:r>
      <w:r w:rsidRP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>الفصل الثاني</w:t>
      </w: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</w:t>
      </w:r>
      <w:r w:rsidR="00D627A8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من </w:t>
      </w:r>
      <w:r w:rsidR="006809EA"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2023</w:t>
      </w: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و</w:t>
      </w:r>
      <w:r w:rsidR="00D627A8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 نفس الفصل من </w:t>
      </w:r>
      <w:r w:rsidR="006809EA"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2024</w:t>
      </w: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حسب قطاعات النشاط الاقتصادي ووسط الإقامة</w:t>
      </w:r>
      <w:r w:rsidR="00D627A8" w:rsidRPr="00D0194E">
        <w:rPr>
          <w:rStyle w:val="Appelnotedebasdep"/>
          <w:rFonts w:asciiTheme="majorBidi" w:hAnsiTheme="majorBidi" w:cstheme="majorBidi"/>
          <w:b/>
          <w:bCs/>
          <w:sz w:val="24"/>
          <w:szCs w:val="24"/>
          <w:rtl/>
        </w:rPr>
        <w:footnoteReference w:id="2"/>
      </w:r>
    </w:p>
    <w:p w:rsidR="004B5734" w:rsidRPr="007C56E2" w:rsidRDefault="004B5734" w:rsidP="004B5734">
      <w:pPr>
        <w:autoSpaceDE w:val="0"/>
        <w:autoSpaceDN w:val="0"/>
        <w:bidi/>
        <w:adjustRightInd w:val="0"/>
        <w:spacing w:line="360" w:lineRule="auto"/>
        <w:jc w:val="center"/>
        <w:outlineLvl w:val="0"/>
        <w:rPr>
          <w:rFonts w:asciiTheme="minorBidi" w:hAnsiTheme="minorBidi"/>
          <w:sz w:val="24"/>
          <w:szCs w:val="24"/>
        </w:rPr>
      </w:pPr>
      <w:r w:rsidRPr="007C56E2">
        <w:rPr>
          <w:rFonts w:asciiTheme="minorBidi" w:hAnsiTheme="minorBidi"/>
          <w:noProof/>
          <w:sz w:val="24"/>
          <w:szCs w:val="24"/>
          <w:rtl/>
          <w:lang w:eastAsia="fr-FR"/>
        </w:rPr>
        <w:drawing>
          <wp:inline distT="0" distB="0" distL="0" distR="0">
            <wp:extent cx="5308979" cy="2190466"/>
            <wp:effectExtent l="0" t="0" r="0" b="0"/>
            <wp:docPr id="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5734" w:rsidRPr="00187ECE" w:rsidRDefault="004B5734" w:rsidP="00682708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</w:rPr>
      </w:pPr>
      <w:r w:rsidRPr="00187ECE"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  <w:t>البطالة والشغل الناقص</w:t>
      </w:r>
    </w:p>
    <w:p w:rsidR="004B5734" w:rsidRPr="007E64C3" w:rsidRDefault="004B5734" w:rsidP="004B5734">
      <w:pPr>
        <w:autoSpaceDE w:val="0"/>
        <w:autoSpaceDN w:val="0"/>
        <w:bidi/>
        <w:adjustRightInd w:val="0"/>
        <w:spacing w:line="360" w:lineRule="auto"/>
        <w:jc w:val="both"/>
        <w:outlineLvl w:val="0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7E64C3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ارتفاع</w:t>
      </w:r>
      <w:r w:rsidRPr="007E64C3"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  <w:t xml:space="preserve"> </w:t>
      </w:r>
      <w:r w:rsidRPr="007E64C3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البطالة</w:t>
      </w:r>
    </w:p>
    <w:p w:rsidR="004B5734" w:rsidRPr="00682708" w:rsidRDefault="004B5734" w:rsidP="0068270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 حجم العاطلين بـ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90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شخص، مابين الفصل الثاني من سنة 2023 ونفس الفصل من سنة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2024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منتقلا بذلك من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1.543.000 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1.633.000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عاطل </w:t>
      </w:r>
      <w:r w:rsidR="0041167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على المستوى الوطني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وهو ما يمثل ارتفاعا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بـ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6%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وذلك نتيجة ارتفاع عدد العاطلين بـ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48.000 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وبـ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42.000 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القروي.</w:t>
      </w:r>
    </w:p>
    <w:p w:rsidR="004B5734" w:rsidRPr="00682708" w:rsidRDefault="004B5734" w:rsidP="0053134E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وهكذا،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ارتفع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البطالة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بـ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0,7 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خلال نفس الفترة، </w:t>
      </w:r>
      <w:r w:rsidR="00682708" w:rsidRP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منتقلا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12,4%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13,1%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وقد انتقل هذا المعدل من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16,3%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16,7% 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+0,4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5,7%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6,7%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بالوسط القروي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</w:t>
      </w:r>
      <w:r w:rsidR="00682708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وسجل هذا المعدل كذلك ارتفاعا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0,7 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صفوف 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كل من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النساء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والرجال، منتقلاعلى التوالي من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17%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17,7%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11%</w:t>
      </w:r>
      <w:r w:rsidR="0068270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11,7%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11677" w:rsidRDefault="002F7092" w:rsidP="0041167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ولقد سجل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البطالة ارتفاعا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2,5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في صفوف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الشباب الذين تتراوح أعمارهم بين 15 و24 سنة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 من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33,6%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36,1%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1,6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صفوف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الأشخاص الذين تتراوح أعمارهم بين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34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سنة، منتقلا من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19,8%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21,4%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0,1 </w:t>
      </w:r>
      <w:r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</w:t>
      </w:r>
      <w:r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صفوف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الأشخاص الذي</w:t>
      </w:r>
      <w:r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 تتراوح </w:t>
      </w:r>
      <w:r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lastRenderedPageBreak/>
        <w:t>أعمارهم بين 35 و44 سنة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Pr="002F709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منتقلا من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7,2%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7,3%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7E64C3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="007E64C3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0,1 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E64C3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صفوف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الأشخاص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البالغين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45 سنة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وأكثر،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منتقلا من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3,6%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3,7%</w:t>
      </w:r>
      <w:r w:rsidR="004B5734" w:rsidRPr="002F709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B5734" w:rsidRPr="00EE263A" w:rsidRDefault="00D627A8" w:rsidP="0041167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مبيان 2.</w:t>
      </w:r>
      <w:r w:rsidR="004B5734"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تطور معدل البطالة ما بين الفصل الثاني </w:t>
      </w:r>
      <w:r w:rsid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من </w:t>
      </w:r>
      <w:r w:rsidR="004B5734"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سنة</w:t>
      </w:r>
      <w:r w:rsidR="002F7092" w:rsidRP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</w:t>
      </w:r>
      <w:r w:rsidR="004B5734"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2023 ونفس</w:t>
      </w:r>
      <w:r w:rsidR="002F7092" w:rsidRP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</w:t>
      </w:r>
      <w:r w:rsidR="004B5734"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الفصل</w:t>
      </w:r>
      <w:r w:rsidR="002F7092" w:rsidRP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</w:t>
      </w:r>
      <w:r w:rsidR="004B5734"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من سنة 2024 لدى بعض فئات الساكنة (ب %)</w:t>
      </w:r>
    </w:p>
    <w:p w:rsidR="004B5734" w:rsidRPr="007C56E2" w:rsidRDefault="004B5734" w:rsidP="004B5734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7C56E2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>
            <wp:extent cx="5647336" cy="2571292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5734" w:rsidRPr="007C56E2" w:rsidRDefault="004B5734" w:rsidP="004B5734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5734" w:rsidRPr="007C56E2" w:rsidRDefault="004B5734" w:rsidP="004B5734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5734" w:rsidRPr="007E64C3" w:rsidRDefault="004B5734" w:rsidP="00AC1EDD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جهة أخرى، سجل معدل البطالة لدى الأشخاص الحاصلين على شهادة ارتفاعا يقدر بـ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0,2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نقطة، منتقلا من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19,2%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19,4%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وكان هذا الارتفاع أكثر حدة في صفوف الحاصلين على شهادات الثانوي التأهيلي (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+3,2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بمعدل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26,1</w:t>
      </w:r>
      <w:r w:rsidRPr="00D627A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D627A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4B5734" w:rsidRPr="007E64C3" w:rsidRDefault="004B5734" w:rsidP="004B573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 w:rsidRPr="007E64C3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ارتفاع</w:t>
      </w:r>
      <w:r w:rsidR="007E64C3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Pr="007E64C3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الشغل الناقص</w:t>
      </w:r>
    </w:p>
    <w:p w:rsidR="004B5734" w:rsidRPr="007C56E2" w:rsidRDefault="004B5734" w:rsidP="004B5734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11677" w:rsidRDefault="004B5734" w:rsidP="0045085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 حجم النشيطين المشتغلين في حالة الشغل الناقص، خلال نفس الفترة، من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983.000 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1.042.000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شخص</w:t>
      </w:r>
      <w:r w:rsidR="007E64C3"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الصعيد الوطني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549.000 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552.000 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50859" w:rsidRPr="0068270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="004508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434.000 </w:t>
      </w:r>
      <w:r w:rsidR="0045085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490.000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450859"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</w:t>
      </w:r>
    </w:p>
    <w:p w:rsidR="004B5734" w:rsidRPr="007E64C3" w:rsidRDefault="004B5734" w:rsidP="0041167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وهكذا، انتقل معدل الشغل الناقص من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9%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9,6%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الصعيد الوطني، ومن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8,4% 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8,3% 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ومن</w:t>
      </w:r>
      <w:r w:rsidR="007E64C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9,9%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11,6%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 </w:t>
      </w:r>
    </w:p>
    <w:p w:rsidR="004B5734" w:rsidRPr="007E64C3" w:rsidRDefault="004B5734" w:rsidP="004B573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فيما يخص الشغل الناقص المرتبط بعدد ساعات العمل، فقد انتقل حجمه من 465.000 إلى 583.000</w:t>
      </w:r>
      <w:r w:rsidR="00EE263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شخص على المستوى الوطني، وانتقل المعدل المرتبط به من 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4,2%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7E64C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5,4% </w:t>
      </w:r>
      <w:r w:rsidRPr="007E64C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25663C" w:rsidRDefault="004B5734" w:rsidP="00411677">
      <w:pPr>
        <w:bidi/>
        <w:spacing w:before="240" w:after="120"/>
        <w:ind w:left="-2"/>
        <w:jc w:val="both"/>
        <w:rPr>
          <w:rFonts w:asciiTheme="majorBidi" w:eastAsia="Times New Roman" w:hAnsiTheme="majorBidi" w:cstheme="majorBidi"/>
          <w:b/>
          <w:bCs/>
          <w:rtl/>
          <w:lang w:eastAsia="fr-FR"/>
        </w:rPr>
      </w:pP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وانتقل</w:t>
      </w:r>
      <w:r w:rsidR="00EE263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النشيطين المشتغلين في حالة الشغل الناقص المرتبط بالدخل غير الكافي أو عدم ملاءمة الشغل مع المؤهلات من 518.000 إلى 459.000 شخص. وانتقل معدل هذا النوع من الشغل الناقص من</w:t>
      </w:r>
      <w:r w:rsidR="00EE263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E26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4,7%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إلى </w:t>
      </w:r>
      <w:r w:rsidRPr="00EE26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4,2%</w:t>
      </w:r>
      <w:r w:rsidRPr="00EE26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4B5734" w:rsidRPr="00EE263A" w:rsidRDefault="004B5734" w:rsidP="00EE263A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rtl/>
          <w:lang w:eastAsia="fr-FR"/>
        </w:rPr>
      </w:pP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lastRenderedPageBreak/>
        <w:t xml:space="preserve">مبيان </w:t>
      </w:r>
      <w:r w:rsidRPr="00EE263A">
        <w:rPr>
          <w:rFonts w:asciiTheme="majorBidi" w:eastAsia="Times New Roman" w:hAnsiTheme="majorBidi" w:cstheme="majorBidi"/>
          <w:b/>
          <w:bCs/>
          <w:lang w:eastAsia="fr-FR"/>
        </w:rPr>
        <w:t>3</w:t>
      </w: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.  تطور معدل الشغل الناقص، ما بين الفصل</w:t>
      </w:r>
      <w:r w:rsid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الثاني من </w:t>
      </w: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سنة 2023 ونفس الفترة من سنة 2024، لدى بعض فئات السكان (بـ</w:t>
      </w:r>
      <w:r w:rsidR="00EE263A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</w:t>
      </w:r>
      <w:r w:rsidRPr="00EE263A">
        <w:rPr>
          <w:rFonts w:asciiTheme="majorBidi" w:eastAsia="Times New Roman" w:hAnsiTheme="majorBidi" w:cstheme="majorBidi"/>
          <w:b/>
          <w:bCs/>
          <w:rtl/>
          <w:lang w:eastAsia="fr-FR"/>
        </w:rPr>
        <w:t>%)</w:t>
      </w:r>
    </w:p>
    <w:p w:rsidR="004B5734" w:rsidRPr="007C56E2" w:rsidRDefault="004B5734" w:rsidP="004B5734">
      <w:pPr>
        <w:autoSpaceDE w:val="0"/>
        <w:autoSpaceDN w:val="0"/>
        <w:bidi/>
        <w:adjustRightInd w:val="0"/>
        <w:spacing w:before="240"/>
        <w:jc w:val="center"/>
        <w:rPr>
          <w:rFonts w:asciiTheme="minorBidi" w:hAnsiTheme="minorBidi"/>
          <w:sz w:val="24"/>
          <w:szCs w:val="24"/>
        </w:rPr>
      </w:pPr>
      <w:r w:rsidRPr="007C56E2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>
            <wp:extent cx="5650173" cy="2060812"/>
            <wp:effectExtent l="0" t="0" r="0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5734" w:rsidRPr="00CC0412" w:rsidRDefault="00411677" w:rsidP="00CC339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وحسب قطاع النشاط الاقتصادي،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عرف </w:t>
      </w:r>
      <w:r w:rsidR="00CC3390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معدل الشغل الناقص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ارتفاعا </w:t>
      </w:r>
      <w:r w:rsidR="00CC33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البناء والأشغال العمومية بـ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1,7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(من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17,2%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18,9%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</w:t>
      </w:r>
      <w:r w:rsidR="00CC33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الفلاحة، الغابة والصيد</w:t>
      </w:r>
      <w:r w:rsidR="00CC0412" w:rsidRP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بـ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1,9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(من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9,6%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11,5%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 حين</w:t>
      </w:r>
      <w:r w:rsidR="00CC0412" w:rsidRP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سجل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هذا المعدل</w:t>
      </w:r>
      <w:r w:rsidR="00CC0412" w:rsidRP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تراجعا</w:t>
      </w:r>
      <w:r w:rsidR="00CC0412" w:rsidRP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CC0412" w:rsidRP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0,3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CC0412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"الصناعة بما فيها الصناعة التقليدية"</w:t>
      </w:r>
      <w:r w:rsidR="00CC0412" w:rsidRP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(من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5,3%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5%</w:t>
      </w:r>
      <w:r w:rsid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واستقرارا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في </w:t>
      </w:r>
      <w:r w:rsidR="004B5734" w:rsidRPr="00CC041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7,7%</w:t>
      </w:r>
      <w:r w:rsidR="00CC0412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CC0412" w:rsidRPr="00CC041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الخدمات</w:t>
      </w:r>
      <w:r w:rsidR="00CC041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411677" w:rsidRDefault="004B5734" w:rsidP="006462E3">
      <w:pPr>
        <w:bidi/>
        <w:jc w:val="center"/>
        <w:rPr>
          <w:rFonts w:asciiTheme="majorBidi" w:eastAsia="Times New Roman" w:hAnsiTheme="majorBidi" w:cstheme="majorBidi"/>
          <w:b/>
          <w:bCs/>
          <w:rtl/>
          <w:lang w:eastAsia="fr-FR" w:bidi="tzm-Arab-MA"/>
        </w:rPr>
      </w:pPr>
      <w:r w:rsidRPr="006462E3">
        <w:rPr>
          <w:rFonts w:asciiTheme="majorBidi" w:eastAsia="Times New Roman" w:hAnsiTheme="majorBidi" w:cstheme="majorBidi"/>
          <w:b/>
          <w:bCs/>
          <w:rtl/>
          <w:lang w:eastAsia="fr-FR"/>
        </w:rPr>
        <w:t>مبيان</w:t>
      </w:r>
      <w:r w:rsidRPr="006462E3">
        <w:rPr>
          <w:rFonts w:asciiTheme="majorBidi" w:eastAsia="Times New Roman" w:hAnsiTheme="majorBidi" w:cstheme="majorBidi" w:hint="cs"/>
          <w:b/>
          <w:bCs/>
          <w:rtl/>
          <w:lang w:eastAsia="fr-FR"/>
        </w:rPr>
        <w:t>4</w:t>
      </w:r>
      <w:r w:rsidRPr="006462E3">
        <w:rPr>
          <w:rFonts w:asciiTheme="majorBidi" w:eastAsia="Times New Roman" w:hAnsiTheme="majorBidi" w:cstheme="majorBidi"/>
          <w:b/>
          <w:bCs/>
          <w:lang w:eastAsia="fr-FR"/>
        </w:rPr>
        <w:t>.</w:t>
      </w:r>
      <w:r w:rsidRPr="006462E3">
        <w:rPr>
          <w:rFonts w:asciiTheme="majorBidi" w:eastAsia="Times New Roman" w:hAnsiTheme="majorBidi" w:cstheme="majorBidi"/>
          <w:b/>
          <w:bCs/>
          <w:rtl/>
          <w:lang w:eastAsia="fr-FR"/>
        </w:rPr>
        <w:t>تطور معدل الشغل الناقص ما بين الفصل الثاني لسنة 202</w:t>
      </w:r>
      <w:r w:rsidR="006462E3" w:rsidRPr="006462E3">
        <w:rPr>
          <w:rFonts w:asciiTheme="majorBidi" w:eastAsia="Times New Roman" w:hAnsiTheme="majorBidi" w:cstheme="majorBidi" w:hint="cs"/>
          <w:b/>
          <w:bCs/>
          <w:rtl/>
          <w:lang w:eastAsia="fr-FR"/>
        </w:rPr>
        <w:t>3</w:t>
      </w:r>
      <w:r w:rsidRPr="006462E3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ونفس الفترة من سنة 202</w:t>
      </w:r>
      <w:r w:rsidR="006462E3" w:rsidRPr="006462E3">
        <w:rPr>
          <w:rFonts w:asciiTheme="majorBidi" w:eastAsia="Times New Roman" w:hAnsiTheme="majorBidi" w:cstheme="majorBidi" w:hint="cs"/>
          <w:b/>
          <w:bCs/>
          <w:rtl/>
          <w:lang w:eastAsia="fr-FR"/>
        </w:rPr>
        <w:t>4</w:t>
      </w:r>
      <w:r w:rsidRPr="006462E3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حسب</w:t>
      </w:r>
      <w:r w:rsidR="006462E3" w:rsidRPr="006462E3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</w:t>
      </w:r>
      <w:r w:rsidRPr="006462E3">
        <w:rPr>
          <w:rFonts w:asciiTheme="majorBidi" w:eastAsia="Times New Roman" w:hAnsiTheme="majorBidi" w:cstheme="majorBidi"/>
          <w:b/>
          <w:bCs/>
          <w:rtl/>
          <w:lang w:eastAsia="fr-FR"/>
        </w:rPr>
        <w:t>قطاع النشاط الاقتصادي</w:t>
      </w:r>
      <w:r w:rsidR="006462E3" w:rsidRPr="006462E3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</w:t>
      </w:r>
      <w:r w:rsidRPr="006462E3">
        <w:rPr>
          <w:rFonts w:asciiTheme="majorBidi" w:eastAsia="Times New Roman" w:hAnsiTheme="majorBidi" w:cstheme="majorBidi"/>
          <w:b/>
          <w:bCs/>
          <w:rtl/>
          <w:lang w:eastAsia="fr-FR"/>
        </w:rPr>
        <w:t>(ب %)</w:t>
      </w:r>
    </w:p>
    <w:p w:rsidR="004B5734" w:rsidRPr="007C56E2" w:rsidRDefault="004B5734" w:rsidP="00411677">
      <w:pPr>
        <w:bidi/>
        <w:jc w:val="center"/>
        <w:rPr>
          <w:rFonts w:asciiTheme="minorBidi" w:hAnsiTheme="minorBidi"/>
          <w:sz w:val="24"/>
          <w:szCs w:val="24"/>
        </w:rPr>
      </w:pPr>
      <w:r w:rsidRPr="007C56E2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>
            <wp:extent cx="5650173" cy="2149523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5734" w:rsidRPr="00187ECE" w:rsidRDefault="004B5734" w:rsidP="00187ECE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</w:pPr>
      <w:r w:rsidRPr="00187ECE"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  <w:t>وضعية سوق الشغل على المستوى الجهوي</w:t>
      </w:r>
    </w:p>
    <w:p w:rsidR="004B5734" w:rsidRPr="006462E3" w:rsidRDefault="004B5734" w:rsidP="004B5734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تضم خمس جهات %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72,3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وتأتي جهة الدار البيضاء-سطات في المركز الأول بنسبة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22,6%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النشيطين، متبوعة بجهة الرباط-سلا-القنيطرة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13,5%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ومراكش-آسفي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12,8%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)،وجهة طنجة-تطوان-الحسيمة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)وجهة فاس-مكناس 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11,4%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4B5734" w:rsidRPr="006462E3" w:rsidRDefault="004B5734" w:rsidP="004B5734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lastRenderedPageBreak/>
        <w:t xml:space="preserve">وتسجل ثلاث جهات معدلات نشاط تفوق المعدل الوطني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(44,2%)</w:t>
      </w:r>
      <w:bookmarkStart w:id="0" w:name="_GoBack"/>
      <w:bookmarkEnd w:id="0"/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: ويتعلق الأمر بجهة طنجة-تطوان-الحسيمة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(50,1%)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وجهة الدار البيضاء-سطات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(47,1%)</w:t>
      </w:r>
      <w:r w:rsid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وجهات الجنوب (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(44,8%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بالمقابل، سجلت أدنى المعدلات بجهة</w:t>
      </w:r>
      <w:r w:rsid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بني ملال-خنيفرة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(40%)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 والجهة الشرقية</w:t>
      </w:r>
      <w:r w:rsid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(40,4%)</w:t>
      </w:r>
      <w:r w:rsid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6462E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وجهة سوس-ماسة </w:t>
      </w:r>
      <w:r w:rsidRPr="006462E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.(41,4%)</w:t>
      </w:r>
    </w:p>
    <w:p w:rsidR="004B5734" w:rsidRPr="006462E3" w:rsidRDefault="004B5734" w:rsidP="004B5734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rtl/>
          <w:lang w:eastAsia="fr-FR"/>
        </w:rPr>
      </w:pPr>
      <w:r w:rsidRPr="006462E3">
        <w:rPr>
          <w:rFonts w:asciiTheme="majorBidi" w:eastAsia="Times New Roman" w:hAnsiTheme="majorBidi" w:cstheme="majorBidi"/>
          <w:b/>
          <w:bCs/>
          <w:rtl/>
          <w:lang w:eastAsia="fr-FR"/>
        </w:rPr>
        <w:t>مبيان5.  معدل النشاط حسب الجهات خلال الفصل الثاني من سنة 2024 (%)</w:t>
      </w:r>
    </w:p>
    <w:p w:rsidR="004B5734" w:rsidRPr="007C56E2" w:rsidRDefault="004B5734" w:rsidP="004B5734">
      <w:pPr>
        <w:pStyle w:val="PrformatHTML"/>
        <w:shd w:val="clear" w:color="auto" w:fill="FFFFFF"/>
        <w:bidi/>
        <w:spacing w:before="240" w:after="120" w:line="276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  <w:rtl/>
          <w:lang w:bidi="ar-MA"/>
        </w:rPr>
      </w:pPr>
      <w:r w:rsidRPr="007C56E2"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>
            <wp:extent cx="5770463" cy="249754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5734" w:rsidRPr="00F47B8F" w:rsidRDefault="004B5734" w:rsidP="004B5734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فيما يتعلق بالبطالة، فإن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69,5%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العاطلين يتمركزون بخمس جهات. وتأتي في المقدمة جهة الدار البيضاء-سطات بـ 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25,8%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العاطلين، متبوعة بجهة الرباط-سلا-القنيطرة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(13,3%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 وجهة فاس-مكناس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(11,9%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والجهة الشرقية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(10,4%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وجهة طنجة-تطوان-الحسيمة 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(8,2%)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627A8" w:rsidRDefault="004B5734" w:rsidP="004946D5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وسجلت أعلى مستويات البطالة </w:t>
      </w:r>
      <w:r w:rsidR="004946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جهات الجنوب (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(2</w:t>
      </w:r>
      <w:r w:rsidR="004946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946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4946D5"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4946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الجهة الشرقية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(2</w:t>
      </w:r>
      <w:r w:rsidR="004946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946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وبحدة أقل، تفوق ثلاث جهات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المعدل الوطني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(13,1%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ويتعلق الأمر بجهات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الدار البيضاء-سطات (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14,9%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وبني ملال-خنيفرة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(14,7%)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وفاس-مكناس 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.(13,6%)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 بالمقابل، سجلت أدنى مستويات البطالة بجهات مراكش-أسفي وطنجة-تطوان-الحسيمة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ودرعة-تافيلالت،</w:t>
      </w:r>
      <w:r w:rsidR="00F47B8F" w:rsidRPr="00F47B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على التوالي 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8,1%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8,9%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Pr="00F47B8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9,6%</w:t>
      </w:r>
      <w:r w:rsidRPr="00F47B8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627A8" w:rsidRDefault="00D627A8">
      <w:pP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br w:type="page"/>
      </w:r>
    </w:p>
    <w:p w:rsidR="004B5734" w:rsidRPr="00F47B8F" w:rsidRDefault="004B5734" w:rsidP="004B5734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F47B8F">
        <w:rPr>
          <w:rFonts w:asciiTheme="majorBidi" w:eastAsia="Times New Roman" w:hAnsiTheme="majorBidi" w:cstheme="majorBidi"/>
          <w:b/>
          <w:bCs/>
          <w:rtl/>
          <w:lang w:eastAsia="fr-FR"/>
        </w:rPr>
        <w:lastRenderedPageBreak/>
        <w:t>مبيان6. معدل البطالة حسب الجهات خلال الفصل الثاني من سنة 2024 (%)</w:t>
      </w:r>
    </w:p>
    <w:p w:rsidR="004B5734" w:rsidRPr="007C56E2" w:rsidRDefault="004B5734" w:rsidP="004B5734">
      <w:pPr>
        <w:bidi/>
        <w:spacing w:before="240"/>
        <w:ind w:left="-2"/>
        <w:jc w:val="center"/>
        <w:rPr>
          <w:rFonts w:asciiTheme="minorBidi" w:hAnsiTheme="minorBidi"/>
          <w:sz w:val="28"/>
          <w:szCs w:val="28"/>
          <w:highlight w:val="yellow"/>
          <w:rtl/>
          <w:lang w:bidi="ar-MA"/>
        </w:rPr>
      </w:pPr>
      <w:r w:rsidRPr="007C56E2">
        <w:rPr>
          <w:rFonts w:asciiTheme="minorBidi" w:hAnsiTheme="minorBidi"/>
          <w:noProof/>
          <w:sz w:val="28"/>
          <w:szCs w:val="28"/>
          <w:lang w:eastAsia="fr-FR"/>
        </w:rPr>
        <w:drawing>
          <wp:inline distT="0" distB="0" distL="0" distR="0">
            <wp:extent cx="5605669" cy="2743200"/>
            <wp:effectExtent l="0" t="0" r="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5734" w:rsidRPr="00B549A5" w:rsidRDefault="004B5734" w:rsidP="004B5734">
      <w:pPr>
        <w:bidi/>
        <w:jc w:val="center"/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</w:pPr>
      <w:r w:rsidRPr="007C56E2">
        <w:rPr>
          <w:rFonts w:asciiTheme="minorBidi" w:hAnsiTheme="minorBidi"/>
          <w:b/>
          <w:bCs/>
          <w:color w:val="548DD4"/>
          <w:sz w:val="28"/>
          <w:szCs w:val="28"/>
          <w:rtl/>
        </w:rPr>
        <w:br w:type="page"/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8"/>
        <w:gridCol w:w="3220"/>
      </w:tblGrid>
      <w:tr w:rsidR="004B5734" w:rsidRPr="00B549A5" w:rsidTr="004B5734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2024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keepNext/>
              <w:bidi/>
              <w:spacing w:before="240" w:after="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keepNext/>
              <w:tabs>
                <w:tab w:val="left" w:pos="-720"/>
              </w:tabs>
              <w:suppressAutoHyphens/>
              <w:bidi/>
              <w:spacing w:before="240" w:after="0"/>
              <w:contextualSpacing/>
              <w:outlineLvl w:val="0"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 w:after="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keepNext/>
              <w:spacing w:before="240" w:after="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4B5734" w:rsidRPr="00B549A5" w:rsidTr="004B5734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النشـاط(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15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سنـة فأكثـر)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10205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10205"/>
              </w:rPr>
              <w:t>12 490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10205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10205"/>
              </w:rPr>
              <w:t>4 524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10205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10205"/>
              </w:rPr>
              <w:t>7 966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10205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10205"/>
              </w:rPr>
              <w:t>12 482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 w:cs="Calibri"/>
                <w:b/>
                <w:bCs/>
                <w:color w:val="010205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10205"/>
              </w:rPr>
              <w:t>4 624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 w:cs="Calibri"/>
                <w:b/>
                <w:bCs/>
                <w:color w:val="010205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10205"/>
              </w:rPr>
              <w:t>7 858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(بالآلاف)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23,0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23,5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23,2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22,9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23,4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نسبـة الإنـاث ضمـن السكـان النشيطيـن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</w:rPr>
              <w:t xml:space="preserve">  (%)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44,2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48,0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42,3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44,8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49,2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42,6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النشـاط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4B5734" w:rsidRPr="00B549A5" w:rsidTr="004B5734">
        <w:trPr>
          <w:cantSplit/>
          <w:trHeight w:val="307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69,0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73,3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66,8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69,8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74,5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67,3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20,1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21,6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19,3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20,5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23,0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19,3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22,8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25,4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21,0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22,9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26,0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20,9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60,3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60,1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61,1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61,5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60,9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59,7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63,9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57,9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59,7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64,3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57,6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49,8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35,3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41,0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51,5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35,9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سنـةفأكثـر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41,6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50,3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34,4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42,7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51,9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35,0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46,6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43,9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47,4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46,8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44,1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47,6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الشعل (15 سنة فما فوق)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/>
                <w:b/>
                <w:bCs/>
                <w:color w:val="010205"/>
              </w:rPr>
            </w:pPr>
            <w:r w:rsidRPr="00B549A5">
              <w:rPr>
                <w:rFonts w:ascii="Book Antiqua" w:hAnsi="Book Antiqua"/>
                <w:b/>
                <w:bCs/>
                <w:color w:val="010205"/>
              </w:rPr>
              <w:t>10 858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/>
                <w:b/>
                <w:bCs/>
                <w:color w:val="010205"/>
              </w:rPr>
            </w:pPr>
            <w:r w:rsidRPr="00B549A5">
              <w:rPr>
                <w:rFonts w:ascii="Book Antiqua" w:hAnsi="Book Antiqua"/>
                <w:b/>
                <w:bCs/>
                <w:color w:val="010205"/>
              </w:rPr>
              <w:t>4 219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/>
                <w:b/>
                <w:bCs/>
                <w:color w:val="010205"/>
              </w:rPr>
            </w:pPr>
            <w:r w:rsidRPr="00B549A5">
              <w:rPr>
                <w:rFonts w:ascii="Book Antiqua" w:hAnsi="Book Antiqua"/>
                <w:b/>
                <w:bCs/>
                <w:color w:val="010205"/>
              </w:rPr>
              <w:t>6 638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10 939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4 360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6 579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المشتغلـون(بالآلاف)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35,3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46,4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35,7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</w:rPr>
              <w:t>معدل الشغل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</w:rPr>
              <w:t>( %)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61,0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68,0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57,2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62,2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70,0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58,0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16,5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20,5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14,6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17,0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22,0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14,6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spacing w:after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بنية الشغل حسب قطاعات النشاط الاقتصادي (%)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27,4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63,9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4,3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28,6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65,1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12,8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17,4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12,2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17,0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10,8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10,2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11,2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11</w:t>
            </w:r>
            <w:r w:rsidR="00D627A8">
              <w:rPr>
                <w:rFonts w:ascii="Book Antiqua" w:hAnsi="Book Antiqua" w:cs="Calibri"/>
                <w:color w:val="000000"/>
              </w:rPr>
              <w:t>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9,5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12,0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48,9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67,1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48,1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20,4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66,5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0,1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الأنشطة غير محددة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88,8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74,7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97,7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87,7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72,7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97,6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نسبة الشغل المؤدى عنه ضمـن الشغـل الكلي، منها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</w:rPr>
              <w:t xml:space="preserve"> :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 (%)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65,1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52,5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71,3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64,9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72,6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العمل المستأجر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34,9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28,7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35,1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27,4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الشغل الذاتي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/>
                <w:b/>
                <w:bCs/>
                <w:color w:val="010205"/>
              </w:rPr>
            </w:pPr>
            <w:r w:rsidRPr="00B549A5">
              <w:rPr>
                <w:rFonts w:ascii="Book Antiqua" w:hAnsi="Book Antiqua"/>
                <w:b/>
                <w:bCs/>
                <w:color w:val="010205"/>
              </w:rPr>
              <w:t>1 042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/>
                <w:b/>
                <w:bCs/>
                <w:color w:val="010205"/>
              </w:rPr>
            </w:pPr>
            <w:r w:rsidRPr="00B549A5">
              <w:rPr>
                <w:rFonts w:ascii="Book Antiqua" w:hAnsi="Book Antiqua"/>
                <w:b/>
                <w:bCs/>
                <w:color w:val="010205"/>
              </w:rPr>
              <w:t>490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jc w:val="center"/>
              <w:rPr>
                <w:rFonts w:ascii="Book Antiqua" w:hAnsi="Book Antiqua"/>
                <w:b/>
                <w:bCs/>
                <w:color w:val="010205"/>
              </w:rPr>
            </w:pPr>
            <w:r w:rsidRPr="00B549A5">
              <w:rPr>
                <w:rFonts w:ascii="Book Antiqua" w:hAnsi="Book Antiqua"/>
                <w:b/>
                <w:bCs/>
                <w:color w:val="010205"/>
              </w:rPr>
              <w:t>552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983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434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549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9,6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11,6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8,3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9,0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9,9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8,4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معدل الشغل الناقص (%)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spacing w:after="0"/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ar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ar-MA"/>
              </w:rPr>
              <w:t>حسب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tzm-Arab-MA"/>
              </w:rPr>
              <w:t xml:space="preserve"> نوع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ar-MA"/>
              </w:rPr>
              <w:t xml:space="preserve"> الشغل الناقص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5,4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7,4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4,1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3,8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بساعات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 العمل</w:t>
            </w:r>
          </w:p>
        </w:tc>
      </w:tr>
      <w:tr w:rsidR="004B5734" w:rsidRPr="00B549A5" w:rsidTr="004B5734">
        <w:trPr>
          <w:cantSplit/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10205"/>
              </w:rPr>
            </w:pPr>
            <w:r w:rsidRPr="00B549A5">
              <w:rPr>
                <w:rFonts w:ascii="Book Antiqua" w:hAnsi="Book Antiqua"/>
                <w:color w:val="010205"/>
              </w:rPr>
              <w:t>4,2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10205"/>
              </w:rPr>
            </w:pPr>
            <w:r w:rsidRPr="00B549A5">
              <w:rPr>
                <w:rFonts w:ascii="Book Antiqua" w:hAnsi="Book Antiqua"/>
                <w:color w:val="010205"/>
              </w:rPr>
              <w:t>4,2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10205"/>
              </w:rPr>
            </w:pPr>
            <w:r w:rsidRPr="00B549A5">
              <w:rPr>
                <w:rFonts w:ascii="Book Antiqua" w:hAnsi="Book Antiqua"/>
                <w:color w:val="010205"/>
              </w:rPr>
              <w:t>4,2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4,6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بالدخل غير الكافي أو عدم ملاءمة الشغل مع التكوين</w:t>
            </w:r>
          </w:p>
        </w:tc>
      </w:tr>
    </w:tbl>
    <w:p w:rsidR="004B5734" w:rsidRPr="00B549A5" w:rsidRDefault="004B5734" w:rsidP="004B5734">
      <w:pPr>
        <w:spacing w:after="0"/>
        <w:rPr>
          <w:rFonts w:ascii="Book Antiqua" w:hAnsi="Book Antiqua" w:cstheme="majorBidi"/>
        </w:rPr>
      </w:pPr>
      <w:r w:rsidRPr="00B549A5">
        <w:rPr>
          <w:rFonts w:ascii="Book Antiqua" w:hAnsi="Book Antiqua" w:cstheme="majorBidi"/>
        </w:rPr>
        <w:br w:type="page"/>
      </w:r>
    </w:p>
    <w:tbl>
      <w:tblPr>
        <w:tblW w:w="49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6"/>
        <w:gridCol w:w="982"/>
        <w:gridCol w:w="987"/>
        <w:gridCol w:w="984"/>
        <w:gridCol w:w="977"/>
        <w:gridCol w:w="996"/>
        <w:gridCol w:w="3184"/>
      </w:tblGrid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before="240"/>
              <w:contextualSpacing/>
              <w:jc w:val="center"/>
              <w:rPr>
                <w:rFonts w:ascii="Book Antiqua" w:hAnsi="Book Antiqua" w:cstheme="majorBidi"/>
                <w:color w:val="000000"/>
              </w:rPr>
            </w:pPr>
          </w:p>
        </w:tc>
        <w:tc>
          <w:tcPr>
            <w:tcW w:w="44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autoSpaceDE w:val="0"/>
              <w:autoSpaceDN w:val="0"/>
              <w:bidi/>
              <w:adjustRightInd w:val="0"/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</w:rPr>
              <w:t xml:space="preserve">الجدول 1: المؤشـرات 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الفصلية 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</w:rPr>
              <w:t>للنشـاط والشغل والبطالـة حسـب وسـط الإقامـة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 (تتمة)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bidi/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2024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2023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keepNext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734" w:rsidRPr="00B549A5" w:rsidRDefault="004B5734" w:rsidP="004B5734">
            <w:pPr>
              <w:keepNext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1 633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305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1 328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1 543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263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1"/>
              <w:contextualSpacing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</w:rPr>
              <w:t>1 280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العاطلـون (بالآلاف)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31,2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16,6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34,5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31,9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17,6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34,9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13,1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6,7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16,7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12,4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5,7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16,3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البطالـة</w:t>
            </w:r>
            <w:r w:rsidRPr="00B549A5">
              <w:rPr>
                <w:rFonts w:ascii="Book Antiqua" w:hAnsi="Book Antiqua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)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11,7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7,2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14,3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6,1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13,8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5,1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24,4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17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4,4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ind w:firstLineChars="100" w:firstLine="220"/>
              <w:contextualSpacing/>
              <w:jc w:val="center"/>
              <w:rPr>
                <w:rFonts w:ascii="Book Antiqua" w:hAnsi="Book Antiqua" w:cs="Calibri"/>
                <w:color w:val="000000"/>
              </w:rPr>
            </w:pPr>
            <w:r w:rsidRPr="00B549A5">
              <w:rPr>
                <w:rFonts w:ascii="Book Antiqua" w:hAnsi="Book Antiqua" w:cs="Calibri"/>
                <w:color w:val="000000"/>
              </w:rPr>
              <w:t>24,3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36,1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20,2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48,8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33,6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18,4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46,1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21,4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26,6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19,8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6,9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25,8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9,2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7,2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9,0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4,8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سنـةفأكثـر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contextualSpacing/>
              <w:jc w:val="center"/>
              <w:rPr>
                <w:rFonts w:ascii="Book Antiqua" w:hAnsi="Book Antiqu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734" w:rsidRPr="00B549A5" w:rsidRDefault="004B5734" w:rsidP="004B57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="Garamond"/>
                <w:i/>
                <w:iCs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4B5734" w:rsidRPr="00B549A5" w:rsidTr="004B5734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5,3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3,4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7,6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4,5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2,4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7,0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4B5734" w:rsidRPr="00B549A5" w:rsidTr="004B5734">
        <w:trPr>
          <w:trHeight w:val="27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13,7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21,0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19,2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13,1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34" w:rsidRPr="00B549A5" w:rsidRDefault="004B5734" w:rsidP="004B5734">
            <w:pPr>
              <w:spacing w:after="0"/>
              <w:ind w:firstLineChars="100" w:firstLine="220"/>
              <w:jc w:val="center"/>
              <w:rPr>
                <w:rFonts w:ascii="Book Antiqua" w:hAnsi="Book Antiqua"/>
                <w:color w:val="000000"/>
              </w:rPr>
            </w:pPr>
            <w:r w:rsidRPr="00B549A5">
              <w:rPr>
                <w:rFonts w:ascii="Book Antiqua" w:hAnsi="Book Antiqua"/>
                <w:color w:val="000000"/>
              </w:rPr>
              <w:t>20,8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="Book Antiqua" w:hAnsi="Book Antiqua" w:cstheme="majorBidi"/>
                <w:spacing w:val="-2"/>
                <w:sz w:val="18"/>
                <w:szCs w:val="18"/>
                <w:lang w:val="en-US"/>
              </w:rPr>
            </w:pPr>
            <w:r w:rsidRPr="00B549A5">
              <w:rPr>
                <w:rFonts w:ascii="Book Antiqua" w:hAnsi="Book Antiqua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</w:tbl>
    <w:p w:rsidR="004B5734" w:rsidRPr="00B549A5" w:rsidRDefault="004B5734" w:rsidP="004B5734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rFonts w:ascii="Book Antiqua" w:hAnsi="Book Antiqua"/>
          <w:sz w:val="16"/>
          <w:szCs w:val="16"/>
        </w:rPr>
      </w:pPr>
      <w:r w:rsidRPr="00B549A5">
        <w:rPr>
          <w:rFonts w:ascii="Book Antiqua" w:hAnsi="Book Antiqua"/>
          <w:sz w:val="18"/>
          <w:szCs w:val="18"/>
          <w:rtl/>
        </w:rPr>
        <w:t>المصـدر: البحث الوطني حول التشغيل، المندوبية السامية للتخطيط</w:t>
      </w:r>
    </w:p>
    <w:p w:rsidR="004B5734" w:rsidRPr="00B549A5" w:rsidRDefault="004B5734" w:rsidP="004B5734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rFonts w:ascii="Book Antiqua" w:hAnsi="Book Antiqua"/>
          <w:b/>
          <w:bCs/>
          <w:sz w:val="18"/>
          <w:szCs w:val="18"/>
          <w:rtl/>
        </w:rPr>
      </w:pPr>
      <w:r w:rsidRPr="00B549A5">
        <w:rPr>
          <w:rFonts w:ascii="Book Antiqua" w:hAnsi="Book Antiqua"/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B549A5">
        <w:rPr>
          <w:rFonts w:ascii="Book Antiqua" w:hAnsi="Book Antiqua"/>
          <w:b/>
          <w:bCs/>
          <w:sz w:val="18"/>
          <w:szCs w:val="18"/>
          <w:rtl/>
        </w:rPr>
        <w:t xml:space="preserve">: </w:t>
      </w:r>
      <w:hyperlink r:id="rId14" w:history="1">
        <w:r w:rsidRPr="00B549A5">
          <w:rPr>
            <w:rFonts w:ascii="Book Antiqua" w:hAnsi="Book Antiqua"/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4B5734" w:rsidRPr="00B549A5" w:rsidRDefault="004B5734" w:rsidP="004B5734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rFonts w:ascii="Book Antiqua" w:hAnsi="Book Antiqua"/>
          <w:sz w:val="16"/>
          <w:szCs w:val="16"/>
        </w:rPr>
      </w:pPr>
      <w:r w:rsidRPr="00B549A5">
        <w:rPr>
          <w:rFonts w:ascii="Book Antiqua" w:hAnsi="Book Antiqua"/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B549A5">
        <w:rPr>
          <w:rFonts w:ascii="Book Antiqua" w:hAnsi="Book Antiqua"/>
          <w:b/>
          <w:bCs/>
          <w:sz w:val="18"/>
          <w:szCs w:val="18"/>
        </w:rPr>
        <w:t>.</w:t>
      </w:r>
    </w:p>
    <w:p w:rsidR="004B5734" w:rsidRPr="00B549A5" w:rsidRDefault="004B5734" w:rsidP="004B5734">
      <w:pPr>
        <w:bidi/>
        <w:spacing w:before="240"/>
        <w:rPr>
          <w:rFonts w:ascii="Book Antiqua" w:hAnsi="Book Antiqua" w:cstheme="majorBidi"/>
          <w:b/>
          <w:bCs/>
          <w:sz w:val="18"/>
          <w:szCs w:val="18"/>
          <w:rtl/>
        </w:rPr>
      </w:pPr>
    </w:p>
    <w:p w:rsidR="004B5734" w:rsidRPr="00B549A5" w:rsidRDefault="004B5734" w:rsidP="004B5734">
      <w:pPr>
        <w:autoSpaceDE w:val="0"/>
        <w:autoSpaceDN w:val="0"/>
        <w:bidi/>
        <w:adjustRightInd w:val="0"/>
        <w:spacing w:before="240"/>
        <w:contextualSpacing/>
        <w:jc w:val="both"/>
        <w:rPr>
          <w:rFonts w:ascii="Book Antiqua" w:hAnsi="Book Antiqua" w:cstheme="majorBidi"/>
          <w:b/>
          <w:bCs/>
          <w:color w:val="548DD4"/>
          <w:sz w:val="28"/>
          <w:szCs w:val="28"/>
        </w:rPr>
      </w:pPr>
    </w:p>
    <w:p w:rsidR="004B5734" w:rsidRPr="00B549A5" w:rsidRDefault="004B5734" w:rsidP="004B5734">
      <w:pPr>
        <w:spacing w:before="240"/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</w:pP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br w:type="page"/>
      </w:r>
    </w:p>
    <w:p w:rsidR="004B5734" w:rsidRPr="00B549A5" w:rsidRDefault="004B5734" w:rsidP="004B5734">
      <w:pPr>
        <w:autoSpaceDE w:val="0"/>
        <w:autoSpaceDN w:val="0"/>
        <w:bidi/>
        <w:adjustRightInd w:val="0"/>
        <w:spacing w:before="240"/>
        <w:contextualSpacing/>
        <w:jc w:val="center"/>
        <w:rPr>
          <w:rFonts w:ascii="Book Antiqua" w:hAnsi="Book Antiqua" w:cstheme="majorBidi"/>
          <w:b/>
          <w:bCs/>
          <w:color w:val="548DD4"/>
          <w:sz w:val="28"/>
          <w:szCs w:val="28"/>
        </w:rPr>
      </w:pPr>
      <w:r w:rsidRPr="00B549A5">
        <w:rPr>
          <w:rFonts w:ascii="Book Antiqua" w:hAnsi="Book Antiqua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3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37"/>
        <w:gridCol w:w="2138"/>
        <w:gridCol w:w="2269"/>
      </w:tblGrid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:rsidR="004B5734" w:rsidRPr="00B549A5" w:rsidRDefault="004B5734" w:rsidP="004B5734">
            <w:pPr>
              <w:bidi/>
              <w:spacing w:before="240"/>
              <w:contextualSpacing/>
              <w:jc w:val="center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</w:t>
            </w: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  <w:lang w:bidi="ar-MA"/>
              </w:rPr>
              <w:t>ثاني</w:t>
            </w: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 xml:space="preserve"> من سنة 2024</w:t>
            </w:r>
          </w:p>
        </w:tc>
        <w:tc>
          <w:tcPr>
            <w:tcW w:w="1476" w:type="pct"/>
            <w:vAlign w:val="center"/>
          </w:tcPr>
          <w:p w:rsidR="004B5734" w:rsidRPr="00B549A5" w:rsidRDefault="004B5734" w:rsidP="004B5734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="Book Antiqua" w:hAnsi="Book Antiqua" w:cstheme="majorBidi"/>
                <w:b/>
                <w:bCs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b/>
                <w:bCs/>
                <w:sz w:val="18"/>
                <w:szCs w:val="18"/>
                <w:rtl/>
              </w:rPr>
              <w:t>الفصل الثاني من سنة 2023</w:t>
            </w:r>
          </w:p>
        </w:tc>
        <w:tc>
          <w:tcPr>
            <w:tcW w:w="1566" w:type="pct"/>
            <w:vAlign w:val="center"/>
          </w:tcPr>
          <w:p w:rsidR="004B5734" w:rsidRPr="00B549A5" w:rsidRDefault="004B5734" w:rsidP="004B5734">
            <w:pPr>
              <w:tabs>
                <w:tab w:val="left" w:pos="-720"/>
              </w:tabs>
              <w:suppressAutoHyphens/>
              <w:bidi/>
              <w:spacing w:before="240"/>
              <w:jc w:val="center"/>
              <w:rPr>
                <w:rFonts w:ascii="Book Antiqua" w:hAnsi="Book Antiqua" w:cstheme="majorBidi"/>
                <w:b/>
                <w:bCs/>
                <w:spacing w:val="-2"/>
                <w:sz w:val="14"/>
                <w:szCs w:val="14"/>
                <w:lang w:val="en-US"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النشـاط(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النشـاط(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سنـةفأكثـر)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3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3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معـدل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 xml:space="preserve"> الشغل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جهات الجنوب 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3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3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>معد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ar-MA"/>
              </w:rPr>
              <w:t>ل</w:t>
            </w:r>
            <w:r w:rsidRPr="00B549A5">
              <w:rPr>
                <w:rFonts w:ascii="Book Antiqua" w:hAnsi="Book Antiqua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 xml:space="preserve"> البطالة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  <w:r w:rsidRPr="00B549A5">
              <w:rPr>
                <w:rFonts w:ascii="Book Antiqua" w:hAnsi="Book Antiqua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4B5734" w:rsidRPr="00B549A5" w:rsidTr="004B5734">
        <w:trPr>
          <w:cantSplit/>
          <w:trHeight w:hRule="exact" w:val="284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3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734" w:rsidRPr="00B549A5" w:rsidRDefault="004B5734" w:rsidP="004B5734">
            <w:pPr>
              <w:ind w:firstLineChars="300" w:firstLine="723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B549A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66" w:type="pct"/>
            <w:vAlign w:val="bottom"/>
          </w:tcPr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B549A5">
              <w:rPr>
                <w:rFonts w:ascii="Book Antiqua" w:hAnsi="Book Antiqua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4B5734" w:rsidRPr="00B549A5" w:rsidRDefault="004B5734" w:rsidP="004B5734">
            <w:pPr>
              <w:bidi/>
              <w:rPr>
                <w:rFonts w:ascii="Book Antiqua" w:hAnsi="Book Antiqua" w:cstheme="majorBidi"/>
                <w:color w:val="000000"/>
                <w:sz w:val="18"/>
                <w:szCs w:val="18"/>
              </w:rPr>
            </w:pPr>
          </w:p>
        </w:tc>
      </w:tr>
    </w:tbl>
    <w:p w:rsidR="00B40036" w:rsidRDefault="00D627A8" w:rsidP="00405EA7">
      <w:pPr>
        <w:bidi/>
        <w:spacing w:before="240"/>
        <w:ind w:left="36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>
        <w:rPr>
          <w:rFonts w:ascii="Book Antiqua" w:hAnsi="Book Antiqua" w:cstheme="majorBidi"/>
          <w:sz w:val="16"/>
          <w:szCs w:val="16"/>
        </w:rPr>
        <w:t xml:space="preserve">               </w:t>
      </w:r>
      <w:r w:rsidR="004B5734" w:rsidRPr="00B549A5">
        <w:rPr>
          <w:rFonts w:ascii="Book Antiqua" w:hAnsi="Book Antiqua" w:cstheme="majorBidi"/>
          <w:sz w:val="16"/>
          <w:szCs w:val="16"/>
          <w:rtl/>
        </w:rPr>
        <w:t>المصـدر: البحث الوطني حول التشغيل، المندوبية السامية للتخطيط</w:t>
      </w:r>
    </w:p>
    <w:sectPr w:rsidR="00B40036" w:rsidSect="008657D0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55" w:rsidRDefault="00660555" w:rsidP="00983B3A">
      <w:pPr>
        <w:spacing w:after="0" w:line="240" w:lineRule="auto"/>
      </w:pPr>
      <w:r>
        <w:separator/>
      </w:r>
    </w:p>
  </w:endnote>
  <w:endnote w:type="continuationSeparator" w:id="1">
    <w:p w:rsidR="00660555" w:rsidRDefault="00660555" w:rsidP="009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077920"/>
      <w:docPartObj>
        <w:docPartGallery w:val="Page Numbers (Bottom of Page)"/>
        <w:docPartUnique/>
      </w:docPartObj>
    </w:sdtPr>
    <w:sdtContent>
      <w:p w:rsidR="0025663C" w:rsidRDefault="00EE1A67">
        <w:pPr>
          <w:pStyle w:val="Pieddepage"/>
          <w:jc w:val="center"/>
        </w:pPr>
        <w:fldSimple w:instr=" PAGE   \* MERGEFORMAT ">
          <w:r w:rsidR="00760FE2">
            <w:rPr>
              <w:noProof/>
            </w:rPr>
            <w:t>10</w:t>
          </w:r>
        </w:fldSimple>
      </w:p>
    </w:sdtContent>
  </w:sdt>
  <w:p w:rsidR="004B5734" w:rsidRDefault="004B57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55" w:rsidRDefault="00660555" w:rsidP="00983B3A">
      <w:pPr>
        <w:spacing w:after="0" w:line="240" w:lineRule="auto"/>
      </w:pPr>
      <w:r>
        <w:separator/>
      </w:r>
    </w:p>
  </w:footnote>
  <w:footnote w:type="continuationSeparator" w:id="1">
    <w:p w:rsidR="00660555" w:rsidRDefault="00660555" w:rsidP="00983B3A">
      <w:pPr>
        <w:spacing w:after="0" w:line="240" w:lineRule="auto"/>
      </w:pPr>
      <w:r>
        <w:continuationSeparator/>
      </w:r>
    </w:p>
  </w:footnote>
  <w:footnote w:id="2">
    <w:p w:rsidR="00D627A8" w:rsidRPr="00664910" w:rsidRDefault="00D627A8" w:rsidP="00D627A8">
      <w:pPr>
        <w:pStyle w:val="Notedebasdepage"/>
        <w:bidi/>
        <w:rPr>
          <w:rFonts w:asciiTheme="minorBidi" w:hAnsiTheme="minorBidi"/>
          <w:sz w:val="16"/>
          <w:szCs w:val="16"/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tzm-Arab-MA"/>
        </w:rPr>
        <w:t xml:space="preserve"> 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4" w:rsidRDefault="004B5734" w:rsidP="008657D0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4" w:rsidRDefault="004B5734" w:rsidP="008657D0">
    <w:pPr>
      <w:pStyle w:val="En-tte"/>
      <w:jc w:val="center"/>
    </w:pPr>
    <w:r w:rsidRPr="008657D0">
      <w:rPr>
        <w:noProof/>
        <w:lang w:eastAsia="fr-FR"/>
      </w:rPr>
      <w:drawing>
        <wp:inline distT="0" distB="0" distL="0" distR="0">
          <wp:extent cx="1365250" cy="850900"/>
          <wp:effectExtent l="19050" t="0" r="635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315" cy="85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21F79DE"/>
    <w:multiLevelType w:val="hybridMultilevel"/>
    <w:tmpl w:val="754E90C4"/>
    <w:lvl w:ilvl="0" w:tplc="68806AAA">
      <w:start w:val="3"/>
      <w:numFmt w:val="decimal"/>
      <w:lvlText w:val="%1."/>
      <w:lvlJc w:val="left"/>
      <w:pPr>
        <w:ind w:left="720" w:hanging="360"/>
      </w:pPr>
      <w:rPr>
        <w:rFonts w:ascii="Book Antiqua" w:eastAsiaTheme="majorEastAsia" w:hAnsi="Book Antiqua" w:cs="Times New Roman" w:hint="default"/>
        <w:color w:val="244061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803633"/>
    <w:rsid w:val="00024EB9"/>
    <w:rsid w:val="0003177C"/>
    <w:rsid w:val="00043286"/>
    <w:rsid w:val="00044F1E"/>
    <w:rsid w:val="000D6FD8"/>
    <w:rsid w:val="001207E7"/>
    <w:rsid w:val="00131893"/>
    <w:rsid w:val="00141250"/>
    <w:rsid w:val="00141458"/>
    <w:rsid w:val="00180D82"/>
    <w:rsid w:val="00187ECE"/>
    <w:rsid w:val="001A6A7A"/>
    <w:rsid w:val="001A7970"/>
    <w:rsid w:val="001B0DE1"/>
    <w:rsid w:val="001E4B86"/>
    <w:rsid w:val="00224C72"/>
    <w:rsid w:val="00235F7D"/>
    <w:rsid w:val="00244DCD"/>
    <w:rsid w:val="0025663C"/>
    <w:rsid w:val="002A3114"/>
    <w:rsid w:val="002F7092"/>
    <w:rsid w:val="00304142"/>
    <w:rsid w:val="00373656"/>
    <w:rsid w:val="003A3934"/>
    <w:rsid w:val="003A4548"/>
    <w:rsid w:val="003D5618"/>
    <w:rsid w:val="00401931"/>
    <w:rsid w:val="00405EA7"/>
    <w:rsid w:val="00411677"/>
    <w:rsid w:val="00433421"/>
    <w:rsid w:val="00440428"/>
    <w:rsid w:val="00450859"/>
    <w:rsid w:val="00475FFC"/>
    <w:rsid w:val="004946D5"/>
    <w:rsid w:val="004B14D4"/>
    <w:rsid w:val="004B5734"/>
    <w:rsid w:val="004F19A2"/>
    <w:rsid w:val="005044CB"/>
    <w:rsid w:val="0053134E"/>
    <w:rsid w:val="005639C8"/>
    <w:rsid w:val="0056650E"/>
    <w:rsid w:val="00591BD5"/>
    <w:rsid w:val="005B633F"/>
    <w:rsid w:val="005D2E63"/>
    <w:rsid w:val="0063226D"/>
    <w:rsid w:val="00632A3E"/>
    <w:rsid w:val="006462E3"/>
    <w:rsid w:val="00660555"/>
    <w:rsid w:val="006809EA"/>
    <w:rsid w:val="00681EA7"/>
    <w:rsid w:val="00682708"/>
    <w:rsid w:val="0068668C"/>
    <w:rsid w:val="006B2C71"/>
    <w:rsid w:val="006B3FC3"/>
    <w:rsid w:val="006C2E53"/>
    <w:rsid w:val="006E19D7"/>
    <w:rsid w:val="006E2D3D"/>
    <w:rsid w:val="006F0058"/>
    <w:rsid w:val="006F6E92"/>
    <w:rsid w:val="00703155"/>
    <w:rsid w:val="007113EE"/>
    <w:rsid w:val="00714E9C"/>
    <w:rsid w:val="00731A64"/>
    <w:rsid w:val="00760FE2"/>
    <w:rsid w:val="007938AA"/>
    <w:rsid w:val="007965E2"/>
    <w:rsid w:val="007B1F49"/>
    <w:rsid w:val="007B40B0"/>
    <w:rsid w:val="007D3E4E"/>
    <w:rsid w:val="007E64C3"/>
    <w:rsid w:val="00800CFB"/>
    <w:rsid w:val="00803633"/>
    <w:rsid w:val="00804A97"/>
    <w:rsid w:val="00806EA3"/>
    <w:rsid w:val="00831D11"/>
    <w:rsid w:val="00832310"/>
    <w:rsid w:val="008551F6"/>
    <w:rsid w:val="008657D0"/>
    <w:rsid w:val="008A27E2"/>
    <w:rsid w:val="008B16A0"/>
    <w:rsid w:val="008B3393"/>
    <w:rsid w:val="008D2301"/>
    <w:rsid w:val="009057AC"/>
    <w:rsid w:val="00971302"/>
    <w:rsid w:val="00971740"/>
    <w:rsid w:val="00983B3A"/>
    <w:rsid w:val="00A06AD4"/>
    <w:rsid w:val="00A14739"/>
    <w:rsid w:val="00A558E4"/>
    <w:rsid w:val="00A61E8A"/>
    <w:rsid w:val="00A80667"/>
    <w:rsid w:val="00A92E22"/>
    <w:rsid w:val="00AB7159"/>
    <w:rsid w:val="00AC16F2"/>
    <w:rsid w:val="00AC1EDD"/>
    <w:rsid w:val="00B24362"/>
    <w:rsid w:val="00B40036"/>
    <w:rsid w:val="00B700A5"/>
    <w:rsid w:val="00B84E4B"/>
    <w:rsid w:val="00B85D74"/>
    <w:rsid w:val="00BA769D"/>
    <w:rsid w:val="00BD3F4C"/>
    <w:rsid w:val="00C22724"/>
    <w:rsid w:val="00C53AA3"/>
    <w:rsid w:val="00CB52D8"/>
    <w:rsid w:val="00CC0412"/>
    <w:rsid w:val="00CC0834"/>
    <w:rsid w:val="00CC3390"/>
    <w:rsid w:val="00CD7CDC"/>
    <w:rsid w:val="00CE38A8"/>
    <w:rsid w:val="00D13C87"/>
    <w:rsid w:val="00D166E2"/>
    <w:rsid w:val="00D302AC"/>
    <w:rsid w:val="00D40D8D"/>
    <w:rsid w:val="00D627A8"/>
    <w:rsid w:val="00D6485B"/>
    <w:rsid w:val="00D722A2"/>
    <w:rsid w:val="00D82B44"/>
    <w:rsid w:val="00D82BD1"/>
    <w:rsid w:val="00D8542D"/>
    <w:rsid w:val="00D87C59"/>
    <w:rsid w:val="00DC44AD"/>
    <w:rsid w:val="00DD2CB9"/>
    <w:rsid w:val="00E4538E"/>
    <w:rsid w:val="00E51F46"/>
    <w:rsid w:val="00E91823"/>
    <w:rsid w:val="00E92889"/>
    <w:rsid w:val="00EC383C"/>
    <w:rsid w:val="00EC4254"/>
    <w:rsid w:val="00EE1A67"/>
    <w:rsid w:val="00EE263A"/>
    <w:rsid w:val="00EE4761"/>
    <w:rsid w:val="00EE7092"/>
    <w:rsid w:val="00EF6D5C"/>
    <w:rsid w:val="00F265D8"/>
    <w:rsid w:val="00F27B16"/>
    <w:rsid w:val="00F47B8F"/>
    <w:rsid w:val="00F619F8"/>
    <w:rsid w:val="00F65534"/>
    <w:rsid w:val="00F76FB6"/>
    <w:rsid w:val="00FC20CC"/>
    <w:rsid w:val="00FC31AF"/>
    <w:rsid w:val="00FC7DD4"/>
    <w:rsid w:val="00FF4201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49"/>
  </w:style>
  <w:style w:type="paragraph" w:styleId="Titre1">
    <w:name w:val="heading 1"/>
    <w:basedOn w:val="Normal"/>
    <w:next w:val="Normal"/>
    <w:link w:val="Titre1Car"/>
    <w:uiPriority w:val="9"/>
    <w:qFormat/>
    <w:rsid w:val="00EC3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3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38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3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63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3B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3B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3B3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83B3A"/>
    <w:pPr>
      <w:spacing w:after="160"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unhideWhenUsed/>
    <w:rsid w:val="00141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4145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3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C38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C38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EC38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EC38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C383C"/>
  </w:style>
  <w:style w:type="paragraph" w:styleId="En-tte">
    <w:name w:val="header"/>
    <w:basedOn w:val="Normal"/>
    <w:link w:val="En-tteCar"/>
    <w:uiPriority w:val="99"/>
    <w:semiHidden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57D0"/>
  </w:style>
  <w:style w:type="paragraph" w:styleId="Pieddepage">
    <w:name w:val="footer"/>
    <w:basedOn w:val="Normal"/>
    <w:link w:val="PieddepageCar"/>
    <w:uiPriority w:val="99"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24T2%20-%20Note%20sur%20les%20chiffres%20cl&#233;s%20-%20Annexe%20-DEE2207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ownloads\2024T2%20-%20Note%20sur%20les%20chiffres%20cl&#233;s%20-%20Tabulation%20%231%20-DEE22072024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ownloads\2024T2%20-%20Note%20sur%20les%20chiffres%20cl&#233;s%20-%20Tabulation%20%231%20-DEE22072024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ownloads\2024T2%20-%20Note%20sur%20les%20chiffres%20cl&#233;s%20-%20Tabulation%20%231%20-DEE22072024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Feuil1!$I$6</c:f>
              <c:strCache>
                <c:ptCount val="1"/>
                <c:pt idx="0">
                  <c:v>حضري 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38 000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80 000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Feuil1!$H$7:$H$10</c:f>
              <c:strCache>
                <c:ptCount val="4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Feuil1!$I$7:$I$10</c:f>
              <c:numCache>
                <c:formatCode>\+#,##0;\-#,##0;#,##0</c:formatCode>
                <c:ptCount val="4"/>
                <c:pt idx="0">
                  <c:v>-6000</c:v>
                </c:pt>
                <c:pt idx="1">
                  <c:v>38000</c:v>
                </c:pt>
                <c:pt idx="2">
                  <c:v>-51000</c:v>
                </c:pt>
                <c:pt idx="3">
                  <c:v>80000</c:v>
                </c:pt>
              </c:numCache>
            </c:numRef>
          </c:val>
        </c:ser>
        <c:ser>
          <c:idx val="1"/>
          <c:order val="1"/>
          <c:tx>
            <c:strRef>
              <c:f>Feuil1!$J$6</c:f>
              <c:strCache>
                <c:ptCount val="1"/>
                <c:pt idx="0">
                  <c:v>قروي </c:v>
                </c:pt>
              </c:strCache>
            </c:strRef>
          </c:tx>
          <c:spPr>
            <a:solidFill>
              <a:schemeClr val="accent6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20 000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15 000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Feuil1!$H$7:$H$10</c:f>
              <c:strCache>
                <c:ptCount val="4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Feuil1!$J$7:$J$10</c:f>
              <c:numCache>
                <c:formatCode>\+#,##0;\-#,##0;#,##0</c:formatCode>
                <c:ptCount val="4"/>
                <c:pt idx="0">
                  <c:v>-146000</c:v>
                </c:pt>
                <c:pt idx="1">
                  <c:v>20000</c:v>
                </c:pt>
                <c:pt idx="2">
                  <c:v>15000</c:v>
                </c:pt>
                <c:pt idx="3">
                  <c:v>-31000</c:v>
                </c:pt>
              </c:numCache>
            </c:numRef>
          </c:val>
        </c:ser>
        <c:ser>
          <c:idx val="2"/>
          <c:order val="2"/>
          <c:tx>
            <c:strRef>
              <c:f>Feuil1!$K$6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58 000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49 000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Feuil1!$H$7:$H$10</c:f>
              <c:strCache>
                <c:ptCount val="4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Feuil1!$K$7:$K$10</c:f>
              <c:numCache>
                <c:formatCode>\+#,##0;\-#,##0;#,##0</c:formatCode>
                <c:ptCount val="4"/>
                <c:pt idx="0">
                  <c:v>-152000</c:v>
                </c:pt>
                <c:pt idx="1">
                  <c:v>58000</c:v>
                </c:pt>
                <c:pt idx="2">
                  <c:v>-35000</c:v>
                </c:pt>
                <c:pt idx="3">
                  <c:v>49000</c:v>
                </c:pt>
              </c:numCache>
            </c:numRef>
          </c:val>
        </c:ser>
        <c:dLbls>
          <c:showVal val="1"/>
        </c:dLbls>
        <c:overlap val="-25"/>
        <c:axId val="102461824"/>
        <c:axId val="102463744"/>
      </c:barChart>
      <c:catAx>
        <c:axId val="102461824"/>
        <c:scaling>
          <c:orientation val="minMax"/>
        </c:scaling>
        <c:axPos val="b"/>
        <c:majorTickMark val="none"/>
        <c:tickLblPos val="low"/>
        <c:crossAx val="102463744"/>
        <c:crosses val="autoZero"/>
        <c:lblAlgn val="ctr"/>
        <c:lblOffset val="100"/>
      </c:catAx>
      <c:valAx>
        <c:axId val="102463744"/>
        <c:scaling>
          <c:orientation val="minMax"/>
        </c:scaling>
        <c:delete val="1"/>
        <c:axPos val="l"/>
        <c:numFmt formatCode="\+#,##0;\-#,##0;#,##0" sourceLinked="1"/>
        <c:majorTickMark val="none"/>
        <c:tickLblPos val="nextTo"/>
        <c:crossAx val="10246182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'[2024T2 - Note sur les chiffres clés - Tabulation #1 -DEE22072024.xlsx]Feuil1'!$A$5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11,0</a:t>
                    </a:r>
                  </a:p>
                </c:rich>
              </c:tx>
              <c:dLblPos val="out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fr-FR"/>
                      <a:t>,0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'[2024T2 - Note sur les chiffres clés - Tabulation #1 -DEE22072024.xlsx]Feuil1'!$B$4:$I$4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15-24 سنة</c:v>
                </c:pt>
                <c:pt idx="5">
                  <c:v>25-34 سنة</c:v>
                </c:pt>
                <c:pt idx="6">
                  <c:v>حاملوا الشهادات</c:v>
                </c:pt>
                <c:pt idx="7">
                  <c:v>وطني</c:v>
                </c:pt>
              </c:strCache>
            </c:strRef>
          </c:cat>
          <c:val>
            <c:numRef>
              <c:f>'[2024T2 - Note sur les chiffres clés - Tabulation #1 -DEE22072024.xlsx]Feuil1'!$B$5:$I$5</c:f>
              <c:numCache>
                <c:formatCode>General</c:formatCode>
                <c:ptCount val="8"/>
                <c:pt idx="0">
                  <c:v>16.3</c:v>
                </c:pt>
                <c:pt idx="1">
                  <c:v>5.7</c:v>
                </c:pt>
                <c:pt idx="2">
                  <c:v>11</c:v>
                </c:pt>
                <c:pt idx="3">
                  <c:v>17</c:v>
                </c:pt>
                <c:pt idx="4">
                  <c:v>33.6</c:v>
                </c:pt>
                <c:pt idx="5">
                  <c:v>19.8</c:v>
                </c:pt>
                <c:pt idx="6">
                  <c:v>19.2</c:v>
                </c:pt>
                <c:pt idx="7">
                  <c:v>12.4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B2-4CFB-9332-F6612D79821D}"/>
            </c:ext>
          </c:extLst>
        </c:ser>
        <c:ser>
          <c:idx val="1"/>
          <c:order val="1"/>
          <c:tx>
            <c:strRef>
              <c:f>'[2024T2 - Note sur les chiffres clés - Tabulation #1 -DEE22072024.xlsx]Feuil1'!$A$6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-2.46957560634887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5741935666657759E-2"/>
                  <c:y val="-2.469575606348870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1244239761898363E-2"/>
                  <c:y val="-9.8783024253954813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8.9953918095187161E-3"/>
                  <c:y val="-1.481745363809318E-2"/>
                </c:manualLayout>
              </c:layout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'[2024T2 - Note sur les chiffres clés - Tabulation #1 -DEE22072024.xlsx]Feuil1'!$B$4:$I$4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15-24 سنة</c:v>
                </c:pt>
                <c:pt idx="5">
                  <c:v>25-34 سنة</c:v>
                </c:pt>
                <c:pt idx="6">
                  <c:v>حاملوا الشهادات</c:v>
                </c:pt>
                <c:pt idx="7">
                  <c:v>وطني</c:v>
                </c:pt>
              </c:strCache>
            </c:strRef>
          </c:cat>
          <c:val>
            <c:numRef>
              <c:f>'[2024T2 - Note sur les chiffres clés - Tabulation #1 -DEE22072024.xlsx]Feuil1'!$B$6:$I$6</c:f>
              <c:numCache>
                <c:formatCode>General</c:formatCode>
                <c:ptCount val="8"/>
                <c:pt idx="0">
                  <c:v>16.7</c:v>
                </c:pt>
                <c:pt idx="1">
                  <c:v>6.7</c:v>
                </c:pt>
                <c:pt idx="2">
                  <c:v>11.7</c:v>
                </c:pt>
                <c:pt idx="3">
                  <c:v>17.7</c:v>
                </c:pt>
                <c:pt idx="4">
                  <c:v>36.1</c:v>
                </c:pt>
                <c:pt idx="5">
                  <c:v>21.4</c:v>
                </c:pt>
                <c:pt idx="6">
                  <c:v>19.399999999999999</c:v>
                </c:pt>
                <c:pt idx="7">
                  <c:v>13.1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B2-4CFB-9332-F6612D79821D}"/>
            </c:ext>
          </c:extLst>
        </c:ser>
        <c:dLbls>
          <c:showVal val="1"/>
        </c:dLbls>
        <c:gapWidth val="219"/>
        <c:overlap val="-27"/>
        <c:axId val="102856576"/>
        <c:axId val="102920192"/>
      </c:barChart>
      <c:catAx>
        <c:axId val="102856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102920192"/>
        <c:crosses val="autoZero"/>
        <c:auto val="1"/>
        <c:lblAlgn val="ctr"/>
        <c:lblOffset val="100"/>
      </c:catAx>
      <c:valAx>
        <c:axId val="10292019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285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'[2024T2 - Note sur les chiffres clés - Tabulation #1 -DEE22072024.xlsx]Feuil1'!$A$10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'[2024T2 - Note sur les chiffres clés - Tabulation #1 -DEE22072024.xlsx]Feuil1'!$B$9:$H$9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15-24 سنة</c:v>
                </c:pt>
                <c:pt idx="5">
                  <c:v>بدون شهادة</c:v>
                </c:pt>
                <c:pt idx="6">
                  <c:v>وطني</c:v>
                </c:pt>
              </c:strCache>
            </c:strRef>
          </c:cat>
          <c:val>
            <c:numRef>
              <c:f>'[2024T2 - Note sur les chiffres clés - Tabulation #1 -DEE22072024.xlsx]Feuil1'!$B$10:$H$10</c:f>
              <c:numCache>
                <c:formatCode>General</c:formatCode>
                <c:ptCount val="7"/>
                <c:pt idx="0">
                  <c:v>8.4</c:v>
                </c:pt>
                <c:pt idx="1">
                  <c:v>9.9</c:v>
                </c:pt>
                <c:pt idx="2">
                  <c:v>10.1</c:v>
                </c:pt>
                <c:pt idx="3">
                  <c:v>5</c:v>
                </c:pt>
                <c:pt idx="4">
                  <c:v>13.2</c:v>
                </c:pt>
                <c:pt idx="5">
                  <c:v>8.5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20-4EE9-A589-251874F9BB9A}"/>
            </c:ext>
          </c:extLst>
        </c:ser>
        <c:ser>
          <c:idx val="1"/>
          <c:order val="1"/>
          <c:tx>
            <c:strRef>
              <c:f>'[2024T2 - Note sur les chiffres clés - Tabulation #1 -DEE22072024.xlsx]Feuil1'!$A$11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'[2024T2 - Note sur les chiffres clés - Tabulation #1 -DEE22072024.xlsx]Feuil1'!$B$9:$H$9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15-24 سنة</c:v>
                </c:pt>
                <c:pt idx="5">
                  <c:v>بدون شهادة</c:v>
                </c:pt>
                <c:pt idx="6">
                  <c:v>وطني</c:v>
                </c:pt>
              </c:strCache>
            </c:strRef>
          </c:cat>
          <c:val>
            <c:numRef>
              <c:f>'[2024T2 - Note sur les chiffres clés - Tabulation #1 -DEE22072024.xlsx]Feuil1'!$B$11:$H$11</c:f>
              <c:numCache>
                <c:formatCode>General</c:formatCode>
                <c:ptCount val="7"/>
                <c:pt idx="0">
                  <c:v>8.3000000000000007</c:v>
                </c:pt>
                <c:pt idx="1">
                  <c:v>11.6</c:v>
                </c:pt>
                <c:pt idx="2">
                  <c:v>10.7</c:v>
                </c:pt>
                <c:pt idx="3">
                  <c:v>5.7</c:v>
                </c:pt>
                <c:pt idx="4">
                  <c:v>14.9</c:v>
                </c:pt>
                <c:pt idx="5">
                  <c:v>9.7000000000000011</c:v>
                </c:pt>
                <c:pt idx="6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20-4EE9-A589-251874F9BB9A}"/>
            </c:ext>
          </c:extLst>
        </c:ser>
        <c:dLbls>
          <c:showVal val="1"/>
        </c:dLbls>
        <c:gapWidth val="219"/>
        <c:overlap val="-27"/>
        <c:axId val="117494528"/>
        <c:axId val="117761536"/>
      </c:barChart>
      <c:catAx>
        <c:axId val="117494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117761536"/>
        <c:crosses val="autoZero"/>
        <c:auto val="1"/>
        <c:lblAlgn val="ctr"/>
        <c:lblOffset val="100"/>
      </c:catAx>
      <c:valAx>
        <c:axId val="11776153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749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'[2024T2 - Note sur les chiffres clés - Tabulation #1 -DEE22072024.xlsx]Feuil1'!$A$14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'[2024T2 - Note sur les chiffres clés - Tabulation #1 -DEE22072024.xlsx]Feuil1'!$B$13:$E$13</c:f>
              <c:strCache>
                <c:ptCount val="4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'[2024T2 - Note sur les chiffres clés - Tabulation #1 -DEE22072024.xlsx]Feuil1'!$B$14:$E$14</c:f>
              <c:numCache>
                <c:formatCode>General</c:formatCode>
                <c:ptCount val="4"/>
                <c:pt idx="0">
                  <c:v>9.6</c:v>
                </c:pt>
                <c:pt idx="1">
                  <c:v>5.3</c:v>
                </c:pt>
                <c:pt idx="2">
                  <c:v>17.2</c:v>
                </c:pt>
                <c:pt idx="3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9A-4506-A142-94C31219E971}"/>
            </c:ext>
          </c:extLst>
        </c:ser>
        <c:ser>
          <c:idx val="1"/>
          <c:order val="1"/>
          <c:tx>
            <c:strRef>
              <c:f>'[2024T2 - Note sur les chiffres clés - Tabulation #1 -DEE22072024.xlsx]Feuil1'!$A$15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'[2024T2 - Note sur les chiffres clés - Tabulation #1 -DEE22072024.xlsx]Feuil1'!$B$13:$E$13</c:f>
              <c:strCache>
                <c:ptCount val="4"/>
                <c:pt idx="0">
                  <c:v>الفلاحة، 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'[2024T2 - Note sur les chiffres clés - Tabulation #1 -DEE22072024.xlsx]Feuil1'!$B$15:$E$15</c:f>
              <c:numCache>
                <c:formatCode>General</c:formatCode>
                <c:ptCount val="4"/>
                <c:pt idx="0">
                  <c:v>11.5</c:v>
                </c:pt>
                <c:pt idx="1">
                  <c:v>5</c:v>
                </c:pt>
                <c:pt idx="2">
                  <c:v>18.899999999999999</c:v>
                </c:pt>
                <c:pt idx="3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9A-4506-A142-94C31219E971}"/>
            </c:ext>
          </c:extLst>
        </c:ser>
        <c:dLbls>
          <c:showVal val="1"/>
        </c:dLbls>
        <c:gapWidth val="219"/>
        <c:overlap val="-27"/>
        <c:axId val="133570944"/>
        <c:axId val="133572480"/>
      </c:barChart>
      <c:catAx>
        <c:axId val="133570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133572480"/>
        <c:crosses val="autoZero"/>
        <c:auto val="1"/>
        <c:lblAlgn val="ctr"/>
        <c:lblOffset val="100"/>
      </c:catAx>
      <c:valAx>
        <c:axId val="13357248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3357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681062735719321"/>
          <c:y val="4.6958458607835547E-2"/>
          <c:w val="0.75627295319356502"/>
          <c:h val="0.90099491824524269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Pt>
            <c:idx val="7"/>
            <c:spPr>
              <a:solidFill>
                <a:schemeClr val="accent2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Feuil3!$A$2:$A$12</c:f>
              <c:strCache>
                <c:ptCount val="11"/>
                <c:pt idx="0">
                  <c:v>بني مــلال-خنيفـــــــــرة</c:v>
                </c:pt>
                <c:pt idx="1">
                  <c:v>جهـــــــــة الشـــــــــرق</c:v>
                </c:pt>
                <c:pt idx="2">
                  <c:v>ســــوس – مــــاسة</c:v>
                </c:pt>
                <c:pt idx="3">
                  <c:v>فـــــــــاس-مكــــــناس</c:v>
                </c:pt>
                <c:pt idx="4">
                  <c:v>درعــــة – تافيلالــت</c:v>
                </c:pt>
                <c:pt idx="5">
                  <c:v>الربــاط- ســلا-القنيطـــرة</c:v>
                </c:pt>
                <c:pt idx="6">
                  <c:v>مـــراكش – اسفــي</c:v>
                </c:pt>
                <c:pt idx="7">
                  <c:v>الوطني</c:v>
                </c:pt>
                <c:pt idx="8">
                  <c:v>جهات الجنوب</c:v>
                </c:pt>
                <c:pt idx="9">
                  <c:v>الدار البيضاء -ســــطات</c:v>
                </c:pt>
                <c:pt idx="10">
                  <c:v>طنجة- تطوان- الحسيمة </c:v>
                </c:pt>
              </c:strCache>
            </c:strRef>
          </c:cat>
          <c:val>
            <c:numRef>
              <c:f>Feuil3!$B$2:$B$12</c:f>
              <c:numCache>
                <c:formatCode>General</c:formatCode>
                <c:ptCount val="11"/>
                <c:pt idx="0">
                  <c:v>40</c:v>
                </c:pt>
                <c:pt idx="1">
                  <c:v>40.4</c:v>
                </c:pt>
                <c:pt idx="2">
                  <c:v>41.4</c:v>
                </c:pt>
                <c:pt idx="3">
                  <c:v>41.8</c:v>
                </c:pt>
                <c:pt idx="4">
                  <c:v>42.1</c:v>
                </c:pt>
                <c:pt idx="5">
                  <c:v>43.8</c:v>
                </c:pt>
                <c:pt idx="6">
                  <c:v>44.1</c:v>
                </c:pt>
                <c:pt idx="7">
                  <c:v>44.2</c:v>
                </c:pt>
                <c:pt idx="8">
                  <c:v>44.8</c:v>
                </c:pt>
                <c:pt idx="9">
                  <c:v>47.1</c:v>
                </c:pt>
                <c:pt idx="10">
                  <c:v>50.1</c:v>
                </c:pt>
              </c:numCache>
            </c:numRef>
          </c:val>
        </c:ser>
        <c:dLbls>
          <c:showVal val="1"/>
        </c:dLbls>
        <c:axId val="102692352"/>
        <c:axId val="102693888"/>
      </c:barChart>
      <c:catAx>
        <c:axId val="10269235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fr-FR"/>
          </a:p>
        </c:txPr>
        <c:crossAx val="102693888"/>
        <c:crosses val="autoZero"/>
        <c:auto val="1"/>
        <c:lblAlgn val="ctr"/>
        <c:lblOffset val="100"/>
      </c:catAx>
      <c:valAx>
        <c:axId val="102693888"/>
        <c:scaling>
          <c:orientation val="minMax"/>
        </c:scaling>
        <c:delete val="1"/>
        <c:axPos val="b"/>
        <c:numFmt formatCode="General" sourceLinked="1"/>
        <c:tickLblPos val="none"/>
        <c:crossAx val="10269235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dPt>
            <c:idx val="5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Feuil2!$B$2:$B$12</c:f>
              <c:strCache>
                <c:ptCount val="11"/>
                <c:pt idx="0">
                  <c:v>مـــراكش – اسفــي</c:v>
                </c:pt>
                <c:pt idx="1">
                  <c:v>طنجة- تطوان- الحسيمة </c:v>
                </c:pt>
                <c:pt idx="2">
                  <c:v>درعــــة – تافيلالــت</c:v>
                </c:pt>
                <c:pt idx="3">
                  <c:v>ســــوس – مــــاسة</c:v>
                </c:pt>
                <c:pt idx="4">
                  <c:v>الربــاط- ســلا-القنيطـــرة</c:v>
                </c:pt>
                <c:pt idx="5">
                  <c:v>الوطني</c:v>
                </c:pt>
                <c:pt idx="6">
                  <c:v>فـــــــــاس-مكــــــناس</c:v>
                </c:pt>
                <c:pt idx="7">
                  <c:v>بني مــلال-خنيفـــــــــرة</c:v>
                </c:pt>
                <c:pt idx="8">
                  <c:v>الدار البيضاء -ســــطات</c:v>
                </c:pt>
                <c:pt idx="9">
                  <c:v>جهـــــــــة الشـــــــــرق</c:v>
                </c:pt>
                <c:pt idx="10">
                  <c:v>جهات الجنوب</c:v>
                </c:pt>
              </c:strCache>
            </c:strRef>
          </c:cat>
          <c:val>
            <c:numRef>
              <c:f>Feuil2!$C$2:$C$12</c:f>
              <c:numCache>
                <c:formatCode>General</c:formatCode>
                <c:ptCount val="11"/>
                <c:pt idx="0">
                  <c:v>8.1</c:v>
                </c:pt>
                <c:pt idx="1">
                  <c:v>8.9</c:v>
                </c:pt>
                <c:pt idx="2">
                  <c:v>9.6</c:v>
                </c:pt>
                <c:pt idx="3">
                  <c:v>12.1</c:v>
                </c:pt>
                <c:pt idx="4">
                  <c:v>12.8</c:v>
                </c:pt>
                <c:pt idx="5">
                  <c:v>13.1</c:v>
                </c:pt>
                <c:pt idx="6">
                  <c:v>13.6</c:v>
                </c:pt>
                <c:pt idx="7">
                  <c:v>14.7</c:v>
                </c:pt>
                <c:pt idx="8">
                  <c:v>14.9</c:v>
                </c:pt>
                <c:pt idx="9">
                  <c:v>21.1</c:v>
                </c:pt>
                <c:pt idx="10">
                  <c:v>22.9</c:v>
                </c:pt>
              </c:numCache>
            </c:numRef>
          </c:val>
        </c:ser>
        <c:dLbls>
          <c:showVal val="1"/>
        </c:dLbls>
        <c:gapWidth val="182"/>
        <c:axId val="125557376"/>
        <c:axId val="133378432"/>
      </c:barChart>
      <c:catAx>
        <c:axId val="1255573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3378432"/>
        <c:crosses val="autoZero"/>
        <c:auto val="1"/>
        <c:lblAlgn val="ctr"/>
        <c:lblOffset val="100"/>
      </c:catAx>
      <c:valAx>
        <c:axId val="133378432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2555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C8BC-C053-4B85-B768-2F635F9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1754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User</cp:lastModifiedBy>
  <cp:revision>5</cp:revision>
  <cp:lastPrinted>2024-07-25T16:18:00Z</cp:lastPrinted>
  <dcterms:created xsi:type="dcterms:W3CDTF">2024-08-01T10:14:00Z</dcterms:created>
  <dcterms:modified xsi:type="dcterms:W3CDTF">2024-08-01T15:21:00Z</dcterms:modified>
</cp:coreProperties>
</file>