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AE1CBB" w:rsidRDefault="00AE1CBB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lang w:eastAsia="x-none" w:bidi="ar-MA"/>
        </w:rPr>
      </w:pPr>
    </w:p>
    <w:p w:rsidR="005048F2" w:rsidRPr="005048F2" w:rsidRDefault="005048F2" w:rsidP="00AE1CBB">
      <w:pPr>
        <w:bidi/>
        <w:jc w:val="center"/>
        <w:rPr>
          <w:rFonts w:cs="Arial"/>
          <w:b/>
          <w:bCs/>
          <w:color w:val="632423"/>
          <w:sz w:val="36"/>
          <w:szCs w:val="36"/>
          <w:lang w:val="x-none" w:eastAsia="x-none" w:bidi="ar-MA"/>
        </w:rPr>
      </w:pPr>
      <w:r w:rsidRPr="005048F2">
        <w:rPr>
          <w:rFonts w:cs="Arial"/>
          <w:b/>
          <w:bCs/>
          <w:color w:val="632423"/>
          <w:sz w:val="36"/>
          <w:szCs w:val="36"/>
          <w:rtl/>
          <w:lang w:val="x-none" w:eastAsia="x-none" w:bidi="ar-MA"/>
        </w:rPr>
        <w:t>مذكرة إخبـارية</w:t>
      </w:r>
    </w:p>
    <w:p w:rsidR="005048F2" w:rsidRPr="005048F2" w:rsidRDefault="005048F2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val="x-none" w:eastAsia="x-none" w:bidi="ar-MA"/>
        </w:rPr>
      </w:pPr>
      <w:r w:rsidRPr="005048F2">
        <w:rPr>
          <w:rFonts w:cs="Arial"/>
          <w:b/>
          <w:bCs/>
          <w:color w:val="632423"/>
          <w:sz w:val="36"/>
          <w:szCs w:val="36"/>
          <w:rtl/>
          <w:lang w:val="x-none" w:eastAsia="x-none" w:bidi="ar-MA"/>
        </w:rPr>
        <w:t>للمندوبية السامية للتخطيط</w:t>
      </w:r>
    </w:p>
    <w:p w:rsidR="005048F2" w:rsidRPr="005048F2" w:rsidRDefault="005048F2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val="x-none" w:eastAsia="x-none" w:bidi="ar-MA"/>
        </w:rPr>
      </w:pPr>
      <w:r w:rsidRPr="005048F2">
        <w:rPr>
          <w:rFonts w:cs="Arial" w:hint="cs"/>
          <w:b/>
          <w:bCs/>
          <w:color w:val="632423"/>
          <w:sz w:val="36"/>
          <w:szCs w:val="36"/>
          <w:rtl/>
          <w:lang w:val="x-none" w:eastAsia="x-none" w:bidi="ar-MA"/>
        </w:rPr>
        <w:t xml:space="preserve">حول </w:t>
      </w:r>
      <w:r w:rsidRPr="005048F2">
        <w:rPr>
          <w:rFonts w:cs="Arial"/>
          <w:b/>
          <w:bCs/>
          <w:color w:val="632423"/>
          <w:sz w:val="36"/>
          <w:szCs w:val="36"/>
          <w:rtl/>
          <w:lang w:val="x-none" w:eastAsia="x-none" w:bidi="ar-MA"/>
        </w:rPr>
        <w:t>ال</w:t>
      </w:r>
      <w:r w:rsidRPr="005048F2">
        <w:rPr>
          <w:rFonts w:cs="Arial" w:hint="cs"/>
          <w:b/>
          <w:bCs/>
          <w:color w:val="632423"/>
          <w:sz w:val="36"/>
          <w:szCs w:val="36"/>
          <w:rtl/>
          <w:lang w:val="x-none" w:eastAsia="x-none" w:bidi="ar-MA"/>
        </w:rPr>
        <w:t>أ</w:t>
      </w:r>
      <w:r w:rsidRPr="005048F2">
        <w:rPr>
          <w:rFonts w:cs="Arial"/>
          <w:b/>
          <w:bCs/>
          <w:color w:val="632423"/>
          <w:sz w:val="36"/>
          <w:szCs w:val="36"/>
          <w:rtl/>
          <w:lang w:val="x-none" w:eastAsia="x-none" w:bidi="ar-MA"/>
        </w:rPr>
        <w:t>رق</w:t>
      </w:r>
      <w:r w:rsidRPr="005048F2">
        <w:rPr>
          <w:rFonts w:cs="Arial" w:hint="cs"/>
          <w:b/>
          <w:bCs/>
          <w:color w:val="632423"/>
          <w:sz w:val="36"/>
          <w:szCs w:val="36"/>
          <w:rtl/>
          <w:lang w:val="x-none" w:eastAsia="x-none" w:bidi="ar-MA"/>
        </w:rPr>
        <w:t>ا</w:t>
      </w:r>
      <w:r w:rsidRPr="005048F2">
        <w:rPr>
          <w:rFonts w:cs="Arial"/>
          <w:b/>
          <w:bCs/>
          <w:color w:val="632423"/>
          <w:sz w:val="36"/>
          <w:szCs w:val="36"/>
          <w:rtl/>
          <w:lang w:val="x-none" w:eastAsia="x-none" w:bidi="ar-MA"/>
        </w:rPr>
        <w:t xml:space="preserve">م </w:t>
      </w:r>
      <w:r w:rsidRPr="005048F2">
        <w:rPr>
          <w:rFonts w:cs="Arial" w:hint="cs"/>
          <w:b/>
          <w:bCs/>
          <w:color w:val="632423"/>
          <w:sz w:val="36"/>
          <w:szCs w:val="36"/>
          <w:rtl/>
          <w:lang w:val="x-none" w:eastAsia="x-none" w:bidi="ar-MA"/>
        </w:rPr>
        <w:t>الاستدلالية</w:t>
      </w:r>
      <w:r w:rsidRPr="005048F2">
        <w:rPr>
          <w:rFonts w:cs="Arial"/>
          <w:b/>
          <w:bCs/>
          <w:color w:val="632423"/>
          <w:sz w:val="36"/>
          <w:szCs w:val="36"/>
          <w:lang w:val="x-none" w:eastAsia="x-none" w:bidi="ar-MA"/>
        </w:rPr>
        <w:t xml:space="preserve"> </w:t>
      </w:r>
      <w:r w:rsidRPr="005048F2">
        <w:rPr>
          <w:rFonts w:cs="Arial" w:hint="cs"/>
          <w:b/>
          <w:bCs/>
          <w:color w:val="632423"/>
          <w:sz w:val="36"/>
          <w:szCs w:val="36"/>
          <w:rtl/>
          <w:lang w:val="x-none" w:eastAsia="x-none" w:bidi="ar-MA"/>
        </w:rPr>
        <w:t>للتجارة الخارجية</w:t>
      </w:r>
    </w:p>
    <w:p w:rsidR="005048F2" w:rsidRPr="005048F2" w:rsidRDefault="005048F2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eastAsia="x-none" w:bidi="ar-MA"/>
        </w:rPr>
      </w:pPr>
      <w:r w:rsidRPr="005048F2">
        <w:rPr>
          <w:rFonts w:cs="Arial" w:hint="cs"/>
          <w:b/>
          <w:bCs/>
          <w:color w:val="632423"/>
          <w:sz w:val="36"/>
          <w:szCs w:val="36"/>
          <w:rtl/>
          <w:lang w:val="x-none" w:eastAsia="x-none" w:bidi="ar-MA"/>
        </w:rPr>
        <w:t xml:space="preserve">للفصل الثاني </w:t>
      </w:r>
      <w:r w:rsidRPr="005048F2">
        <w:rPr>
          <w:rFonts w:cs="Arial"/>
          <w:b/>
          <w:bCs/>
          <w:color w:val="632423"/>
          <w:sz w:val="36"/>
          <w:szCs w:val="36"/>
          <w:lang w:eastAsia="x-none" w:bidi="ar-MA"/>
        </w:rPr>
        <w:t>2024</w:t>
      </w:r>
    </w:p>
    <w:p w:rsidR="005048F2" w:rsidRPr="005048F2" w:rsidRDefault="005048F2" w:rsidP="005048F2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5048F2" w:rsidRPr="005048F2" w:rsidRDefault="005048F2" w:rsidP="005048F2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32"/>
          <w:szCs w:val="32"/>
          <w:lang w:bidi="ar-MA"/>
        </w:rPr>
      </w:pPr>
      <w:r w:rsidRPr="005048F2">
        <w:rPr>
          <w:rFonts w:ascii="Arial" w:hAnsi="Arial" w:cs="Arial"/>
          <w:b/>
          <w:bCs/>
          <w:sz w:val="28"/>
          <w:szCs w:val="28"/>
          <w:lang w:bidi="ar-MA"/>
        </w:rPr>
        <w:t xml:space="preserve">                    </w:t>
      </w:r>
    </w:p>
    <w:p w:rsidR="005048F2" w:rsidRPr="005048F2" w:rsidRDefault="005048F2" w:rsidP="005048F2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/>
          <w:sz w:val="32"/>
          <w:szCs w:val="32"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نخفاض ال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أ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رق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م الاستدلالي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ة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للقيم المتوسطة للواردات ب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6,1% 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وللصادرات ب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.5,5%</w:t>
      </w:r>
    </w:p>
    <w:p w:rsidR="005048F2" w:rsidRPr="005048F2" w:rsidRDefault="005048F2" w:rsidP="005048F2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32"/>
          <w:szCs w:val="32"/>
          <w:lang w:bidi="ar-MA"/>
        </w:rPr>
      </w:pPr>
    </w:p>
    <w:p w:rsidR="005048F2" w:rsidRPr="005048F2" w:rsidRDefault="005048F2" w:rsidP="00DE5481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5048F2">
        <w:rPr>
          <w:rFonts w:ascii="Arial" w:hAnsi="Arial" w:cs="Arial"/>
          <w:b/>
          <w:bCs/>
          <w:sz w:val="32"/>
          <w:szCs w:val="32"/>
          <w:rtl/>
        </w:rPr>
        <w:t>سجل الرقم الاستدلالي للقيم المتوسطة للواردات</w:t>
      </w:r>
      <w:r w:rsidRPr="005048F2">
        <w:rPr>
          <w:rFonts w:ascii="Arial" w:hAnsi="Arial" w:cs="Arial"/>
          <w:sz w:val="32"/>
          <w:szCs w:val="32"/>
          <w:rtl/>
        </w:rPr>
        <w:t xml:space="preserve"> انخفاضا </w:t>
      </w:r>
      <w:r w:rsidRPr="005048F2">
        <w:rPr>
          <w:rFonts w:ascii="Arial" w:hAnsi="Arial" w:cs="Arial" w:hint="cs"/>
          <w:sz w:val="32"/>
          <w:szCs w:val="32"/>
          <w:rtl/>
        </w:rPr>
        <w:t>ب</w:t>
      </w:r>
      <w:r w:rsidRPr="005048F2">
        <w:rPr>
          <w:rFonts w:ascii="Arial" w:hAnsi="Arial" w:cs="Arial"/>
          <w:sz w:val="32"/>
          <w:szCs w:val="32"/>
        </w:rPr>
        <w:t xml:space="preserve"> 6,1%</w:t>
      </w:r>
      <w:r w:rsidRPr="005048F2">
        <w:rPr>
          <w:rFonts w:ascii="Arial" w:hAnsi="Arial" w:cs="Arial"/>
          <w:sz w:val="32"/>
          <w:szCs w:val="32"/>
          <w:rtl/>
        </w:rPr>
        <w:t xml:space="preserve">خلال </w:t>
      </w:r>
      <w:r w:rsidRPr="005048F2">
        <w:rPr>
          <w:rFonts w:ascii="Arial" w:hAnsi="Arial" w:cs="Arial"/>
          <w:sz w:val="32"/>
          <w:szCs w:val="32"/>
          <w:rtl/>
          <w:lang w:bidi="ar-MA"/>
        </w:rPr>
        <w:t xml:space="preserve">الفصل </w:t>
      </w:r>
      <w:r w:rsidRPr="005048F2">
        <w:rPr>
          <w:rFonts w:ascii="Arial" w:hAnsi="Arial" w:cs="Arial" w:hint="cs"/>
          <w:sz w:val="32"/>
          <w:szCs w:val="32"/>
          <w:rtl/>
          <w:lang w:bidi="ar-MA"/>
        </w:rPr>
        <w:t>الثاني</w:t>
      </w:r>
      <w:r w:rsidRPr="005048F2">
        <w:rPr>
          <w:rFonts w:ascii="Arial" w:hAnsi="Arial" w:cs="Arial"/>
          <w:sz w:val="32"/>
          <w:szCs w:val="32"/>
          <w:rtl/>
          <w:lang w:bidi="ar-MA"/>
        </w:rPr>
        <w:t xml:space="preserve"> من سنة</w:t>
      </w:r>
      <w:r w:rsidRPr="005048F2">
        <w:rPr>
          <w:rFonts w:ascii="Arial" w:hAnsi="Arial" w:cs="Arial"/>
          <w:sz w:val="32"/>
          <w:szCs w:val="32"/>
          <w:lang w:bidi="ar-MA"/>
        </w:rPr>
        <w:t xml:space="preserve"> </w:t>
      </w:r>
      <w:r w:rsidRPr="005048F2">
        <w:rPr>
          <w:rFonts w:ascii="Arial" w:hAnsi="Arial" w:cs="Arial"/>
          <w:sz w:val="32"/>
          <w:szCs w:val="32"/>
        </w:rPr>
        <w:t xml:space="preserve">2024 </w:t>
      </w:r>
      <w:r w:rsidRPr="005048F2">
        <w:rPr>
          <w:rFonts w:ascii="Arial" w:hAnsi="Arial" w:cs="Arial"/>
          <w:sz w:val="32"/>
          <w:szCs w:val="32"/>
          <w:rtl/>
        </w:rPr>
        <w:t>مقارنة مع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  <w:lang w:bidi="ar-MA"/>
        </w:rPr>
        <w:t>نفس</w:t>
      </w:r>
      <w:r w:rsidRPr="005048F2">
        <w:rPr>
          <w:rFonts w:ascii="Arial" w:hAnsi="Arial" w:cs="Arial"/>
          <w:sz w:val="32"/>
          <w:szCs w:val="32"/>
          <w:rtl/>
        </w:rPr>
        <w:t xml:space="preserve"> الفصل لسنة</w:t>
      </w:r>
      <w:r w:rsidRPr="005048F2">
        <w:rPr>
          <w:rFonts w:ascii="Arial" w:hAnsi="Arial" w:cs="Arial"/>
          <w:sz w:val="32"/>
          <w:szCs w:val="32"/>
        </w:rPr>
        <w:t xml:space="preserve"> .2023 </w:t>
      </w:r>
      <w:r w:rsidRPr="005048F2">
        <w:rPr>
          <w:rFonts w:ascii="Arial" w:hAnsi="Arial" w:cs="Arial"/>
          <w:sz w:val="32"/>
          <w:szCs w:val="32"/>
          <w:rtl/>
          <w:lang w:bidi="ar-MA"/>
        </w:rPr>
        <w:t xml:space="preserve">ويعود هذا التطور أساسا إلى </w:t>
      </w:r>
      <w:r w:rsidRPr="005048F2">
        <w:rPr>
          <w:rFonts w:ascii="Arial" w:hAnsi="Arial" w:cs="Arial"/>
          <w:sz w:val="32"/>
          <w:szCs w:val="32"/>
          <w:rtl/>
        </w:rPr>
        <w:t>انخفاض القيم المتوسطة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في مجموعات الاستعمال ل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 xml:space="preserve">"مواد التجهيز الصناعية" ب </w:t>
      </w:r>
      <w:r w:rsidRPr="005048F2">
        <w:rPr>
          <w:rFonts w:ascii="Arial" w:hAnsi="Arial" w:cs="Arial"/>
          <w:sz w:val="32"/>
          <w:szCs w:val="32"/>
        </w:rPr>
        <w:t>8,6%</w:t>
      </w:r>
      <w:r w:rsidRPr="005048F2">
        <w:rPr>
          <w:rtl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وفي "أنصاف المنتجات" ب%5,</w:t>
      </w:r>
      <w:r w:rsidRPr="005048F2">
        <w:rPr>
          <w:rFonts w:ascii="Arial" w:hAnsi="Arial" w:cs="Arial" w:hint="cs"/>
          <w:sz w:val="32"/>
          <w:szCs w:val="32"/>
          <w:rtl/>
        </w:rPr>
        <w:t>8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 xml:space="preserve">وفي "المواد الغذائية والمشروبات والتبغ" ب </w:t>
      </w:r>
      <w:r w:rsidRPr="005048F2">
        <w:rPr>
          <w:rFonts w:ascii="Arial" w:hAnsi="Arial" w:cs="Arial"/>
          <w:sz w:val="32"/>
          <w:szCs w:val="32"/>
        </w:rPr>
        <w:t>8,2%</w:t>
      </w:r>
      <w:r w:rsidRPr="005048F2">
        <w:rPr>
          <w:rFonts w:ascii="Arial" w:hAnsi="Arial" w:cs="Arial" w:hint="cs"/>
          <w:sz w:val="32"/>
          <w:szCs w:val="32"/>
          <w:rtl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وفي</w:t>
      </w:r>
      <w:r w:rsidRPr="005048F2">
        <w:rPr>
          <w:rFonts w:ascii="Arial" w:hAnsi="Arial" w:cs="Arial" w:hint="cs"/>
          <w:sz w:val="32"/>
          <w:szCs w:val="32"/>
          <w:rtl/>
          <w:lang w:bidi="ar-MA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 xml:space="preserve">"الطاقة وزيوت التشحيم" </w:t>
      </w:r>
      <w:r w:rsidRPr="005048F2">
        <w:rPr>
          <w:rFonts w:ascii="Arial" w:hAnsi="Arial" w:cs="Arial" w:hint="cs"/>
          <w:sz w:val="32"/>
          <w:szCs w:val="32"/>
          <w:rtl/>
          <w:lang w:bidi="ar-MA"/>
        </w:rPr>
        <w:t>ب</w:t>
      </w:r>
      <w:r w:rsidRPr="005048F2">
        <w:rPr>
          <w:rFonts w:ascii="Arial" w:hAnsi="Arial" w:cs="Arial"/>
          <w:sz w:val="32"/>
          <w:szCs w:val="32"/>
          <w:lang w:bidi="ar-MA"/>
        </w:rPr>
        <w:t>4,8</w:t>
      </w:r>
      <w:r w:rsidRPr="005048F2">
        <w:rPr>
          <w:rFonts w:ascii="Arial" w:hAnsi="Arial" w:cs="Arial"/>
          <w:sz w:val="32"/>
          <w:szCs w:val="32"/>
        </w:rPr>
        <w:t>%</w:t>
      </w:r>
      <w:r w:rsidRPr="005048F2">
        <w:rPr>
          <w:rFonts w:ascii="Arial" w:hAnsi="Arial" w:cs="Arial"/>
          <w:sz w:val="32"/>
          <w:szCs w:val="32"/>
          <w:rtl/>
        </w:rPr>
        <w:t xml:space="preserve"> وفي "المواد الخام من أصل معدني" ب </w:t>
      </w:r>
      <w:r w:rsidRPr="005048F2">
        <w:rPr>
          <w:rFonts w:ascii="Arial" w:hAnsi="Arial" w:cs="Arial"/>
          <w:sz w:val="32"/>
          <w:szCs w:val="32"/>
        </w:rPr>
        <w:t>25,0%</w:t>
      </w:r>
      <w:r w:rsidRPr="005048F2">
        <w:rPr>
          <w:rFonts w:ascii="Arial" w:hAnsi="Arial" w:cs="Arial" w:hint="cs"/>
          <w:sz w:val="32"/>
          <w:szCs w:val="32"/>
          <w:rtl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وفي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"المواد الخام من أصل حيواني ونباتي"</w:t>
      </w:r>
      <w:r w:rsidRPr="005048F2">
        <w:rPr>
          <w:rFonts w:ascii="Arial" w:hAnsi="Arial" w:cs="Arial" w:hint="cs"/>
          <w:sz w:val="32"/>
          <w:szCs w:val="32"/>
          <w:rtl/>
        </w:rPr>
        <w:t xml:space="preserve">  ب </w:t>
      </w:r>
      <w:r w:rsidRPr="005048F2">
        <w:rPr>
          <w:rFonts w:ascii="Arial" w:hAnsi="Arial" w:cs="Arial"/>
          <w:sz w:val="32"/>
          <w:szCs w:val="32"/>
        </w:rPr>
        <w:t>15,1%</w:t>
      </w:r>
      <w:r w:rsidRPr="005048F2">
        <w:rPr>
          <w:rFonts w:ascii="Arial" w:hAnsi="Arial" w:cs="Arial"/>
          <w:sz w:val="32"/>
          <w:szCs w:val="32"/>
          <w:rtl/>
        </w:rPr>
        <w:t>.</w:t>
      </w:r>
    </w:p>
    <w:p w:rsidR="005048F2" w:rsidRPr="005048F2" w:rsidRDefault="005048F2" w:rsidP="005048F2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5048F2" w:rsidRPr="005048F2" w:rsidRDefault="005048F2" w:rsidP="005048F2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5048F2" w:rsidRPr="005048F2" w:rsidRDefault="005048F2" w:rsidP="00535B55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5048F2">
        <w:rPr>
          <w:rFonts w:ascii="Arial" w:hAnsi="Arial" w:cs="Arial"/>
          <w:b/>
          <w:bCs/>
          <w:sz w:val="32"/>
          <w:szCs w:val="32"/>
          <w:rtl/>
        </w:rPr>
        <w:t>فيما يخص الرقم الاستدلالي للقيم المتوسطة للصادرات</w:t>
      </w:r>
      <w:r w:rsidRPr="005048F2">
        <w:rPr>
          <w:rFonts w:ascii="Arial" w:hAnsi="Arial" w:cs="Arial"/>
          <w:sz w:val="32"/>
          <w:szCs w:val="32"/>
          <w:rtl/>
        </w:rPr>
        <w:t xml:space="preserve">، فقد سجل من جهته انخفاضا </w:t>
      </w:r>
      <w:r w:rsidRPr="005048F2">
        <w:rPr>
          <w:rFonts w:ascii="Arial" w:hAnsi="Arial" w:cs="Arial" w:hint="cs"/>
          <w:sz w:val="32"/>
          <w:szCs w:val="32"/>
          <w:rtl/>
        </w:rPr>
        <w:t xml:space="preserve">ب </w:t>
      </w:r>
      <w:r w:rsidRPr="005048F2">
        <w:rPr>
          <w:rFonts w:ascii="Arial" w:hAnsi="Arial" w:cs="Arial"/>
          <w:sz w:val="32"/>
          <w:szCs w:val="32"/>
        </w:rPr>
        <w:t>5,5%</w:t>
      </w:r>
      <w:r w:rsidRPr="005048F2">
        <w:rPr>
          <w:rFonts w:ascii="Arial" w:hAnsi="Arial" w:cs="Arial" w:hint="cs"/>
          <w:sz w:val="32"/>
          <w:szCs w:val="32"/>
          <w:rtl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 xml:space="preserve">خلال الفصل </w:t>
      </w:r>
      <w:r w:rsidRPr="005048F2">
        <w:rPr>
          <w:rFonts w:ascii="Arial" w:hAnsi="Arial" w:cs="Arial" w:hint="cs"/>
          <w:sz w:val="32"/>
          <w:szCs w:val="32"/>
          <w:rtl/>
        </w:rPr>
        <w:t>الثاني</w:t>
      </w:r>
      <w:r w:rsidRPr="005048F2">
        <w:rPr>
          <w:rFonts w:ascii="Arial" w:hAnsi="Arial" w:cs="Arial"/>
          <w:sz w:val="32"/>
          <w:szCs w:val="32"/>
          <w:rtl/>
        </w:rPr>
        <w:t xml:space="preserve"> من سنة</w:t>
      </w:r>
      <w:r w:rsidRPr="005048F2">
        <w:rPr>
          <w:rFonts w:ascii="Arial" w:hAnsi="Arial" w:cs="Arial"/>
          <w:sz w:val="32"/>
          <w:szCs w:val="32"/>
        </w:rPr>
        <w:t xml:space="preserve">2024  </w:t>
      </w:r>
      <w:r w:rsidRPr="005048F2">
        <w:rPr>
          <w:rFonts w:ascii="Arial" w:hAnsi="Arial" w:cs="Arial" w:hint="cs"/>
          <w:sz w:val="32"/>
          <w:szCs w:val="32"/>
          <w:rtl/>
        </w:rPr>
        <w:t xml:space="preserve"> مقارنة</w:t>
      </w:r>
      <w:r w:rsidRPr="005048F2">
        <w:rPr>
          <w:rFonts w:ascii="Arial" w:hAnsi="Arial" w:cs="Arial"/>
          <w:sz w:val="32"/>
          <w:szCs w:val="32"/>
          <w:rtl/>
        </w:rPr>
        <w:t xml:space="preserve"> مع نفس الفصل للسنة السابقة. وقد نتج هذا </w:t>
      </w:r>
      <w:r w:rsidRPr="005048F2">
        <w:rPr>
          <w:rFonts w:ascii="Arial" w:hAnsi="Arial" w:cs="Arial" w:hint="cs"/>
          <w:sz w:val="32"/>
          <w:szCs w:val="32"/>
          <w:rtl/>
        </w:rPr>
        <w:t xml:space="preserve">الانخفاض </w:t>
      </w:r>
      <w:r w:rsidRPr="005048F2">
        <w:rPr>
          <w:rFonts w:ascii="Arial" w:hAnsi="Arial" w:cs="Arial"/>
          <w:sz w:val="32"/>
          <w:szCs w:val="32"/>
          <w:rtl/>
        </w:rPr>
        <w:t xml:space="preserve">بالخصوص </w:t>
      </w:r>
      <w:r w:rsidRPr="005048F2">
        <w:rPr>
          <w:rFonts w:ascii="Arial" w:hAnsi="Arial" w:cs="Arial" w:hint="cs"/>
          <w:sz w:val="32"/>
          <w:szCs w:val="32"/>
          <w:rtl/>
        </w:rPr>
        <w:t>عن تراجع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 w:hint="cs"/>
          <w:sz w:val="32"/>
          <w:szCs w:val="32"/>
          <w:rtl/>
        </w:rPr>
        <w:t>القيم المتوسطة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 w:hint="cs"/>
          <w:sz w:val="32"/>
          <w:szCs w:val="32"/>
          <w:rtl/>
        </w:rPr>
        <w:t>في</w:t>
      </w:r>
      <w:r w:rsidRPr="005048F2">
        <w:rPr>
          <w:rFonts w:ascii="Arial" w:hAnsi="Arial" w:cs="Arial"/>
          <w:sz w:val="32"/>
          <w:szCs w:val="32"/>
        </w:rPr>
        <w:t xml:space="preserve">   </w:t>
      </w:r>
      <w:r w:rsidRPr="005048F2">
        <w:rPr>
          <w:rFonts w:ascii="Arial" w:hAnsi="Arial" w:cs="Arial" w:hint="cs"/>
          <w:sz w:val="32"/>
          <w:szCs w:val="32"/>
          <w:rtl/>
        </w:rPr>
        <w:t>"أنصا</w:t>
      </w:r>
      <w:r w:rsidRPr="005048F2">
        <w:rPr>
          <w:rFonts w:ascii="Arial" w:hAnsi="Arial" w:cs="Arial" w:hint="eastAsia"/>
          <w:sz w:val="32"/>
          <w:szCs w:val="32"/>
          <w:rtl/>
        </w:rPr>
        <w:t>ف</w:t>
      </w:r>
      <w:r w:rsidRPr="005048F2">
        <w:rPr>
          <w:rFonts w:ascii="Arial" w:hAnsi="Arial" w:cs="Arial"/>
          <w:sz w:val="32"/>
          <w:szCs w:val="32"/>
          <w:rtl/>
        </w:rPr>
        <w:t xml:space="preserve"> المنتجات" ب</w:t>
      </w:r>
      <w:r w:rsidRPr="005048F2">
        <w:rPr>
          <w:rFonts w:ascii="Arial" w:hAnsi="Arial" w:cs="Arial"/>
          <w:sz w:val="32"/>
          <w:szCs w:val="32"/>
        </w:rPr>
        <w:t>17,2%</w:t>
      </w:r>
      <w:r w:rsidR="00535B55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 w:hint="cs"/>
          <w:sz w:val="32"/>
          <w:szCs w:val="32"/>
          <w:rtl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وفي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"المواد الغذائية والمشروبات والتبغ</w:t>
      </w:r>
      <w:r w:rsidRPr="005048F2">
        <w:rPr>
          <w:rFonts w:ascii="Arial" w:hAnsi="Arial" w:cs="Arial" w:hint="cs"/>
          <w:sz w:val="32"/>
          <w:szCs w:val="32"/>
          <w:rtl/>
        </w:rPr>
        <w:t>"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ب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 w:hint="cs"/>
          <w:sz w:val="32"/>
          <w:szCs w:val="32"/>
          <w:rtl/>
          <w:lang w:bidi="ar-MA"/>
        </w:rPr>
        <w:t xml:space="preserve">      </w:t>
      </w:r>
      <w:r w:rsidRPr="005048F2">
        <w:rPr>
          <w:rFonts w:ascii="Arial" w:hAnsi="Arial" w:cs="Arial"/>
          <w:sz w:val="32"/>
          <w:szCs w:val="32"/>
        </w:rPr>
        <w:t>6,4%</w:t>
      </w:r>
      <w:r w:rsidRPr="005048F2">
        <w:rPr>
          <w:rFonts w:ascii="Arial" w:hAnsi="Arial" w:cs="Arial" w:hint="cs"/>
          <w:sz w:val="32"/>
          <w:szCs w:val="32"/>
          <w:rtl/>
          <w:lang w:bidi="ar-MA"/>
        </w:rPr>
        <w:t xml:space="preserve"> و</w:t>
      </w:r>
      <w:r w:rsidRPr="005048F2">
        <w:rPr>
          <w:rFonts w:ascii="Arial" w:hAnsi="Arial" w:cs="Arial"/>
          <w:sz w:val="32"/>
          <w:szCs w:val="32"/>
          <w:rtl/>
        </w:rPr>
        <w:t xml:space="preserve">في "المواد الخام من أصل معدني" </w:t>
      </w:r>
      <w:r w:rsidRPr="005048F2">
        <w:rPr>
          <w:rFonts w:ascii="Arial" w:hAnsi="Arial" w:cs="Arial" w:hint="cs"/>
          <w:sz w:val="32"/>
          <w:szCs w:val="32"/>
          <w:rtl/>
        </w:rPr>
        <w:t>ب</w:t>
      </w:r>
      <w:r w:rsidRPr="005048F2">
        <w:rPr>
          <w:rFonts w:ascii="Arial" w:hAnsi="Arial" w:cs="Arial"/>
          <w:sz w:val="32"/>
          <w:szCs w:val="32"/>
        </w:rPr>
        <w:t>10,3%</w:t>
      </w:r>
      <w:r w:rsidRPr="005048F2">
        <w:rPr>
          <w:rFonts w:ascii="Arial" w:hAnsi="Arial" w:cs="Arial"/>
          <w:sz w:val="32"/>
          <w:szCs w:val="32"/>
          <w:rtl/>
        </w:rPr>
        <w:t xml:space="preserve"> وفي "مواد التجهيز </w:t>
      </w:r>
      <w:r w:rsidRPr="005048F2">
        <w:rPr>
          <w:rFonts w:ascii="Arial" w:hAnsi="Arial" w:cs="Arial" w:hint="cs"/>
          <w:sz w:val="32"/>
          <w:szCs w:val="32"/>
          <w:rtl/>
        </w:rPr>
        <w:t>الفلاحية</w:t>
      </w:r>
      <w:r w:rsidRPr="005048F2">
        <w:rPr>
          <w:rFonts w:ascii="Arial" w:hAnsi="Arial" w:cs="Arial"/>
          <w:sz w:val="32"/>
          <w:szCs w:val="32"/>
          <w:rtl/>
        </w:rPr>
        <w:t xml:space="preserve">" </w:t>
      </w:r>
      <w:r w:rsidRPr="005048F2">
        <w:rPr>
          <w:rFonts w:ascii="Arial" w:hAnsi="Arial" w:cs="Arial" w:hint="cs"/>
          <w:sz w:val="32"/>
          <w:szCs w:val="32"/>
          <w:rtl/>
        </w:rPr>
        <w:t>ب</w:t>
      </w:r>
      <w:r w:rsidRPr="005048F2">
        <w:rPr>
          <w:rFonts w:ascii="Arial" w:hAnsi="Arial" w:cs="Arial"/>
          <w:sz w:val="32"/>
          <w:szCs w:val="32"/>
        </w:rPr>
        <w:t>17,8%</w:t>
      </w:r>
      <w:r w:rsidR="00074A09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. وعلى العكس من ذلك، سجل هذا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الرقم الاستدلالي ارتفاعا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في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"مواد الاستهلاك</w:t>
      </w:r>
      <w:r w:rsidRPr="005048F2">
        <w:rPr>
          <w:rFonts w:ascii="Arial" w:hAnsi="Arial" w:cs="Arial" w:hint="cs"/>
          <w:sz w:val="32"/>
          <w:szCs w:val="32"/>
          <w:rtl/>
        </w:rPr>
        <w:t>" ب</w:t>
      </w:r>
      <w:r w:rsidRPr="005048F2">
        <w:rPr>
          <w:rFonts w:ascii="Arial" w:hAnsi="Arial" w:cs="Arial"/>
          <w:sz w:val="32"/>
          <w:szCs w:val="32"/>
          <w:rtl/>
        </w:rPr>
        <w:t xml:space="preserve"> </w:t>
      </w:r>
      <w:r w:rsidRPr="005048F2">
        <w:rPr>
          <w:rFonts w:ascii="Arial" w:hAnsi="Arial" w:cs="Arial"/>
          <w:sz w:val="32"/>
          <w:szCs w:val="32"/>
        </w:rPr>
        <w:t>0,8%</w:t>
      </w:r>
      <w:r w:rsidRPr="005048F2">
        <w:rPr>
          <w:rFonts w:ascii="Arial" w:hAnsi="Arial" w:cs="Arial"/>
          <w:sz w:val="32"/>
          <w:szCs w:val="32"/>
          <w:rtl/>
        </w:rPr>
        <w:t xml:space="preserve"> وفي "مواد التجهيز الصناعية" ب</w:t>
      </w:r>
      <w:r w:rsidRPr="005048F2">
        <w:rPr>
          <w:rFonts w:ascii="Arial" w:hAnsi="Arial" w:cs="Arial"/>
          <w:sz w:val="32"/>
          <w:szCs w:val="32"/>
        </w:rPr>
        <w:t>0,9%</w:t>
      </w:r>
      <w:r w:rsidR="00074A09">
        <w:rPr>
          <w:rFonts w:ascii="Arial" w:hAnsi="Arial" w:cs="Arial"/>
          <w:sz w:val="32"/>
          <w:szCs w:val="32"/>
        </w:rPr>
        <w:t xml:space="preserve"> </w:t>
      </w:r>
      <w:r w:rsidR="00535B55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 xml:space="preserve"> </w:t>
      </w:r>
      <w:r w:rsidRPr="005048F2">
        <w:rPr>
          <w:rFonts w:ascii="Arial" w:hAnsi="Arial" w:cs="Arial" w:hint="cs"/>
          <w:sz w:val="32"/>
          <w:szCs w:val="32"/>
          <w:rtl/>
          <w:lang w:bidi="ar-MA"/>
        </w:rPr>
        <w:t xml:space="preserve">وفي </w:t>
      </w:r>
      <w:r w:rsidRPr="005048F2">
        <w:rPr>
          <w:rFonts w:ascii="Arial" w:hAnsi="Arial" w:cs="Arial"/>
          <w:sz w:val="32"/>
          <w:szCs w:val="32"/>
          <w:rtl/>
        </w:rPr>
        <w:t>"المواد الخام من أصل حيواني ونباتي"</w:t>
      </w:r>
      <w:r w:rsidRPr="005048F2">
        <w:rPr>
          <w:rFonts w:ascii="Arial" w:hAnsi="Arial" w:cs="Arial"/>
          <w:sz w:val="32"/>
          <w:szCs w:val="32"/>
        </w:rPr>
        <w:t xml:space="preserve"> </w:t>
      </w:r>
      <w:r w:rsidRPr="005048F2">
        <w:rPr>
          <w:rFonts w:ascii="Arial" w:hAnsi="Arial" w:cs="Arial"/>
          <w:sz w:val="32"/>
          <w:szCs w:val="32"/>
          <w:rtl/>
        </w:rPr>
        <w:t>ب</w:t>
      </w:r>
      <w:r w:rsidRPr="005048F2">
        <w:rPr>
          <w:rFonts w:ascii="Arial" w:hAnsi="Arial" w:cs="Arial"/>
          <w:sz w:val="32"/>
          <w:szCs w:val="32"/>
        </w:rPr>
        <w:t xml:space="preserve">10,9% </w:t>
      </w:r>
      <w:r w:rsidRPr="005048F2">
        <w:rPr>
          <w:rFonts w:ascii="Arial" w:hAnsi="Arial" w:cs="Arial" w:hint="cs"/>
          <w:sz w:val="32"/>
          <w:szCs w:val="32"/>
          <w:rtl/>
        </w:rPr>
        <w:t>.</w:t>
      </w:r>
    </w:p>
    <w:p w:rsidR="005048F2" w:rsidRPr="005048F2" w:rsidRDefault="005048F2" w:rsidP="005048F2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5048F2" w:rsidRDefault="005048F2" w:rsidP="005048F2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5048F2" w:rsidRPr="005048F2" w:rsidRDefault="005048F2" w:rsidP="005048F2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5048F2" w:rsidRPr="005048F2" w:rsidRDefault="005048F2" w:rsidP="005048F2">
      <w:pPr>
        <w:bidi/>
        <w:rPr>
          <w:rFonts w:cs="Traditional Arabic"/>
          <w:sz w:val="20"/>
          <w:szCs w:val="20"/>
          <w:rtl/>
        </w:rPr>
      </w:pPr>
    </w:p>
    <w:p w:rsidR="005048F2" w:rsidRPr="005048F2" w:rsidRDefault="005048F2" w:rsidP="005048F2">
      <w:pPr>
        <w:jc w:val="center"/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</w:pPr>
      <w:r w:rsidRPr="005048F2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ال</w:t>
      </w: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أ</w:t>
      </w:r>
      <w:r w:rsidRPr="005048F2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رق</w:t>
      </w: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ا</w:t>
      </w:r>
      <w:r w:rsidRPr="005048F2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م الاستدلالي</w:t>
      </w: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ة للتجارة الخارجية</w:t>
      </w:r>
    </w:p>
    <w:p w:rsidR="005048F2" w:rsidRPr="005048F2" w:rsidRDefault="005048F2" w:rsidP="005048F2">
      <w:pPr>
        <w:bidi/>
        <w:ind w:firstLine="141"/>
        <w:jc w:val="center"/>
        <w:rPr>
          <w:rFonts w:cs="Arial"/>
          <w:b/>
          <w:bCs/>
          <w:sz w:val="34"/>
          <w:szCs w:val="34"/>
          <w:rtl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(أساس2019:100)</w:t>
      </w:r>
    </w:p>
    <w:p w:rsidR="005048F2" w:rsidRPr="005048F2" w:rsidRDefault="005048F2" w:rsidP="005048F2">
      <w:pPr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</w:p>
    <w:p w:rsidR="005048F2" w:rsidRPr="005048F2" w:rsidRDefault="005048F2" w:rsidP="005048F2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للقيم المتوسطة </w:t>
      </w:r>
      <w:r w:rsidRPr="005048F2">
        <w:rPr>
          <w:rFonts w:cs="Arial" w:hint="cs"/>
          <w:b/>
          <w:bCs/>
          <w:sz w:val="28"/>
          <w:szCs w:val="28"/>
          <w:rtl/>
          <w:lang w:bidi="ar-MA"/>
        </w:rPr>
        <w:t>حسب مجموعات الاستعمال</w:t>
      </w:r>
    </w:p>
    <w:p w:rsidR="005048F2" w:rsidRPr="005048F2" w:rsidRDefault="005048F2" w:rsidP="005048F2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856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839"/>
        <w:gridCol w:w="1801"/>
        <w:gridCol w:w="5731"/>
      </w:tblGrid>
      <w:tr w:rsidR="005048F2" w:rsidRPr="005048F2" w:rsidTr="00A27B77">
        <w:trPr>
          <w:trHeight w:val="88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5048F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الثاني</w:t>
            </w: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الثاني</w:t>
            </w: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5048F2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</w:rPr>
              <w:t>-6,1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</w:rPr>
              <w:t>111,1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</w:rPr>
              <w:t>118,3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-8,2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129,3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140,8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-4,8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2-</w:t>
            </w:r>
            <w:r w:rsidRPr="005048F2">
              <w:rPr>
                <w:rFonts w:ascii="Arial" w:hAnsi="Arial" w:cs="Arial"/>
                <w:color w:val="000000"/>
                <w:rtl/>
              </w:rPr>
              <w:t>الطاقة وزيوت التشحيم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-15,1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132,7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 xml:space="preserve">3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المواد الخام من أصل حيواني ونباتي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-25,0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4 -</w:t>
            </w:r>
            <w:r w:rsidRPr="005048F2">
              <w:rPr>
                <w:rFonts w:ascii="Arial" w:hAnsi="Arial" w:cs="Arial"/>
                <w:color w:val="000000"/>
                <w:rtl/>
              </w:rPr>
              <w:t>المواد الخام من أصل معدني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-5,8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129,2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 xml:space="preserve">5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انصاف المنتجات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22,1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التجهيز الفلاحية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-8,6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96,8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105,9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التجهيز الصناعية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</w:rPr>
              <w:t>-5,5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F2">
              <w:rPr>
                <w:rFonts w:ascii="Calibri" w:hAnsi="Calibri"/>
                <w:b/>
                <w:bCs/>
                <w:color w:val="000000"/>
              </w:rPr>
              <w:t>118,1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</w:rPr>
              <w:t>125,0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-6,4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95,8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 xml:space="preserve">1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المواد الغذائية والمشروبات والتبغ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98,1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201,6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181,8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-10,3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130,8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145,9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5048F2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-17,2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146,2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-17,8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88,9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126,0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5048F2" w:rsidRPr="005048F2" w:rsidTr="00A27B7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113,5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5048F2" w:rsidRPr="005048F2" w:rsidRDefault="005048F2" w:rsidP="005048F2">
      <w:pPr>
        <w:bidi/>
        <w:jc w:val="lowKashida"/>
        <w:rPr>
          <w:rFonts w:cs="Arial"/>
          <w:b/>
          <w:bCs/>
          <w:u w:val="single"/>
          <w:lang w:val="x-none" w:eastAsia="x-none" w:bidi="ar-MA"/>
        </w:rPr>
      </w:pPr>
    </w:p>
    <w:p w:rsidR="005048F2" w:rsidRPr="005048F2" w:rsidRDefault="005048F2" w:rsidP="005048F2">
      <w:pPr>
        <w:bidi/>
        <w:jc w:val="lowKashida"/>
        <w:rPr>
          <w:rFonts w:cs="Arial"/>
          <w:b/>
          <w:bCs/>
          <w:color w:val="943634"/>
          <w:lang w:val="x-none" w:eastAsia="x-none" w:bidi="ar-MA"/>
        </w:rPr>
      </w:pPr>
      <w:r w:rsidRPr="005048F2">
        <w:rPr>
          <w:rFonts w:cs="Arial" w:hint="cs"/>
          <w:b/>
          <w:bCs/>
          <w:u w:val="single"/>
          <w:rtl/>
          <w:lang w:val="x-none" w:eastAsia="x-none" w:bidi="ar-MA"/>
        </w:rPr>
        <w:t>المصدر</w:t>
      </w:r>
      <w:r w:rsidRPr="005048F2">
        <w:rPr>
          <w:rFonts w:cs="Arial" w:hint="cs"/>
          <w:b/>
          <w:bCs/>
          <w:rtl/>
          <w:lang w:val="x-none" w:eastAsia="x-none" w:bidi="ar-MA"/>
        </w:rPr>
        <w:t>:</w:t>
      </w:r>
      <w:r w:rsidRPr="005048F2">
        <w:rPr>
          <w:rFonts w:cs="Arial" w:hint="cs"/>
          <w:b/>
          <w:bCs/>
          <w:color w:val="632423"/>
          <w:rtl/>
          <w:lang w:val="x-none" w:eastAsia="x-none" w:bidi="ar-MA"/>
        </w:rPr>
        <w:t xml:space="preserve"> قس</w:t>
      </w:r>
      <w:r w:rsidRPr="005048F2">
        <w:rPr>
          <w:rFonts w:cs="Arial" w:hint="eastAsia"/>
          <w:b/>
          <w:bCs/>
          <w:color w:val="632423"/>
          <w:rtl/>
          <w:lang w:val="x-none" w:eastAsia="x-none" w:bidi="ar-MA"/>
        </w:rPr>
        <w:t>م</w:t>
      </w:r>
      <w:r w:rsidRPr="005048F2">
        <w:rPr>
          <w:rFonts w:cs="Arial"/>
          <w:b/>
          <w:bCs/>
          <w:color w:val="632423"/>
          <w:rtl/>
          <w:lang w:val="x-none" w:eastAsia="x-none" w:bidi="ar-MA"/>
        </w:rPr>
        <w:t xml:space="preserve"> الأرقام الاستدلالية الإحصائية</w:t>
      </w:r>
    </w:p>
    <w:p w:rsidR="005048F2" w:rsidRPr="005048F2" w:rsidRDefault="005048F2" w:rsidP="005048F2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5048F2" w:rsidRPr="005048F2" w:rsidRDefault="005048F2" w:rsidP="005048F2">
      <w:pPr>
        <w:bidi/>
        <w:ind w:firstLine="141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5048F2"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الأرقام </w:t>
      </w:r>
      <w:r w:rsidRPr="005048F2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5048F2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5048F2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</w:p>
    <w:p w:rsidR="005048F2" w:rsidRPr="005048F2" w:rsidRDefault="005048F2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eastAsia="x-none" w:bidi="ar-MA"/>
        </w:rPr>
      </w:pPr>
      <w:r w:rsidRPr="005048F2">
        <w:rPr>
          <w:rFonts w:cs="Arial" w:hint="cs"/>
          <w:b/>
          <w:bCs/>
          <w:sz w:val="28"/>
          <w:szCs w:val="28"/>
          <w:rtl/>
          <w:lang w:val="x-none" w:eastAsia="x-none" w:bidi="ar-MA"/>
        </w:rPr>
        <w:t xml:space="preserve">   </w:t>
      </w:r>
      <w:r w:rsidRPr="005048F2">
        <w:rPr>
          <w:rFonts w:cs="Arial"/>
          <w:b/>
          <w:bCs/>
          <w:sz w:val="28"/>
          <w:szCs w:val="28"/>
          <w:rtl/>
          <w:lang w:val="x-none" w:eastAsia="x-none" w:bidi="ar-MA"/>
        </w:rPr>
        <w:t xml:space="preserve">بالفصل </w:t>
      </w:r>
      <w:r w:rsidRPr="005048F2">
        <w:rPr>
          <w:rFonts w:cs="Arial" w:hint="cs"/>
          <w:b/>
          <w:bCs/>
          <w:sz w:val="28"/>
          <w:szCs w:val="28"/>
          <w:rtl/>
          <w:lang w:val="x-none" w:eastAsia="x-none" w:bidi="ar-MA"/>
        </w:rPr>
        <w:t xml:space="preserve">الثاني </w:t>
      </w:r>
      <w:r w:rsidRPr="005048F2">
        <w:rPr>
          <w:rFonts w:cs="Arial"/>
          <w:b/>
          <w:bCs/>
          <w:sz w:val="28"/>
          <w:szCs w:val="28"/>
          <w:lang w:val="x-none" w:eastAsia="x-none" w:bidi="ar-MA"/>
        </w:rPr>
        <w:t>2024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tbl>
      <w:tblPr>
        <w:tblW w:w="90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985"/>
        <w:gridCol w:w="3646"/>
      </w:tblGrid>
      <w:tr w:rsidR="005048F2" w:rsidRPr="005048F2" w:rsidTr="00A27B77">
        <w:trPr>
          <w:trHeight w:val="814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048F2">
              <w:rPr>
                <w:rFonts w:ascii="Arial" w:hAnsi="Arial" w:cs="Arial" w:hint="cs"/>
                <w:b/>
                <w:bCs/>
                <w:i/>
                <w:iCs/>
                <w:rtl/>
              </w:rPr>
              <w:t>يونيو</w:t>
            </w: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048F2">
              <w:rPr>
                <w:rFonts w:ascii="Arial" w:hAnsi="Arial" w:cs="Arial" w:hint="cs"/>
                <w:b/>
                <w:bCs/>
                <w:rtl/>
              </w:rPr>
              <w:t>202</w:t>
            </w:r>
            <w:r w:rsidRPr="005048F2">
              <w:rPr>
                <w:rFonts w:ascii="Arial" w:hAnsi="Arial" w:cs="Arial"/>
                <w:b/>
                <w:bCs/>
              </w:rPr>
              <w:t>4</w:t>
            </w: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5048F2" w:rsidRPr="00535B55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35B55">
              <w:rPr>
                <w:rFonts w:ascii="Arial" w:hAnsi="Arial" w:cs="Arial" w:hint="cs"/>
                <w:b/>
                <w:bCs/>
                <w:i/>
                <w:iCs/>
                <w:rtl/>
              </w:rPr>
              <w:t>ماي</w:t>
            </w:r>
          </w:p>
          <w:p w:rsidR="005048F2" w:rsidRPr="00535B55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35B55">
              <w:rPr>
                <w:rFonts w:ascii="Arial" w:hAnsi="Arial" w:cs="Arial"/>
                <w:b/>
                <w:bCs/>
                <w:i/>
                <w:iCs/>
              </w:rPr>
              <w:t>2024</w:t>
            </w:r>
          </w:p>
          <w:p w:rsidR="005048F2" w:rsidRPr="00535B55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</w:rPr>
            </w:pP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  <w:lang w:val="fr-MA" w:bidi="ar-MA"/>
              </w:rPr>
            </w:pPr>
            <w:r w:rsidRPr="005048F2"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ابريل</w:t>
            </w: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 w:hint="cs"/>
                <w:b/>
                <w:bCs/>
                <w:rtl/>
              </w:rPr>
              <w:t>202</w:t>
            </w:r>
            <w:r w:rsidRPr="005048F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5048F2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5048F2" w:rsidRPr="005048F2" w:rsidTr="00A27B77">
        <w:trPr>
          <w:trHeight w:val="2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</w:rPr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F2">
              <w:rPr>
                <w:rFonts w:ascii="Calibri" w:hAnsi="Calibri"/>
                <w:b/>
                <w:bCs/>
                <w:color w:val="000000"/>
              </w:rPr>
              <w:t>111,6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F2">
              <w:rPr>
                <w:rFonts w:ascii="Calibri" w:hAnsi="Calibri"/>
                <w:b/>
                <w:bCs/>
                <w:color w:val="000000"/>
              </w:rPr>
              <w:t>111,3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5048F2" w:rsidRPr="005048F2" w:rsidRDefault="005048F2" w:rsidP="005048F2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127,8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128,7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103,7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107,0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109,6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117,4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64,8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62,2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5048F2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121,5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124,4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119,3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118,2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137,6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95,1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96,1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99,0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122,1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118,3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5048F2" w:rsidRPr="005048F2" w:rsidTr="00A27B77">
        <w:trPr>
          <w:trHeight w:val="3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5048F2" w:rsidRPr="005048F2" w:rsidRDefault="005048F2" w:rsidP="005048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</w:rPr>
              <w:t>116,2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F2">
              <w:rPr>
                <w:rFonts w:ascii="Calibri" w:hAnsi="Calibri"/>
                <w:b/>
                <w:bCs/>
                <w:color w:val="000000"/>
              </w:rPr>
              <w:t>117,7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F2">
              <w:rPr>
                <w:rFonts w:ascii="Calibri" w:hAnsi="Calibri"/>
                <w:b/>
                <w:bCs/>
                <w:color w:val="000000"/>
              </w:rPr>
              <w:t>120,4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5048F2" w:rsidRPr="005048F2" w:rsidRDefault="005048F2" w:rsidP="005048F2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95,2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97,6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97,0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99,1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172,4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218,3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213,1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134,3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137,8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120,2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5048F2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118,6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128,9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89,5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88,1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88,9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125,3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130,3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5048F2" w:rsidRPr="005048F2" w:rsidTr="00A27B77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color w:val="000000"/>
              </w:rPr>
            </w:pPr>
            <w:r w:rsidRPr="005048F2">
              <w:rPr>
                <w:rFonts w:ascii="Arial" w:hAnsi="Arial" w:cs="Arial"/>
                <w:color w:val="000000"/>
              </w:rPr>
              <w:t>114,6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112,9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113,1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Pr="005048F2" w:rsidRDefault="005048F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5048F2" w:rsidRPr="005048F2" w:rsidRDefault="005048F2" w:rsidP="005048F2">
      <w:pPr>
        <w:bidi/>
        <w:jc w:val="lowKashida"/>
        <w:rPr>
          <w:rFonts w:cs="Arial"/>
          <w:b/>
          <w:bCs/>
          <w:color w:val="632423"/>
          <w:lang w:bidi="ar-MA"/>
        </w:rPr>
      </w:pPr>
      <w:r w:rsidRPr="005048F2">
        <w:rPr>
          <w:rFonts w:cs="Arial"/>
          <w:b/>
          <w:bCs/>
          <w:lang w:bidi="ar-MA"/>
        </w:rPr>
        <w:t xml:space="preserve">      </w:t>
      </w:r>
      <w:r w:rsidRPr="005048F2">
        <w:rPr>
          <w:rFonts w:cs="Arial" w:hint="cs"/>
          <w:b/>
          <w:bCs/>
          <w:u w:val="single"/>
          <w:rtl/>
          <w:lang w:bidi="ar-MA"/>
        </w:rPr>
        <w:t>المصدر</w:t>
      </w:r>
      <w:r w:rsidRPr="005048F2">
        <w:rPr>
          <w:rFonts w:cs="Arial" w:hint="cs"/>
          <w:b/>
          <w:bCs/>
          <w:rtl/>
          <w:lang w:bidi="ar-MA"/>
        </w:rPr>
        <w:t>:</w:t>
      </w:r>
      <w:r w:rsidRPr="005048F2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Pr="005048F2">
        <w:rPr>
          <w:rFonts w:cs="Arial" w:hint="eastAsia"/>
          <w:b/>
          <w:bCs/>
          <w:color w:val="632423"/>
          <w:rtl/>
          <w:lang w:bidi="ar-MA"/>
        </w:rPr>
        <w:t>م</w:t>
      </w:r>
      <w:r w:rsidRPr="005048F2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</w:p>
    <w:p w:rsidR="005048F2" w:rsidRPr="005048F2" w:rsidRDefault="005048F2" w:rsidP="005048F2">
      <w:pPr>
        <w:bidi/>
        <w:jc w:val="lowKashida"/>
        <w:rPr>
          <w:rFonts w:cs="Arial"/>
          <w:b/>
          <w:bCs/>
          <w:color w:val="943634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الأرقام </w:t>
      </w:r>
      <w:r w:rsidRPr="005048F2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5048F2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>ة الفصلية للقيم المتوسطة</w:t>
      </w:r>
    </w:p>
    <w:tbl>
      <w:tblPr>
        <w:tblpPr w:leftFromText="141" w:rightFromText="141" w:vertAnchor="text" w:horzAnchor="margin" w:tblpXSpec="center" w:tblpY="33"/>
        <w:tblW w:w="8079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327"/>
        <w:gridCol w:w="1926"/>
        <w:gridCol w:w="1417"/>
      </w:tblGrid>
      <w:tr w:rsidR="005048F2" w:rsidRPr="005048F2" w:rsidTr="00A27B77">
        <w:trPr>
          <w:trHeight w:val="396"/>
        </w:trPr>
        <w:tc>
          <w:tcPr>
            <w:tcW w:w="2409" w:type="dxa"/>
            <w:shd w:val="clear" w:color="auto" w:fill="auto"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tcBorders>
              <w:right w:val="double" w:sz="4" w:space="0" w:color="F79646"/>
            </w:tcBorders>
            <w:shd w:val="clear" w:color="auto" w:fill="auto"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  <w:rtl/>
              </w:rPr>
              <w:t>الصادرات</w:t>
            </w:r>
          </w:p>
        </w:tc>
        <w:tc>
          <w:tcPr>
            <w:tcW w:w="3343" w:type="dxa"/>
            <w:gridSpan w:val="2"/>
            <w:tcBorders>
              <w:top w:val="nil"/>
              <w:left w:val="doub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8F2" w:rsidRPr="005048F2" w:rsidRDefault="005048F2" w:rsidP="005048F2">
            <w:pPr>
              <w:rPr>
                <w:sz w:val="20"/>
                <w:szCs w:val="20"/>
              </w:rPr>
            </w:pPr>
          </w:p>
        </w:tc>
      </w:tr>
      <w:tr w:rsidR="005048F2" w:rsidRPr="005048F2" w:rsidTr="00A27B77">
        <w:trPr>
          <w:trHeight w:val="398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124,3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124,2</w:t>
            </w:r>
          </w:p>
        </w:tc>
        <w:tc>
          <w:tcPr>
            <w:tcW w:w="1926" w:type="dxa"/>
            <w:tcBorders>
              <w:top w:val="double" w:sz="4" w:space="0" w:color="F79646"/>
              <w:bottom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tcBorders>
              <w:top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134,8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135,7</w:t>
            </w:r>
          </w:p>
        </w:tc>
        <w:tc>
          <w:tcPr>
            <w:tcW w:w="1926" w:type="dxa"/>
            <w:tcBorders>
              <w:top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136,0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142,0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130,7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134,2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125,8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129,3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125,0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118,4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Calibri" w:hAnsi="Calibri"/>
                <w:color w:val="000000"/>
              </w:rPr>
              <w:t>113,3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5048F2" w:rsidRPr="005048F2" w:rsidTr="00A27B7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111,1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118,1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048F2" w:rsidRPr="005048F2" w:rsidRDefault="005048F2" w:rsidP="005048F2">
      <w:pPr>
        <w:bidi/>
        <w:spacing w:line="320" w:lineRule="exact"/>
        <w:rPr>
          <w:rFonts w:cs="Arial"/>
          <w:b/>
          <w:bCs/>
          <w:color w:val="632423"/>
          <w:sz w:val="20"/>
          <w:szCs w:val="20"/>
          <w:lang w:bidi="ar-MA"/>
        </w:rPr>
      </w:pPr>
      <w:r w:rsidRPr="005048F2">
        <w:rPr>
          <w:rFonts w:cs="Arial"/>
          <w:b/>
          <w:bCs/>
          <w:sz w:val="20"/>
          <w:szCs w:val="20"/>
          <w:lang w:bidi="ar-MA"/>
        </w:rPr>
        <w:t xml:space="preserve">                </w:t>
      </w:r>
      <w:r w:rsidRPr="005048F2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Pr="005048F2">
        <w:rPr>
          <w:rFonts w:cs="Arial" w:hint="cs"/>
          <w:b/>
          <w:bCs/>
          <w:sz w:val="20"/>
          <w:szCs w:val="20"/>
          <w:rtl/>
          <w:lang w:bidi="ar-MA"/>
        </w:rPr>
        <w:t xml:space="preserve">: </w:t>
      </w:r>
      <w:r w:rsidRPr="005048F2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 w:rsidRPr="005048F2">
        <w:rPr>
          <w:noProof/>
        </w:rPr>
        <w:drawing>
          <wp:inline distT="0" distB="0" distL="0" distR="0" wp14:anchorId="440144C8" wp14:editId="7FB89015">
            <wp:extent cx="5759450" cy="3867150"/>
            <wp:effectExtent l="0" t="0" r="0" b="0"/>
            <wp:docPr id="2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rPr>
          <w:noProof/>
        </w:rPr>
      </w:pPr>
      <w:r w:rsidRPr="005048F2">
        <w:t xml:space="preserve">     </w:t>
      </w:r>
      <w:r w:rsidRPr="005048F2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Pr="005048F2">
        <w:rPr>
          <w:rFonts w:cs="Arial" w:hint="cs"/>
          <w:b/>
          <w:bCs/>
          <w:sz w:val="20"/>
          <w:szCs w:val="20"/>
          <w:rtl/>
          <w:lang w:bidi="ar-MA"/>
        </w:rPr>
        <w:t xml:space="preserve">: </w:t>
      </w:r>
      <w:r w:rsidRPr="005048F2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Default="00176998" w:rsidP="00176998">
      <w:pPr>
        <w:bidi/>
      </w:pPr>
      <w:bookmarkStart w:id="0" w:name="_GoBack"/>
      <w:bookmarkEnd w:id="0"/>
    </w:p>
    <w:sectPr w:rsidR="00176998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0C" w:rsidRDefault="00C80E0C">
      <w:r>
        <w:separator/>
      </w:r>
    </w:p>
  </w:endnote>
  <w:endnote w:type="continuationSeparator" w:id="0">
    <w:p w:rsidR="00C80E0C" w:rsidRDefault="00C8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0E" w:rsidRDefault="00A8260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0E" w:rsidRPr="006D7FA4" w:rsidRDefault="00A8260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61A63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61A63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0E" w:rsidRDefault="00C80E0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0C" w:rsidRDefault="00C80E0C">
      <w:r>
        <w:separator/>
      </w:r>
    </w:p>
  </w:footnote>
  <w:footnote w:type="continuationSeparator" w:id="0">
    <w:p w:rsidR="00C80E0C" w:rsidRDefault="00C8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37E0B"/>
    <w:rsid w:val="00042C04"/>
    <w:rsid w:val="00050A6E"/>
    <w:rsid w:val="00053619"/>
    <w:rsid w:val="000554EE"/>
    <w:rsid w:val="00056810"/>
    <w:rsid w:val="00060321"/>
    <w:rsid w:val="00061AEA"/>
    <w:rsid w:val="00061BA9"/>
    <w:rsid w:val="00064386"/>
    <w:rsid w:val="0006553F"/>
    <w:rsid w:val="00065DCD"/>
    <w:rsid w:val="00067EFD"/>
    <w:rsid w:val="00070037"/>
    <w:rsid w:val="00074A09"/>
    <w:rsid w:val="00081BE5"/>
    <w:rsid w:val="00085E86"/>
    <w:rsid w:val="000A3BE9"/>
    <w:rsid w:val="000A4F68"/>
    <w:rsid w:val="000B2A3E"/>
    <w:rsid w:val="000B6EA6"/>
    <w:rsid w:val="000C534E"/>
    <w:rsid w:val="000C5E54"/>
    <w:rsid w:val="000C7682"/>
    <w:rsid w:val="000C7C54"/>
    <w:rsid w:val="000D25AF"/>
    <w:rsid w:val="000D2D20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7B7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0568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15A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9480A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775"/>
    <w:rsid w:val="00403A20"/>
    <w:rsid w:val="0041796D"/>
    <w:rsid w:val="00425145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3038"/>
    <w:rsid w:val="00484D41"/>
    <w:rsid w:val="00484E8D"/>
    <w:rsid w:val="00487904"/>
    <w:rsid w:val="0049060D"/>
    <w:rsid w:val="004942FE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48F2"/>
    <w:rsid w:val="005052E3"/>
    <w:rsid w:val="005126CC"/>
    <w:rsid w:val="005178FE"/>
    <w:rsid w:val="0052635A"/>
    <w:rsid w:val="00535B55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703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9F7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1ED0"/>
    <w:rsid w:val="007320F2"/>
    <w:rsid w:val="00737D26"/>
    <w:rsid w:val="00737E9A"/>
    <w:rsid w:val="00740560"/>
    <w:rsid w:val="007418E0"/>
    <w:rsid w:val="0074649E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3380"/>
    <w:rsid w:val="00785179"/>
    <w:rsid w:val="00786ECE"/>
    <w:rsid w:val="00790B01"/>
    <w:rsid w:val="00791486"/>
    <w:rsid w:val="00794363"/>
    <w:rsid w:val="007952D3"/>
    <w:rsid w:val="007953C6"/>
    <w:rsid w:val="00796547"/>
    <w:rsid w:val="00797E37"/>
    <w:rsid w:val="007A3834"/>
    <w:rsid w:val="007A4BAD"/>
    <w:rsid w:val="007A5824"/>
    <w:rsid w:val="007A6298"/>
    <w:rsid w:val="007A681A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094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B54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28EC"/>
    <w:rsid w:val="00905CF8"/>
    <w:rsid w:val="00910948"/>
    <w:rsid w:val="00914F99"/>
    <w:rsid w:val="00930BC1"/>
    <w:rsid w:val="00931126"/>
    <w:rsid w:val="00944B4F"/>
    <w:rsid w:val="00950733"/>
    <w:rsid w:val="0095153B"/>
    <w:rsid w:val="00953DB4"/>
    <w:rsid w:val="00961216"/>
    <w:rsid w:val="00961A63"/>
    <w:rsid w:val="0096299E"/>
    <w:rsid w:val="00965163"/>
    <w:rsid w:val="009674B4"/>
    <w:rsid w:val="00970294"/>
    <w:rsid w:val="009750B7"/>
    <w:rsid w:val="009801E4"/>
    <w:rsid w:val="00980387"/>
    <w:rsid w:val="00981B0B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E9A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61B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483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2608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1CBB"/>
    <w:rsid w:val="00AE3BF1"/>
    <w:rsid w:val="00AE4320"/>
    <w:rsid w:val="00AE61E0"/>
    <w:rsid w:val="00AF2DC5"/>
    <w:rsid w:val="00AF442C"/>
    <w:rsid w:val="00AF5E43"/>
    <w:rsid w:val="00AF685F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70E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17AC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3D2A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279A0"/>
    <w:rsid w:val="00C31EF5"/>
    <w:rsid w:val="00C36CAE"/>
    <w:rsid w:val="00C440FC"/>
    <w:rsid w:val="00C455CF"/>
    <w:rsid w:val="00C45E08"/>
    <w:rsid w:val="00C509B9"/>
    <w:rsid w:val="00C5584A"/>
    <w:rsid w:val="00C55A3C"/>
    <w:rsid w:val="00C560D8"/>
    <w:rsid w:val="00C569B9"/>
    <w:rsid w:val="00C57DE2"/>
    <w:rsid w:val="00C726EC"/>
    <w:rsid w:val="00C77AA4"/>
    <w:rsid w:val="00C80E0C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190"/>
    <w:rsid w:val="00D12FA1"/>
    <w:rsid w:val="00D14BAE"/>
    <w:rsid w:val="00D15EC7"/>
    <w:rsid w:val="00D224CC"/>
    <w:rsid w:val="00D25594"/>
    <w:rsid w:val="00D30672"/>
    <w:rsid w:val="00D30B74"/>
    <w:rsid w:val="00D35085"/>
    <w:rsid w:val="00D40AE4"/>
    <w:rsid w:val="00D41C80"/>
    <w:rsid w:val="00D46A93"/>
    <w:rsid w:val="00D4763E"/>
    <w:rsid w:val="00D5289B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5481"/>
    <w:rsid w:val="00DE5E38"/>
    <w:rsid w:val="00DE635A"/>
    <w:rsid w:val="00DF30F4"/>
    <w:rsid w:val="00E00F10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1419"/>
    <w:rsid w:val="00E62E93"/>
    <w:rsid w:val="00E643D8"/>
    <w:rsid w:val="00E6596F"/>
    <w:rsid w:val="00E72BE0"/>
    <w:rsid w:val="00E77FAD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56D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17899"/>
    <w:rsid w:val="00F24784"/>
    <w:rsid w:val="00F2657B"/>
    <w:rsid w:val="00F30486"/>
    <w:rsid w:val="00F30675"/>
    <w:rsid w:val="00F33A9C"/>
    <w:rsid w:val="00F33B2E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,"/>
  <w:listSeparator w:val=";"/>
  <w15:docId w15:val="{1D2021CE-8058-445A-AB21-1C1A7F1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   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التطور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الفصلي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للأرقام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الاستدلالية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للقيم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المتوسطة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للتجارة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الخارجية</a:t>
            </a:r>
            <a:r>
              <a:rPr lang="fr-FR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  </a:t>
            </a:r>
          </a:p>
          <a:p>
            <a:pPr>
              <a:defRPr sz="10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1098" b="1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(</a:t>
            </a:r>
            <a:r>
              <a:rPr lang="ar-MA" sz="1096" b="1" i="0" u="none" strike="noStrike" baseline="0">
                <a:solidFill>
                  <a:srgbClr val="000000"/>
                </a:solidFill>
                <a:effectLst/>
                <a:latin typeface="Calibri"/>
                <a:ea typeface="+mn-cs"/>
                <a:cs typeface="Calibri"/>
              </a:rPr>
              <a:t>اساس </a:t>
            </a:r>
            <a:r>
              <a:rPr lang="ar-MA" sz="1096" b="1" i="0" u="none" strike="noStrike" baseline="0">
                <a:effectLst/>
              </a:rPr>
              <a:t>2019:100</a:t>
            </a:r>
            <a:r>
              <a:rPr lang="ar-MA" sz="109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)</a:t>
            </a:r>
            <a:endParaRPr lang="fr-FR" sz="1100" b="1" i="0" u="none" strike="noStrike" baseline="0">
              <a:solidFill>
                <a:srgbClr val="000000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19733715103793845"/>
          <c:y val="2.2473773850369017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495467541535831E-2"/>
          <c:y val="0.11712437982869695"/>
          <c:w val="0.83733485334535218"/>
          <c:h val="0.66312122034902377"/>
        </c:manualLayout>
      </c:layout>
      <c:lineChart>
        <c:grouping val="standard"/>
        <c:varyColors val="0"/>
        <c:ser>
          <c:idx val="1"/>
          <c:order val="0"/>
          <c:tx>
            <c:strRef>
              <c:f>'texte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19020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6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dPt>
            <c:idx val="8"/>
            <c:bubble3D val="0"/>
            <c:spPr>
              <a:ln w="15850"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0A-4A8F-A3D7-EE8F89588424}"/>
              </c:ext>
            </c:extLst>
          </c:dPt>
          <c:cat>
            <c:multiLvlStrRef>
              <c:f>'texte arabe'!$A$15:$B$24</c:f>
              <c:multiLvlStrCache>
                <c:ptCount val="10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'texte arabe'!$C$15:$C$24</c:f>
              <c:numCache>
                <c:formatCode>0.0</c:formatCode>
                <c:ptCount val="10"/>
                <c:pt idx="0">
                  <c:v>124.2</c:v>
                </c:pt>
                <c:pt idx="1">
                  <c:v>135.69999999999999</c:v>
                </c:pt>
                <c:pt idx="2">
                  <c:v>142</c:v>
                </c:pt>
                <c:pt idx="3">
                  <c:v>134.19999999999999</c:v>
                </c:pt>
                <c:pt idx="4">
                  <c:v>129.30000000000001</c:v>
                </c:pt>
                <c:pt idx="5">
                  <c:v>125</c:v>
                </c:pt>
                <c:pt idx="6">
                  <c:v>116.3</c:v>
                </c:pt>
                <c:pt idx="7">
                  <c:v>122.6</c:v>
                </c:pt>
                <c:pt idx="8">
                  <c:v>117.2</c:v>
                </c:pt>
                <c:pt idx="9">
                  <c:v>118.1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90A-4A8F-A3D7-EE8F89588424}"/>
            </c:ext>
          </c:extLst>
        </c:ser>
        <c:ser>
          <c:idx val="0"/>
          <c:order val="1"/>
          <c:tx>
            <c:strRef>
              <c:f>'texte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marker>
            <c:symbol val="circle"/>
            <c:size val="6"/>
          </c:marker>
          <c:cat>
            <c:multiLvlStrRef>
              <c:f>'texte arabe'!$A$15:$B$24</c:f>
              <c:multiLvlStrCache>
                <c:ptCount val="10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'texte arabe'!$D$15:$D$24</c:f>
              <c:numCache>
                <c:formatCode>0.0</c:formatCode>
                <c:ptCount val="10"/>
                <c:pt idx="0">
                  <c:v>124.3</c:v>
                </c:pt>
                <c:pt idx="1">
                  <c:v>134.80000000000001</c:v>
                </c:pt>
                <c:pt idx="2">
                  <c:v>136</c:v>
                </c:pt>
                <c:pt idx="3">
                  <c:v>130.69999999999999</c:v>
                </c:pt>
                <c:pt idx="4">
                  <c:v>125.8</c:v>
                </c:pt>
                <c:pt idx="5">
                  <c:v>118.3</c:v>
                </c:pt>
                <c:pt idx="6">
                  <c:v>112.6</c:v>
                </c:pt>
                <c:pt idx="7">
                  <c:v>118.4</c:v>
                </c:pt>
                <c:pt idx="8">
                  <c:v>113.3</c:v>
                </c:pt>
                <c:pt idx="9">
                  <c:v>111.1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90A-4A8F-A3D7-EE8F89588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240928"/>
        <c:axId val="300238208"/>
      </c:lineChart>
      <c:catAx>
        <c:axId val="30024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00238208"/>
        <c:crossesAt val="75"/>
        <c:auto val="1"/>
        <c:lblAlgn val="ctr"/>
        <c:lblOffset val="100"/>
        <c:tickLblSkip val="1"/>
        <c:tickMarkSkip val="1"/>
        <c:noMultiLvlLbl val="0"/>
      </c:catAx>
      <c:valAx>
        <c:axId val="300238208"/>
        <c:scaling>
          <c:orientation val="minMax"/>
          <c:max val="150"/>
          <c:min val="95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00240928"/>
        <c:crosses val="autoZero"/>
        <c:crossBetween val="between"/>
        <c:majorUnit val="5"/>
      </c:valAx>
      <c:spPr>
        <a:solidFill>
          <a:srgbClr val="FFFFFF"/>
        </a:solidFill>
        <a:ln w="12680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823529411764706"/>
          <c:y val="0.94641338897386029"/>
          <c:w val="0.61680672268907566"/>
          <c:h val="3.9408599104967995E-2"/>
        </c:manualLayout>
      </c:layout>
      <c:overlay val="0"/>
      <c:spPr>
        <a:solidFill>
          <a:srgbClr val="FFFFFF"/>
        </a:solidFill>
        <a:ln w="6340">
          <a:solidFill>
            <a:schemeClr val="tx1"/>
          </a:solidFill>
          <a:prstDash val="solid"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lt1"/>
    </a:solidFill>
    <a:ln w="25360" cap="flat" cmpd="sng" algn="ctr">
      <a:solidFill>
        <a:schemeClr val="dk1"/>
      </a:solidFill>
      <a:prstDash val="solid"/>
    </a:ln>
    <a:effectLst/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Mohamed Elmaliki</cp:lastModifiedBy>
  <cp:revision>14</cp:revision>
  <cp:lastPrinted>2012-11-26T10:50:00Z</cp:lastPrinted>
  <dcterms:created xsi:type="dcterms:W3CDTF">2024-09-13T20:36:00Z</dcterms:created>
  <dcterms:modified xsi:type="dcterms:W3CDTF">2024-09-30T11:06:00Z</dcterms:modified>
</cp:coreProperties>
</file>