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B10FBD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B10FBD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176998" w:rsidRPr="00B10FBD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B10FBD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176998" w:rsidRPr="004C6DB0" w:rsidRDefault="00176998" w:rsidP="009D5CA5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B10FBD">
        <w:rPr>
          <w:rFonts w:cs="Arial"/>
          <w:b/>
          <w:bCs/>
          <w:color w:val="632423"/>
          <w:sz w:val="32"/>
          <w:szCs w:val="32"/>
          <w:rtl/>
          <w:lang w:bidi="ar-MA"/>
        </w:rPr>
        <w:t>الرقم الاستدلالي للأثمان عند الاستهلاك لشه</w:t>
      </w:r>
      <w:r w:rsidRPr="00B10FBD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ر</w:t>
      </w:r>
      <w:r w:rsidR="006D4951" w:rsidRPr="00B10FBD">
        <w:rPr>
          <w:rFonts w:cs="Arial"/>
          <w:b/>
          <w:bCs/>
          <w:color w:val="632423"/>
          <w:sz w:val="32"/>
          <w:szCs w:val="32"/>
          <w:rtl/>
          <w:lang w:bidi="ar-MA"/>
        </w:rPr>
        <w:t xml:space="preserve"> يناير</w:t>
      </w:r>
      <w:r w:rsidR="00A97BBC" w:rsidRPr="00B10FBD">
        <w:rPr>
          <w:rFonts w:cs="Arial"/>
          <w:b/>
          <w:bCs/>
          <w:color w:val="632423"/>
          <w:sz w:val="32"/>
          <w:szCs w:val="32"/>
          <w:rtl/>
          <w:lang w:bidi="ar-MA"/>
        </w:rPr>
        <w:t>2025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EE5BEE" w:rsidP="003911A0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EE5BEE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للأثمان عند الاستهلاك ب %</w:t>
      </w:r>
      <w:r w:rsidR="00AF28A0">
        <w:rPr>
          <w:rFonts w:ascii="Arial" w:hAnsi="Arial" w:cs="Arial"/>
          <w:b/>
          <w:bCs/>
          <w:sz w:val="28"/>
          <w:szCs w:val="28"/>
          <w:lang w:bidi="ar-MA"/>
        </w:rPr>
        <w:t>8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AF28A0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EE5BEE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</w:t>
      </w:r>
      <w:r w:rsidR="00AF28A0">
        <w:rPr>
          <w:rFonts w:ascii="Arial" w:hAnsi="Arial" w:cs="Arial"/>
          <w:b/>
          <w:bCs/>
          <w:sz w:val="28"/>
          <w:szCs w:val="28"/>
          <w:lang w:bidi="ar-MA"/>
        </w:rPr>
        <w:t>6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536360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AF28A0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Pr="00EE5BEE">
        <w:rPr>
          <w:rFonts w:ascii="Arial" w:hAnsi="Arial" w:cs="Arial"/>
          <w:b/>
          <w:bCs/>
          <w:sz w:val="28"/>
          <w:szCs w:val="28"/>
          <w:rtl/>
          <w:lang w:bidi="ar-MA"/>
        </w:rPr>
        <w:t>واستقرار</w:t>
      </w:r>
      <w:r w:rsidR="00536360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536502" w:rsidRPr="00536502">
        <w:rPr>
          <w:rFonts w:ascii="Arial" w:hAnsi="Arial" w:cs="Arial"/>
          <w:b/>
          <w:bCs/>
          <w:sz w:val="28"/>
          <w:szCs w:val="28"/>
          <w:rtl/>
          <w:lang w:bidi="ar-MA"/>
        </w:rPr>
        <w:t>الرقم الاستدلالي للمواد غير الغذائية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3911A0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وب %</w:t>
      </w:r>
      <w:r w:rsidR="003911A0">
        <w:rPr>
          <w:rFonts w:ascii="Arial" w:hAnsi="Arial" w:cs="Arial"/>
          <w:b/>
          <w:bCs/>
          <w:sz w:val="28"/>
          <w:szCs w:val="28"/>
          <w:lang w:bidi="ar-MA"/>
        </w:rPr>
        <w:t>4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207C55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0232DD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>سجل الرقم الاستدلالي للأثمان عند الاستهلاك، خلال شهر</w:t>
      </w:r>
      <w:r w:rsidR="006D4951">
        <w:rPr>
          <w:rFonts w:ascii="Arial" w:hAnsi="Arial" w:cs="Arial"/>
          <w:sz w:val="28"/>
          <w:szCs w:val="28"/>
          <w:rtl/>
          <w:lang w:bidi="ar-MA"/>
        </w:rPr>
        <w:t xml:space="preserve"> يناير</w:t>
      </w:r>
      <w:r w:rsidR="0024177C">
        <w:rPr>
          <w:rFonts w:ascii="Arial" w:hAnsi="Arial" w:cs="Arial"/>
          <w:sz w:val="28"/>
          <w:szCs w:val="28"/>
          <w:lang w:bidi="ar-MA"/>
        </w:rPr>
        <w:t xml:space="preserve"> </w:t>
      </w:r>
      <w:r w:rsidR="00A97BBC">
        <w:rPr>
          <w:rFonts w:ascii="Arial" w:hAnsi="Arial" w:cs="Arial"/>
          <w:sz w:val="28"/>
          <w:szCs w:val="28"/>
          <w:rtl/>
          <w:lang w:bidi="ar-MA"/>
        </w:rPr>
        <w:t>2025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 xml:space="preserve">ارتفاعا ب %0,8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الارتفاع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 عن 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تزايد الرقم الاستدلالي للمواد الغذائية ب %1,6 و</w:t>
      </w:r>
      <w:r w:rsidR="000232DD" w:rsidRPr="000232DD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 غير الغذائية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56CFA" w:rsidRDefault="002A31E4" w:rsidP="00DE0D8D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24177C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24177C">
        <w:rPr>
          <w:rFonts w:ascii="Arial" w:hAnsi="Arial" w:cs="Arial"/>
          <w:sz w:val="28"/>
          <w:szCs w:val="28"/>
          <w:lang w:bidi="ar-MA"/>
        </w:rPr>
        <w:t xml:space="preserve"> 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r w:rsidR="0024177C">
        <w:rPr>
          <w:rFonts w:ascii="Arial" w:hAnsi="Arial" w:cs="Arial"/>
          <w:sz w:val="28"/>
          <w:szCs w:val="28"/>
          <w:lang w:bidi="ar-MA"/>
        </w:rPr>
        <w:t xml:space="preserve"> </w:t>
      </w:r>
      <w:r w:rsidR="00A97BBC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>يناي</w:t>
      </w:r>
      <w:r w:rsidR="0024177C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A97BBC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DE0D8D">
        <w:rPr>
          <w:rFonts w:ascii="Arial" w:hAnsi="Arial" w:cs="Arial"/>
          <w:sz w:val="28"/>
          <w:szCs w:val="28"/>
          <w:lang w:bidi="ar-MA"/>
        </w:rPr>
        <w:t xml:space="preserve"> </w:t>
      </w:r>
      <w:r w:rsidR="00E22D4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E22D4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 xml:space="preserve"> ب %6,0 و</w:t>
      </w:r>
      <w:r w:rsidR="00E22D4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E22D4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 xml:space="preserve"> ب %4,7 و</w:t>
      </w:r>
      <w:r w:rsidR="00E22D4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E22D4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 xml:space="preserve"> ب %2,0 و</w:t>
      </w:r>
      <w:r w:rsidR="00E22D4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E22D4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 xml:space="preserve"> ب %1,6 و</w:t>
      </w:r>
      <w:r w:rsidR="00E22D4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E22D4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 xml:space="preserve"> ب %0,6 و</w:t>
      </w:r>
      <w:r w:rsidR="00E22D4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E22D4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 xml:space="preserve"> ب %0,5</w:t>
      </w:r>
      <w:r w:rsidR="00A4307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E0D8D">
        <w:rPr>
          <w:rFonts w:ascii="Arial" w:hAnsi="Arial" w:cs="Arial"/>
          <w:sz w:val="28"/>
          <w:szCs w:val="28"/>
          <w:lang w:bidi="ar-MA"/>
        </w:rPr>
        <w:t xml:space="preserve"> </w:t>
      </w:r>
      <w:r w:rsidR="00A43072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 xml:space="preserve">انخفضت أثمان </w:t>
      </w:r>
      <w:r w:rsidR="00DE0D8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DE0D8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225D44">
        <w:rPr>
          <w:rFonts w:ascii="Arial" w:hAnsi="Arial" w:cs="Arial"/>
          <w:sz w:val="28"/>
          <w:szCs w:val="28"/>
          <w:lang w:bidi="ar-MA"/>
        </w:rPr>
        <w:t>5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,</w:t>
      </w:r>
      <w:r w:rsidR="00225D44">
        <w:rPr>
          <w:rFonts w:ascii="Arial" w:hAnsi="Arial" w:cs="Arial"/>
          <w:sz w:val="28"/>
          <w:szCs w:val="28"/>
          <w:lang w:bidi="ar-MA"/>
        </w:rPr>
        <w:t>0</w:t>
      </w:r>
      <w:r w:rsidR="000A2C5C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 xml:space="preserve">فإن الارتفاع هم على الخصوص أثمان </w:t>
      </w:r>
      <w:r w:rsidR="00DE0D8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ال</w:t>
      </w:r>
      <w:r w:rsidR="002C1535" w:rsidRPr="002C1535">
        <w:rPr>
          <w:rFonts w:ascii="Arial" w:hAnsi="Arial" w:cs="Arial"/>
          <w:sz w:val="28"/>
          <w:szCs w:val="28"/>
          <w:rtl/>
          <w:lang w:bidi="ar-MA"/>
        </w:rPr>
        <w:t>مطاعم</w:t>
      </w:r>
      <w:r w:rsidR="00DE0D8D">
        <w:rPr>
          <w:rFonts w:ascii="Arial" w:hAnsi="Arial" w:cs="Arial"/>
          <w:sz w:val="28"/>
          <w:szCs w:val="28"/>
          <w:lang w:bidi="ar-MA"/>
        </w:rPr>
        <w:t xml:space="preserve"> </w:t>
      </w:r>
      <w:r w:rsidR="008564D6" w:rsidRPr="00E22D4E">
        <w:rPr>
          <w:rFonts w:ascii="Arial" w:hAnsi="Arial" w:cs="Arial" w:hint="cs"/>
          <w:sz w:val="28"/>
          <w:szCs w:val="28"/>
          <w:rtl/>
          <w:lang w:bidi="ar-MA"/>
        </w:rPr>
        <w:t>وال</w:t>
      </w:r>
      <w:r w:rsidR="008564D6" w:rsidRPr="002C1535">
        <w:rPr>
          <w:rFonts w:ascii="Arial" w:hAnsi="Arial" w:cs="Arial" w:hint="cs"/>
          <w:sz w:val="28"/>
          <w:szCs w:val="28"/>
          <w:rtl/>
          <w:lang w:bidi="ar-MA"/>
        </w:rPr>
        <w:t>مقاهي</w:t>
      </w:r>
      <w:r w:rsidR="00DE0D8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744215">
        <w:rPr>
          <w:rFonts w:ascii="Arial" w:hAnsi="Arial" w:cs="Arial"/>
          <w:sz w:val="28"/>
          <w:szCs w:val="28"/>
          <w:lang w:bidi="ar-MA"/>
        </w:rPr>
        <w:t>3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,</w:t>
      </w:r>
      <w:r w:rsidR="0034466F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="00E22D4E">
        <w:rPr>
          <w:rFonts w:ascii="Arial" w:hAnsi="Arial" w:cs="Arial"/>
          <w:sz w:val="28"/>
          <w:szCs w:val="28"/>
          <w:lang w:bidi="ar-MA"/>
        </w:rPr>
        <w:t>.</w:t>
      </w:r>
    </w:p>
    <w:p w:rsidR="00E22D4E" w:rsidRPr="0004043D" w:rsidRDefault="00E22D4E" w:rsidP="00E22D4E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56CFA" w:rsidRDefault="002A31E4" w:rsidP="00E919E6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وسجل الرقم الاستدلالي 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أهم الارتفاعات في سطات ب %1,5 وفي آسفي ب %1,3 وفي تطوان</w:t>
      </w:r>
      <w:r w:rsidR="002B4B7E">
        <w:rPr>
          <w:rFonts w:ascii="Arial" w:hAnsi="Arial" w:cs="Arial"/>
          <w:sz w:val="28"/>
          <w:szCs w:val="28"/>
          <w:lang w:bidi="ar-MA"/>
        </w:rPr>
        <w:t xml:space="preserve"> </w:t>
      </w:r>
      <w:r w:rsidR="00EC6EF7">
        <w:rPr>
          <w:rFonts w:ascii="Arial" w:hAnsi="Arial" w:cs="Arial" w:hint="cs"/>
          <w:sz w:val="28"/>
          <w:szCs w:val="28"/>
          <w:rtl/>
          <w:lang w:bidi="ar-MA"/>
        </w:rPr>
        <w:t>وكلميم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 xml:space="preserve"> والحسيمة ب %1,1 </w:t>
      </w:r>
      <w:r w:rsidR="00E919E6" w:rsidRPr="00E919E6">
        <w:rPr>
          <w:rFonts w:ascii="Arial" w:hAnsi="Arial" w:cs="Arial"/>
          <w:sz w:val="28"/>
          <w:szCs w:val="28"/>
          <w:rtl/>
          <w:lang w:bidi="ar-MA"/>
        </w:rPr>
        <w:t>وفي القنيطرة ومراكش ب %1,0 وفي مكناس والرشيدية ب %0,9 وفي طنجة وبني ملال ب %0,8 وفي فاس و وجدة ب %0,7 وفي أكادير ب %0,6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 xml:space="preserve">. بينما سجل </w:t>
      </w:r>
      <w:r w:rsidR="00E22D4E" w:rsidRPr="00E22D4E">
        <w:rPr>
          <w:rFonts w:ascii="Arial" w:hAnsi="Arial" w:cs="Arial"/>
          <w:sz w:val="28"/>
          <w:szCs w:val="28"/>
          <w:rtl/>
          <w:lang w:bidi="ar-MA"/>
        </w:rPr>
        <w:t>انخفاضا</w:t>
      </w:r>
      <w:r w:rsidR="00E93A34" w:rsidRPr="00E93A34">
        <w:rPr>
          <w:rFonts w:ascii="Arial" w:hAnsi="Arial" w:cs="Arial"/>
          <w:sz w:val="28"/>
          <w:szCs w:val="28"/>
          <w:rtl/>
          <w:lang w:bidi="ar-MA"/>
        </w:rPr>
        <w:t xml:space="preserve"> في العيون ب %</w:t>
      </w:r>
      <w:r w:rsidR="00E22D4E">
        <w:rPr>
          <w:rFonts w:ascii="Arial" w:hAnsi="Arial" w:cs="Arial"/>
          <w:sz w:val="28"/>
          <w:szCs w:val="28"/>
          <w:lang w:bidi="ar-MA"/>
        </w:rPr>
        <w:t>5</w:t>
      </w:r>
      <w:r w:rsidR="00E93A34" w:rsidRPr="00E93A34">
        <w:rPr>
          <w:rFonts w:ascii="Arial" w:hAnsi="Arial" w:cs="Arial"/>
          <w:sz w:val="28"/>
          <w:szCs w:val="28"/>
          <w:rtl/>
          <w:lang w:bidi="ar-MA"/>
        </w:rPr>
        <w:t>,</w:t>
      </w:r>
      <w:r w:rsidR="00E22D4E">
        <w:rPr>
          <w:rFonts w:ascii="Arial" w:hAnsi="Arial" w:cs="Arial"/>
          <w:sz w:val="28"/>
          <w:szCs w:val="28"/>
          <w:lang w:bidi="ar-MA"/>
        </w:rPr>
        <w:t>0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771FBD" w:rsidRPr="003C50E1" w:rsidRDefault="00771FBD" w:rsidP="00771FBD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D73836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E86C0D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96486">
        <w:rPr>
          <w:rFonts w:ascii="Arial" w:hAnsi="Arial" w:cs="Arial"/>
          <w:sz w:val="28"/>
          <w:szCs w:val="28"/>
          <w:lang w:bidi="ar-MA"/>
        </w:rPr>
        <w:t>0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يناير </w:t>
      </w:r>
      <w:r w:rsidR="00A97BBC">
        <w:rPr>
          <w:rFonts w:ascii="Arial" w:hAnsi="Arial" w:cs="Arial"/>
          <w:sz w:val="28"/>
          <w:szCs w:val="28"/>
          <w:rtl/>
          <w:lang w:bidi="ar-MA"/>
        </w:rPr>
        <w:t>2025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08572E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08572E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08572E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96486">
        <w:rPr>
          <w:rFonts w:ascii="Arial" w:hAnsi="Arial" w:cs="Arial"/>
          <w:sz w:val="28"/>
          <w:szCs w:val="28"/>
          <w:lang w:bidi="ar-MA"/>
        </w:rPr>
        <w:t>3</w:t>
      </w:r>
      <w:r w:rsidR="00FC00B4">
        <w:rPr>
          <w:rFonts w:ascii="Arial" w:hAnsi="Arial" w:cs="Arial"/>
          <w:sz w:val="28"/>
          <w:szCs w:val="28"/>
          <w:lang w:bidi="ar-MA"/>
        </w:rPr>
        <w:t>,</w:t>
      </w:r>
      <w:r w:rsidR="00E96486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08572E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08572E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96486">
        <w:rPr>
          <w:rFonts w:ascii="Arial" w:hAnsi="Arial" w:cs="Arial"/>
          <w:sz w:val="28"/>
          <w:szCs w:val="28"/>
          <w:lang w:bidi="ar-MA"/>
        </w:rPr>
        <w:t>1</w:t>
      </w:r>
      <w:r w:rsidR="00FC00B4" w:rsidRPr="00571291">
        <w:rPr>
          <w:rFonts w:ascii="Arial" w:hAnsi="Arial" w:cs="Arial"/>
          <w:sz w:val="28"/>
          <w:szCs w:val="28"/>
          <w:lang w:bidi="ar-MA"/>
        </w:rPr>
        <w:t>,</w:t>
      </w:r>
      <w:r w:rsidR="00E96486">
        <w:rPr>
          <w:rFonts w:ascii="Arial" w:hAnsi="Arial" w:cs="Arial"/>
          <w:sz w:val="28"/>
          <w:szCs w:val="28"/>
          <w:lang w:bidi="ar-MA"/>
        </w:rPr>
        <w:t>1</w:t>
      </w:r>
      <w:r w:rsidR="00FC00B4" w:rsidRPr="00571291"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D73836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E86C0D" w:rsidRPr="00E86C0D">
        <w:rPr>
          <w:rFonts w:ascii="Arial" w:hAnsi="Arial" w:cs="Arial"/>
          <w:sz w:val="28"/>
          <w:szCs w:val="28"/>
          <w:rtl/>
          <w:lang w:bidi="ar-MA"/>
        </w:rPr>
        <w:t>بين انخفاض قدر</w:t>
      </w:r>
      <w:r w:rsidR="00D73836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E96486">
        <w:rPr>
          <w:rFonts w:ascii="Arial" w:hAnsi="Arial" w:cs="Arial"/>
          <w:sz w:val="28"/>
          <w:szCs w:val="28"/>
          <w:lang w:bidi="ar-MA"/>
        </w:rPr>
        <w:t>2</w:t>
      </w:r>
      <w:r w:rsidR="00DE54AA">
        <w:rPr>
          <w:rFonts w:ascii="Arial" w:hAnsi="Arial" w:cs="Arial"/>
          <w:sz w:val="28"/>
          <w:szCs w:val="28"/>
          <w:lang w:bidi="ar-MA"/>
        </w:rPr>
        <w:t>,</w:t>
      </w:r>
      <w:r w:rsidR="00E96486">
        <w:rPr>
          <w:rFonts w:ascii="Arial" w:hAnsi="Arial" w:cs="Arial"/>
          <w:sz w:val="28"/>
          <w:szCs w:val="28"/>
          <w:lang w:bidi="ar-MA"/>
        </w:rPr>
        <w:t>7</w:t>
      </w:r>
      <w:r w:rsidR="00DE54AA">
        <w:rPr>
          <w:rFonts w:ascii="Arial" w:hAnsi="Arial" w:cs="Arial"/>
          <w:sz w:val="28"/>
          <w:szCs w:val="28"/>
          <w:lang w:bidi="ar-MA"/>
        </w:rPr>
        <w:t>%</w:t>
      </w:r>
      <w:r w:rsidR="00D7383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4071" w:rsidRPr="004671FE">
        <w:rPr>
          <w:rFonts w:ascii="Arial" w:hAnsi="Arial" w:cs="Arial" w:hint="cs"/>
          <w:sz w:val="28"/>
          <w:szCs w:val="28"/>
          <w:rtl/>
          <w:lang w:bidi="ar-MA"/>
        </w:rPr>
        <w:t>بالنسبة</w:t>
      </w:r>
      <w:r w:rsidR="00D7383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4071" w:rsidRPr="004671FE">
        <w:rPr>
          <w:rFonts w:ascii="Arial" w:hAnsi="Arial" w:cs="Arial" w:hint="cs"/>
          <w:sz w:val="28"/>
          <w:szCs w:val="28"/>
          <w:rtl/>
          <w:lang w:bidi="ar-MA"/>
        </w:rPr>
        <w:t>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E96486" w:rsidRPr="00E96486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D7383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4071" w:rsidRPr="00E86C0D">
        <w:rPr>
          <w:rFonts w:ascii="Arial" w:hAnsi="Arial" w:cs="Arial" w:hint="cs"/>
          <w:sz w:val="28"/>
          <w:szCs w:val="28"/>
          <w:rtl/>
          <w:lang w:bidi="ar-MA"/>
        </w:rPr>
        <w:t>وارتفاع قدر</w:t>
      </w:r>
      <w:r w:rsidR="00D73836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E96486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96486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D73836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النسبة ل "</w:t>
      </w:r>
      <w:r w:rsidR="00E96486" w:rsidRPr="00E96486">
        <w:rPr>
          <w:rFonts w:ascii="Arial" w:hAnsi="Arial" w:cs="Arial"/>
          <w:sz w:val="28"/>
          <w:szCs w:val="28"/>
          <w:rtl/>
          <w:lang w:bidi="ar-MA"/>
        </w:rPr>
        <w:t>السكن والماء والكهرباء والغاز ومحروقات أخرى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1D7D10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</w:t>
      </w:r>
      <w:r w:rsidR="001D7D10">
        <w:rPr>
          <w:rFonts w:ascii="Arial" w:hAnsi="Arial" w:cs="Arial"/>
          <w:sz w:val="28"/>
          <w:szCs w:val="28"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يناير</w:t>
      </w:r>
      <w:r w:rsidR="00972FD1">
        <w:rPr>
          <w:rFonts w:ascii="Arial" w:hAnsi="Arial" w:cs="Arial"/>
          <w:sz w:val="28"/>
          <w:szCs w:val="28"/>
          <w:lang w:bidi="ar-MA"/>
        </w:rPr>
        <w:t xml:space="preserve"> </w:t>
      </w:r>
      <w:r w:rsidR="00A97BBC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="00972FD1">
        <w:rPr>
          <w:rFonts w:ascii="Arial" w:hAnsi="Arial" w:cs="Arial"/>
          <w:sz w:val="28"/>
          <w:szCs w:val="28"/>
          <w:lang w:bidi="ar-MA"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3911A0">
        <w:rPr>
          <w:rFonts w:ascii="Arial" w:hAnsi="Arial" w:cs="Arial"/>
          <w:sz w:val="28"/>
          <w:szCs w:val="28"/>
          <w:lang w:bidi="ar-MA"/>
        </w:rPr>
        <w:t>2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972FD1">
        <w:rPr>
          <w:rFonts w:ascii="Arial" w:hAnsi="Arial" w:cs="Arial"/>
          <w:sz w:val="28"/>
          <w:szCs w:val="28"/>
          <w:lang w:bidi="ar-MA"/>
        </w:rPr>
        <w:t xml:space="preserve"> 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</w:t>
      </w:r>
      <w:r w:rsidR="001D7D10">
        <w:rPr>
          <w:rFonts w:ascii="Arial" w:hAnsi="Arial" w:cs="Arial"/>
          <w:sz w:val="28"/>
          <w:szCs w:val="28"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مع </w:t>
      </w:r>
      <w:r w:rsidR="001D7D10">
        <w:rPr>
          <w:rFonts w:ascii="Arial" w:hAnsi="Arial" w:cs="Arial"/>
          <w:sz w:val="28"/>
          <w:szCs w:val="28"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شهر</w:t>
      </w:r>
      <w:r w:rsidR="00972FD1">
        <w:rPr>
          <w:rFonts w:ascii="Arial" w:hAnsi="Arial" w:cs="Arial"/>
          <w:sz w:val="28"/>
          <w:szCs w:val="28"/>
          <w:lang w:bidi="ar-MA"/>
        </w:rPr>
        <w:t xml:space="preserve"> 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r w:rsidR="00972FD1">
        <w:rPr>
          <w:rFonts w:ascii="Arial" w:hAnsi="Arial" w:cs="Arial"/>
          <w:sz w:val="28"/>
          <w:szCs w:val="28"/>
          <w:lang w:bidi="ar-MA"/>
        </w:rPr>
        <w:t xml:space="preserve">  </w:t>
      </w:r>
      <w:r w:rsidR="00A97BBC">
        <w:rPr>
          <w:rFonts w:ascii="Arial" w:hAnsi="Arial" w:cs="Arial"/>
          <w:sz w:val="28"/>
          <w:szCs w:val="28"/>
          <w:rtl/>
          <w:lang w:bidi="ar-MA"/>
        </w:rPr>
        <w:t>2024</w:t>
      </w:r>
      <w:r w:rsidR="00972FD1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74179E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3911A0">
        <w:rPr>
          <w:rFonts w:ascii="Arial" w:hAnsi="Arial" w:cs="Arial"/>
          <w:sz w:val="28"/>
          <w:szCs w:val="28"/>
          <w:lang w:bidi="ar-MA"/>
        </w:rPr>
        <w:t>4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يناي</w:t>
      </w:r>
      <w:r w:rsidR="00972FD1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972FD1">
        <w:rPr>
          <w:rFonts w:ascii="Arial" w:hAnsi="Arial" w:cs="Arial"/>
          <w:sz w:val="28"/>
          <w:szCs w:val="28"/>
          <w:lang w:bidi="ar-MA"/>
        </w:rPr>
        <w:t xml:space="preserve"> </w:t>
      </w:r>
      <w:r w:rsidR="00A97BBC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C1A11" w:rsidRDefault="009C1A11" w:rsidP="009C1A1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76998" w:rsidRPr="006B3325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4"/>
          <w:szCs w:val="34"/>
          <w:lang w:bidi="ar-MA"/>
        </w:rPr>
      </w:pPr>
      <w:r w:rsidRPr="006B3325"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  <w:lastRenderedPageBreak/>
        <w:t>الأثمــان</w:t>
      </w:r>
    </w:p>
    <w:p w:rsidR="00176998" w:rsidRPr="006B3325" w:rsidRDefault="00176998" w:rsidP="00176998">
      <w:pPr>
        <w:pStyle w:val="Corpsdetexte"/>
        <w:bidi/>
        <w:jc w:val="center"/>
        <w:rPr>
          <w:rFonts w:cs="Arial"/>
          <w:b/>
          <w:bCs/>
          <w:sz w:val="30"/>
          <w:szCs w:val="30"/>
          <w:rtl/>
          <w:lang w:bidi="ar-MA"/>
        </w:rPr>
      </w:pPr>
      <w:r w:rsidRPr="006B3325">
        <w:rPr>
          <w:rFonts w:cs="Arial"/>
          <w:b/>
          <w:bCs/>
          <w:sz w:val="30"/>
          <w:szCs w:val="30"/>
          <w:rtl/>
          <w:lang w:bidi="ar-MA"/>
        </w:rPr>
        <w:t>الرقم الاستدلالي للاثمان عند الاستهلاك</w:t>
      </w:r>
    </w:p>
    <w:p w:rsidR="00176998" w:rsidRPr="006B3325" w:rsidRDefault="00176998" w:rsidP="004069BD">
      <w:pPr>
        <w:pStyle w:val="Corpsdetexte"/>
        <w:bidi/>
        <w:spacing w:line="320" w:lineRule="exact"/>
        <w:jc w:val="center"/>
        <w:rPr>
          <w:rFonts w:cs="Arial"/>
          <w:b/>
          <w:bCs/>
          <w:color w:val="0000FF"/>
          <w:sz w:val="26"/>
          <w:szCs w:val="26"/>
          <w:rtl/>
          <w:lang w:bidi="ar-MA"/>
        </w:rPr>
      </w:pPr>
      <w:r w:rsidRPr="006B3325">
        <w:rPr>
          <w:rFonts w:cs="Arial"/>
          <w:b/>
          <w:bCs/>
          <w:sz w:val="26"/>
          <w:szCs w:val="26"/>
          <w:rtl/>
          <w:lang w:bidi="ar-MA"/>
        </w:rPr>
        <w:t>التطور حسب مجموعات المواد</w:t>
      </w: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B1398A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622013" w:rsidP="0062201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دجنبر</w:t>
            </w:r>
            <w:r w:rsidR="00A97B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0F51E8" w:rsidP="00DE0C2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يناير </w:t>
            </w:r>
            <w:r w:rsidR="00A97B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A97BBC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A97BBC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052D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b/>
                <w:bCs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b/>
                <w:bCs/>
                <w:sz w:val="18"/>
                <w:szCs w:val="18"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129,9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132,0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127,8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132,0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3,3</w:t>
            </w:r>
          </w:p>
        </w:tc>
      </w:tr>
      <w:tr w:rsidR="00A052D2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129,5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131,6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127,3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131,6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A052D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140,1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144,0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139,8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144,0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</w:tr>
      <w:tr w:rsidR="00A052D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b/>
                <w:bCs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b/>
                <w:bCs/>
                <w:sz w:val="18"/>
                <w:szCs w:val="18"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110,8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1,1</w:t>
            </w:r>
          </w:p>
        </w:tc>
      </w:tr>
      <w:tr w:rsidR="00A052D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116,5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115,4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116,4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A052D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108,9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108,9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108,9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</w:tr>
      <w:tr w:rsidR="00A052D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112,4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112,3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112,0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112,3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A052D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101,2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100,9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101,2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A052D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117,3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120,5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117,3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-2,7</w:t>
            </w:r>
          </w:p>
        </w:tc>
      </w:tr>
      <w:tr w:rsidR="00A052D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104,2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104,1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104,1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052D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105,4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105,3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105,3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A052D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121,8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121,8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119,1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121,8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</w:tr>
      <w:tr w:rsidR="00A052D2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119,5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115,7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119,8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A052D2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115,9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115,9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113,6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115,9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</w:rPr>
            </w:pPr>
            <w:r w:rsidRPr="00A052D2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052D2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052D2" w:rsidRPr="00622013" w:rsidRDefault="00A052D2" w:rsidP="00A052D2">
            <w:pPr>
              <w:bidi/>
              <w:rPr>
                <w:rFonts w:ascii="Arial" w:hAnsi="Arial" w:cs="Arial"/>
                <w:b/>
                <w:bCs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b/>
                <w:bCs/>
                <w:sz w:val="18"/>
                <w:szCs w:val="18"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119,0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119,9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117,5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119,9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052D2" w:rsidRPr="00A052D2" w:rsidRDefault="00A052D2" w:rsidP="00A05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052D2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</w:tr>
    </w:tbl>
    <w:p w:rsidR="00176998" w:rsidRPr="00105996" w:rsidRDefault="00176998" w:rsidP="00622013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016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09"/>
        <w:gridCol w:w="1279"/>
        <w:gridCol w:w="1097"/>
        <w:gridCol w:w="847"/>
        <w:gridCol w:w="1109"/>
        <w:gridCol w:w="1118"/>
        <w:gridCol w:w="1057"/>
      </w:tblGrid>
      <w:tr w:rsidR="00176998" w:rsidRPr="00A153EC" w:rsidTr="001D0C6B">
        <w:trPr>
          <w:trHeight w:val="276"/>
          <w:jc w:val="center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23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284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B1398A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176998" w:rsidRPr="00A153EC" w:rsidTr="001D0C6B">
        <w:trPr>
          <w:trHeight w:val="276"/>
          <w:jc w:val="center"/>
        </w:trPr>
        <w:tc>
          <w:tcPr>
            <w:tcW w:w="1509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84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4A4E4C" w:rsidRPr="00A153EC" w:rsidTr="005F15EC">
        <w:trPr>
          <w:trHeight w:val="491"/>
          <w:jc w:val="center"/>
        </w:trPr>
        <w:tc>
          <w:tcPr>
            <w:tcW w:w="1509" w:type="dxa"/>
            <w:vMerge/>
            <w:vAlign w:val="center"/>
          </w:tcPr>
          <w:p w:rsidR="004A4E4C" w:rsidRPr="00A153EC" w:rsidRDefault="004A4E4C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A4E4C" w:rsidRPr="001D0C6B" w:rsidRDefault="00A97BBC" w:rsidP="005F15EC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  <w:r w:rsidR="00EB0256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4A4E4C" w:rsidRPr="001D0C6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دجنبر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A4E4C" w:rsidRPr="001D0C6B" w:rsidRDefault="00A97BBC" w:rsidP="005F15E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  <w:r w:rsidR="00EB0256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4A4E4C" w:rsidRPr="001D0C6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4A4E4C" w:rsidRPr="001D0C6B" w:rsidRDefault="004A4E4C" w:rsidP="005F15E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D0C6B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D0C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A4E4C" w:rsidRPr="001D0C6B" w:rsidRDefault="00A97BBC" w:rsidP="005F15E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A4E4C" w:rsidRPr="001D0C6B" w:rsidRDefault="00A97BBC" w:rsidP="005F15E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4A4E4C" w:rsidRPr="001D0C6B" w:rsidRDefault="004A4E4C" w:rsidP="005F15E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D0C6B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D0C6B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noWrap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أكادير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118,8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115,6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الدار البيضاء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117,9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118,5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116,8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118,5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 xml:space="preserve">فاس 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121,2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122,0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119,6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122,0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القنيطرة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119,7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120,9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117,9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120,9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مراكش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120,7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121,9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119,3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121,9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وجدة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117,4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118,2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116,6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118,2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الرباط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117,6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118,2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116,0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118,2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تطوان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120,2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120,2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مكناس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116,8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117,8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116,2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117,8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طنجة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118,0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116,6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العيون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123,7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123,1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123,1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الداخلة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120,7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120,7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كلميم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123,8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125,1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125,1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سطات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117,4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119,2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119,2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آسفي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124,4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126,0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123,4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126,0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بني ملال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123,6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124,6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121,8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124,6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الحسيمة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122,5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123,9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122,3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123,9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123971" w:rsidRPr="00A153EC" w:rsidTr="001D0C6B">
        <w:trPr>
          <w:trHeight w:val="213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sz w:val="18"/>
                <w:szCs w:val="18"/>
                <w:rtl/>
                <w:lang w:bidi="ar-MA"/>
              </w:rPr>
              <w:t>الرشيدية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121,2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122,3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119,2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122,3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97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</w:tr>
      <w:tr w:rsidR="00123971" w:rsidRPr="00A153EC" w:rsidTr="001D0C6B">
        <w:trPr>
          <w:trHeight w:val="247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123971" w:rsidRPr="00622013" w:rsidRDefault="00123971" w:rsidP="00123971">
            <w:pPr>
              <w:bidi/>
              <w:rPr>
                <w:rFonts w:ascii="Arial" w:hAnsi="Arial" w:cs="Arial"/>
                <w:b/>
                <w:bCs/>
                <w:sz w:val="18"/>
                <w:szCs w:val="18"/>
                <w:lang w:bidi="ar-MA"/>
              </w:rPr>
            </w:pPr>
            <w:r w:rsidRPr="00622013">
              <w:rPr>
                <w:rFonts w:ascii="Arial" w:hAnsi="Arial" w:cs="Arial"/>
                <w:b/>
                <w:bCs/>
                <w:sz w:val="18"/>
                <w:szCs w:val="18"/>
                <w:rtl/>
                <w:lang w:bidi="ar-MA"/>
              </w:rPr>
              <w:t>المجموع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971">
              <w:rPr>
                <w:rFonts w:ascii="Arial" w:hAnsi="Arial" w:cs="Arial"/>
                <w:b/>
                <w:bCs/>
                <w:sz w:val="20"/>
                <w:szCs w:val="20"/>
              </w:rPr>
              <w:t>119,0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971">
              <w:rPr>
                <w:rFonts w:ascii="Arial" w:hAnsi="Arial" w:cs="Arial"/>
                <w:b/>
                <w:bCs/>
                <w:sz w:val="20"/>
                <w:szCs w:val="20"/>
              </w:rPr>
              <w:t>119,9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971"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971">
              <w:rPr>
                <w:rFonts w:ascii="Arial" w:hAnsi="Arial" w:cs="Arial"/>
                <w:b/>
                <w:bCs/>
                <w:sz w:val="20"/>
                <w:szCs w:val="20"/>
              </w:rPr>
              <w:t>117,5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971">
              <w:rPr>
                <w:rFonts w:ascii="Arial" w:hAnsi="Arial" w:cs="Arial"/>
                <w:b/>
                <w:bCs/>
                <w:sz w:val="20"/>
                <w:szCs w:val="20"/>
              </w:rPr>
              <w:t>119,9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23971" w:rsidRPr="00123971" w:rsidRDefault="00123971" w:rsidP="00123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971">
              <w:rPr>
                <w:rFonts w:ascii="Arial" w:hAnsi="Arial" w:cs="Arial"/>
                <w:b/>
                <w:bCs/>
                <w:sz w:val="20"/>
                <w:szCs w:val="20"/>
              </w:rPr>
              <w:t>2,0</w:t>
            </w:r>
          </w:p>
        </w:tc>
      </w:tr>
    </w:tbl>
    <w:p w:rsidR="00176998" w:rsidRPr="00056810" w:rsidRDefault="00176998" w:rsidP="00622013">
      <w:pPr>
        <w:pStyle w:val="Corpsdetexte"/>
        <w:bidi/>
        <w:jc w:val="lowKashida"/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</w:t>
      </w:r>
      <w:bookmarkStart w:id="0" w:name="_GoBack"/>
      <w:bookmarkEnd w:id="0"/>
      <w:r w:rsidRPr="004C6DB0">
        <w:rPr>
          <w:rFonts w:cs="Arial"/>
          <w:b/>
          <w:bCs/>
          <w:color w:val="632423"/>
          <w:rtl/>
          <w:lang w:bidi="ar-MA"/>
        </w:rPr>
        <w:t>لية الإحصائية</w:t>
      </w: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96" w:rsidRDefault="009C7496">
      <w:r>
        <w:separator/>
      </w:r>
    </w:p>
  </w:endnote>
  <w:endnote w:type="continuationSeparator" w:id="1">
    <w:p w:rsidR="009C7496" w:rsidRDefault="009C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017F4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017F4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1D7D1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D7D1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017F4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96" w:rsidRDefault="009C7496">
      <w:r>
        <w:separator/>
      </w:r>
    </w:p>
  </w:footnote>
  <w:footnote w:type="continuationSeparator" w:id="1">
    <w:p w:rsidR="009C7496" w:rsidRDefault="009C7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-462915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2622"/>
    <w:rsid w:val="0000668A"/>
    <w:rsid w:val="000111EA"/>
    <w:rsid w:val="0001390E"/>
    <w:rsid w:val="00013A7F"/>
    <w:rsid w:val="00013C22"/>
    <w:rsid w:val="000152BC"/>
    <w:rsid w:val="00017F47"/>
    <w:rsid w:val="000205FA"/>
    <w:rsid w:val="000232DD"/>
    <w:rsid w:val="00024095"/>
    <w:rsid w:val="00027850"/>
    <w:rsid w:val="000404FC"/>
    <w:rsid w:val="00043DB8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72E"/>
    <w:rsid w:val="00085E86"/>
    <w:rsid w:val="00090236"/>
    <w:rsid w:val="000A2C5C"/>
    <w:rsid w:val="000A3BE9"/>
    <w:rsid w:val="000A3FD8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E7BE6"/>
    <w:rsid w:val="000F3901"/>
    <w:rsid w:val="000F408A"/>
    <w:rsid w:val="000F51E8"/>
    <w:rsid w:val="000F56B5"/>
    <w:rsid w:val="00100AF5"/>
    <w:rsid w:val="00105996"/>
    <w:rsid w:val="001063C7"/>
    <w:rsid w:val="00106CD2"/>
    <w:rsid w:val="00107113"/>
    <w:rsid w:val="00114C7E"/>
    <w:rsid w:val="00116B4A"/>
    <w:rsid w:val="00120AF1"/>
    <w:rsid w:val="001217AF"/>
    <w:rsid w:val="0012265F"/>
    <w:rsid w:val="00123971"/>
    <w:rsid w:val="0012687B"/>
    <w:rsid w:val="00133D11"/>
    <w:rsid w:val="00134D41"/>
    <w:rsid w:val="00136DE7"/>
    <w:rsid w:val="00137652"/>
    <w:rsid w:val="001379C2"/>
    <w:rsid w:val="001437B0"/>
    <w:rsid w:val="00145AC0"/>
    <w:rsid w:val="0014680A"/>
    <w:rsid w:val="0015016F"/>
    <w:rsid w:val="00153DC3"/>
    <w:rsid w:val="00155095"/>
    <w:rsid w:val="00155EBB"/>
    <w:rsid w:val="001630F0"/>
    <w:rsid w:val="0016363C"/>
    <w:rsid w:val="001640AC"/>
    <w:rsid w:val="001735C1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9629C"/>
    <w:rsid w:val="001A1A9C"/>
    <w:rsid w:val="001A282E"/>
    <w:rsid w:val="001A7093"/>
    <w:rsid w:val="001B4AB1"/>
    <w:rsid w:val="001C3920"/>
    <w:rsid w:val="001C4BE1"/>
    <w:rsid w:val="001D07F7"/>
    <w:rsid w:val="001D0B13"/>
    <w:rsid w:val="001D0C6B"/>
    <w:rsid w:val="001D34E6"/>
    <w:rsid w:val="001D57E1"/>
    <w:rsid w:val="001D5940"/>
    <w:rsid w:val="001D6365"/>
    <w:rsid w:val="001D688E"/>
    <w:rsid w:val="001D7D10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07C55"/>
    <w:rsid w:val="002139B6"/>
    <w:rsid w:val="00220DF6"/>
    <w:rsid w:val="0022299E"/>
    <w:rsid w:val="0022597E"/>
    <w:rsid w:val="00225D44"/>
    <w:rsid w:val="0023043F"/>
    <w:rsid w:val="002316A6"/>
    <w:rsid w:val="002406FE"/>
    <w:rsid w:val="0024177C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71C3F"/>
    <w:rsid w:val="00280D89"/>
    <w:rsid w:val="0028178C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B4B7E"/>
    <w:rsid w:val="002C02CC"/>
    <w:rsid w:val="002C09B2"/>
    <w:rsid w:val="002C1078"/>
    <w:rsid w:val="002C1535"/>
    <w:rsid w:val="002C6433"/>
    <w:rsid w:val="002D022C"/>
    <w:rsid w:val="002D3BD2"/>
    <w:rsid w:val="002D4302"/>
    <w:rsid w:val="002D49EF"/>
    <w:rsid w:val="002F237C"/>
    <w:rsid w:val="002F3B72"/>
    <w:rsid w:val="00302190"/>
    <w:rsid w:val="003044D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412F"/>
    <w:rsid w:val="0034466F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170B"/>
    <w:rsid w:val="00382BAC"/>
    <w:rsid w:val="00385013"/>
    <w:rsid w:val="00386740"/>
    <w:rsid w:val="0039063A"/>
    <w:rsid w:val="003911A0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D2E6B"/>
    <w:rsid w:val="003E5DDB"/>
    <w:rsid w:val="003F28EA"/>
    <w:rsid w:val="003F445E"/>
    <w:rsid w:val="00401D3E"/>
    <w:rsid w:val="00403A20"/>
    <w:rsid w:val="004069BD"/>
    <w:rsid w:val="0041796D"/>
    <w:rsid w:val="004275D6"/>
    <w:rsid w:val="00431B02"/>
    <w:rsid w:val="0043322E"/>
    <w:rsid w:val="00446DB7"/>
    <w:rsid w:val="00447FBC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9250A"/>
    <w:rsid w:val="004A1173"/>
    <w:rsid w:val="004A225B"/>
    <w:rsid w:val="004A4E4C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C58BD"/>
    <w:rsid w:val="004E36E2"/>
    <w:rsid w:val="004E67F8"/>
    <w:rsid w:val="004F133D"/>
    <w:rsid w:val="004F553E"/>
    <w:rsid w:val="004F572F"/>
    <w:rsid w:val="004F57F8"/>
    <w:rsid w:val="004F70A7"/>
    <w:rsid w:val="0050038E"/>
    <w:rsid w:val="00503FE2"/>
    <w:rsid w:val="005052E3"/>
    <w:rsid w:val="005126CC"/>
    <w:rsid w:val="005143B8"/>
    <w:rsid w:val="005178FE"/>
    <w:rsid w:val="0052635A"/>
    <w:rsid w:val="00536360"/>
    <w:rsid w:val="00536502"/>
    <w:rsid w:val="00537897"/>
    <w:rsid w:val="00541C46"/>
    <w:rsid w:val="00542043"/>
    <w:rsid w:val="00542E3A"/>
    <w:rsid w:val="00547CB2"/>
    <w:rsid w:val="00547ECD"/>
    <w:rsid w:val="00550169"/>
    <w:rsid w:val="005549EE"/>
    <w:rsid w:val="00564AE3"/>
    <w:rsid w:val="00571291"/>
    <w:rsid w:val="0057148E"/>
    <w:rsid w:val="00571918"/>
    <w:rsid w:val="005746EB"/>
    <w:rsid w:val="005754A6"/>
    <w:rsid w:val="0057589F"/>
    <w:rsid w:val="005814DE"/>
    <w:rsid w:val="00582403"/>
    <w:rsid w:val="00583217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5F15EC"/>
    <w:rsid w:val="00600C7C"/>
    <w:rsid w:val="00604836"/>
    <w:rsid w:val="00610ADF"/>
    <w:rsid w:val="00611B94"/>
    <w:rsid w:val="00613BEE"/>
    <w:rsid w:val="0061442D"/>
    <w:rsid w:val="00621F5D"/>
    <w:rsid w:val="00622013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0A86"/>
    <w:rsid w:val="006A3883"/>
    <w:rsid w:val="006A5D39"/>
    <w:rsid w:val="006B092A"/>
    <w:rsid w:val="006B3325"/>
    <w:rsid w:val="006B5F68"/>
    <w:rsid w:val="006C63B8"/>
    <w:rsid w:val="006D1DDD"/>
    <w:rsid w:val="006D22BC"/>
    <w:rsid w:val="006D4951"/>
    <w:rsid w:val="006D4F49"/>
    <w:rsid w:val="006D5C8F"/>
    <w:rsid w:val="006D7AEF"/>
    <w:rsid w:val="006D7FA4"/>
    <w:rsid w:val="006E00E2"/>
    <w:rsid w:val="006E2C7A"/>
    <w:rsid w:val="006E456F"/>
    <w:rsid w:val="006E5679"/>
    <w:rsid w:val="006E7909"/>
    <w:rsid w:val="006F25E8"/>
    <w:rsid w:val="00700E75"/>
    <w:rsid w:val="00705F2E"/>
    <w:rsid w:val="00707AC0"/>
    <w:rsid w:val="007206D4"/>
    <w:rsid w:val="00720A41"/>
    <w:rsid w:val="00724279"/>
    <w:rsid w:val="007273F0"/>
    <w:rsid w:val="00730CFE"/>
    <w:rsid w:val="007320F2"/>
    <w:rsid w:val="00737D26"/>
    <w:rsid w:val="00737E9A"/>
    <w:rsid w:val="00740560"/>
    <w:rsid w:val="0074179E"/>
    <w:rsid w:val="007418E0"/>
    <w:rsid w:val="00744215"/>
    <w:rsid w:val="0074649E"/>
    <w:rsid w:val="00753019"/>
    <w:rsid w:val="00755DBE"/>
    <w:rsid w:val="007570CB"/>
    <w:rsid w:val="007608BB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2073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B67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1FB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4ACC"/>
    <w:rsid w:val="0083601D"/>
    <w:rsid w:val="008360E3"/>
    <w:rsid w:val="008373A3"/>
    <w:rsid w:val="0084269C"/>
    <w:rsid w:val="00852402"/>
    <w:rsid w:val="0085431E"/>
    <w:rsid w:val="00854DF3"/>
    <w:rsid w:val="008564D6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5F09"/>
    <w:rsid w:val="008A6A9C"/>
    <w:rsid w:val="008A7198"/>
    <w:rsid w:val="008B1707"/>
    <w:rsid w:val="008B1E6D"/>
    <w:rsid w:val="008B2AC4"/>
    <w:rsid w:val="008B32BE"/>
    <w:rsid w:val="008C2C3C"/>
    <w:rsid w:val="008C2EF3"/>
    <w:rsid w:val="008C5B87"/>
    <w:rsid w:val="008C79BB"/>
    <w:rsid w:val="008D1587"/>
    <w:rsid w:val="008D38D9"/>
    <w:rsid w:val="008D6342"/>
    <w:rsid w:val="008D767F"/>
    <w:rsid w:val="008E427D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415"/>
    <w:rsid w:val="00914F99"/>
    <w:rsid w:val="009266C9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186"/>
    <w:rsid w:val="00970294"/>
    <w:rsid w:val="00972D67"/>
    <w:rsid w:val="00972FD1"/>
    <w:rsid w:val="009750B7"/>
    <w:rsid w:val="009801E4"/>
    <w:rsid w:val="00980387"/>
    <w:rsid w:val="00984C53"/>
    <w:rsid w:val="00990C6F"/>
    <w:rsid w:val="00996F92"/>
    <w:rsid w:val="009A205F"/>
    <w:rsid w:val="009A2769"/>
    <w:rsid w:val="009A3A8A"/>
    <w:rsid w:val="009B2B2B"/>
    <w:rsid w:val="009B5370"/>
    <w:rsid w:val="009B6797"/>
    <w:rsid w:val="009C0E61"/>
    <w:rsid w:val="009C1063"/>
    <w:rsid w:val="009C1A11"/>
    <w:rsid w:val="009C4A43"/>
    <w:rsid w:val="009C7496"/>
    <w:rsid w:val="009D0EEB"/>
    <w:rsid w:val="009D1867"/>
    <w:rsid w:val="009D1BA9"/>
    <w:rsid w:val="009D1E9A"/>
    <w:rsid w:val="009D3F74"/>
    <w:rsid w:val="009D5CA5"/>
    <w:rsid w:val="009D664A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52D2"/>
    <w:rsid w:val="00A06843"/>
    <w:rsid w:val="00A07E32"/>
    <w:rsid w:val="00A11972"/>
    <w:rsid w:val="00A1268C"/>
    <w:rsid w:val="00A16299"/>
    <w:rsid w:val="00A17CEA"/>
    <w:rsid w:val="00A208E3"/>
    <w:rsid w:val="00A2349D"/>
    <w:rsid w:val="00A250DB"/>
    <w:rsid w:val="00A322D1"/>
    <w:rsid w:val="00A3434A"/>
    <w:rsid w:val="00A370D0"/>
    <w:rsid w:val="00A37370"/>
    <w:rsid w:val="00A37E02"/>
    <w:rsid w:val="00A37E64"/>
    <w:rsid w:val="00A37F6E"/>
    <w:rsid w:val="00A43072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68C"/>
    <w:rsid w:val="00A76F8C"/>
    <w:rsid w:val="00A821C4"/>
    <w:rsid w:val="00A8308B"/>
    <w:rsid w:val="00A834E9"/>
    <w:rsid w:val="00A859EE"/>
    <w:rsid w:val="00A87B84"/>
    <w:rsid w:val="00A97BBC"/>
    <w:rsid w:val="00AA3E6A"/>
    <w:rsid w:val="00AA48F7"/>
    <w:rsid w:val="00AA6739"/>
    <w:rsid w:val="00AA723E"/>
    <w:rsid w:val="00AB0149"/>
    <w:rsid w:val="00AB121D"/>
    <w:rsid w:val="00AB16AA"/>
    <w:rsid w:val="00AB33E3"/>
    <w:rsid w:val="00AB4E07"/>
    <w:rsid w:val="00AB6A95"/>
    <w:rsid w:val="00AC09CB"/>
    <w:rsid w:val="00AC198C"/>
    <w:rsid w:val="00AC3133"/>
    <w:rsid w:val="00AC3EF4"/>
    <w:rsid w:val="00AC44F5"/>
    <w:rsid w:val="00AC5B9D"/>
    <w:rsid w:val="00AC7241"/>
    <w:rsid w:val="00AD3FE4"/>
    <w:rsid w:val="00AD6F09"/>
    <w:rsid w:val="00AD7D28"/>
    <w:rsid w:val="00AE05A7"/>
    <w:rsid w:val="00AE165D"/>
    <w:rsid w:val="00AE3BF1"/>
    <w:rsid w:val="00AE4320"/>
    <w:rsid w:val="00AE61E0"/>
    <w:rsid w:val="00AF28A0"/>
    <w:rsid w:val="00AF2C31"/>
    <w:rsid w:val="00AF2DC5"/>
    <w:rsid w:val="00AF442C"/>
    <w:rsid w:val="00AF5E43"/>
    <w:rsid w:val="00AF74CA"/>
    <w:rsid w:val="00AF778B"/>
    <w:rsid w:val="00B03879"/>
    <w:rsid w:val="00B03AF7"/>
    <w:rsid w:val="00B04498"/>
    <w:rsid w:val="00B05AFA"/>
    <w:rsid w:val="00B065DA"/>
    <w:rsid w:val="00B10250"/>
    <w:rsid w:val="00B10FBD"/>
    <w:rsid w:val="00B12082"/>
    <w:rsid w:val="00B1398A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54071"/>
    <w:rsid w:val="00B607B2"/>
    <w:rsid w:val="00B61271"/>
    <w:rsid w:val="00B62ED5"/>
    <w:rsid w:val="00B643DC"/>
    <w:rsid w:val="00B66FB4"/>
    <w:rsid w:val="00B674E5"/>
    <w:rsid w:val="00B70238"/>
    <w:rsid w:val="00B706DD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19C8"/>
    <w:rsid w:val="00BA5EF2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142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20084"/>
    <w:rsid w:val="00C230A8"/>
    <w:rsid w:val="00C26145"/>
    <w:rsid w:val="00C2678A"/>
    <w:rsid w:val="00C31EF5"/>
    <w:rsid w:val="00C366E4"/>
    <w:rsid w:val="00C36CAE"/>
    <w:rsid w:val="00C430A7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A3C3A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1E1E"/>
    <w:rsid w:val="00CF3217"/>
    <w:rsid w:val="00D01031"/>
    <w:rsid w:val="00D068A7"/>
    <w:rsid w:val="00D07E75"/>
    <w:rsid w:val="00D12FA1"/>
    <w:rsid w:val="00D14BAE"/>
    <w:rsid w:val="00D15EC7"/>
    <w:rsid w:val="00D16CFE"/>
    <w:rsid w:val="00D224CC"/>
    <w:rsid w:val="00D23262"/>
    <w:rsid w:val="00D25594"/>
    <w:rsid w:val="00D30672"/>
    <w:rsid w:val="00D30B74"/>
    <w:rsid w:val="00D31FD0"/>
    <w:rsid w:val="00D40AE4"/>
    <w:rsid w:val="00D46A93"/>
    <w:rsid w:val="00D4763E"/>
    <w:rsid w:val="00D5289B"/>
    <w:rsid w:val="00D60382"/>
    <w:rsid w:val="00D71FF6"/>
    <w:rsid w:val="00D73836"/>
    <w:rsid w:val="00D820EB"/>
    <w:rsid w:val="00D82174"/>
    <w:rsid w:val="00D91C10"/>
    <w:rsid w:val="00DA73ED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0C2F"/>
    <w:rsid w:val="00DE0D8D"/>
    <w:rsid w:val="00DE1986"/>
    <w:rsid w:val="00DE4B38"/>
    <w:rsid w:val="00DE54AA"/>
    <w:rsid w:val="00DE635A"/>
    <w:rsid w:val="00DF30F4"/>
    <w:rsid w:val="00DF7DAC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2D4E"/>
    <w:rsid w:val="00E24DC2"/>
    <w:rsid w:val="00E26241"/>
    <w:rsid w:val="00E30992"/>
    <w:rsid w:val="00E32D1F"/>
    <w:rsid w:val="00E343C3"/>
    <w:rsid w:val="00E37F80"/>
    <w:rsid w:val="00E40104"/>
    <w:rsid w:val="00E41A5C"/>
    <w:rsid w:val="00E438AF"/>
    <w:rsid w:val="00E4560A"/>
    <w:rsid w:val="00E52A17"/>
    <w:rsid w:val="00E52E24"/>
    <w:rsid w:val="00E54E88"/>
    <w:rsid w:val="00E57B3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86C0D"/>
    <w:rsid w:val="00E900D7"/>
    <w:rsid w:val="00E919E6"/>
    <w:rsid w:val="00E93A34"/>
    <w:rsid w:val="00E947A6"/>
    <w:rsid w:val="00E96486"/>
    <w:rsid w:val="00E96DAD"/>
    <w:rsid w:val="00E9733C"/>
    <w:rsid w:val="00EA5644"/>
    <w:rsid w:val="00EB0256"/>
    <w:rsid w:val="00EB537F"/>
    <w:rsid w:val="00EB5AC5"/>
    <w:rsid w:val="00EB67CA"/>
    <w:rsid w:val="00EB7741"/>
    <w:rsid w:val="00EC23C9"/>
    <w:rsid w:val="00EC6140"/>
    <w:rsid w:val="00EC6EF7"/>
    <w:rsid w:val="00EE0046"/>
    <w:rsid w:val="00EE549F"/>
    <w:rsid w:val="00EE5BEE"/>
    <w:rsid w:val="00EE5D39"/>
    <w:rsid w:val="00EF11E3"/>
    <w:rsid w:val="00EF13CA"/>
    <w:rsid w:val="00EF1E74"/>
    <w:rsid w:val="00EF2E82"/>
    <w:rsid w:val="00EF5FA4"/>
    <w:rsid w:val="00F042F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00B4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Hewlett-Packard Company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51</cp:revision>
  <cp:lastPrinted>2025-02-17T12:02:00Z</cp:lastPrinted>
  <dcterms:created xsi:type="dcterms:W3CDTF">2024-02-19T10:18:00Z</dcterms:created>
  <dcterms:modified xsi:type="dcterms:W3CDTF">2025-02-20T11:04:00Z</dcterms:modified>
</cp:coreProperties>
</file>