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659C0DB2" w14:textId="77777777" w:rsidR="00693096" w:rsidRDefault="00841008" w:rsidP="003F074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2EC660C6" w14:textId="77777777" w:rsidR="0009572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  <w:p w14:paraId="0B7B501E" w14:textId="507C7F7E" w:rsidR="00693096" w:rsidRPr="00CC0C52" w:rsidRDefault="00EE63CB" w:rsidP="00015E6D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Avril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bookmarkStart w:id="0" w:name="_GoBack"/>
      <w:bookmarkEnd w:id="0"/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092630A4" w:rsidR="002D2180" w:rsidRPr="00D3493A" w:rsidRDefault="0074627E" w:rsidP="0038177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Stagnation</w:t>
      </w:r>
      <w:r w:rsidR="005F0F3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Avril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750FA76D" w:rsidR="002D2180" w:rsidRDefault="002D2180" w:rsidP="008711E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stagnation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74627E">
        <w:rPr>
          <w:rFonts w:ascii="Times New Roman" w:eastAsia="Gulim" w:hAnsi="Times New Roman"/>
          <w:sz w:val="28"/>
          <w:szCs w:val="28"/>
        </w:rPr>
        <w:t>d’</w:t>
      </w:r>
      <w:r w:rsidR="008711E7">
        <w:rPr>
          <w:rFonts w:ascii="Times New Roman" w:eastAsia="Gulim" w:hAnsi="Times New Roman"/>
          <w:sz w:val="28"/>
          <w:szCs w:val="28"/>
        </w:rPr>
        <w:t>A</w:t>
      </w:r>
      <w:r w:rsidR="0074627E">
        <w:rPr>
          <w:rFonts w:ascii="Times New Roman" w:eastAsia="Gulim" w:hAnsi="Times New Roman"/>
          <w:sz w:val="28"/>
          <w:szCs w:val="28"/>
        </w:rPr>
        <w:t>vril</w:t>
      </w:r>
      <w:r>
        <w:rPr>
          <w:rFonts w:ascii="Times New Roman" w:eastAsia="Gulim" w:hAnsi="Times New Roman"/>
          <w:sz w:val="28"/>
          <w:szCs w:val="28"/>
        </w:rPr>
        <w:t xml:space="preserve"> 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E54D89">
        <w:rPr>
          <w:rFonts w:ascii="Times New Roman" w:eastAsia="Gulim" w:hAnsi="Times New Roman"/>
          <w:sz w:val="28"/>
          <w:szCs w:val="28"/>
        </w:rPr>
        <w:t xml:space="preserve">hausse de </w:t>
      </w:r>
      <w:r w:rsidR="0074627E">
        <w:rPr>
          <w:rFonts w:ascii="Times New Roman" w:eastAsia="Gulim" w:hAnsi="Times New Roman"/>
          <w:sz w:val="28"/>
          <w:szCs w:val="28"/>
        </w:rPr>
        <w:t>1,2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à une </w:t>
      </w:r>
      <w:r w:rsidR="00157957">
        <w:rPr>
          <w:rFonts w:ascii="Times New Roman" w:eastAsia="Gulim" w:hAnsi="Times New Roman"/>
          <w:sz w:val="28"/>
          <w:szCs w:val="28"/>
        </w:rPr>
        <w:t>baisse</w:t>
      </w:r>
      <w:r w:rsidR="00381778">
        <w:rPr>
          <w:rFonts w:ascii="Times New Roman" w:eastAsia="Gulim" w:hAnsi="Times New Roman"/>
          <w:sz w:val="28"/>
          <w:szCs w:val="28"/>
        </w:rPr>
        <w:t xml:space="preserve"> de 0,</w:t>
      </w:r>
      <w:r w:rsidR="0074627E">
        <w:rPr>
          <w:rFonts w:ascii="Times New Roman" w:eastAsia="Gulim" w:hAnsi="Times New Roman"/>
          <w:sz w:val="28"/>
          <w:szCs w:val="28"/>
        </w:rPr>
        <w:t>8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6741CDA" w14:textId="77777777" w:rsidR="00493439" w:rsidRPr="00493439" w:rsidRDefault="00532B7E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4FE612DF" w:rsidR="00D57C32" w:rsidRDefault="00B55A9F" w:rsidP="00F71F0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3D352638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17049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hausses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Mars</w:t>
      </w:r>
      <w:r w:rsidR="006B300E">
        <w:rPr>
          <w:rFonts w:ascii="Times New Roman" w:eastAsia="Gulim" w:hAnsi="Times New Roman"/>
          <w:sz w:val="28"/>
          <w:szCs w:val="28"/>
        </w:rPr>
        <w:t xml:space="preserve"> </w:t>
      </w:r>
      <w:r w:rsidR="007853BE">
        <w:rPr>
          <w:rFonts w:ascii="Times New Roman" w:eastAsia="Gulim" w:hAnsi="Times New Roman"/>
          <w:sz w:val="28"/>
          <w:szCs w:val="28"/>
        </w:rPr>
        <w:t xml:space="preserve">et </w:t>
      </w:r>
      <w:r w:rsidR="00732622">
        <w:rPr>
          <w:rFonts w:ascii="Times New Roman" w:eastAsia="Gulim" w:hAnsi="Times New Roman"/>
          <w:sz w:val="28"/>
          <w:szCs w:val="28"/>
        </w:rPr>
        <w:t>Avril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732622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4,2</w:t>
      </w:r>
      <w:r w:rsidR="004746A6">
        <w:rPr>
          <w:rFonts w:ascii="Times New Roman" w:eastAsia="Gulim" w:hAnsi="Times New Roman"/>
          <w:sz w:val="28"/>
          <w:szCs w:val="28"/>
        </w:rPr>
        <w:t xml:space="preserve">%, </w:t>
      </w:r>
      <w:r w:rsidR="00A91424">
        <w:rPr>
          <w:rFonts w:ascii="Times New Roman" w:eastAsia="Gulim" w:hAnsi="Times New Roman"/>
          <w:sz w:val="28"/>
          <w:szCs w:val="28"/>
        </w:rPr>
        <w:t>l</w:t>
      </w:r>
      <w:r w:rsidR="004746A6">
        <w:rPr>
          <w:rFonts w:ascii="Times New Roman" w:eastAsia="Gulim" w:hAnsi="Times New Roman"/>
          <w:sz w:val="28"/>
          <w:szCs w:val="28"/>
        </w:rPr>
        <w:t xml:space="preserve">es </w:t>
      </w:r>
      <w:r w:rsidR="004746A6" w:rsidRPr="009C0D33">
        <w:rPr>
          <w:rFonts w:ascii="Times New Roman" w:eastAsia="Gulim" w:hAnsi="Times New Roman"/>
          <w:sz w:val="28"/>
          <w:szCs w:val="28"/>
        </w:rPr>
        <w:t>‘‘</w:t>
      </w:r>
      <w:r w:rsidR="004746A6">
        <w:rPr>
          <w:rFonts w:ascii="Times New Roman" w:eastAsia="Gulim" w:hAnsi="Times New Roman"/>
          <w:sz w:val="28"/>
          <w:szCs w:val="28"/>
        </w:rPr>
        <w:t>Poissons et Fruits de mer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8,9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A91424">
        <w:rPr>
          <w:rFonts w:ascii="Times New Roman" w:eastAsia="Gulim" w:hAnsi="Times New Roman"/>
          <w:sz w:val="28"/>
          <w:szCs w:val="28"/>
        </w:rPr>
        <w:t xml:space="preserve"> et les </w:t>
      </w:r>
      <w:r w:rsidR="00732622" w:rsidRPr="009C0D33">
        <w:rPr>
          <w:rFonts w:ascii="Times New Roman" w:eastAsia="Gulim" w:hAnsi="Times New Roman"/>
          <w:sz w:val="28"/>
          <w:szCs w:val="28"/>
        </w:rPr>
        <w:t>‘‘</w:t>
      </w:r>
      <w:r w:rsidR="00A91424">
        <w:rPr>
          <w:rFonts w:ascii="Times New Roman" w:eastAsia="Gulim" w:hAnsi="Times New Roman"/>
          <w:sz w:val="28"/>
          <w:szCs w:val="28"/>
        </w:rPr>
        <w:t>Fruits</w:t>
      </w:r>
      <w:r w:rsidR="00732622" w:rsidRPr="009C0D33">
        <w:rPr>
          <w:rFonts w:ascii="Times New Roman" w:eastAsia="Gulim" w:hAnsi="Times New Roman"/>
          <w:sz w:val="28"/>
          <w:szCs w:val="28"/>
        </w:rPr>
        <w:t>’’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4,0</w:t>
      </w:r>
      <w:r w:rsidR="00A91424">
        <w:rPr>
          <w:rFonts w:ascii="Times New Roman" w:eastAsia="Gulim" w:hAnsi="Times New Roman"/>
          <w:sz w:val="28"/>
          <w:szCs w:val="28"/>
        </w:rPr>
        <w:t xml:space="preserve">%. Cette hausse a été atténuée par la baisse </w:t>
      </w:r>
      <w:r w:rsidR="00F71F0B">
        <w:rPr>
          <w:rFonts w:ascii="Times New Roman" w:eastAsia="Gulim" w:hAnsi="Times New Roman"/>
          <w:sz w:val="28"/>
          <w:szCs w:val="28"/>
        </w:rPr>
        <w:t>des prix de</w:t>
      </w:r>
      <w:r w:rsidR="00A91424">
        <w:rPr>
          <w:rFonts w:ascii="Times New Roman" w:eastAsia="Gulim" w:hAnsi="Times New Roman"/>
          <w:sz w:val="28"/>
          <w:szCs w:val="28"/>
        </w:rPr>
        <w:t xml:space="preserve">s </w:t>
      </w:r>
      <w:r w:rsidR="00A91424" w:rsidRPr="009C0D33">
        <w:rPr>
          <w:rFonts w:ascii="Times New Roman" w:eastAsia="Gulim" w:hAnsi="Times New Roman"/>
          <w:sz w:val="28"/>
          <w:szCs w:val="28"/>
        </w:rPr>
        <w:t>‘‘</w:t>
      </w:r>
      <w:r w:rsidR="00A91424">
        <w:rPr>
          <w:rFonts w:ascii="Times New Roman" w:eastAsia="Gulim" w:hAnsi="Times New Roman"/>
          <w:sz w:val="28"/>
          <w:szCs w:val="28"/>
        </w:rPr>
        <w:t>Viandes</w:t>
      </w:r>
      <w:r w:rsidR="00A91424" w:rsidRPr="009C0D33">
        <w:rPr>
          <w:rFonts w:ascii="Times New Roman" w:eastAsia="Gulim" w:hAnsi="Times New Roman"/>
          <w:sz w:val="28"/>
          <w:szCs w:val="28"/>
        </w:rPr>
        <w:t>’’</w:t>
      </w:r>
      <w:r w:rsidR="00A91424">
        <w:rPr>
          <w:rFonts w:ascii="Times New Roman" w:eastAsia="Gulim" w:hAnsi="Times New Roman"/>
          <w:sz w:val="28"/>
          <w:szCs w:val="28"/>
        </w:rPr>
        <w:t xml:space="preserve"> de 0,</w:t>
      </w:r>
      <w:r w:rsidR="00732622">
        <w:rPr>
          <w:rFonts w:ascii="Times New Roman" w:eastAsia="Gulim" w:hAnsi="Times New Roman"/>
          <w:sz w:val="28"/>
          <w:szCs w:val="28"/>
        </w:rPr>
        <w:t>3</w:t>
      </w:r>
      <w:r w:rsidR="00A91424">
        <w:rPr>
          <w:rFonts w:ascii="Times New Roman" w:eastAsia="Gulim" w:hAnsi="Times New Roman"/>
          <w:sz w:val="28"/>
          <w:szCs w:val="28"/>
        </w:rPr>
        <w:t>%.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27251A" w:rsidRPr="001B6B04" w14:paraId="2126FF1D" w14:textId="77777777" w:rsidTr="0027251A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27251A" w:rsidRPr="003109A6" w:rsidRDefault="0027251A" w:rsidP="00A4205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5063E65E" w14:textId="63958C57" w:rsidR="0027251A" w:rsidRPr="003109A6" w:rsidRDefault="00732622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</w:t>
            </w:r>
            <w:r w:rsidR="0027251A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0BAA415D" w:rsidR="0027251A" w:rsidRPr="003109A6" w:rsidRDefault="00732622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</w:t>
            </w:r>
            <w:r w:rsidR="0027251A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27251A" w:rsidRPr="003109A6" w:rsidRDefault="0027251A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27251A" w:rsidRPr="001B6B04" w14:paraId="02018970" w14:textId="77777777" w:rsidTr="0027251A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27251A" w:rsidRPr="008E7CC9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27251A" w:rsidRPr="008E7CC9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4B34001" w14:textId="4BB7C4AB" w:rsidR="0027251A" w:rsidRPr="008E7CC9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61D5F562" w:rsidR="0027251A" w:rsidRPr="008E7CC9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0AF426B8" w:rsidR="0027251A" w:rsidRPr="008E7CC9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27251A" w:rsidRPr="001B6B04" w14:paraId="5D364F85" w14:textId="77777777" w:rsidTr="0027251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D7697A" w14:textId="72D2E895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456A7A76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7590F89C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6C5B7EC2" w14:textId="77777777" w:rsidTr="0027251A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64974174" w14:textId="5F986BA5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107,1</w:t>
            </w:r>
          </w:p>
        </w:tc>
        <w:tc>
          <w:tcPr>
            <w:tcW w:w="1559" w:type="dxa"/>
            <w:vAlign w:val="center"/>
          </w:tcPr>
          <w:p w14:paraId="19B6DA7B" w14:textId="448CB159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1B7DAAA0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27251A" w:rsidRPr="001B6B04" w14:paraId="1CA1F63D" w14:textId="77777777" w:rsidTr="0027251A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50926381" w14:textId="09EB9118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95,6</w:t>
            </w:r>
          </w:p>
        </w:tc>
        <w:tc>
          <w:tcPr>
            <w:tcW w:w="1559" w:type="dxa"/>
            <w:vAlign w:val="center"/>
          </w:tcPr>
          <w:p w14:paraId="1B002BD9" w14:textId="586FDF81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6EFCAF04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8,9</w:t>
            </w:r>
          </w:p>
        </w:tc>
      </w:tr>
      <w:tr w:rsidR="0027251A" w:rsidRPr="001B6B04" w14:paraId="06AE38F6" w14:textId="77777777" w:rsidTr="0027251A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6B8EE4DD" w14:textId="1A6E198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1559" w:type="dxa"/>
            <w:vAlign w:val="center"/>
          </w:tcPr>
          <w:p w14:paraId="63EED3B1" w14:textId="07E9417C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26655AF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27251A" w:rsidRPr="001B6B04" w14:paraId="25813806" w14:textId="77777777" w:rsidTr="0027251A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2D6ED42E" w14:textId="1562B49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96,8</w:t>
            </w:r>
          </w:p>
        </w:tc>
        <w:tc>
          <w:tcPr>
            <w:tcW w:w="1559" w:type="dxa"/>
            <w:vAlign w:val="center"/>
          </w:tcPr>
          <w:p w14:paraId="0FCEC70D" w14:textId="40522157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4870D59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27251A" w:rsidRPr="001B6B04" w14:paraId="3F04F2F8" w14:textId="77777777" w:rsidTr="0027251A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57734BED" w14:textId="512F5F17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1559" w:type="dxa"/>
            <w:vAlign w:val="center"/>
          </w:tcPr>
          <w:p w14:paraId="7D34A147" w14:textId="6625B96F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70E00A7D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27251A" w:rsidRPr="001B6B04" w14:paraId="350AE782" w14:textId="77777777" w:rsidTr="0027251A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6C9CA7C3" w14:textId="3A613AD2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559" w:type="dxa"/>
            <w:vAlign w:val="center"/>
          </w:tcPr>
          <w:p w14:paraId="50DCE4A4" w14:textId="7FDB8904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7948707F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27251A" w:rsidRPr="001B6B04" w14:paraId="542952A6" w14:textId="77777777" w:rsidTr="0027251A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5A015D0" w14:textId="5EF6449D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559" w:type="dxa"/>
            <w:vAlign w:val="center"/>
          </w:tcPr>
          <w:p w14:paraId="69718176" w14:textId="365AD849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4C9A7E40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0AD3C8E0" w14:textId="77777777" w:rsidTr="0027251A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D9CD7C" w14:textId="76738BE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1F823228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1C4706AA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27251A" w:rsidRPr="001B6B04" w14:paraId="6353966C" w14:textId="77777777" w:rsidTr="0027251A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83BD2" w14:textId="13DA10A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6B96C216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360AC9E3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27251A" w:rsidRPr="001B6B04" w14:paraId="1B88FAD4" w14:textId="77777777" w:rsidTr="0027251A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27251A" w:rsidRPr="008E7CC9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27251A" w:rsidRPr="008E7CC9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4627585" w14:textId="6F9EC53F" w:rsidR="0027251A" w:rsidRPr="008E7CC9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7F6AE148" w:rsidR="0027251A" w:rsidRPr="008E7CC9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701853E0" w:rsidR="0027251A" w:rsidRPr="008E7CC9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5A8C36EF" w14:textId="77777777" w:rsidTr="0027251A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27251A" w:rsidRPr="003109A6" w:rsidRDefault="0027251A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  <w:r w:rsidR="000E44B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0006A5" w14:textId="0575E6AB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38DBCA0E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69335B7D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1254012C" w14:textId="77777777" w:rsidTr="0027251A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27251A" w:rsidRPr="003109A6" w:rsidRDefault="0027251A" w:rsidP="00A4205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</w:t>
            </w:r>
            <w:r w:rsidR="000E44B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791AB8" w14:textId="648CB2F8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20B9AE26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63E0E88F" w:rsidR="0027251A" w:rsidRPr="003109A6" w:rsidRDefault="00A42053" w:rsidP="0027251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7251A" w:rsidRPr="001B6B04" w14:paraId="6C36C82B" w14:textId="77777777" w:rsidTr="0027251A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27251A" w:rsidRPr="003109A6" w:rsidRDefault="0027251A" w:rsidP="0027251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27251A" w:rsidRPr="003109A6" w:rsidRDefault="000E44B2" w:rsidP="00A4205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E4E3ED" w14:textId="2A221968" w:rsidR="0027251A" w:rsidRPr="003109A6" w:rsidRDefault="005110DD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0CCC5423" w:rsidR="0027251A" w:rsidRPr="003109A6" w:rsidRDefault="005110DD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1FD36B95" w:rsidR="0027251A" w:rsidRPr="003109A6" w:rsidRDefault="005110DD" w:rsidP="0027251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77777777" w:rsidR="00267A4B" w:rsidRDefault="000C6919" w:rsidP="0015795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0B1F86FA" w:rsidR="000502E7" w:rsidRDefault="00267A4B" w:rsidP="005F279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0C6919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5F2792">
        <w:rPr>
          <w:rFonts w:ascii="Times New Roman" w:eastAsia="Gulim" w:hAnsi="Times New Roman"/>
          <w:sz w:val="28"/>
          <w:szCs w:val="28"/>
        </w:rPr>
        <w:t xml:space="preserve">Mars </w:t>
      </w:r>
      <w:r w:rsidR="00462AF2">
        <w:rPr>
          <w:rFonts w:ascii="Times New Roman" w:eastAsia="Gulim" w:hAnsi="Times New Roman"/>
          <w:sz w:val="28"/>
          <w:szCs w:val="28"/>
        </w:rPr>
        <w:t xml:space="preserve">et </w:t>
      </w:r>
      <w:r w:rsidR="005F2792">
        <w:rPr>
          <w:rFonts w:ascii="Times New Roman" w:eastAsia="Gulim" w:hAnsi="Times New Roman"/>
          <w:sz w:val="28"/>
          <w:szCs w:val="28"/>
        </w:rPr>
        <w:t>Avril</w:t>
      </w:r>
      <w:r w:rsidR="00462AF2">
        <w:rPr>
          <w:rFonts w:ascii="Times New Roman" w:eastAsia="Gulim" w:hAnsi="Times New Roman"/>
          <w:sz w:val="28"/>
          <w:szCs w:val="28"/>
        </w:rPr>
        <w:t xml:space="preserve"> 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7E53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</w:t>
      </w:r>
      <w:r w:rsidR="005110DD">
        <w:rPr>
          <w:rFonts w:ascii="Times New Roman" w:eastAsia="Gulim" w:hAnsi="Times New Roman"/>
          <w:sz w:val="28"/>
          <w:szCs w:val="28"/>
        </w:rPr>
        <w:t>17,3</w:t>
      </w:r>
      <w:r w:rsidR="002F45BF">
        <w:rPr>
          <w:rFonts w:ascii="Times New Roman" w:eastAsia="Gulim" w:hAnsi="Times New Roman"/>
          <w:sz w:val="28"/>
          <w:szCs w:val="28"/>
        </w:rPr>
        <w:t xml:space="preserve">% </w:t>
      </w:r>
      <w:r w:rsidR="002E7C49">
        <w:rPr>
          <w:rFonts w:ascii="Times New Roman" w:eastAsia="Gulim" w:hAnsi="Times New Roman"/>
          <w:sz w:val="28"/>
          <w:szCs w:val="28"/>
        </w:rPr>
        <w:t xml:space="preserve">et 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5110DD">
        <w:rPr>
          <w:rFonts w:ascii="Times New Roman" w:eastAsia="Gulim" w:hAnsi="Times New Roman"/>
          <w:sz w:val="28"/>
          <w:szCs w:val="28"/>
        </w:rPr>
        <w:t>Voitures automobiles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0,</w:t>
      </w:r>
      <w:r w:rsidR="005110DD">
        <w:rPr>
          <w:rFonts w:ascii="Times New Roman" w:eastAsia="Gulim" w:hAnsi="Times New Roman"/>
          <w:sz w:val="28"/>
          <w:szCs w:val="28"/>
        </w:rPr>
        <w:t>9</w:t>
      </w:r>
      <w:r w:rsidR="002F45BF">
        <w:rPr>
          <w:rFonts w:ascii="Times New Roman" w:eastAsia="Gulim" w:hAnsi="Times New Roman"/>
          <w:sz w:val="28"/>
          <w:szCs w:val="28"/>
        </w:rPr>
        <w:t xml:space="preserve">% </w:t>
      </w:r>
      <w:r w:rsidR="00D50E4F">
        <w:rPr>
          <w:rFonts w:ascii="Times New Roman" w:eastAsia="Gulim" w:hAnsi="Times New Roman"/>
          <w:sz w:val="28"/>
          <w:szCs w:val="28"/>
        </w:rPr>
        <w:t xml:space="preserve">contre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499C9749" w14:textId="033ED2D4" w:rsidR="00864B65" w:rsidRDefault="005E05EA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C2AC3B1" wp14:editId="3D105D30">
            <wp:extent cx="5400675" cy="2219325"/>
            <wp:effectExtent l="0" t="0" r="9525" b="952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72A9813C" w:rsidR="00CB4CB9" w:rsidRPr="00956A42" w:rsidRDefault="00557DA3" w:rsidP="0050204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Mois : </w:t>
      </w:r>
      <w:r w:rsidR="005E05EA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Avril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A7273B">
        <w:trPr>
          <w:trHeight w:val="46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7A1CA41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4D4F0B1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CB4CB9" w:rsidRPr="004E0DA4" w14:paraId="6524C1CF" w14:textId="77777777" w:rsidTr="00892DC4">
        <w:trPr>
          <w:trHeight w:val="55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68EB143B" w:rsidR="00CB4CB9" w:rsidRPr="004E0DA4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</w:t>
            </w:r>
            <w:r w:rsidR="005E05EA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62EFC45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CB4CB9" w:rsidRPr="00534BE7" w14:paraId="4D1E2E0A" w14:textId="77777777" w:rsidTr="00CB4CB9">
        <w:trPr>
          <w:trHeight w:val="6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218276F0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6DC60E7B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5E100E39" w14:textId="77777777" w:rsidTr="00CB4CB9">
        <w:trPr>
          <w:trHeight w:val="69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15521FCC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15DB50AA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2F0174CD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0F755795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7E17E532" w14:textId="77777777" w:rsidTr="00892DC4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02F32924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21A8FB54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1090ECB5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-5,1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1380EAAF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-7,5</w:t>
            </w:r>
          </w:p>
        </w:tc>
      </w:tr>
      <w:tr w:rsidR="00CB4CB9" w:rsidRPr="004E0DA4" w14:paraId="29A77F80" w14:textId="77777777" w:rsidTr="00892DC4">
        <w:trPr>
          <w:trHeight w:val="410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37049CDA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52FF5E4D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14:paraId="59E69CDE" w14:textId="77777777" w:rsidTr="00892DC4">
        <w:trPr>
          <w:trHeight w:val="41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6054BA65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329FDC7B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-2,3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6134235C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5AA5099B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294F01E0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0A3594C9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14:paraId="61CF145E" w14:textId="77777777" w:rsidTr="00A7273B">
        <w:trPr>
          <w:trHeight w:val="4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77BB12F4" w:rsidR="00CB4CB9" w:rsidRPr="004E0DA4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6D8B9C70" w:rsidR="00CB4CB9" w:rsidRPr="004E0DA4" w:rsidRDefault="00CE032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14:paraId="55F62F93" w14:textId="77777777" w:rsidTr="00A7273B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2702E398" w:rsidR="00CB4CB9" w:rsidRPr="005E0AD7" w:rsidRDefault="00E2171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0C4197DB" w:rsidR="00CB4CB9" w:rsidRPr="005E0AD7" w:rsidRDefault="00F07732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</w:t>
            </w:r>
            <w:r w:rsidR="00CE032C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</w:t>
            </w:r>
          </w:p>
        </w:tc>
      </w:tr>
    </w:tbl>
    <w:p w14:paraId="608BF836" w14:textId="56F99D12" w:rsidR="00F1588E" w:rsidRDefault="00D615DD" w:rsidP="00C6452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C64524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E668D9">
        <w:rPr>
          <w:rFonts w:ascii="Times New Roman" w:eastAsia="Gulim" w:hAnsi="Times New Roman"/>
          <w:b/>
          <w:bCs/>
          <w:sz w:val="28"/>
          <w:szCs w:val="28"/>
        </w:rPr>
        <w:t>,</w:t>
      </w:r>
      <w:r w:rsidR="00B64E2F">
        <w:rPr>
          <w:rFonts w:ascii="Times New Roman" w:eastAsia="Gulim" w:hAnsi="Times New Roman"/>
          <w:b/>
          <w:bCs/>
          <w:sz w:val="28"/>
          <w:szCs w:val="28"/>
        </w:rPr>
        <w:t>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472A1818" w:rsidR="00E3722B" w:rsidRDefault="00D615DD" w:rsidP="000625C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4B6DA8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64524">
        <w:rPr>
          <w:rFonts w:ascii="Times New Roman" w:eastAsia="Gulim" w:hAnsi="Times New Roman"/>
          <w:sz w:val="28"/>
          <w:szCs w:val="28"/>
        </w:rPr>
        <w:t>1</w:t>
      </w:r>
      <w:r w:rsidR="00E668D9">
        <w:rPr>
          <w:rFonts w:ascii="Times New Roman" w:eastAsia="Gulim" w:hAnsi="Times New Roman"/>
          <w:sz w:val="28"/>
          <w:szCs w:val="28"/>
        </w:rPr>
        <w:t>,</w:t>
      </w:r>
      <w:r w:rsidR="00B64E2F">
        <w:rPr>
          <w:rFonts w:ascii="Times New Roman" w:eastAsia="Gulim" w:hAnsi="Times New Roman"/>
          <w:sz w:val="28"/>
          <w:szCs w:val="28"/>
        </w:rPr>
        <w:t>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C64524">
        <w:rPr>
          <w:rFonts w:ascii="Times New Roman" w:eastAsia="Gulim" w:hAnsi="Times New Roman"/>
          <w:sz w:val="28"/>
          <w:szCs w:val="28"/>
        </w:rPr>
        <w:t>hausse</w:t>
      </w:r>
      <w:r w:rsidR="00754DC9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B64E2F">
        <w:rPr>
          <w:rFonts w:ascii="Times New Roman" w:eastAsia="Gulim" w:hAnsi="Times New Roman"/>
          <w:sz w:val="28"/>
          <w:szCs w:val="28"/>
        </w:rPr>
        <w:t>3,7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B64E2F">
        <w:rPr>
          <w:rFonts w:ascii="Times New Roman" w:eastAsia="Gulim" w:hAnsi="Times New Roman"/>
          <w:sz w:val="28"/>
          <w:szCs w:val="28"/>
        </w:rPr>
        <w:t xml:space="preserve">la baisse de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B64E2F">
        <w:rPr>
          <w:rFonts w:ascii="Times New Roman" w:eastAsia="Gulim" w:hAnsi="Times New Roman"/>
          <w:sz w:val="28"/>
          <w:szCs w:val="28"/>
        </w:rPr>
        <w:t>5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75A00BB4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501C2E82" w:rsidR="003442C0" w:rsidRDefault="00B64E2F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43110AF" wp14:editId="5123145C">
            <wp:extent cx="5791200" cy="2886075"/>
            <wp:effectExtent l="0" t="0" r="0" b="9525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29D603D3-F6FF-46CD-B20F-A129F65E5A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E106AA3" w14:textId="77777777" w:rsidR="00334A19" w:rsidRDefault="00334A19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0D6AE98" w14:textId="77777777" w:rsidR="00B64E2F" w:rsidRDefault="00B64E2F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2D8FE95F" w:rsidR="007C49D9" w:rsidRDefault="00A641E7" w:rsidP="0037153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B64E2F">
        <w:rPr>
          <w:rFonts w:ascii="Times New Roman" w:eastAsia="Gulim" w:hAnsi="Times New Roman"/>
          <w:sz w:val="28"/>
          <w:szCs w:val="28"/>
        </w:rPr>
        <w:t>d’Avril</w:t>
      </w:r>
      <w:r w:rsidR="00AF632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39725B">
        <w:rPr>
          <w:rFonts w:ascii="Times New Roman" w:eastAsia="Gulim" w:hAnsi="Times New Roman"/>
          <w:sz w:val="28"/>
          <w:szCs w:val="28"/>
        </w:rPr>
        <w:t>baisse</w:t>
      </w:r>
      <w:r w:rsidR="002C0653">
        <w:rPr>
          <w:rFonts w:ascii="Times New Roman" w:eastAsia="Gulim" w:hAnsi="Times New Roman"/>
          <w:sz w:val="28"/>
          <w:szCs w:val="28"/>
        </w:rPr>
        <w:t xml:space="preserve"> de 0,</w:t>
      </w:r>
      <w:r w:rsidR="0039725B">
        <w:rPr>
          <w:rFonts w:ascii="Times New Roman" w:eastAsia="Gulim" w:hAnsi="Times New Roman"/>
          <w:sz w:val="28"/>
          <w:szCs w:val="28"/>
        </w:rPr>
        <w:t>1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F06EC0">
        <w:rPr>
          <w:rFonts w:ascii="Times New Roman" w:eastAsia="Gulim" w:hAnsi="Times New Roman"/>
          <w:sz w:val="28"/>
          <w:szCs w:val="28"/>
        </w:rPr>
        <w:t>par rapport au mois précédent</w:t>
      </w:r>
      <w:r w:rsidR="002C0653">
        <w:rPr>
          <w:rFonts w:ascii="Times New Roman" w:eastAsia="Gulim" w:hAnsi="Times New Roman"/>
          <w:sz w:val="28"/>
          <w:szCs w:val="28"/>
        </w:rPr>
        <w:t xml:space="preserve"> et une hausse de </w:t>
      </w:r>
      <w:r w:rsidR="0039725B">
        <w:rPr>
          <w:rFonts w:ascii="Times New Roman" w:eastAsia="Gulim" w:hAnsi="Times New Roman"/>
          <w:sz w:val="28"/>
          <w:szCs w:val="28"/>
        </w:rPr>
        <w:t>0,9</w:t>
      </w:r>
      <w:r w:rsidR="002C0653">
        <w:rPr>
          <w:rFonts w:ascii="Times New Roman" w:eastAsia="Gulim" w:hAnsi="Times New Roman"/>
          <w:sz w:val="28"/>
          <w:szCs w:val="28"/>
        </w:rPr>
        <w:t>% par rapport au même mois de l’année précédente.</w:t>
      </w:r>
    </w:p>
    <w:p w14:paraId="6A3E9F40" w14:textId="77777777" w:rsidR="002700DE" w:rsidRDefault="002700DE" w:rsidP="002700D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77777777" w:rsidR="00A74981" w:rsidRDefault="00A74981" w:rsidP="00A7498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31841" w14:textId="77777777" w:rsidR="00CF70DF" w:rsidRDefault="00CF70DF">
      <w:r>
        <w:separator/>
      </w:r>
    </w:p>
    <w:p w14:paraId="06D65873" w14:textId="77777777" w:rsidR="00CF70DF" w:rsidRDefault="00CF70DF"/>
  </w:endnote>
  <w:endnote w:type="continuationSeparator" w:id="0">
    <w:p w14:paraId="294F35D5" w14:textId="77777777" w:rsidR="00CF70DF" w:rsidRDefault="00CF70DF">
      <w:r>
        <w:continuationSeparator/>
      </w:r>
    </w:p>
    <w:p w14:paraId="5ED10132" w14:textId="77777777" w:rsidR="00CF70DF" w:rsidRDefault="00CF7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4E833C38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71111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7D7821CE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71111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A8FAE" w14:textId="77777777" w:rsidR="00CF70DF" w:rsidRDefault="00CF70DF">
      <w:r>
        <w:separator/>
      </w:r>
    </w:p>
    <w:p w14:paraId="6B06F76D" w14:textId="77777777" w:rsidR="00CF70DF" w:rsidRDefault="00CF70DF"/>
  </w:footnote>
  <w:footnote w:type="continuationSeparator" w:id="0">
    <w:p w14:paraId="42281E1E" w14:textId="77777777" w:rsidR="00CF70DF" w:rsidRDefault="00CF70DF">
      <w:r>
        <w:continuationSeparator/>
      </w:r>
    </w:p>
    <w:p w14:paraId="181842DC" w14:textId="77777777" w:rsidR="00CF70DF" w:rsidRDefault="00CF7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07FC1"/>
    <w:rsid w:val="0011023F"/>
    <w:rsid w:val="0011049D"/>
    <w:rsid w:val="0011063E"/>
    <w:rsid w:val="001108D6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5E4"/>
    <w:rsid w:val="0020181A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D33"/>
    <w:rsid w:val="005E1E24"/>
    <w:rsid w:val="005E2301"/>
    <w:rsid w:val="005E235A"/>
    <w:rsid w:val="005E2C00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4008B"/>
    <w:rsid w:val="009404AA"/>
    <w:rsid w:val="009404F1"/>
    <w:rsid w:val="00940DE5"/>
    <w:rsid w:val="009411E6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2F6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2B6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34"/>
    <w:rsid w:val="00CF68FB"/>
    <w:rsid w:val="00CF6CDE"/>
    <w:rsid w:val="00CF70DF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3_2020\04_2020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3_2020\04_2020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/>
            </a:pPr>
            <a:r>
              <a:rPr lang="en-US" sz="1200"/>
              <a:t>Avril 2019_Avril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73"/>
          <c:w val="0.90435184585085315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6">
                  <c:v>43739</c:v>
                </c:pt>
                <c:pt idx="7">
                  <c:v>43770</c:v>
                </c:pt>
                <c:pt idx="8">
                  <c:v>43800</c:v>
                </c:pt>
                <c:pt idx="9">
                  <c:v>43831</c:v>
                </c:pt>
                <c:pt idx="10">
                  <c:v>43862</c:v>
                </c:pt>
                <c:pt idx="11">
                  <c:v>43891</c:v>
                </c:pt>
                <c:pt idx="12">
                  <c:v>43922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0.2</c:v>
                </c:pt>
                <c:pt idx="1">
                  <c:v>1.2</c:v>
                </c:pt>
                <c:pt idx="2">
                  <c:v>0.2</c:v>
                </c:pt>
                <c:pt idx="3">
                  <c:v>-0.5</c:v>
                </c:pt>
                <c:pt idx="4">
                  <c:v>0.2</c:v>
                </c:pt>
                <c:pt idx="5">
                  <c:v>-0.1</c:v>
                </c:pt>
                <c:pt idx="6">
                  <c:v>-0.1</c:v>
                </c:pt>
                <c:pt idx="7">
                  <c:v>0.5</c:v>
                </c:pt>
                <c:pt idx="8">
                  <c:v>-0.1</c:v>
                </c:pt>
                <c:pt idx="9">
                  <c:v>-0.1</c:v>
                </c:pt>
                <c:pt idx="10">
                  <c:v>-0.2</c:v>
                </c:pt>
                <c:pt idx="11">
                  <c:v>0.1</c:v>
                </c:pt>
                <c:pt idx="12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9F8-438B-8A38-085163D43C88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6">
                  <c:v>43739</c:v>
                </c:pt>
                <c:pt idx="7">
                  <c:v>43770</c:v>
                </c:pt>
                <c:pt idx="8">
                  <c:v>43800</c:v>
                </c:pt>
                <c:pt idx="9">
                  <c:v>43831</c:v>
                </c:pt>
                <c:pt idx="10">
                  <c:v>43862</c:v>
                </c:pt>
                <c:pt idx="11">
                  <c:v>43891</c:v>
                </c:pt>
                <c:pt idx="12">
                  <c:v>43922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0.6</c:v>
                </c:pt>
                <c:pt idx="1">
                  <c:v>0.9</c:v>
                </c:pt>
                <c:pt idx="2">
                  <c:v>0.2</c:v>
                </c:pt>
                <c:pt idx="3">
                  <c:v>-0.9</c:v>
                </c:pt>
                <c:pt idx="4">
                  <c:v>0.4</c:v>
                </c:pt>
                <c:pt idx="5">
                  <c:v>-0.2</c:v>
                </c:pt>
                <c:pt idx="6">
                  <c:v>0.2</c:v>
                </c:pt>
                <c:pt idx="7">
                  <c:v>0.4</c:v>
                </c:pt>
                <c:pt idx="8">
                  <c:v>0</c:v>
                </c:pt>
                <c:pt idx="9">
                  <c:v>-0.2</c:v>
                </c:pt>
                <c:pt idx="10">
                  <c:v>-0.2</c:v>
                </c:pt>
                <c:pt idx="11">
                  <c:v>0.4</c:v>
                </c:pt>
                <c:pt idx="12">
                  <c:v>-0.1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9F8-438B-8A38-085163D43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64192"/>
        <c:axId val="69065728"/>
      </c:lineChart>
      <c:dateAx>
        <c:axId val="69064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9065728"/>
        <c:crosses val="autoZero"/>
        <c:auto val="1"/>
        <c:lblOffset val="100"/>
        <c:baseTimeUnit val="months"/>
      </c:dateAx>
      <c:valAx>
        <c:axId val="69065728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906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MA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Feuil9!$B$43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Feuil9!$A$44:$A$71</c:f>
              <c:numCache>
                <c:formatCode>mmm\-yy</c:formatCode>
                <c:ptCount val="2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</c:numCache>
            </c:numRef>
          </c:cat>
          <c:val>
            <c:numRef>
              <c:f>Feuil9!$B$44:$B$71</c:f>
              <c:numCache>
                <c:formatCode>General</c:formatCode>
                <c:ptCount val="28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E7-4DE6-B281-C31E9FFFBA2F}"/>
            </c:ext>
          </c:extLst>
        </c:ser>
        <c:ser>
          <c:idx val="1"/>
          <c:order val="1"/>
          <c:tx>
            <c:strRef>
              <c:f>Feuil9!$C$43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Feuil9!$A$44:$A$71</c:f>
              <c:numCache>
                <c:formatCode>mmm\-yy</c:formatCode>
                <c:ptCount val="2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</c:numCache>
            </c:numRef>
          </c:cat>
          <c:val>
            <c:numRef>
              <c:f>Feuil9!$C$44:$C$71</c:f>
              <c:numCache>
                <c:formatCode>General</c:formatCode>
                <c:ptCount val="28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E7-4DE6-B281-C31E9FFFBA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1661840"/>
        <c:axId val="1641683616"/>
      </c:lineChart>
      <c:dateAx>
        <c:axId val="16416618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41683616"/>
        <c:crosses val="autoZero"/>
        <c:auto val="1"/>
        <c:lblOffset val="100"/>
        <c:baseTimeUnit val="months"/>
      </c:dateAx>
      <c:valAx>
        <c:axId val="164168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4166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AB6A51-D3A7-49A7-9400-0C6EE1A1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2020-06-25T11:34:00Z</dcterms:created>
  <dcterms:modified xsi:type="dcterms:W3CDTF">2020-06-25T13:00:00Z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