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4BD96CFB" w:rsidR="00693096" w:rsidRPr="00287695" w:rsidRDefault="008E103F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Août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3E741F97" w:rsidR="002D2180" w:rsidRPr="00D3493A" w:rsidRDefault="00BE4170" w:rsidP="008E103F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5F0F3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Ao</w:t>
      </w:r>
      <w:r w:rsidR="008E103F">
        <w:rPr>
          <w:rFonts w:ascii="Times New Roman" w:eastAsia="Gulim" w:hAnsi="Times New Roman"/>
          <w:b/>
          <w:bCs/>
          <w:sz w:val="28"/>
          <w:szCs w:val="28"/>
        </w:rPr>
        <w:t>û</w:t>
      </w:r>
      <w:r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707372F0" w:rsidR="002D2180" w:rsidRDefault="002D2180" w:rsidP="008E103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5F7A48">
        <w:rPr>
          <w:rFonts w:ascii="Times New Roman" w:eastAsia="Gulim" w:hAnsi="Times New Roman"/>
          <w:sz w:val="28"/>
          <w:szCs w:val="28"/>
        </w:rPr>
        <w:t xml:space="preserve"> de </w:t>
      </w:r>
      <w:r w:rsidR="00BE4170">
        <w:rPr>
          <w:rFonts w:ascii="Times New Roman" w:eastAsia="Gulim" w:hAnsi="Times New Roman"/>
          <w:sz w:val="28"/>
          <w:szCs w:val="28"/>
        </w:rPr>
        <w:t>1,0</w:t>
      </w:r>
      <w:r w:rsidR="005F7A48">
        <w:rPr>
          <w:rFonts w:ascii="Times New Roman" w:eastAsia="Gulim" w:hAnsi="Times New Roman"/>
          <w:sz w:val="28"/>
          <w:szCs w:val="28"/>
        </w:rPr>
        <w:t>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BE4170">
        <w:rPr>
          <w:rFonts w:ascii="Times New Roman" w:eastAsia="Gulim" w:hAnsi="Times New Roman"/>
          <w:sz w:val="28"/>
          <w:szCs w:val="28"/>
        </w:rPr>
        <w:t>d’Ao</w:t>
      </w:r>
      <w:r w:rsidR="008E103F">
        <w:rPr>
          <w:rFonts w:ascii="Times New Roman" w:eastAsia="Gulim" w:hAnsi="Times New Roman"/>
          <w:sz w:val="28"/>
          <w:szCs w:val="28"/>
        </w:rPr>
        <w:t>û</w:t>
      </w:r>
      <w:r w:rsidR="00BE4170">
        <w:rPr>
          <w:rFonts w:ascii="Times New Roman" w:eastAsia="Gulim" w:hAnsi="Times New Roman"/>
          <w:sz w:val="28"/>
          <w:szCs w:val="28"/>
        </w:rPr>
        <w:t>t</w:t>
      </w:r>
      <w:r w:rsidR="00C62FD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E54D89">
        <w:rPr>
          <w:rFonts w:ascii="Times New Roman" w:eastAsia="Gulim" w:hAnsi="Times New Roman"/>
          <w:sz w:val="28"/>
          <w:szCs w:val="28"/>
        </w:rPr>
        <w:t xml:space="preserve"> de </w:t>
      </w:r>
      <w:r w:rsidR="006057B3">
        <w:rPr>
          <w:rFonts w:ascii="Times New Roman" w:eastAsia="Gulim" w:hAnsi="Times New Roman"/>
          <w:sz w:val="28"/>
          <w:szCs w:val="28"/>
        </w:rPr>
        <w:t>2,</w:t>
      </w:r>
      <w:r w:rsidR="00BE4170">
        <w:rPr>
          <w:rFonts w:ascii="Times New Roman" w:eastAsia="Gulim" w:hAnsi="Times New Roman"/>
          <w:sz w:val="28"/>
          <w:szCs w:val="28"/>
        </w:rPr>
        <w:t>5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BE4170">
        <w:rPr>
          <w:rFonts w:ascii="Times New Roman" w:eastAsia="Gulim" w:hAnsi="Times New Roman"/>
          <w:sz w:val="28"/>
          <w:szCs w:val="28"/>
        </w:rPr>
        <w:t>2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66741CDA" w14:textId="082A650C" w:rsidR="00493439" w:rsidRDefault="00BE4170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243E625F" w14:textId="62EDC8E6" w:rsidR="005F7A48" w:rsidRPr="00493439" w:rsidRDefault="00BD1FF5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4624C754">
            <wp:simplePos x="0" y="0"/>
            <wp:positionH relativeFrom="column">
              <wp:posOffset>15240</wp:posOffset>
            </wp:positionH>
            <wp:positionV relativeFrom="paragraph">
              <wp:posOffset>111125</wp:posOffset>
            </wp:positionV>
            <wp:extent cx="17049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79" y="21214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83B310" w14:textId="25B66FDA" w:rsidR="00D57C32" w:rsidRDefault="00EB1CCF" w:rsidP="008E103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BE4170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</w:t>
      </w:r>
      <w:bookmarkStart w:id="0" w:name="_GoBack"/>
      <w:bookmarkEnd w:id="0"/>
      <w:r w:rsidR="00E0064D">
        <w:rPr>
          <w:rFonts w:ascii="Times New Roman" w:eastAsia="Gulim" w:hAnsi="Times New Roman"/>
          <w:sz w:val="28"/>
          <w:szCs w:val="28"/>
        </w:rPr>
        <w:t>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BE4170">
        <w:rPr>
          <w:rFonts w:ascii="Times New Roman" w:eastAsia="Gulim" w:hAnsi="Times New Roman"/>
          <w:sz w:val="28"/>
          <w:szCs w:val="28"/>
        </w:rPr>
        <w:t>J</w:t>
      </w:r>
      <w:r w:rsidR="006057B3">
        <w:rPr>
          <w:rFonts w:ascii="Times New Roman" w:eastAsia="Gulim" w:hAnsi="Times New Roman"/>
          <w:sz w:val="28"/>
          <w:szCs w:val="28"/>
        </w:rPr>
        <w:t>uillet</w:t>
      </w:r>
      <w:r w:rsidR="00BE4170">
        <w:rPr>
          <w:rFonts w:ascii="Times New Roman" w:eastAsia="Gulim" w:hAnsi="Times New Roman"/>
          <w:sz w:val="28"/>
          <w:szCs w:val="28"/>
        </w:rPr>
        <w:t xml:space="preserve"> et </w:t>
      </w:r>
      <w:r w:rsidR="008E103F">
        <w:rPr>
          <w:rFonts w:ascii="Times New Roman" w:eastAsia="Gulim" w:hAnsi="Times New Roman"/>
          <w:sz w:val="28"/>
          <w:szCs w:val="28"/>
        </w:rPr>
        <w:t>Août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732622">
        <w:rPr>
          <w:rFonts w:ascii="Times New Roman" w:eastAsia="Gulim" w:hAnsi="Times New Roman"/>
          <w:sz w:val="28"/>
          <w:szCs w:val="28"/>
        </w:rPr>
        <w:t>Légumes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BE4170">
        <w:rPr>
          <w:rFonts w:ascii="Times New Roman" w:eastAsia="Gulim" w:hAnsi="Times New Roman"/>
          <w:sz w:val="28"/>
          <w:szCs w:val="28"/>
        </w:rPr>
        <w:t>9,2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, </w:t>
      </w:r>
      <w:r w:rsidR="00A91424">
        <w:rPr>
          <w:rFonts w:ascii="Times New Roman" w:eastAsia="Gulim" w:hAnsi="Times New Roman"/>
          <w:sz w:val="28"/>
          <w:szCs w:val="28"/>
        </w:rPr>
        <w:t xml:space="preserve">les </w:t>
      </w:r>
      <w:r w:rsidR="00732622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Viandes</w:t>
      </w:r>
      <w:r w:rsidR="00732622" w:rsidRPr="009C0D33">
        <w:rPr>
          <w:rFonts w:ascii="Times New Roman" w:eastAsia="Gulim" w:hAnsi="Times New Roman"/>
          <w:sz w:val="28"/>
          <w:szCs w:val="28"/>
        </w:rPr>
        <w:t>’’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  <w:r w:rsidR="00BE4170">
        <w:rPr>
          <w:rFonts w:ascii="Times New Roman" w:eastAsia="Gulim" w:hAnsi="Times New Roman"/>
          <w:sz w:val="28"/>
          <w:szCs w:val="28"/>
        </w:rPr>
        <w:t>1,2</w:t>
      </w:r>
      <w:r w:rsidR="00A91424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 et 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BE4170">
        <w:rPr>
          <w:rFonts w:ascii="Times New Roman" w:eastAsia="Gulim" w:hAnsi="Times New Roman"/>
          <w:sz w:val="28"/>
          <w:szCs w:val="28"/>
        </w:rPr>
        <w:t>4,8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BE4170">
        <w:rPr>
          <w:rFonts w:ascii="Times New Roman" w:eastAsia="Gulim" w:hAnsi="Times New Roman"/>
          <w:sz w:val="28"/>
          <w:szCs w:val="28"/>
        </w:rPr>
        <w:t xml:space="preserve"> et les </w:t>
      </w:r>
      <w:r w:rsidR="00BE4170" w:rsidRPr="009C0D33">
        <w:rPr>
          <w:rFonts w:ascii="Times New Roman" w:eastAsia="Gulim" w:hAnsi="Times New Roman"/>
          <w:sz w:val="28"/>
          <w:szCs w:val="28"/>
        </w:rPr>
        <w:t>‘‘</w:t>
      </w:r>
      <w:r w:rsidR="00BE4170">
        <w:rPr>
          <w:rFonts w:ascii="Times New Roman" w:eastAsia="Gulim" w:hAnsi="Times New Roman"/>
          <w:sz w:val="28"/>
          <w:szCs w:val="28"/>
        </w:rPr>
        <w:t>Fruits</w:t>
      </w:r>
      <w:r w:rsidR="00BE4170" w:rsidRPr="009C0D33">
        <w:rPr>
          <w:rFonts w:ascii="Times New Roman" w:eastAsia="Gulim" w:hAnsi="Times New Roman"/>
          <w:sz w:val="28"/>
          <w:szCs w:val="28"/>
        </w:rPr>
        <w:t>’’</w:t>
      </w:r>
      <w:r w:rsidR="00BE4170">
        <w:rPr>
          <w:rFonts w:ascii="Times New Roman" w:eastAsia="Gulim" w:hAnsi="Times New Roman"/>
          <w:sz w:val="28"/>
          <w:szCs w:val="28"/>
        </w:rPr>
        <w:t xml:space="preserve"> avec 11,6%</w:t>
      </w:r>
      <w:r w:rsidR="00A91424">
        <w:rPr>
          <w:rFonts w:ascii="Times New Roman" w:eastAsia="Gulim" w:hAnsi="Times New Roman"/>
          <w:sz w:val="28"/>
          <w:szCs w:val="28"/>
        </w:rPr>
        <w:t xml:space="preserve">.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E86E9F" w:rsidRPr="001B6B04" w14:paraId="2126FF1D" w14:textId="77777777" w:rsidTr="00E86E9F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9F7E9DA" w14:textId="4CB1B950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5FDAC34D" w:rsidR="00E86E9F" w:rsidRPr="003109A6" w:rsidRDefault="008E103F" w:rsidP="008E10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103F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Août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</w:t>
            </w:r>
            <w:r w:rsidR="00E86E9F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E86E9F" w:rsidRPr="001B6B04" w14:paraId="02018970" w14:textId="77777777" w:rsidTr="00E86E9F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E86E9F" w:rsidRPr="008E7CC9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577F6F0" w14:textId="591F1C62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7A12DC64"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4FC52FA7"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E86E9F" w:rsidRPr="001B6B04" w14:paraId="5D364F85" w14:textId="77777777" w:rsidTr="00E86E9F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3CB6C9F" w14:textId="1990D224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409DEDED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05BD71D8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86E9F" w:rsidRPr="001B6B04" w14:paraId="6C5B7EC2" w14:textId="77777777" w:rsidTr="00E86E9F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1E7A481F" w14:textId="63DA7030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1559" w:type="dxa"/>
            <w:vAlign w:val="center"/>
          </w:tcPr>
          <w:p w14:paraId="19B6DA7B" w14:textId="5AC1FEBF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5F56C07F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E86E9F" w:rsidRPr="001B6B04" w14:paraId="1CA1F63D" w14:textId="77777777" w:rsidTr="00E86E9F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74739901" w14:textId="4E0EDBB8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95,5</w:t>
            </w:r>
          </w:p>
        </w:tc>
        <w:tc>
          <w:tcPr>
            <w:tcW w:w="1559" w:type="dxa"/>
            <w:vAlign w:val="center"/>
          </w:tcPr>
          <w:p w14:paraId="1B002BD9" w14:textId="1E23C38C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5D118B8D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4,8</w:t>
            </w:r>
          </w:p>
        </w:tc>
      </w:tr>
      <w:tr w:rsidR="00E86E9F" w:rsidRPr="001B6B04" w14:paraId="06AE38F6" w14:textId="77777777" w:rsidTr="00E86E9F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50485B38" w14:textId="2B100C78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1559" w:type="dxa"/>
            <w:vAlign w:val="center"/>
          </w:tcPr>
          <w:p w14:paraId="63EED3B1" w14:textId="05239B2F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42051053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86E9F" w:rsidRPr="001B6B04" w14:paraId="25813806" w14:textId="77777777" w:rsidTr="00E86E9F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714E7DA2" w14:textId="21BB1D47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94,2</w:t>
            </w:r>
          </w:p>
        </w:tc>
        <w:tc>
          <w:tcPr>
            <w:tcW w:w="1559" w:type="dxa"/>
            <w:vAlign w:val="center"/>
          </w:tcPr>
          <w:p w14:paraId="0FCEC70D" w14:textId="5750071C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342D9789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E86E9F" w:rsidRPr="001B6B04" w14:paraId="3F04F2F8" w14:textId="77777777" w:rsidTr="00E86E9F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2969703B" w14:textId="225F03C9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1559" w:type="dxa"/>
            <w:vAlign w:val="center"/>
          </w:tcPr>
          <w:p w14:paraId="7D34A147" w14:textId="541B3EDB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34473A77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11,6</w:t>
            </w:r>
          </w:p>
        </w:tc>
      </w:tr>
      <w:tr w:rsidR="00E86E9F" w:rsidRPr="001B6B04" w14:paraId="350AE782" w14:textId="77777777" w:rsidTr="00E86E9F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1100426C" w14:textId="32210B70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89,5</w:t>
            </w:r>
          </w:p>
        </w:tc>
        <w:tc>
          <w:tcPr>
            <w:tcW w:w="1559" w:type="dxa"/>
            <w:vAlign w:val="center"/>
          </w:tcPr>
          <w:p w14:paraId="50DCE4A4" w14:textId="2B9AB814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6994B0BA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9,2</w:t>
            </w:r>
          </w:p>
        </w:tc>
      </w:tr>
      <w:tr w:rsidR="00E86E9F" w:rsidRPr="001B6B04" w14:paraId="542952A6" w14:textId="77777777" w:rsidTr="00E86E9F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6BB3CCF" w14:textId="38C0A43A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14:paraId="69718176" w14:textId="084CCB21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051978A0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86E9F" w:rsidRPr="001B6B04" w14:paraId="0AD3C8E0" w14:textId="77777777" w:rsidTr="00E86E9F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BAA61B" w14:textId="5169050F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3D35381D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3DB68DE5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E86E9F" w:rsidRPr="001B6B04" w14:paraId="6353966C" w14:textId="77777777" w:rsidTr="00E86E9F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40E71" w14:textId="44F3EEEF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1F6E7079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6ADD831C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E86E9F" w:rsidRPr="001B6B04" w14:paraId="1B88FAD4" w14:textId="77777777" w:rsidTr="00E86E9F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E86E9F" w:rsidRPr="008E7CC9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E6CEC2F" w14:textId="5D222289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4EFBA901"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278F717E"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E86E9F" w:rsidRPr="001B6B04" w14:paraId="5A8C36EF" w14:textId="77777777" w:rsidTr="00E86E9F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454B37" w14:textId="0193C833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4501B85A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6E0A3CC5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86E9F" w:rsidRPr="001B6B04" w14:paraId="1254012C" w14:textId="77777777" w:rsidTr="00E86E9F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7982C9" w14:textId="1D740B9F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19CA36DF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7DA7D2AA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E86E9F" w:rsidRPr="001B6B04" w14:paraId="6C36C82B" w14:textId="77777777" w:rsidTr="00E86E9F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05F485E4" w14:textId="07EE83FF" w:rsidR="00E86E9F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01CCFDB5" w:rsidR="00E86E9F" w:rsidRPr="003109A6" w:rsidRDefault="0094029D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302DC4C6" w:rsidR="00E86E9F" w:rsidRPr="003109A6" w:rsidRDefault="0094029D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495E1412" w:rsidR="000502E7" w:rsidRDefault="00267A4B" w:rsidP="008E103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20122D">
        <w:rPr>
          <w:rFonts w:ascii="Times New Roman" w:eastAsia="Gulim" w:hAnsi="Times New Roman"/>
          <w:sz w:val="28"/>
          <w:szCs w:val="28"/>
        </w:rPr>
        <w:t>Jui</w:t>
      </w:r>
      <w:r w:rsidR="00201F95">
        <w:rPr>
          <w:rFonts w:ascii="Times New Roman" w:eastAsia="Gulim" w:hAnsi="Times New Roman"/>
          <w:sz w:val="28"/>
          <w:szCs w:val="28"/>
        </w:rPr>
        <w:t xml:space="preserve">llet </w:t>
      </w:r>
      <w:r w:rsidR="0094029D">
        <w:rPr>
          <w:rFonts w:ascii="Times New Roman" w:eastAsia="Gulim" w:hAnsi="Times New Roman"/>
          <w:sz w:val="28"/>
          <w:szCs w:val="28"/>
        </w:rPr>
        <w:t>et Ao</w:t>
      </w:r>
      <w:r w:rsidR="008E103F">
        <w:rPr>
          <w:rFonts w:ascii="Times New Roman" w:eastAsia="Gulim" w:hAnsi="Times New Roman"/>
          <w:sz w:val="28"/>
          <w:szCs w:val="28"/>
        </w:rPr>
        <w:t>û</w:t>
      </w:r>
      <w:r w:rsidR="0094029D">
        <w:rPr>
          <w:rFonts w:ascii="Times New Roman" w:eastAsia="Gulim" w:hAnsi="Times New Roman"/>
          <w:sz w:val="28"/>
          <w:szCs w:val="28"/>
        </w:rPr>
        <w:t xml:space="preserve">t </w:t>
      </w:r>
      <w:r w:rsidR="00462AF2">
        <w:rPr>
          <w:rFonts w:ascii="Times New Roman" w:eastAsia="Gulim" w:hAnsi="Times New Roman"/>
          <w:sz w:val="28"/>
          <w:szCs w:val="28"/>
        </w:rPr>
        <w:t xml:space="preserve">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F45BF">
        <w:rPr>
          <w:rFonts w:ascii="Times New Roman" w:eastAsia="Gulim" w:hAnsi="Times New Roman"/>
          <w:sz w:val="28"/>
          <w:szCs w:val="28"/>
        </w:rPr>
        <w:t xml:space="preserve">avec </w:t>
      </w:r>
      <w:r w:rsidR="0094029D">
        <w:rPr>
          <w:rFonts w:ascii="Times New Roman" w:eastAsia="Gulim" w:hAnsi="Times New Roman"/>
          <w:sz w:val="28"/>
          <w:szCs w:val="28"/>
        </w:rPr>
        <w:t>0,4</w:t>
      </w:r>
      <w:r w:rsidR="00201F95">
        <w:rPr>
          <w:rFonts w:ascii="Times New Roman" w:eastAsia="Gulim" w:hAnsi="Times New Roman"/>
          <w:sz w:val="28"/>
          <w:szCs w:val="28"/>
        </w:rPr>
        <w:t xml:space="preserve">%, </w:t>
      </w:r>
      <w:r w:rsidR="00151FAC">
        <w:rPr>
          <w:rFonts w:ascii="Times New Roman" w:eastAsia="Gulim" w:hAnsi="Times New Roman"/>
          <w:sz w:val="28"/>
          <w:szCs w:val="28"/>
        </w:rPr>
        <w:t xml:space="preserve">le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 xml:space="preserve">Transport </w:t>
      </w:r>
      <w:r w:rsidR="0094029D">
        <w:rPr>
          <w:rFonts w:ascii="Times New Roman" w:eastAsia="Gulim" w:hAnsi="Times New Roman"/>
          <w:sz w:val="28"/>
          <w:szCs w:val="28"/>
        </w:rPr>
        <w:t xml:space="preserve">aérien </w:t>
      </w:r>
      <w:r w:rsidR="0020122D">
        <w:rPr>
          <w:rFonts w:ascii="Times New Roman" w:eastAsia="Gulim" w:hAnsi="Times New Roman"/>
          <w:sz w:val="28"/>
          <w:szCs w:val="28"/>
        </w:rPr>
        <w:t>de Passagers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94029D">
        <w:rPr>
          <w:rFonts w:ascii="Times New Roman" w:eastAsia="Gulim" w:hAnsi="Times New Roman"/>
          <w:sz w:val="28"/>
          <w:szCs w:val="28"/>
        </w:rPr>
        <w:t>6,9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201F95">
        <w:rPr>
          <w:rFonts w:ascii="Times New Roman" w:eastAsia="Gulim" w:hAnsi="Times New Roman"/>
          <w:sz w:val="28"/>
          <w:szCs w:val="28"/>
        </w:rPr>
        <w:t xml:space="preserve"> et l</w:t>
      </w:r>
      <w:r w:rsidR="00707FE3">
        <w:rPr>
          <w:rFonts w:ascii="Times New Roman" w:eastAsia="Gulim" w:hAnsi="Times New Roman"/>
          <w:sz w:val="28"/>
          <w:szCs w:val="28"/>
        </w:rPr>
        <w:t xml:space="preserve">es </w:t>
      </w:r>
      <w:r w:rsidR="00707FE3" w:rsidRPr="009C0D33">
        <w:rPr>
          <w:rFonts w:ascii="Times New Roman" w:eastAsia="Gulim" w:hAnsi="Times New Roman"/>
          <w:sz w:val="28"/>
          <w:szCs w:val="28"/>
        </w:rPr>
        <w:t>‘‘</w:t>
      </w:r>
      <w:r w:rsidR="0094029D">
        <w:rPr>
          <w:rFonts w:ascii="Times New Roman" w:eastAsia="Gulim" w:hAnsi="Times New Roman"/>
          <w:sz w:val="28"/>
          <w:szCs w:val="28"/>
        </w:rPr>
        <w:t>Voitures automobiles</w:t>
      </w:r>
      <w:r w:rsidR="00707FE3" w:rsidRPr="00391850">
        <w:rPr>
          <w:rFonts w:ascii="Times New Roman" w:eastAsia="Gulim" w:hAnsi="Times New Roman"/>
          <w:sz w:val="28"/>
          <w:szCs w:val="28"/>
        </w:rPr>
        <w:t>’’</w:t>
      </w:r>
      <w:r w:rsidR="00707FE3">
        <w:rPr>
          <w:rFonts w:ascii="Times New Roman" w:eastAsia="Gulim" w:hAnsi="Times New Roman"/>
          <w:sz w:val="28"/>
          <w:szCs w:val="28"/>
        </w:rPr>
        <w:t xml:space="preserve"> </w:t>
      </w:r>
      <w:r w:rsidR="00B93C3B">
        <w:rPr>
          <w:rFonts w:ascii="Times New Roman" w:eastAsia="Gulim" w:hAnsi="Times New Roman"/>
          <w:sz w:val="28"/>
          <w:szCs w:val="28"/>
        </w:rPr>
        <w:t>avec</w:t>
      </w:r>
      <w:r w:rsidR="00707FE3">
        <w:rPr>
          <w:rFonts w:ascii="Times New Roman" w:eastAsia="Gulim" w:hAnsi="Times New Roman"/>
          <w:sz w:val="28"/>
          <w:szCs w:val="28"/>
        </w:rPr>
        <w:t xml:space="preserve"> </w:t>
      </w:r>
      <w:r w:rsidR="0094029D">
        <w:rPr>
          <w:rFonts w:ascii="Times New Roman" w:eastAsia="Gulim" w:hAnsi="Times New Roman"/>
          <w:sz w:val="28"/>
          <w:szCs w:val="28"/>
        </w:rPr>
        <w:t>2,1</w:t>
      </w:r>
      <w:r w:rsidR="00707FE3">
        <w:rPr>
          <w:rFonts w:ascii="Times New Roman" w:eastAsia="Gulim" w:hAnsi="Times New Roman"/>
          <w:sz w:val="28"/>
          <w:szCs w:val="28"/>
        </w:rPr>
        <w:t xml:space="preserve">% </w:t>
      </w:r>
      <w:r w:rsidR="007214CB">
        <w:rPr>
          <w:rFonts w:ascii="Times New Roman" w:eastAsia="Gulim" w:hAnsi="Times New Roman"/>
          <w:sz w:val="28"/>
          <w:szCs w:val="28"/>
        </w:rPr>
        <w:t xml:space="preserve">contre </w:t>
      </w:r>
      <w:r w:rsidR="00707FE3">
        <w:rPr>
          <w:rFonts w:ascii="Times New Roman" w:eastAsia="Gulim" w:hAnsi="Times New Roman"/>
          <w:sz w:val="28"/>
          <w:szCs w:val="28"/>
        </w:rPr>
        <w:t xml:space="preserve">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14:paraId="499C9749" w14:textId="780DB9B4" w:rsidR="00864B65" w:rsidRDefault="0094029D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19A31D1" wp14:editId="115180FA">
            <wp:extent cx="5686425" cy="2381250"/>
            <wp:effectExtent l="0" t="0" r="9525" b="0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29C418A8" w:rsidR="00CB4CB9" w:rsidRPr="00956A42" w:rsidRDefault="00B93C3B" w:rsidP="004A3BE0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2D651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Ao</w:t>
      </w:r>
      <w:r w:rsidR="004A3BE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û</w:t>
      </w:r>
      <w:r w:rsidR="002D651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t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26796B2A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516A31E3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CB4CB9" w:rsidRPr="004E0DA4" w14:paraId="6524C1CF" w14:textId="77777777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1B10E916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7208BDBC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72CAC360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5463C131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67B61BEB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11F76439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5059E71A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5ACC9601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2403BD65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75A38026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3E858337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1C781F34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23079F50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4751C8DC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76777ABA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279377E4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-3,1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60AC3A63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5F6B22BE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4A48DBE1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2C20C6B7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68282080" w:rsidR="00CB4CB9" w:rsidRPr="004E0DA4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00741F58" w:rsidR="00CB4CB9" w:rsidRPr="004E0DA4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6673BF91" w:rsidR="00CB4CB9" w:rsidRPr="005E0AD7" w:rsidRDefault="00C129F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01E323AD" w:rsidR="00CB4CB9" w:rsidRPr="005E0AD7" w:rsidRDefault="0018260C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</w:tbl>
    <w:p w14:paraId="608BF836" w14:textId="75C583A3" w:rsidR="00F1588E" w:rsidRDefault="00D615DD" w:rsidP="00E54AE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0,3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25418DCE" w:rsidR="00E3722B" w:rsidRDefault="00D615DD" w:rsidP="00E54AE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sz w:val="28"/>
          <w:szCs w:val="28"/>
        </w:rPr>
        <w:t>0,</w:t>
      </w:r>
      <w:r w:rsidR="00E54AE3">
        <w:rPr>
          <w:rFonts w:ascii="Times New Roman" w:eastAsia="Gulim" w:hAnsi="Times New Roman"/>
          <w:sz w:val="28"/>
          <w:szCs w:val="28"/>
        </w:rPr>
        <w:t>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E54AE3">
        <w:rPr>
          <w:rFonts w:ascii="Times New Roman" w:eastAsia="Gulim" w:hAnsi="Times New Roman"/>
          <w:sz w:val="28"/>
          <w:szCs w:val="28"/>
        </w:rPr>
        <w:t>0,1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C608D6">
        <w:rPr>
          <w:rFonts w:ascii="Times New Roman" w:eastAsia="Gulim" w:hAnsi="Times New Roman"/>
          <w:sz w:val="28"/>
          <w:szCs w:val="28"/>
        </w:rPr>
        <w:t>4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14:paraId="75A00BB4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5902E570" w:rsidR="003442C0" w:rsidRDefault="00E54AE3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F28E6A2" wp14:editId="4D8EB36B">
            <wp:extent cx="5419725" cy="2743200"/>
            <wp:effectExtent l="0" t="0" r="9525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56C6ED3B" w14:textId="0B60B169" w:rsidR="002E54E2" w:rsidRDefault="002E54E2" w:rsidP="00E54AE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0,</w:t>
      </w:r>
      <w:r w:rsidR="00BD2098">
        <w:rPr>
          <w:rFonts w:ascii="Times New Roman" w:eastAsia="Gulim" w:hAnsi="Times New Roman"/>
          <w:b/>
          <w:bCs/>
          <w:sz w:val="28"/>
          <w:szCs w:val="28"/>
        </w:rPr>
        <w:t>4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des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huit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premiers mois 2020.</w:t>
      </w:r>
    </w:p>
    <w:p w14:paraId="2887E6AC" w14:textId="77777777" w:rsidR="002E54E2" w:rsidRDefault="002E54E2" w:rsidP="002E54E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0A92017" w14:textId="10A44DBE" w:rsidR="002E54E2" w:rsidRDefault="002E54E2" w:rsidP="00E54AE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des </w:t>
      </w:r>
      <w:r w:rsidR="00E54AE3">
        <w:rPr>
          <w:rFonts w:ascii="Times New Roman" w:eastAsia="Gulim" w:hAnsi="Times New Roman"/>
          <w:sz w:val="28"/>
          <w:szCs w:val="28"/>
        </w:rPr>
        <w:t>huit</w:t>
      </w:r>
      <w:r>
        <w:rPr>
          <w:rFonts w:ascii="Times New Roman" w:eastAsia="Gulim" w:hAnsi="Times New Roman"/>
          <w:sz w:val="28"/>
          <w:szCs w:val="28"/>
        </w:rPr>
        <w:t xml:space="preserve"> premiers mois 2020 par rapport à la même période 2019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</w:t>
      </w:r>
      <w:r w:rsidR="00BD2098">
        <w:rPr>
          <w:rFonts w:ascii="Times New Roman" w:eastAsia="Gulim" w:hAnsi="Times New Roman"/>
          <w:sz w:val="28"/>
          <w:szCs w:val="28"/>
        </w:rPr>
        <w:t>4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14:paraId="7340D065" w14:textId="10063F4C" w:rsidR="002E54E2" w:rsidRDefault="002E54E2" w:rsidP="00111084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F117AF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117AF">
        <w:rPr>
          <w:rFonts w:ascii="Times New Roman" w:eastAsia="Gulim" w:hAnsi="Times New Roman"/>
          <w:sz w:val="28"/>
          <w:szCs w:val="28"/>
        </w:rPr>
        <w:t xml:space="preserve"> (+</w:t>
      </w:r>
      <w:r w:rsidR="00BD2098">
        <w:rPr>
          <w:rFonts w:ascii="Times New Roman" w:eastAsia="Gulim" w:hAnsi="Times New Roman"/>
          <w:sz w:val="28"/>
          <w:szCs w:val="28"/>
        </w:rPr>
        <w:t>3,</w:t>
      </w:r>
      <w:r w:rsidR="00111084">
        <w:rPr>
          <w:rFonts w:ascii="Times New Roman" w:eastAsia="Gulim" w:hAnsi="Times New Roman"/>
          <w:sz w:val="28"/>
          <w:szCs w:val="28"/>
        </w:rPr>
        <w:t>0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F117AF">
        <w:rPr>
          <w:rFonts w:ascii="Times New Roman" w:eastAsia="Gulim" w:hAnsi="Times New Roman"/>
          <w:sz w:val="28"/>
          <w:szCs w:val="28"/>
        </w:rPr>
        <w:t>+1</w:t>
      </w:r>
      <w:r w:rsidR="00111084">
        <w:rPr>
          <w:rFonts w:ascii="Times New Roman" w:eastAsia="Gulim" w:hAnsi="Times New Roman"/>
          <w:sz w:val="28"/>
          <w:szCs w:val="28"/>
        </w:rPr>
        <w:t>1</w:t>
      </w:r>
      <w:r w:rsidR="00F117AF">
        <w:rPr>
          <w:rFonts w:ascii="Times New Roman" w:eastAsia="Gulim" w:hAnsi="Times New Roman"/>
          <w:sz w:val="28"/>
          <w:szCs w:val="28"/>
        </w:rPr>
        <w:t>,</w:t>
      </w:r>
      <w:r w:rsidR="00111084">
        <w:rPr>
          <w:rFonts w:ascii="Times New Roman" w:eastAsia="Gulim" w:hAnsi="Times New Roman"/>
          <w:sz w:val="28"/>
          <w:szCs w:val="28"/>
        </w:rPr>
        <w:t>0</w:t>
      </w:r>
      <w:r>
        <w:rPr>
          <w:rFonts w:ascii="Times New Roman" w:eastAsia="Gulim" w:hAnsi="Times New Roman"/>
          <w:sz w:val="28"/>
          <w:szCs w:val="28"/>
        </w:rPr>
        <w:t>%)</w:t>
      </w:r>
      <w:r w:rsidR="00C34887">
        <w:rPr>
          <w:rFonts w:ascii="Times New Roman" w:eastAsia="Gulim" w:hAnsi="Times New Roman"/>
          <w:sz w:val="28"/>
          <w:szCs w:val="28"/>
        </w:rPr>
        <w:t xml:space="preserve">, les </w:t>
      </w:r>
      <w:r w:rsidR="00C34887" w:rsidRPr="00391850">
        <w:rPr>
          <w:rFonts w:ascii="Times New Roman" w:eastAsia="Gulim" w:hAnsi="Times New Roman"/>
          <w:sz w:val="28"/>
          <w:szCs w:val="28"/>
        </w:rPr>
        <w:t>‘‘</w:t>
      </w:r>
      <w:r w:rsidR="00C34887">
        <w:rPr>
          <w:rFonts w:ascii="Times New Roman" w:eastAsia="Gulim" w:hAnsi="Times New Roman"/>
          <w:sz w:val="28"/>
          <w:szCs w:val="28"/>
        </w:rPr>
        <w:t>Pain et céréales</w:t>
      </w:r>
      <w:r w:rsidR="00C34887" w:rsidRPr="00391850">
        <w:rPr>
          <w:rFonts w:ascii="Times New Roman" w:eastAsia="Gulim" w:hAnsi="Times New Roman"/>
          <w:sz w:val="28"/>
          <w:szCs w:val="28"/>
        </w:rPr>
        <w:t>’’</w:t>
      </w:r>
      <w:r w:rsidR="00C34887">
        <w:rPr>
          <w:rFonts w:ascii="Times New Roman" w:eastAsia="Gulim" w:hAnsi="Times New Roman"/>
          <w:sz w:val="28"/>
          <w:szCs w:val="28"/>
        </w:rPr>
        <w:t xml:space="preserve"> (+1,</w:t>
      </w:r>
      <w:r w:rsidR="00BD2098">
        <w:rPr>
          <w:rFonts w:ascii="Times New Roman" w:eastAsia="Gulim" w:hAnsi="Times New Roman"/>
          <w:sz w:val="28"/>
          <w:szCs w:val="28"/>
        </w:rPr>
        <w:t>4</w:t>
      </w:r>
      <w:r w:rsidR="00C34887">
        <w:rPr>
          <w:rFonts w:ascii="Times New Roman" w:eastAsia="Gulim" w:hAnsi="Times New Roman"/>
          <w:sz w:val="28"/>
          <w:szCs w:val="28"/>
        </w:rPr>
        <w:t xml:space="preserve">%) </w:t>
      </w:r>
      <w:r>
        <w:rPr>
          <w:rFonts w:ascii="Times New Roman" w:eastAsia="Gulim" w:hAnsi="Times New Roman"/>
          <w:sz w:val="28"/>
          <w:szCs w:val="28"/>
        </w:rPr>
        <w:t xml:space="preserve">et </w:t>
      </w:r>
      <w:r w:rsidR="001E04C7">
        <w:rPr>
          <w:rFonts w:ascii="Times New Roman" w:eastAsia="Gulim" w:hAnsi="Times New Roman"/>
          <w:sz w:val="28"/>
          <w:szCs w:val="28"/>
        </w:rPr>
        <w:t xml:space="preserve">des baisses pour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Viandes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</w:t>
      </w:r>
      <w:r w:rsidR="00111084">
        <w:rPr>
          <w:rFonts w:ascii="Times New Roman" w:eastAsia="Gulim" w:hAnsi="Times New Roman"/>
          <w:sz w:val="28"/>
          <w:szCs w:val="28"/>
        </w:rPr>
        <w:t>4,0</w:t>
      </w:r>
      <w:r w:rsidR="001E04C7">
        <w:rPr>
          <w:rFonts w:ascii="Times New Roman" w:eastAsia="Gulim" w:hAnsi="Times New Roman"/>
          <w:sz w:val="28"/>
          <w:szCs w:val="28"/>
        </w:rPr>
        <w:t xml:space="preserve">) et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Poissons et Fruits de mer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(-2,</w:t>
      </w:r>
      <w:r w:rsidR="00111084">
        <w:rPr>
          <w:rFonts w:ascii="Times New Roman" w:eastAsia="Gulim" w:hAnsi="Times New Roman"/>
          <w:sz w:val="28"/>
          <w:szCs w:val="28"/>
        </w:rPr>
        <w:t>1</w:t>
      </w:r>
      <w:r w:rsidR="001E04C7">
        <w:rPr>
          <w:rFonts w:ascii="Times New Roman" w:eastAsia="Gulim" w:hAnsi="Times New Roman"/>
          <w:sz w:val="28"/>
          <w:szCs w:val="28"/>
        </w:rPr>
        <w:t>).</w:t>
      </w:r>
    </w:p>
    <w:p w14:paraId="18879BD2" w14:textId="7200B9C5" w:rsidR="002E54E2" w:rsidRDefault="002E54E2" w:rsidP="00111084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</w:t>
      </w:r>
      <w:r w:rsidR="00F117AF">
        <w:rPr>
          <w:rFonts w:ascii="Times New Roman" w:eastAsia="Gulim" w:hAnsi="Times New Roman"/>
          <w:sz w:val="28"/>
          <w:szCs w:val="28"/>
        </w:rPr>
        <w:t xml:space="preserve"> principalement pour </w:t>
      </w:r>
      <w:r>
        <w:rPr>
          <w:rFonts w:ascii="Times New Roman" w:eastAsia="Gulim" w:hAnsi="Times New Roman"/>
          <w:sz w:val="28"/>
          <w:szCs w:val="28"/>
        </w:rPr>
        <w:t>l’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de (+</w:t>
      </w:r>
      <w:r w:rsidR="00F117AF">
        <w:rPr>
          <w:rFonts w:ascii="Times New Roman" w:eastAsia="Gulim" w:hAnsi="Times New Roman"/>
          <w:sz w:val="28"/>
          <w:szCs w:val="28"/>
        </w:rPr>
        <w:t>3,8</w:t>
      </w:r>
      <w:r>
        <w:rPr>
          <w:rFonts w:ascii="Times New Roman" w:eastAsia="Gulim" w:hAnsi="Times New Roman"/>
          <w:sz w:val="28"/>
          <w:szCs w:val="28"/>
        </w:rPr>
        <w:t>%)</w:t>
      </w:r>
      <w:r w:rsidR="002C6906">
        <w:rPr>
          <w:rFonts w:ascii="Times New Roman" w:eastAsia="Gulim" w:hAnsi="Times New Roman"/>
          <w:sz w:val="28"/>
          <w:szCs w:val="28"/>
        </w:rPr>
        <w:t>, les Loyers (+1,</w:t>
      </w:r>
      <w:r w:rsidR="00111084">
        <w:rPr>
          <w:rFonts w:ascii="Times New Roman" w:eastAsia="Gulim" w:hAnsi="Times New Roman"/>
          <w:sz w:val="28"/>
          <w:szCs w:val="28"/>
        </w:rPr>
        <w:t>3</w:t>
      </w:r>
      <w:r w:rsidR="002C6906">
        <w:rPr>
          <w:rFonts w:ascii="Times New Roman" w:eastAsia="Gulim" w:hAnsi="Times New Roman"/>
          <w:sz w:val="28"/>
          <w:szCs w:val="28"/>
        </w:rPr>
        <w:t xml:space="preserve">) </w:t>
      </w:r>
      <w:r>
        <w:rPr>
          <w:rFonts w:ascii="Times New Roman" w:eastAsia="Gulim" w:hAnsi="Times New Roman"/>
          <w:sz w:val="28"/>
          <w:szCs w:val="28"/>
        </w:rPr>
        <w:t>et les Frais de</w:t>
      </w:r>
      <w:r w:rsidR="00F117AF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F117AF">
        <w:rPr>
          <w:rFonts w:ascii="Times New Roman" w:eastAsia="Gulim" w:hAnsi="Times New Roman"/>
          <w:sz w:val="28"/>
          <w:szCs w:val="28"/>
        </w:rPr>
        <w:t>assurances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F117AF">
        <w:rPr>
          <w:rFonts w:ascii="Times New Roman" w:eastAsia="Gulim" w:hAnsi="Times New Roman"/>
          <w:sz w:val="28"/>
          <w:szCs w:val="28"/>
        </w:rPr>
        <w:t>4,0</w:t>
      </w:r>
      <w:r>
        <w:rPr>
          <w:rFonts w:ascii="Times New Roman" w:eastAsia="Gulim" w:hAnsi="Times New Roman"/>
          <w:sz w:val="28"/>
          <w:szCs w:val="28"/>
        </w:rPr>
        <w:t xml:space="preserve">%) contre une baisse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de (-</w:t>
      </w:r>
      <w:r w:rsidR="002C6906">
        <w:rPr>
          <w:rFonts w:ascii="Times New Roman" w:eastAsia="Gulim" w:hAnsi="Times New Roman"/>
          <w:sz w:val="28"/>
          <w:szCs w:val="28"/>
        </w:rPr>
        <w:t>11,</w:t>
      </w:r>
      <w:r w:rsidR="00111084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>%).</w:t>
      </w:r>
    </w:p>
    <w:p w14:paraId="76D7A7EF" w14:textId="0333447A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44DEDFB3" w:rsidR="007C49D9" w:rsidRDefault="00A641E7" w:rsidP="004A3BE0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111084">
        <w:rPr>
          <w:rFonts w:ascii="Times New Roman" w:eastAsia="Gulim" w:hAnsi="Times New Roman"/>
          <w:sz w:val="28"/>
          <w:szCs w:val="28"/>
        </w:rPr>
        <w:t>d’Ao</w:t>
      </w:r>
      <w:r w:rsidR="004A3BE0">
        <w:rPr>
          <w:rFonts w:ascii="Times New Roman" w:eastAsia="Gulim" w:hAnsi="Times New Roman"/>
          <w:sz w:val="28"/>
          <w:szCs w:val="28"/>
        </w:rPr>
        <w:t>û</w:t>
      </w:r>
      <w:r w:rsidR="00111084">
        <w:rPr>
          <w:rFonts w:ascii="Times New Roman" w:eastAsia="Gulim" w:hAnsi="Times New Roman"/>
          <w:sz w:val="28"/>
          <w:szCs w:val="28"/>
        </w:rPr>
        <w:t>t</w:t>
      </w:r>
      <w:r w:rsidR="00106A4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111084">
        <w:rPr>
          <w:rFonts w:ascii="Times New Roman" w:eastAsia="Gulim" w:hAnsi="Times New Roman"/>
          <w:sz w:val="28"/>
          <w:szCs w:val="28"/>
        </w:rPr>
        <w:t>1,4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4E4762">
        <w:rPr>
          <w:rFonts w:ascii="Times New Roman" w:eastAsia="Gulim" w:hAnsi="Times New Roman"/>
          <w:sz w:val="28"/>
          <w:szCs w:val="28"/>
        </w:rPr>
        <w:t>de 0,</w:t>
      </w:r>
      <w:r w:rsidR="00111084">
        <w:rPr>
          <w:rFonts w:ascii="Times New Roman" w:eastAsia="Gulim" w:hAnsi="Times New Roman"/>
          <w:sz w:val="28"/>
          <w:szCs w:val="28"/>
        </w:rPr>
        <w:t>9</w:t>
      </w:r>
      <w:r w:rsidR="004E4762">
        <w:rPr>
          <w:rFonts w:ascii="Times New Roman" w:eastAsia="Gulim" w:hAnsi="Times New Roman"/>
          <w:sz w:val="28"/>
          <w:szCs w:val="28"/>
        </w:rPr>
        <w:t>% 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77907935" w:rsidR="00A74981" w:rsidRDefault="0084762C" w:rsidP="00D73F5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de l’IPC a été d’une tendance haussière allant de 0,</w:t>
      </w:r>
      <w:r w:rsidR="00D73F5B">
        <w:rPr>
          <w:rFonts w:ascii="Times New Roman" w:eastAsia="Gulim" w:hAnsi="Times New Roman"/>
          <w:sz w:val="28"/>
          <w:szCs w:val="28"/>
        </w:rPr>
        <w:t>6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D73F5B">
        <w:rPr>
          <w:rFonts w:ascii="Times New Roman" w:eastAsia="Gulim" w:hAnsi="Times New Roman"/>
          <w:sz w:val="28"/>
          <w:szCs w:val="28"/>
        </w:rPr>
        <w:t>Dakhla à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D73F5B">
        <w:rPr>
          <w:rFonts w:ascii="Times New Roman" w:eastAsia="Gulim" w:hAnsi="Times New Roman"/>
          <w:sz w:val="28"/>
          <w:szCs w:val="28"/>
        </w:rPr>
        <w:t>2,8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D73F5B">
        <w:rPr>
          <w:rFonts w:ascii="Times New Roman" w:eastAsia="Gulim" w:hAnsi="Times New Roman"/>
          <w:sz w:val="28"/>
          <w:szCs w:val="28"/>
        </w:rPr>
        <w:t>Béni Mellal</w:t>
      </w:r>
      <w:r>
        <w:rPr>
          <w:rFonts w:ascii="Times New Roman" w:eastAsia="Gulim" w:hAnsi="Times New Roman"/>
          <w:sz w:val="28"/>
          <w:szCs w:val="28"/>
        </w:rPr>
        <w:t>.</w:t>
      </w:r>
      <w:r w:rsidR="00A37409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7552" w14:textId="77777777" w:rsidR="00762AD5" w:rsidRDefault="00762AD5">
      <w:r>
        <w:separator/>
      </w:r>
    </w:p>
    <w:p w14:paraId="5F908E86" w14:textId="77777777" w:rsidR="00762AD5" w:rsidRDefault="00762AD5"/>
  </w:endnote>
  <w:endnote w:type="continuationSeparator" w:id="0">
    <w:p w14:paraId="0DEBA68B" w14:textId="77777777" w:rsidR="00762AD5" w:rsidRDefault="00762AD5">
      <w:r>
        <w:continuationSeparator/>
      </w:r>
    </w:p>
    <w:p w14:paraId="2460CEEE" w14:textId="77777777" w:rsidR="00762AD5" w:rsidRDefault="00762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02389ADD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D1FF5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39235CA9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D1FF5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E44E4" w14:textId="77777777" w:rsidR="00762AD5" w:rsidRDefault="00762AD5">
      <w:r>
        <w:separator/>
      </w:r>
    </w:p>
    <w:p w14:paraId="6EB5C0AF" w14:textId="77777777" w:rsidR="00762AD5" w:rsidRDefault="00762AD5"/>
  </w:footnote>
  <w:footnote w:type="continuationSeparator" w:id="0">
    <w:p w14:paraId="21E1CC41" w14:textId="77777777" w:rsidR="00762AD5" w:rsidRDefault="00762AD5">
      <w:r>
        <w:continuationSeparator/>
      </w:r>
    </w:p>
    <w:p w14:paraId="6E65A849" w14:textId="77777777" w:rsidR="00762AD5" w:rsidRDefault="00762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DB9"/>
    <w:rsid w:val="00651630"/>
    <w:rsid w:val="006517F4"/>
    <w:rsid w:val="006529B3"/>
    <w:rsid w:val="00652B47"/>
    <w:rsid w:val="00652BE9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A04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\Note\08_2020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\Note\08_2020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/>
            </a:pPr>
            <a:r>
              <a:rPr lang="en-US" sz="1200"/>
              <a:t>Entre Août 2019 et Août</a:t>
            </a:r>
            <a:r>
              <a:rPr lang="en-US" sz="1200" baseline="0"/>
              <a:t> 2020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8.541606299212598E-2"/>
          <c:w val="0.90435184585085315"/>
          <c:h val="0.88083149606299216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0.2</c:v>
                </c:pt>
                <c:pt idx="1">
                  <c:v>-0.1</c:v>
                </c:pt>
                <c:pt idx="2">
                  <c:v>-0.1</c:v>
                </c:pt>
                <c:pt idx="3">
                  <c:v>0.5</c:v>
                </c:pt>
                <c:pt idx="4">
                  <c:v>-0.1</c:v>
                </c:pt>
                <c:pt idx="5">
                  <c:v>-0.1</c:v>
                </c:pt>
                <c:pt idx="6">
                  <c:v>-0.2</c:v>
                </c:pt>
                <c:pt idx="7">
                  <c:v>0.1</c:v>
                </c:pt>
                <c:pt idx="8">
                  <c:v>0</c:v>
                </c:pt>
                <c:pt idx="9">
                  <c:v>-0.2</c:v>
                </c:pt>
                <c:pt idx="10">
                  <c:v>-0.2</c:v>
                </c:pt>
                <c:pt idx="11">
                  <c:v>-0.3</c:v>
                </c:pt>
                <c:pt idx="12">
                  <c:v>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AF4-44BC-AC7F-06B74350CF69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43678</c:v>
                </c:pt>
                <c:pt idx="1">
                  <c:v>43709</c:v>
                </c:pt>
                <c:pt idx="2">
                  <c:v>43739</c:v>
                </c:pt>
                <c:pt idx="3">
                  <c:v>43770</c:v>
                </c:pt>
                <c:pt idx="4">
                  <c:v>43800</c:v>
                </c:pt>
                <c:pt idx="5">
                  <c:v>43831</c:v>
                </c:pt>
                <c:pt idx="6">
                  <c:v>43862</c:v>
                </c:pt>
                <c:pt idx="7">
                  <c:v>43891</c:v>
                </c:pt>
                <c:pt idx="8">
                  <c:v>43922</c:v>
                </c:pt>
                <c:pt idx="9">
                  <c:v>43952</c:v>
                </c:pt>
                <c:pt idx="10">
                  <c:v>43983</c:v>
                </c:pt>
                <c:pt idx="11">
                  <c:v>44013</c:v>
                </c:pt>
                <c:pt idx="12">
                  <c:v>44044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0.4</c:v>
                </c:pt>
                <c:pt idx="1">
                  <c:v>-0.2</c:v>
                </c:pt>
                <c:pt idx="2">
                  <c:v>0.2</c:v>
                </c:pt>
                <c:pt idx="3">
                  <c:v>0.4</c:v>
                </c:pt>
                <c:pt idx="4">
                  <c:v>0</c:v>
                </c:pt>
                <c:pt idx="5">
                  <c:v>-0.2</c:v>
                </c:pt>
                <c:pt idx="6">
                  <c:v>-0.2</c:v>
                </c:pt>
                <c:pt idx="7">
                  <c:v>0.4</c:v>
                </c:pt>
                <c:pt idx="8">
                  <c:v>-0.1</c:v>
                </c:pt>
                <c:pt idx="9">
                  <c:v>-0.2</c:v>
                </c:pt>
                <c:pt idx="10">
                  <c:v>-0.3</c:v>
                </c:pt>
                <c:pt idx="11">
                  <c:v>-0.3</c:v>
                </c:pt>
                <c:pt idx="12">
                  <c:v>1.4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C3F-4BE9-8C8C-B0905BB50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56208272"/>
        <c:axId val="-1756207728"/>
      </c:lineChart>
      <c:dateAx>
        <c:axId val="-17562082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756207728"/>
        <c:crosses val="autoZero"/>
        <c:auto val="1"/>
        <c:lblOffset val="100"/>
        <c:baseTimeUnit val="months"/>
      </c:dateAx>
      <c:valAx>
        <c:axId val="-1756207728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75620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IPC: Glissement annuel </a:t>
            </a:r>
          </a:p>
          <a:p>
            <a:pPr>
              <a:defRPr/>
            </a:pPr>
            <a:r>
              <a:rPr lang="en-US" sz="1200" b="1"/>
              <a:t>en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Feuil9!$B$47</c:f>
              <c:strCache>
                <c:ptCount val="1"/>
                <c:pt idx="0">
                  <c:v>Casablanca</c:v>
                </c:pt>
              </c:strCache>
            </c:strRef>
          </c:tx>
          <c:spPr>
            <a:ln w="28575" cap="rnd">
              <a:solidFill>
                <a:schemeClr val="accent2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Feuil9!$A$48:$A$79</c:f>
              <c:numCache>
                <c:formatCode>mmm\-yy</c:formatCode>
                <c:ptCount val="3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</c:numCache>
            </c:numRef>
          </c:cat>
          <c:val>
            <c:numRef>
              <c:f>Feuil9!$B$48:$B$79</c:f>
              <c:numCache>
                <c:formatCode>General</c:formatCode>
                <c:ptCount val="32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12-4571-BA87-7051E1CE4BF2}"/>
            </c:ext>
          </c:extLst>
        </c:ser>
        <c:ser>
          <c:idx val="1"/>
          <c:order val="1"/>
          <c:tx>
            <c:strRef>
              <c:f>Feuil9!$C$47</c:f>
              <c:strCache>
                <c:ptCount val="1"/>
                <c:pt idx="0">
                  <c:v>Maroc</c:v>
                </c:pt>
              </c:strCache>
            </c:strRef>
          </c:tx>
          <c:spPr>
            <a:ln w="28575" cap="rnd">
              <a:solidFill>
                <a:schemeClr val="accent2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Feuil9!$A$48:$A$79</c:f>
              <c:numCache>
                <c:formatCode>mmm\-yy</c:formatCode>
                <c:ptCount val="3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</c:numCache>
            </c:numRef>
          </c:cat>
          <c:val>
            <c:numRef>
              <c:f>Feuil9!$C$48:$C$79</c:f>
              <c:numCache>
                <c:formatCode>General</c:formatCode>
                <c:ptCount val="32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12-4571-BA87-7051E1CE4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53314096"/>
        <c:axId val="-1753323888"/>
      </c:lineChart>
      <c:dateAx>
        <c:axId val="-175331409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753323888"/>
        <c:crosses val="autoZero"/>
        <c:auto val="1"/>
        <c:lblOffset val="100"/>
        <c:baseTimeUnit val="months"/>
      </c:dateAx>
      <c:valAx>
        <c:axId val="-175332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75331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6BC64A-CC1B-480E-AF51-DA324007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2020-10-06T08:41:00Z</dcterms:created>
  <dcterms:modified xsi:type="dcterms:W3CDTF">2020-10-06T09:35:00Z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