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F33E2B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Octobre</w:t>
            </w:r>
            <w:r w:rsidR="00A25E5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BE4170" w:rsidP="004C6C4F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C7350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4C6C4F">
        <w:rPr>
          <w:rFonts w:ascii="Times New Roman" w:eastAsia="Gulim" w:hAnsi="Times New Roman"/>
          <w:b/>
          <w:bCs/>
          <w:sz w:val="28"/>
          <w:szCs w:val="28"/>
        </w:rPr>
        <w:t>Octobre</w:t>
      </w:r>
      <w:r w:rsidR="00C361A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C7350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4C6C4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4C6C4F">
        <w:rPr>
          <w:rFonts w:ascii="Times New Roman" w:eastAsia="Gulim" w:hAnsi="Times New Roman"/>
          <w:sz w:val="28"/>
          <w:szCs w:val="28"/>
        </w:rPr>
        <w:t>0,5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BE4170">
        <w:rPr>
          <w:rFonts w:ascii="Times New Roman" w:eastAsia="Gulim" w:hAnsi="Times New Roman"/>
          <w:sz w:val="28"/>
          <w:szCs w:val="28"/>
        </w:rPr>
        <w:t>d’</w:t>
      </w:r>
      <w:r w:rsidR="004C6C4F">
        <w:rPr>
          <w:rFonts w:ascii="Times New Roman" w:eastAsia="Gulim" w:hAnsi="Times New Roman"/>
          <w:sz w:val="28"/>
          <w:szCs w:val="28"/>
        </w:rPr>
        <w:t>Octobre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4C6C4F">
        <w:rPr>
          <w:rFonts w:ascii="Times New Roman" w:eastAsia="Gulim" w:hAnsi="Times New Roman"/>
          <w:sz w:val="28"/>
          <w:szCs w:val="28"/>
        </w:rPr>
        <w:t>1,4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C7350F">
        <w:rPr>
          <w:rFonts w:ascii="Times New Roman" w:eastAsia="Gulim" w:hAnsi="Times New Roman"/>
          <w:sz w:val="28"/>
          <w:szCs w:val="28"/>
        </w:rPr>
        <w:t xml:space="preserve"> </w:t>
      </w:r>
      <w:r w:rsidR="004C6C4F">
        <w:rPr>
          <w:rFonts w:ascii="Times New Roman" w:eastAsia="Gulim" w:hAnsi="Times New Roman"/>
          <w:sz w:val="28"/>
          <w:szCs w:val="28"/>
        </w:rPr>
        <w:t xml:space="preserve">à une baisse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4C6C4F">
        <w:rPr>
          <w:rFonts w:ascii="Times New Roman" w:eastAsia="Gulim" w:hAnsi="Times New Roman"/>
          <w:sz w:val="28"/>
          <w:szCs w:val="28"/>
        </w:rPr>
        <w:t>1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93439" w:rsidRDefault="00BE4170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5F7A48" w:rsidRPr="00493439" w:rsidRDefault="005F7A48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D57C32" w:rsidRDefault="006057B3" w:rsidP="00A04F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704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79" y="21176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BE4170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FE4E6F">
        <w:rPr>
          <w:rFonts w:ascii="Times New Roman" w:eastAsia="Gulim" w:hAnsi="Times New Roman"/>
          <w:sz w:val="28"/>
          <w:szCs w:val="28"/>
        </w:rPr>
        <w:t>Septembre</w:t>
      </w:r>
      <w:r w:rsidR="00BE4170">
        <w:rPr>
          <w:rFonts w:ascii="Times New Roman" w:eastAsia="Gulim" w:hAnsi="Times New Roman"/>
          <w:sz w:val="28"/>
          <w:szCs w:val="28"/>
        </w:rPr>
        <w:t xml:space="preserve"> et </w:t>
      </w:r>
      <w:r w:rsidR="00FE4E6F">
        <w:rPr>
          <w:rFonts w:ascii="Times New Roman" w:eastAsia="Gulim" w:hAnsi="Times New Roman"/>
          <w:sz w:val="28"/>
          <w:szCs w:val="28"/>
        </w:rPr>
        <w:t>Octobre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A04F34">
        <w:rPr>
          <w:rFonts w:ascii="Times New Roman" w:eastAsia="Gulim" w:hAnsi="Times New Roman"/>
          <w:sz w:val="28"/>
          <w:szCs w:val="28"/>
        </w:rPr>
        <w:t xml:space="preserve"> les </w:t>
      </w:r>
      <w:r w:rsidR="00A04F34" w:rsidRPr="009C0D33">
        <w:rPr>
          <w:rFonts w:ascii="Times New Roman" w:eastAsia="Gulim" w:hAnsi="Times New Roman"/>
          <w:sz w:val="28"/>
          <w:szCs w:val="28"/>
        </w:rPr>
        <w:t>‘‘</w:t>
      </w:r>
      <w:r w:rsidR="00A04F34">
        <w:rPr>
          <w:rFonts w:ascii="Times New Roman" w:eastAsia="Gulim" w:hAnsi="Times New Roman"/>
          <w:sz w:val="28"/>
          <w:szCs w:val="28"/>
        </w:rPr>
        <w:t>Viandes</w:t>
      </w:r>
      <w:r w:rsidR="00A04F34" w:rsidRPr="009C0D33">
        <w:rPr>
          <w:rFonts w:ascii="Times New Roman" w:eastAsia="Gulim" w:hAnsi="Times New Roman"/>
          <w:sz w:val="28"/>
          <w:szCs w:val="28"/>
        </w:rPr>
        <w:t>’’</w:t>
      </w:r>
      <w:r w:rsidR="00A04F34">
        <w:rPr>
          <w:rFonts w:ascii="Times New Roman" w:eastAsia="Gulim" w:hAnsi="Times New Roman"/>
          <w:sz w:val="28"/>
          <w:szCs w:val="28"/>
        </w:rPr>
        <w:t xml:space="preserve"> avec 5,7%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732622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FE4E6F">
        <w:rPr>
          <w:rFonts w:ascii="Times New Roman" w:eastAsia="Gulim" w:hAnsi="Times New Roman"/>
          <w:sz w:val="28"/>
          <w:szCs w:val="28"/>
        </w:rPr>
        <w:t>4,0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 et le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FE4E6F">
        <w:rPr>
          <w:rFonts w:ascii="Times New Roman" w:eastAsia="Gulim" w:hAnsi="Times New Roman"/>
          <w:sz w:val="28"/>
          <w:szCs w:val="28"/>
        </w:rPr>
        <w:t>Lait,</w:t>
      </w:r>
      <w:r w:rsidR="00A04F34">
        <w:rPr>
          <w:rFonts w:ascii="Times New Roman" w:eastAsia="Gulim" w:hAnsi="Times New Roman"/>
          <w:sz w:val="28"/>
          <w:szCs w:val="28"/>
        </w:rPr>
        <w:t xml:space="preserve"> </w:t>
      </w:r>
      <w:r w:rsidR="00FE4E6F">
        <w:rPr>
          <w:rFonts w:ascii="Times New Roman" w:eastAsia="Gulim" w:hAnsi="Times New Roman"/>
          <w:sz w:val="28"/>
          <w:szCs w:val="28"/>
        </w:rPr>
        <w:t xml:space="preserve">Fromage et </w:t>
      </w:r>
      <w:r w:rsidR="006370AF">
        <w:rPr>
          <w:rFonts w:ascii="Times New Roman" w:eastAsia="Gulim" w:hAnsi="Times New Roman"/>
          <w:sz w:val="28"/>
          <w:szCs w:val="28"/>
        </w:rPr>
        <w:t>Œufs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6370AF">
        <w:rPr>
          <w:rFonts w:ascii="Times New Roman" w:eastAsia="Gulim" w:hAnsi="Times New Roman"/>
          <w:sz w:val="28"/>
          <w:szCs w:val="28"/>
        </w:rPr>
        <w:t>2,0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6370AF">
        <w:rPr>
          <w:rFonts w:ascii="Times New Roman" w:eastAsia="Gulim" w:hAnsi="Times New Roman"/>
          <w:sz w:val="28"/>
          <w:szCs w:val="28"/>
        </w:rPr>
        <w:t>.</w:t>
      </w:r>
    </w:p>
    <w:p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E86E9F" w:rsidRPr="001B6B04" w:rsidTr="00E86E9F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</w:t>
            </w:r>
            <w:r w:rsidR="00E86E9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</w:t>
            </w:r>
            <w:r w:rsidR="00E86E9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86E9F" w:rsidRPr="001B6B04" w:rsidTr="00E86E9F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86E9F" w:rsidRPr="008E7CC9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E86E9F" w:rsidRPr="001B6B04" w:rsidTr="00E86E9F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E86E9F" w:rsidRPr="001B6B04" w:rsidTr="00E86E9F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559" w:type="dxa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5,7</w:t>
            </w:r>
          </w:p>
        </w:tc>
      </w:tr>
      <w:tr w:rsidR="00E86E9F" w:rsidRPr="001B6B04" w:rsidTr="00E86E9F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96,1</w:t>
            </w:r>
          </w:p>
        </w:tc>
        <w:tc>
          <w:tcPr>
            <w:tcW w:w="1559" w:type="dxa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E86E9F" w:rsidRPr="001B6B04" w:rsidTr="00E86E9F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98,1</w:t>
            </w:r>
          </w:p>
        </w:tc>
        <w:tc>
          <w:tcPr>
            <w:tcW w:w="1559" w:type="dxa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E86E9F" w:rsidRPr="001B6B04" w:rsidTr="00E86E9F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92,8</w:t>
            </w:r>
          </w:p>
        </w:tc>
        <w:tc>
          <w:tcPr>
            <w:tcW w:w="1559" w:type="dxa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E86E9F" w:rsidRPr="001B6B04" w:rsidTr="00E86E9F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E86E9F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559" w:type="dxa"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6370A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-5,4</w:t>
            </w:r>
          </w:p>
        </w:tc>
      </w:tr>
      <w:tr w:rsidR="00E86E9F" w:rsidRPr="001B6B04" w:rsidTr="00E86E9F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E86E9F" w:rsidRPr="001B6B04" w:rsidTr="00E86E9F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E86E9F" w:rsidRPr="001B6B04" w:rsidTr="00E86E9F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E86E9F" w:rsidRPr="001B6B04" w:rsidTr="00E86E9F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E86E9F" w:rsidRPr="001B6B04" w:rsidTr="00E86E9F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86E9F" w:rsidRPr="008E7CC9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86E9F" w:rsidRPr="008E7CC9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:rsidTr="00E86E9F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:rsidTr="00E86E9F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86E9F" w:rsidRPr="001B6B04" w:rsidTr="00E86E9F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E86E9F" w:rsidP="00E86E9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E86E9F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86E9F" w:rsidRPr="003109A6" w:rsidRDefault="00A01DC8" w:rsidP="00E86E9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</w:tbl>
    <w:p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0E58F9" w:rsidRDefault="000E58F9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986438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Baisse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864B65" w:rsidRDefault="00267A4B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986438">
        <w:rPr>
          <w:rFonts w:ascii="Times New Roman" w:eastAsia="Gulim" w:hAnsi="Times New Roman"/>
          <w:sz w:val="28"/>
          <w:szCs w:val="28"/>
        </w:rPr>
        <w:t>baisses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86438">
        <w:rPr>
          <w:rFonts w:ascii="Times New Roman" w:eastAsia="Gulim" w:hAnsi="Times New Roman"/>
          <w:sz w:val="28"/>
          <w:szCs w:val="28"/>
        </w:rPr>
        <w:t xml:space="preserve">Septembre </w:t>
      </w:r>
      <w:r w:rsidR="0094029D">
        <w:rPr>
          <w:rFonts w:ascii="Times New Roman" w:eastAsia="Gulim" w:hAnsi="Times New Roman"/>
          <w:sz w:val="28"/>
          <w:szCs w:val="28"/>
        </w:rPr>
        <w:t xml:space="preserve">et </w:t>
      </w:r>
      <w:r w:rsidR="00986438">
        <w:rPr>
          <w:rFonts w:ascii="Times New Roman" w:eastAsia="Gulim" w:hAnsi="Times New Roman"/>
          <w:sz w:val="28"/>
          <w:szCs w:val="28"/>
        </w:rPr>
        <w:t xml:space="preserve">Octobre </w:t>
      </w:r>
      <w:r w:rsidR="00462AF2">
        <w:rPr>
          <w:rFonts w:ascii="Times New Roman" w:eastAsia="Gulim" w:hAnsi="Times New Roman"/>
          <w:sz w:val="28"/>
          <w:szCs w:val="28"/>
        </w:rPr>
        <w:t xml:space="preserve">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</w:t>
      </w:r>
      <w:r w:rsidR="00986438">
        <w:rPr>
          <w:rFonts w:ascii="Times New Roman" w:eastAsia="Gulim" w:hAnsi="Times New Roman"/>
          <w:sz w:val="28"/>
          <w:szCs w:val="28"/>
        </w:rPr>
        <w:t>1,5</w:t>
      </w:r>
      <w:r w:rsidR="00201F95">
        <w:rPr>
          <w:rFonts w:ascii="Times New Roman" w:eastAsia="Gulim" w:hAnsi="Times New Roman"/>
          <w:sz w:val="28"/>
          <w:szCs w:val="28"/>
        </w:rPr>
        <w:t xml:space="preserve">%, </w:t>
      </w:r>
      <w:r w:rsidR="00151FAC">
        <w:rPr>
          <w:rFonts w:ascii="Times New Roman" w:eastAsia="Gulim" w:hAnsi="Times New Roman"/>
          <w:sz w:val="28"/>
          <w:szCs w:val="28"/>
        </w:rPr>
        <w:t xml:space="preserve">le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 xml:space="preserve">Transport </w:t>
      </w:r>
      <w:r w:rsidR="0094029D">
        <w:rPr>
          <w:rFonts w:ascii="Times New Roman" w:eastAsia="Gulim" w:hAnsi="Times New Roman"/>
          <w:sz w:val="28"/>
          <w:szCs w:val="28"/>
        </w:rPr>
        <w:t xml:space="preserve">aérien </w:t>
      </w:r>
      <w:r w:rsidR="0020122D">
        <w:rPr>
          <w:rFonts w:ascii="Times New Roman" w:eastAsia="Gulim" w:hAnsi="Times New Roman"/>
          <w:sz w:val="28"/>
          <w:szCs w:val="28"/>
        </w:rPr>
        <w:t>de Passagers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986438">
        <w:rPr>
          <w:rFonts w:ascii="Times New Roman" w:eastAsia="Gulim" w:hAnsi="Times New Roman"/>
          <w:sz w:val="28"/>
          <w:szCs w:val="28"/>
        </w:rPr>
        <w:t>20,6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et l</w:t>
      </w:r>
      <w:r w:rsidR="00707FE3">
        <w:rPr>
          <w:rFonts w:ascii="Times New Roman" w:eastAsia="Gulim" w:hAnsi="Times New Roman"/>
          <w:sz w:val="28"/>
          <w:szCs w:val="28"/>
        </w:rPr>
        <w:t xml:space="preserve">es </w:t>
      </w:r>
      <w:r w:rsidR="00707FE3" w:rsidRPr="009C0D33">
        <w:rPr>
          <w:rFonts w:ascii="Times New Roman" w:eastAsia="Gulim" w:hAnsi="Times New Roman"/>
          <w:sz w:val="28"/>
          <w:szCs w:val="28"/>
        </w:rPr>
        <w:t>‘‘</w:t>
      </w:r>
      <w:r w:rsidR="0094029D">
        <w:rPr>
          <w:rFonts w:ascii="Times New Roman" w:eastAsia="Gulim" w:hAnsi="Times New Roman"/>
          <w:sz w:val="28"/>
          <w:szCs w:val="28"/>
        </w:rPr>
        <w:t>Voitures automobiles</w:t>
      </w:r>
      <w:r w:rsidR="00707FE3" w:rsidRPr="00391850">
        <w:rPr>
          <w:rFonts w:ascii="Times New Roman" w:eastAsia="Gulim" w:hAnsi="Times New Roman"/>
          <w:sz w:val="28"/>
          <w:szCs w:val="28"/>
        </w:rPr>
        <w:t>’’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B93C3B">
        <w:rPr>
          <w:rFonts w:ascii="Times New Roman" w:eastAsia="Gulim" w:hAnsi="Times New Roman"/>
          <w:sz w:val="28"/>
          <w:szCs w:val="28"/>
        </w:rPr>
        <w:t>avec</w:t>
      </w:r>
      <w:r w:rsidR="00055E4F">
        <w:rPr>
          <w:rFonts w:ascii="Times New Roman" w:eastAsia="Gulim" w:hAnsi="Times New Roman"/>
          <w:sz w:val="28"/>
          <w:szCs w:val="28"/>
        </w:rPr>
        <w:t xml:space="preserve"> </w:t>
      </w:r>
      <w:r w:rsidR="00986438">
        <w:rPr>
          <w:rFonts w:ascii="Times New Roman" w:eastAsia="Gulim" w:hAnsi="Times New Roman"/>
          <w:sz w:val="28"/>
          <w:szCs w:val="28"/>
        </w:rPr>
        <w:t>1</w:t>
      </w:r>
      <w:r w:rsidR="0094029D">
        <w:rPr>
          <w:rFonts w:ascii="Times New Roman" w:eastAsia="Gulim" w:hAnsi="Times New Roman"/>
          <w:sz w:val="28"/>
          <w:szCs w:val="28"/>
        </w:rPr>
        <w:t>,1</w:t>
      </w:r>
      <w:r w:rsidR="00707FE3">
        <w:rPr>
          <w:rFonts w:ascii="Times New Roman" w:eastAsia="Gulim" w:hAnsi="Times New Roman"/>
          <w:sz w:val="28"/>
          <w:szCs w:val="28"/>
        </w:rPr>
        <w:t xml:space="preserve">% </w:t>
      </w:r>
      <w:r w:rsidR="007214CB">
        <w:rPr>
          <w:rFonts w:ascii="Times New Roman" w:eastAsia="Gulim" w:hAnsi="Times New Roman"/>
          <w:sz w:val="28"/>
          <w:szCs w:val="28"/>
        </w:rPr>
        <w:t xml:space="preserve">contre </w:t>
      </w:r>
      <w:r w:rsidR="00707FE3">
        <w:rPr>
          <w:rFonts w:ascii="Times New Roman" w:eastAsia="Gulim" w:hAnsi="Times New Roman"/>
          <w:sz w:val="28"/>
          <w:szCs w:val="28"/>
        </w:rPr>
        <w:t xml:space="preserve">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:rsidR="00563D67" w:rsidRDefault="00563D67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563D67"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inline distT="0" distB="0" distL="0" distR="0">
            <wp:extent cx="5400675" cy="2200275"/>
            <wp:effectExtent l="0" t="0" r="9525" b="9525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CB4CB9" w:rsidRPr="00956A42" w:rsidRDefault="00B93C3B" w:rsidP="002D651E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EE2DA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091261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Octobre</w:t>
      </w:r>
      <w:r w:rsidR="00FA3B8A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09126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CB4CB9" w:rsidRPr="004E0DA4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735DD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</w:t>
            </w:r>
            <w:r w:rsidR="00091261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534BE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09126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CB4CB9" w:rsidRPr="004E0DA4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4E0DA4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CB4CB9" w:rsidRPr="004E0DA4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CB4CB9" w:rsidRPr="004E0DA4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-2,8</w:t>
            </w:r>
          </w:p>
        </w:tc>
      </w:tr>
      <w:tr w:rsidR="00CB4CB9" w:rsidRPr="004E0DA4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CB4CB9" w:rsidRPr="004E0DA4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152CB5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</w:tbl>
    <w:p w:rsidR="00F1588E" w:rsidRDefault="00D615DD" w:rsidP="00152CB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152CB5">
        <w:rPr>
          <w:rFonts w:ascii="Times New Roman" w:eastAsia="Gulim" w:hAnsi="Times New Roman"/>
          <w:b/>
          <w:bCs/>
          <w:sz w:val="28"/>
          <w:szCs w:val="28"/>
        </w:rPr>
        <w:t>1,2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722B" w:rsidRDefault="00D615DD" w:rsidP="00152CB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152CB5">
        <w:rPr>
          <w:rFonts w:ascii="Times New Roman" w:eastAsia="Gulim" w:hAnsi="Times New Roman"/>
          <w:sz w:val="28"/>
          <w:szCs w:val="28"/>
        </w:rPr>
        <w:t>1,2</w:t>
      </w:r>
      <w:r w:rsidRPr="00D615DD">
        <w:rPr>
          <w:rFonts w:ascii="Times New Roman" w:eastAsia="Gulim" w:hAnsi="Times New Roman"/>
          <w:sz w:val="28"/>
          <w:szCs w:val="28"/>
        </w:rPr>
        <w:t xml:space="preserve">%.Cette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091C4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091C46">
        <w:rPr>
          <w:rFonts w:ascii="Times New Roman" w:eastAsia="Gulim" w:hAnsi="Times New Roman"/>
          <w:sz w:val="28"/>
          <w:szCs w:val="28"/>
        </w:rPr>
        <w:t xml:space="preserve"> </w:t>
      </w:r>
      <w:r w:rsidR="00152CB5">
        <w:rPr>
          <w:rFonts w:ascii="Times New Roman" w:eastAsia="Gulim" w:hAnsi="Times New Roman"/>
          <w:sz w:val="28"/>
          <w:szCs w:val="28"/>
        </w:rPr>
        <w:t>2,7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6A0FB8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152CB5">
        <w:rPr>
          <w:rFonts w:ascii="Times New Roman" w:eastAsia="Gulim" w:hAnsi="Times New Roman"/>
          <w:sz w:val="28"/>
          <w:szCs w:val="28"/>
        </w:rPr>
        <w:t>3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442C0" w:rsidRDefault="001318D4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572125" cy="2952750"/>
            <wp:effectExtent l="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E54E2" w:rsidRDefault="002E54E2" w:rsidP="001318D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1318D4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des </w:t>
      </w:r>
      <w:r w:rsidR="001318D4">
        <w:rPr>
          <w:rFonts w:ascii="Times New Roman" w:eastAsia="Gulim" w:hAnsi="Times New Roman"/>
          <w:b/>
          <w:bCs/>
          <w:sz w:val="28"/>
          <w:szCs w:val="28"/>
        </w:rPr>
        <w:t>dix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premiers mois 2020.</w:t>
      </w:r>
    </w:p>
    <w:p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E54E2" w:rsidRDefault="002E54E2" w:rsidP="00A15C4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</w:t>
      </w:r>
      <w:r w:rsidR="00A15C4C">
        <w:rPr>
          <w:rFonts w:ascii="Times New Roman" w:eastAsia="Gulim" w:hAnsi="Times New Roman"/>
          <w:sz w:val="28"/>
          <w:szCs w:val="28"/>
        </w:rPr>
        <w:t>dix</w:t>
      </w:r>
      <w:r>
        <w:rPr>
          <w:rFonts w:ascii="Times New Roman" w:eastAsia="Gulim" w:hAnsi="Times New Roman"/>
          <w:sz w:val="28"/>
          <w:szCs w:val="28"/>
        </w:rPr>
        <w:t xml:space="preserve"> premiers mois 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A15C4C">
        <w:rPr>
          <w:rFonts w:ascii="Times New Roman" w:eastAsia="Gulim" w:hAnsi="Times New Roman"/>
          <w:sz w:val="28"/>
          <w:szCs w:val="28"/>
        </w:rPr>
        <w:t>5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2E54E2" w:rsidRDefault="002E54E2" w:rsidP="00AA2CE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D2098">
        <w:rPr>
          <w:rFonts w:ascii="Times New Roman" w:eastAsia="Gulim" w:hAnsi="Times New Roman"/>
          <w:sz w:val="28"/>
          <w:szCs w:val="28"/>
        </w:rPr>
        <w:t>3,</w:t>
      </w:r>
      <w:r w:rsidR="00AA2CE7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%)</w:t>
      </w:r>
      <w:r w:rsidR="00AA2CE7">
        <w:rPr>
          <w:rFonts w:ascii="Times New Roman" w:eastAsia="Gulim" w:hAnsi="Times New Roman"/>
          <w:sz w:val="28"/>
          <w:szCs w:val="28"/>
        </w:rPr>
        <w:t xml:space="preserve"> 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+1</w:t>
      </w:r>
      <w:r w:rsidR="00111084">
        <w:rPr>
          <w:rFonts w:ascii="Times New Roman" w:eastAsia="Gulim" w:hAnsi="Times New Roman"/>
          <w:sz w:val="28"/>
          <w:szCs w:val="28"/>
        </w:rPr>
        <w:t>1</w:t>
      </w:r>
      <w:r w:rsidR="00F117AF">
        <w:rPr>
          <w:rFonts w:ascii="Times New Roman" w:eastAsia="Gulim" w:hAnsi="Times New Roman"/>
          <w:sz w:val="28"/>
          <w:szCs w:val="28"/>
        </w:rPr>
        <w:t>,</w:t>
      </w:r>
      <w:r w:rsidR="00AA2CE7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>%)</w:t>
      </w:r>
      <w:r w:rsidR="00520CE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</w:t>
      </w:r>
      <w:r w:rsidR="001E04C7">
        <w:rPr>
          <w:rFonts w:ascii="Times New Roman" w:eastAsia="Gulim" w:hAnsi="Times New Roman"/>
          <w:sz w:val="28"/>
          <w:szCs w:val="28"/>
        </w:rPr>
        <w:t xml:space="preserve">des baisses pour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Viandes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3,6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1E04C7">
        <w:rPr>
          <w:rFonts w:ascii="Times New Roman" w:eastAsia="Gulim" w:hAnsi="Times New Roman"/>
          <w:sz w:val="28"/>
          <w:szCs w:val="28"/>
        </w:rPr>
        <w:t xml:space="preserve">) et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Poissons et Fruits de mer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1,5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1E04C7">
        <w:rPr>
          <w:rFonts w:ascii="Times New Roman" w:eastAsia="Gulim" w:hAnsi="Times New Roman"/>
          <w:sz w:val="28"/>
          <w:szCs w:val="28"/>
        </w:rPr>
        <w:t>).</w:t>
      </w:r>
    </w:p>
    <w:p w:rsidR="002E54E2" w:rsidRDefault="002E54E2" w:rsidP="00520CE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520CE9">
        <w:rPr>
          <w:rFonts w:ascii="Times New Roman" w:eastAsia="Gulim" w:hAnsi="Times New Roman"/>
          <w:sz w:val="28"/>
          <w:szCs w:val="28"/>
        </w:rPr>
        <w:t xml:space="preserve"> privé </w:t>
      </w:r>
      <w:r>
        <w:rPr>
          <w:rFonts w:ascii="Times New Roman" w:eastAsia="Gulim" w:hAnsi="Times New Roman"/>
          <w:sz w:val="28"/>
          <w:szCs w:val="28"/>
        </w:rPr>
        <w:t>(+</w:t>
      </w:r>
      <w:r w:rsidR="00F117AF">
        <w:rPr>
          <w:rFonts w:ascii="Times New Roman" w:eastAsia="Gulim" w:hAnsi="Times New Roman"/>
          <w:sz w:val="28"/>
          <w:szCs w:val="28"/>
        </w:rPr>
        <w:t>3,</w:t>
      </w:r>
      <w:r w:rsidR="00AA2CE7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>%)</w:t>
      </w:r>
      <w:r w:rsidR="00AA2CE7">
        <w:rPr>
          <w:rFonts w:ascii="Times New Roman" w:eastAsia="Gulim" w:hAnsi="Times New Roman"/>
          <w:sz w:val="28"/>
          <w:szCs w:val="28"/>
        </w:rPr>
        <w:t xml:space="preserve"> et</w:t>
      </w:r>
      <w:r w:rsidR="002C6906">
        <w:rPr>
          <w:rFonts w:ascii="Times New Roman" w:eastAsia="Gulim" w:hAnsi="Times New Roman"/>
          <w:sz w:val="28"/>
          <w:szCs w:val="28"/>
        </w:rPr>
        <w:t xml:space="preserve"> les Loyers (+1,</w:t>
      </w:r>
      <w:r w:rsidR="00AA2CE7">
        <w:rPr>
          <w:rFonts w:ascii="Times New Roman" w:eastAsia="Gulim" w:hAnsi="Times New Roman"/>
          <w:sz w:val="28"/>
          <w:szCs w:val="28"/>
        </w:rPr>
        <w:t>1</w:t>
      </w:r>
      <w:r w:rsidR="00520CE9">
        <w:rPr>
          <w:rFonts w:ascii="Times New Roman" w:eastAsia="Gulim" w:hAnsi="Times New Roman"/>
          <w:sz w:val="28"/>
          <w:szCs w:val="28"/>
        </w:rPr>
        <w:t>%</w:t>
      </w:r>
      <w:r w:rsidR="002C6906">
        <w:rPr>
          <w:rFonts w:ascii="Times New Roman" w:eastAsia="Gulim" w:hAnsi="Times New Roman"/>
          <w:sz w:val="28"/>
          <w:szCs w:val="28"/>
        </w:rPr>
        <w:t xml:space="preserve">) </w:t>
      </w:r>
      <w:r>
        <w:rPr>
          <w:rFonts w:ascii="Times New Roman" w:eastAsia="Gulim" w:hAnsi="Times New Roman"/>
          <w:sz w:val="28"/>
          <w:szCs w:val="28"/>
        </w:rPr>
        <w:t xml:space="preserve"> contre </w:t>
      </w:r>
      <w:r w:rsidR="00520CE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(-</w:t>
      </w:r>
      <w:r w:rsidR="00AA2CE7">
        <w:rPr>
          <w:rFonts w:ascii="Times New Roman" w:eastAsia="Gulim" w:hAnsi="Times New Roman"/>
          <w:sz w:val="28"/>
          <w:szCs w:val="28"/>
        </w:rPr>
        <w:t>12,5</w:t>
      </w:r>
      <w:r>
        <w:rPr>
          <w:rFonts w:ascii="Times New Roman" w:eastAsia="Gulim" w:hAnsi="Times New Roman"/>
          <w:sz w:val="28"/>
          <w:szCs w:val="28"/>
        </w:rPr>
        <w:t>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7C49D9" w:rsidRDefault="00A641E7" w:rsidP="00B147C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111084">
        <w:rPr>
          <w:rFonts w:ascii="Times New Roman" w:eastAsia="Gulim" w:hAnsi="Times New Roman"/>
          <w:sz w:val="28"/>
          <w:szCs w:val="28"/>
        </w:rPr>
        <w:t>d’</w:t>
      </w:r>
      <w:r w:rsidR="00B147CC">
        <w:rPr>
          <w:rFonts w:ascii="Times New Roman" w:eastAsia="Gulim" w:hAnsi="Times New Roman"/>
          <w:sz w:val="28"/>
          <w:szCs w:val="28"/>
        </w:rPr>
        <w:t xml:space="preserve">Octobre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B147C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7B245D">
        <w:rPr>
          <w:rFonts w:ascii="Times New Roman" w:eastAsia="Gulim" w:hAnsi="Times New Roman"/>
          <w:sz w:val="28"/>
          <w:szCs w:val="28"/>
        </w:rPr>
        <w:t>0,1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4E4762">
        <w:rPr>
          <w:rFonts w:ascii="Times New Roman" w:eastAsia="Gulim" w:hAnsi="Times New Roman"/>
          <w:sz w:val="28"/>
          <w:szCs w:val="28"/>
        </w:rPr>
        <w:t xml:space="preserve">de </w:t>
      </w:r>
      <w:r w:rsidR="007B245D">
        <w:rPr>
          <w:rFonts w:ascii="Times New Roman" w:eastAsia="Gulim" w:hAnsi="Times New Roman"/>
          <w:sz w:val="28"/>
          <w:szCs w:val="28"/>
        </w:rPr>
        <w:t>1,3</w:t>
      </w:r>
      <w:r w:rsidR="004E4762">
        <w:rPr>
          <w:rFonts w:ascii="Times New Roman" w:eastAsia="Gulim" w:hAnsi="Times New Roman"/>
          <w:sz w:val="28"/>
          <w:szCs w:val="28"/>
        </w:rPr>
        <w:t>%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A37409" w:rsidP="007B245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inégale allant d’une baisse de </w:t>
      </w:r>
      <w:r w:rsidR="007B245D">
        <w:rPr>
          <w:rFonts w:ascii="Times New Roman" w:eastAsia="Gulim" w:hAnsi="Times New Roman"/>
          <w:sz w:val="28"/>
          <w:szCs w:val="28"/>
        </w:rPr>
        <w:t>0,8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7B245D">
        <w:rPr>
          <w:rFonts w:ascii="Times New Roman" w:eastAsia="Gulim" w:hAnsi="Times New Roman"/>
          <w:sz w:val="28"/>
          <w:szCs w:val="28"/>
        </w:rPr>
        <w:t>Kenitra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7B245D">
        <w:rPr>
          <w:rFonts w:ascii="Times New Roman" w:eastAsia="Gulim" w:hAnsi="Times New Roman"/>
          <w:sz w:val="28"/>
          <w:szCs w:val="28"/>
        </w:rPr>
        <w:t>0,5</w:t>
      </w:r>
      <w:r>
        <w:rPr>
          <w:rFonts w:ascii="Times New Roman" w:eastAsia="Gulim" w:hAnsi="Times New Roman"/>
          <w:sz w:val="28"/>
          <w:szCs w:val="28"/>
        </w:rPr>
        <w:t>% à</w:t>
      </w:r>
      <w:r w:rsidR="006E26EC">
        <w:rPr>
          <w:rFonts w:ascii="Times New Roman" w:eastAsia="Gulim" w:hAnsi="Times New Roman"/>
          <w:sz w:val="28"/>
          <w:szCs w:val="28"/>
        </w:rPr>
        <w:t xml:space="preserve"> </w:t>
      </w:r>
      <w:r w:rsidR="007B245D">
        <w:rPr>
          <w:rFonts w:ascii="Times New Roman" w:eastAsia="Gulim" w:hAnsi="Times New Roman"/>
          <w:sz w:val="28"/>
          <w:szCs w:val="28"/>
        </w:rPr>
        <w:t>Casablanca et</w:t>
      </w:r>
      <w:r w:rsidR="006E26EC">
        <w:rPr>
          <w:rFonts w:ascii="Times New Roman" w:eastAsia="Gulim" w:hAnsi="Times New Roman"/>
          <w:sz w:val="28"/>
          <w:szCs w:val="28"/>
        </w:rPr>
        <w:t xml:space="preserve"> à</w:t>
      </w:r>
      <w:r w:rsidR="007B245D">
        <w:rPr>
          <w:rFonts w:ascii="Times New Roman" w:eastAsia="Gulim" w:hAnsi="Times New Roman"/>
          <w:sz w:val="28"/>
          <w:szCs w:val="28"/>
        </w:rPr>
        <w:t xml:space="preserve"> Marrakech</w:t>
      </w:r>
      <w:r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3D" w:rsidRDefault="00292D3D">
      <w:r>
        <w:separator/>
      </w:r>
    </w:p>
    <w:p w:rsidR="00292D3D" w:rsidRDefault="00292D3D"/>
  </w:endnote>
  <w:endnote w:type="continuationSeparator" w:id="0">
    <w:p w:rsidR="00292D3D" w:rsidRDefault="00292D3D">
      <w:r>
        <w:continuationSeparator/>
      </w:r>
    </w:p>
    <w:p w:rsidR="00292D3D" w:rsidRDefault="00292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740CD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740CD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4448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740CD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4448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3D" w:rsidRDefault="00292D3D">
      <w:r>
        <w:separator/>
      </w:r>
    </w:p>
    <w:p w:rsidR="00292D3D" w:rsidRDefault="00292D3D"/>
  </w:footnote>
  <w:footnote w:type="continuationSeparator" w:id="0">
    <w:p w:rsidR="00292D3D" w:rsidRDefault="00292D3D">
      <w:r>
        <w:continuationSeparator/>
      </w:r>
    </w:p>
    <w:p w:rsidR="00292D3D" w:rsidRDefault="00292D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C872D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3F69A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762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By3rw0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8DD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5E4F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261"/>
    <w:rsid w:val="00091C46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58F9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8D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1FAC"/>
    <w:rsid w:val="0015231A"/>
    <w:rsid w:val="00152338"/>
    <w:rsid w:val="00152600"/>
    <w:rsid w:val="00152CB5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3531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3D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CAC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C4F"/>
    <w:rsid w:val="004C6EA0"/>
    <w:rsid w:val="004C6F98"/>
    <w:rsid w:val="004C7102"/>
    <w:rsid w:val="004C7156"/>
    <w:rsid w:val="004D0052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CE9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3D67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0AF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DB9"/>
    <w:rsid w:val="00651630"/>
    <w:rsid w:val="006517F4"/>
    <w:rsid w:val="006529B3"/>
    <w:rsid w:val="00652B47"/>
    <w:rsid w:val="00652BE9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0FB8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6EC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5DDD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CD9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68E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45D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438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1DC8"/>
    <w:rsid w:val="00A02028"/>
    <w:rsid w:val="00A02729"/>
    <w:rsid w:val="00A029AD"/>
    <w:rsid w:val="00A02CB5"/>
    <w:rsid w:val="00A03647"/>
    <w:rsid w:val="00A045CF"/>
    <w:rsid w:val="00A04715"/>
    <w:rsid w:val="00A04A07"/>
    <w:rsid w:val="00A04F34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C4C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5E54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253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2CE7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47CC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1B3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1AC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50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2D2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9BD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47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48B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1B5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2DAB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3E2B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8A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9C3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4E6F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\Note\10_2020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\Note\10_2020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Oct 2019_Oct 2020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8.3922914304972576E-2"/>
          <c:w val="0.90435184585085249"/>
          <c:h val="0.77976040932626611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43739</c:v>
                </c:pt>
                <c:pt idx="1">
                  <c:v>43770</c:v>
                </c:pt>
                <c:pt idx="2">
                  <c:v>43800</c:v>
                </c:pt>
                <c:pt idx="3">
                  <c:v>43831</c:v>
                </c:pt>
                <c:pt idx="4">
                  <c:v>43862</c:v>
                </c:pt>
                <c:pt idx="5">
                  <c:v>43891</c:v>
                </c:pt>
                <c:pt idx="6">
                  <c:v>43922</c:v>
                </c:pt>
                <c:pt idx="7">
                  <c:v>43952</c:v>
                </c:pt>
                <c:pt idx="8">
                  <c:v>43983</c:v>
                </c:pt>
                <c:pt idx="9">
                  <c:v>44013</c:v>
                </c:pt>
                <c:pt idx="10">
                  <c:v>44044</c:v>
                </c:pt>
                <c:pt idx="11">
                  <c:v>44075</c:v>
                </c:pt>
                <c:pt idx="12">
                  <c:v>44105</c:v>
                </c:pt>
              </c:numCache>
            </c:numRef>
          </c:cat>
          <c:val>
            <c:numRef>
              <c:f>Feuil7!$B$44:$B$56</c:f>
              <c:numCache>
                <c:formatCode>General</c:formatCode>
                <c:ptCount val="13"/>
                <c:pt idx="0">
                  <c:v>-0.1</c:v>
                </c:pt>
                <c:pt idx="1">
                  <c:v>0.5</c:v>
                </c:pt>
                <c:pt idx="2">
                  <c:v>-0.1</c:v>
                </c:pt>
                <c:pt idx="3">
                  <c:v>-0.1</c:v>
                </c:pt>
                <c:pt idx="4">
                  <c:v>-0.2</c:v>
                </c:pt>
                <c:pt idx="5">
                  <c:v>0.1</c:v>
                </c:pt>
                <c:pt idx="6">
                  <c:v>0</c:v>
                </c:pt>
                <c:pt idx="7">
                  <c:v>-0.2</c:v>
                </c:pt>
                <c:pt idx="8">
                  <c:v>-0.2</c:v>
                </c:pt>
                <c:pt idx="9">
                  <c:v>-0.3</c:v>
                </c:pt>
                <c:pt idx="10">
                  <c:v>1</c:v>
                </c:pt>
                <c:pt idx="11">
                  <c:v>0.2</c:v>
                </c:pt>
                <c:pt idx="12">
                  <c:v>0.5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AF4-44BC-AC7F-06B74350CF69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43739</c:v>
                </c:pt>
                <c:pt idx="1">
                  <c:v>43770</c:v>
                </c:pt>
                <c:pt idx="2">
                  <c:v>43800</c:v>
                </c:pt>
                <c:pt idx="3">
                  <c:v>43831</c:v>
                </c:pt>
                <c:pt idx="4">
                  <c:v>43862</c:v>
                </c:pt>
                <c:pt idx="5">
                  <c:v>43891</c:v>
                </c:pt>
                <c:pt idx="6">
                  <c:v>43922</c:v>
                </c:pt>
                <c:pt idx="7">
                  <c:v>43952</c:v>
                </c:pt>
                <c:pt idx="8">
                  <c:v>43983</c:v>
                </c:pt>
                <c:pt idx="9">
                  <c:v>44013</c:v>
                </c:pt>
                <c:pt idx="10">
                  <c:v>44044</c:v>
                </c:pt>
                <c:pt idx="11">
                  <c:v>44075</c:v>
                </c:pt>
                <c:pt idx="12">
                  <c:v>44105</c:v>
                </c:pt>
              </c:numCache>
            </c:numRef>
          </c:cat>
          <c:val>
            <c:numRef>
              <c:f>Feuil7!$C$44:$C$56</c:f>
              <c:numCache>
                <c:formatCode>General</c:formatCode>
                <c:ptCount val="13"/>
                <c:pt idx="0">
                  <c:v>0.2</c:v>
                </c:pt>
                <c:pt idx="1">
                  <c:v>0.4</c:v>
                </c:pt>
                <c:pt idx="2">
                  <c:v>0</c:v>
                </c:pt>
                <c:pt idx="3">
                  <c:v>-0.2</c:v>
                </c:pt>
                <c:pt idx="4">
                  <c:v>-0.2</c:v>
                </c:pt>
                <c:pt idx="5">
                  <c:v>0.4</c:v>
                </c:pt>
                <c:pt idx="6">
                  <c:v>-0.1</c:v>
                </c:pt>
                <c:pt idx="7">
                  <c:v>-0.2</c:v>
                </c:pt>
                <c:pt idx="8">
                  <c:v>-0.3</c:v>
                </c:pt>
                <c:pt idx="9">
                  <c:v>-0.3</c:v>
                </c:pt>
                <c:pt idx="10">
                  <c:v>1.4</c:v>
                </c:pt>
                <c:pt idx="11">
                  <c:v>0.3</c:v>
                </c:pt>
                <c:pt idx="12">
                  <c:v>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4C3F-4BE9-8C8C-B0905BB50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865138992"/>
        <c:axId val="-1865140080"/>
      </c:lineChart>
      <c:dateAx>
        <c:axId val="-18651389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865140080"/>
        <c:crosses val="autoZero"/>
        <c:auto val="1"/>
        <c:lblOffset val="100"/>
        <c:baseTimeUnit val="months"/>
      </c:dateAx>
      <c:valAx>
        <c:axId val="-1865140080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86513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annuel </a:t>
            </a:r>
            <a:endParaRPr lang="fr-FR" sz="1200"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en %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Feuil9!$A$59:$A$92</c:f>
              <c:numCache>
                <c:formatCode>mmm\-yy</c:formatCode>
                <c:ptCount val="3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</c:numCache>
            </c:numRef>
          </c:cat>
          <c:val>
            <c:numRef>
              <c:f>Feuil9!$B$59:$B$92</c:f>
              <c:numCache>
                <c:formatCode>General</c:formatCode>
                <c:ptCount val="34"/>
                <c:pt idx="0">
                  <c:v>1.8072289156626618</c:v>
                </c:pt>
                <c:pt idx="1">
                  <c:v>1.0010010010010011</c:v>
                </c:pt>
                <c:pt idx="2">
                  <c:v>1.4070351758794026</c:v>
                </c:pt>
                <c:pt idx="3">
                  <c:v>1.9133937562940637</c:v>
                </c:pt>
                <c:pt idx="4">
                  <c:v>2.409638554216873</c:v>
                </c:pt>
                <c:pt idx="5">
                  <c:v>2.0958083832335266</c:v>
                </c:pt>
                <c:pt idx="6">
                  <c:v>2.0100502512562808</c:v>
                </c:pt>
                <c:pt idx="7">
                  <c:v>1.6032064128256598</c:v>
                </c:pt>
                <c:pt idx="8">
                  <c:v>1.4910536779324055</c:v>
                </c:pt>
                <c:pt idx="9">
                  <c:v>1.8962075848303312</c:v>
                </c:pt>
                <c:pt idx="10">
                  <c:v>1.984126984126984</c:v>
                </c:pt>
                <c:pt idx="11">
                  <c:v>0.89108910891089688</c:v>
                </c:pt>
                <c:pt idx="12">
                  <c:v>-9.8619329388568586E-2</c:v>
                </c:pt>
                <c:pt idx="13">
                  <c:v>0.39643211100098263</c:v>
                </c:pt>
                <c:pt idx="14">
                  <c:v>0.19821605550048435</c:v>
                </c:pt>
                <c:pt idx="15">
                  <c:v>9.8814229249006263E-2</c:v>
                </c:pt>
                <c:pt idx="16">
                  <c:v>0.49019607843137253</c:v>
                </c:pt>
                <c:pt idx="17">
                  <c:v>0.39100684261975144</c:v>
                </c:pt>
                <c:pt idx="18">
                  <c:v>0.68965517241379615</c:v>
                </c:pt>
                <c:pt idx="19">
                  <c:v>0.98619329388560151</c:v>
                </c:pt>
                <c:pt idx="20">
                  <c:v>0.19588638589618304</c:v>
                </c:pt>
                <c:pt idx="21">
                  <c:v>9.7943192948098487E-2</c:v>
                </c:pt>
                <c:pt idx="22">
                  <c:v>-9.7276264591434181E-2</c:v>
                </c:pt>
                <c:pt idx="23">
                  <c:v>0.68694798822373782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1.2858555885262233</c:v>
                </c:pt>
                <c:pt idx="27">
                  <c:v>1.0858835143139278</c:v>
                </c:pt>
                <c:pt idx="28">
                  <c:v>-0.29268292682926561</c:v>
                </c:pt>
                <c:pt idx="29">
                  <c:v>-0.6815968841285327</c:v>
                </c:pt>
                <c:pt idx="30">
                  <c:v>-0.48923679060665365</c:v>
                </c:pt>
                <c:pt idx="31">
                  <c:v>0.29296874999999734</c:v>
                </c:pt>
                <c:pt idx="32">
                  <c:v>0.58651026392962702</c:v>
                </c:pt>
                <c:pt idx="33">
                  <c:v>1.1741682974559711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FED-4C76-A0F0-3B4558FA2554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Feuil9!$A$59:$A$92</c:f>
              <c:numCache>
                <c:formatCode>mmm\-yy</c:formatCode>
                <c:ptCount val="3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</c:numCache>
            </c:numRef>
          </c:cat>
          <c:val>
            <c:numRef>
              <c:f>Feuil9!$C$59:$C$92</c:f>
              <c:numCache>
                <c:formatCode>General</c:formatCode>
                <c:ptCount val="34"/>
                <c:pt idx="0">
                  <c:v>2.0120724346076448</c:v>
                </c:pt>
                <c:pt idx="1">
                  <c:v>1.4070351758794026</c:v>
                </c:pt>
                <c:pt idx="2">
                  <c:v>1.711983887210476</c:v>
                </c:pt>
                <c:pt idx="3">
                  <c:v>2.2155085599194391</c:v>
                </c:pt>
                <c:pt idx="4">
                  <c:v>2.4072216649949771</c:v>
                </c:pt>
                <c:pt idx="5">
                  <c:v>2.4000000000000057</c:v>
                </c:pt>
                <c:pt idx="6">
                  <c:v>1.9095477386934727</c:v>
                </c:pt>
                <c:pt idx="7">
                  <c:v>1.6032064128256598</c:v>
                </c:pt>
                <c:pt idx="8">
                  <c:v>1.1928429423459277</c:v>
                </c:pt>
                <c:pt idx="9">
                  <c:v>1.094527363184074</c:v>
                </c:pt>
                <c:pt idx="10">
                  <c:v>1.0891089108910836</c:v>
                </c:pt>
                <c:pt idx="11">
                  <c:v>0.19762845849802657</c:v>
                </c:pt>
                <c:pt idx="12">
                  <c:v>-0.49309664694280086</c:v>
                </c:pt>
                <c:pt idx="13">
                  <c:v>0</c:v>
                </c:pt>
                <c:pt idx="14">
                  <c:v>-9.9009900990093436E-2</c:v>
                </c:pt>
                <c:pt idx="15">
                  <c:v>0</c:v>
                </c:pt>
                <c:pt idx="16">
                  <c:v>0.29382957884428157</c:v>
                </c:pt>
                <c:pt idx="17">
                  <c:v>0.19531249999998893</c:v>
                </c:pt>
                <c:pt idx="18">
                  <c:v>0.29585798816567777</c:v>
                </c:pt>
                <c:pt idx="19">
                  <c:v>0.69033530571990986</c:v>
                </c:pt>
                <c:pt idx="20">
                  <c:v>9.8231827111992714E-2</c:v>
                </c:pt>
                <c:pt idx="21">
                  <c:v>0.49212598425196857</c:v>
                </c:pt>
                <c:pt idx="22">
                  <c:v>0.39177277179236608</c:v>
                </c:pt>
                <c:pt idx="23">
                  <c:v>1.084812623274156</c:v>
                </c:pt>
                <c:pt idx="24">
                  <c:v>1.3875123885034599</c:v>
                </c:pt>
                <c:pt idx="25">
                  <c:v>1.1892963330029618</c:v>
                </c:pt>
                <c:pt idx="26">
                  <c:v>1.5857284440039585</c:v>
                </c:pt>
                <c:pt idx="27">
                  <c:v>0.88669950738916836</c:v>
                </c:pt>
                <c:pt idx="28">
                  <c:v>-0.1953125000000028</c:v>
                </c:pt>
                <c:pt idx="29">
                  <c:v>-0.68226120857698713</c:v>
                </c:pt>
                <c:pt idx="30">
                  <c:v>-9.8328416912496122E-2</c:v>
                </c:pt>
                <c:pt idx="31">
                  <c:v>0.88148873653281679</c:v>
                </c:pt>
                <c:pt idx="32">
                  <c:v>1.3738959764474892</c:v>
                </c:pt>
                <c:pt idx="33">
                  <c:v>1.2732615083251824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FED-4C76-A0F0-3B4558FA2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865137904"/>
        <c:axId val="-1865130832"/>
      </c:lineChart>
      <c:dateAx>
        <c:axId val="-18651379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865130832"/>
        <c:crosses val="autoZero"/>
        <c:auto val="1"/>
        <c:lblOffset val="100"/>
        <c:baseTimeUnit val="months"/>
      </c:dateAx>
      <c:valAx>
        <c:axId val="-186513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86513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55D35B-61F9-4699-AC1F-980466AE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2021-01-06T16:07:00Z</dcterms:created>
  <dcterms:modified xsi:type="dcterms:W3CDTF">2021-01-06T16:07:00Z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