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196E3865" w:rsidR="00693096" w:rsidRPr="00287695" w:rsidRDefault="007471B4" w:rsidP="008415F0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Avril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8415F0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1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77929513" w:rsidR="002D2180" w:rsidRPr="00D3493A" w:rsidRDefault="0067283B" w:rsidP="007E2C3D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7E2C3D">
        <w:rPr>
          <w:rFonts w:ascii="Times New Roman" w:eastAsia="Gulim" w:hAnsi="Times New Roman"/>
          <w:b/>
          <w:bCs/>
          <w:sz w:val="28"/>
          <w:szCs w:val="28"/>
        </w:rPr>
        <w:t>Avril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8415F0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6477033C" w:rsidR="002D2180" w:rsidRDefault="002D2180" w:rsidP="009D11B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9D11B1">
        <w:rPr>
          <w:rFonts w:ascii="Times New Roman" w:eastAsia="Gulim" w:hAnsi="Times New Roman"/>
          <w:sz w:val="28"/>
          <w:szCs w:val="28"/>
        </w:rPr>
        <w:t>hausse de 1,1%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9D11B1">
        <w:rPr>
          <w:rFonts w:ascii="Times New Roman" w:eastAsia="Gulim" w:hAnsi="Times New Roman"/>
          <w:sz w:val="28"/>
          <w:szCs w:val="28"/>
        </w:rPr>
        <w:t>d’Avril</w:t>
      </w:r>
      <w:r w:rsidR="00147CD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</w:t>
      </w:r>
      <w:r w:rsidR="008415F0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9D11B1">
        <w:rPr>
          <w:rFonts w:ascii="Times New Roman" w:eastAsia="Gulim" w:hAnsi="Times New Roman"/>
          <w:sz w:val="28"/>
          <w:szCs w:val="28"/>
        </w:rPr>
        <w:t>hausse</w:t>
      </w:r>
      <w:r w:rsidR="000053AB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9D11B1">
        <w:rPr>
          <w:rFonts w:ascii="Times New Roman" w:eastAsia="Gulim" w:hAnsi="Times New Roman"/>
          <w:sz w:val="28"/>
          <w:szCs w:val="28"/>
        </w:rPr>
        <w:t>2,7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147CDC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0D482B">
        <w:rPr>
          <w:rFonts w:ascii="Times New Roman" w:eastAsia="Gulim" w:hAnsi="Times New Roman"/>
          <w:sz w:val="28"/>
          <w:szCs w:val="28"/>
        </w:rPr>
        <w:t>2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43E625F" w14:textId="412226CB" w:rsidR="005F7A48" w:rsidRDefault="00841A88" w:rsidP="00B0630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0F83B310" w14:textId="6CDDA4AE" w:rsidR="00D57C32" w:rsidRDefault="00B06305" w:rsidP="00D7120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6903C845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79" y="21373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841A88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841A88">
        <w:rPr>
          <w:rFonts w:ascii="Times New Roman" w:eastAsia="Gulim" w:hAnsi="Times New Roman"/>
          <w:sz w:val="28"/>
          <w:szCs w:val="28"/>
        </w:rPr>
        <w:t>Mars</w:t>
      </w:r>
      <w:r w:rsidR="002A43D4">
        <w:rPr>
          <w:rFonts w:ascii="Times New Roman" w:eastAsia="Gulim" w:hAnsi="Times New Roman"/>
          <w:sz w:val="28"/>
          <w:szCs w:val="28"/>
        </w:rPr>
        <w:t xml:space="preserve"> et </w:t>
      </w:r>
      <w:r w:rsidR="00841A88">
        <w:rPr>
          <w:rFonts w:ascii="Times New Roman" w:eastAsia="Gulim" w:hAnsi="Times New Roman"/>
          <w:sz w:val="28"/>
          <w:szCs w:val="28"/>
        </w:rPr>
        <w:t>Avril</w:t>
      </w:r>
      <w:r w:rsidR="008415F0">
        <w:rPr>
          <w:rFonts w:ascii="Times New Roman" w:eastAsia="Gulim" w:hAnsi="Times New Roman"/>
          <w:sz w:val="28"/>
          <w:szCs w:val="28"/>
        </w:rPr>
        <w:t xml:space="preserve"> 2021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9E5B0A">
        <w:rPr>
          <w:rFonts w:ascii="Times New Roman" w:eastAsia="Gulim" w:hAnsi="Times New Roman"/>
          <w:sz w:val="28"/>
          <w:szCs w:val="28"/>
        </w:rPr>
        <w:t xml:space="preserve">les </w:t>
      </w:r>
      <w:r w:rsidR="00C4090B" w:rsidRPr="009C0D33">
        <w:rPr>
          <w:rFonts w:ascii="Times New Roman" w:eastAsia="Gulim" w:hAnsi="Times New Roman"/>
          <w:sz w:val="28"/>
          <w:szCs w:val="28"/>
        </w:rPr>
        <w:t>‘‘</w:t>
      </w:r>
      <w:r w:rsidR="00841A88">
        <w:rPr>
          <w:rFonts w:ascii="Times New Roman" w:eastAsia="Gulim" w:hAnsi="Times New Roman"/>
          <w:sz w:val="28"/>
          <w:szCs w:val="28"/>
        </w:rPr>
        <w:t>Fruits</w:t>
      </w:r>
      <w:r w:rsidR="00C4090B" w:rsidRPr="009C0D33">
        <w:rPr>
          <w:rFonts w:ascii="Times New Roman" w:eastAsia="Gulim" w:hAnsi="Times New Roman"/>
          <w:sz w:val="28"/>
          <w:szCs w:val="28"/>
        </w:rPr>
        <w:t>’’</w:t>
      </w:r>
      <w:r w:rsidR="00841A88">
        <w:rPr>
          <w:rFonts w:ascii="Times New Roman" w:eastAsia="Gulim" w:hAnsi="Times New Roman"/>
          <w:sz w:val="28"/>
          <w:szCs w:val="28"/>
        </w:rPr>
        <w:t xml:space="preserve"> avec 20,3%, les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9E5B0A">
        <w:rPr>
          <w:rFonts w:ascii="Times New Roman" w:eastAsia="Gulim" w:hAnsi="Times New Roman"/>
          <w:sz w:val="28"/>
          <w:szCs w:val="28"/>
        </w:rPr>
        <w:t>Légumes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9E5B0A">
        <w:rPr>
          <w:rFonts w:ascii="Times New Roman" w:eastAsia="Gulim" w:hAnsi="Times New Roman"/>
          <w:sz w:val="28"/>
          <w:szCs w:val="28"/>
        </w:rPr>
        <w:t xml:space="preserve"> avec </w:t>
      </w:r>
      <w:r w:rsidR="00841A88">
        <w:rPr>
          <w:rFonts w:ascii="Times New Roman" w:eastAsia="Gulim" w:hAnsi="Times New Roman"/>
          <w:sz w:val="28"/>
          <w:szCs w:val="28"/>
        </w:rPr>
        <w:t>3,8</w:t>
      </w:r>
      <w:r w:rsidR="009E5B0A">
        <w:rPr>
          <w:rFonts w:ascii="Times New Roman" w:eastAsia="Gulim" w:hAnsi="Times New Roman"/>
          <w:sz w:val="28"/>
          <w:szCs w:val="28"/>
        </w:rPr>
        <w:t xml:space="preserve">%, </w:t>
      </w:r>
      <w:r w:rsidR="00F71F0B">
        <w:rPr>
          <w:rFonts w:ascii="Times New Roman" w:eastAsia="Gulim" w:hAnsi="Times New Roman"/>
          <w:sz w:val="28"/>
          <w:szCs w:val="28"/>
        </w:rPr>
        <w:t xml:space="preserve">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140A74">
        <w:rPr>
          <w:rFonts w:ascii="Times New Roman" w:eastAsia="Gulim" w:hAnsi="Times New Roman"/>
          <w:sz w:val="28"/>
          <w:szCs w:val="28"/>
        </w:rPr>
        <w:t>Viandes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841A88">
        <w:rPr>
          <w:rFonts w:ascii="Times New Roman" w:eastAsia="Gulim" w:hAnsi="Times New Roman"/>
          <w:sz w:val="28"/>
          <w:szCs w:val="28"/>
        </w:rPr>
        <w:t>2,5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9E5B0A">
        <w:rPr>
          <w:rFonts w:ascii="Times New Roman" w:eastAsia="Gulim" w:hAnsi="Times New Roman"/>
          <w:sz w:val="28"/>
          <w:szCs w:val="28"/>
        </w:rPr>
        <w:t xml:space="preserve"> et </w:t>
      </w:r>
      <w:r w:rsidR="001172EB">
        <w:rPr>
          <w:rFonts w:ascii="Times New Roman" w:eastAsia="Gulim" w:hAnsi="Times New Roman"/>
          <w:sz w:val="28"/>
          <w:szCs w:val="28"/>
        </w:rPr>
        <w:t xml:space="preserve">les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Poissons et Fruits de mer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</w:t>
      </w:r>
      <w:r w:rsidR="00841A88">
        <w:rPr>
          <w:rFonts w:ascii="Times New Roman" w:eastAsia="Gulim" w:hAnsi="Times New Roman"/>
          <w:sz w:val="28"/>
          <w:szCs w:val="28"/>
        </w:rPr>
        <w:t>4,2</w:t>
      </w:r>
      <w:r w:rsidR="001172EB">
        <w:rPr>
          <w:rFonts w:ascii="Times New Roman" w:eastAsia="Gulim" w:hAnsi="Times New Roman"/>
          <w:sz w:val="28"/>
          <w:szCs w:val="28"/>
        </w:rPr>
        <w:t>%</w:t>
      </w:r>
      <w:r w:rsidR="00140A74">
        <w:rPr>
          <w:rFonts w:ascii="Times New Roman" w:eastAsia="Gulim" w:hAnsi="Times New Roman"/>
          <w:sz w:val="28"/>
          <w:szCs w:val="28"/>
        </w:rPr>
        <w:t xml:space="preserve">.  </w:t>
      </w:r>
      <w:bookmarkStart w:id="0" w:name="_GoBack"/>
      <w:bookmarkEnd w:id="0"/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4211FEAE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67283B" w:rsidRPr="001B6B04" w14:paraId="2126FF1D" w14:textId="77777777" w:rsidTr="0067283B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5A83A140" w14:textId="1B846100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Mars_2021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7B71B257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Avril_2021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67283B" w:rsidRPr="001B6B04" w14:paraId="02018970" w14:textId="77777777" w:rsidTr="0067283B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67283B" w:rsidRPr="008E7CC9" w:rsidRDefault="0067283B" w:rsidP="0067283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67283B" w:rsidRPr="008E7CC9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924ACA3" w14:textId="408A0EF9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2234C369" w:rsidR="0067283B" w:rsidRPr="008E7CC9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3262F563" w:rsidR="0067283B" w:rsidRPr="008E7CC9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67283B" w:rsidRPr="001B6B04" w14:paraId="5D364F85" w14:textId="77777777" w:rsidTr="0067283B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0CBD139" w14:textId="0B6D355C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67B10BD3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4B251EF0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67283B" w:rsidRPr="001B6B04" w14:paraId="6C5B7EC2" w14:textId="77777777" w:rsidTr="0067283B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53B4E054" w14:textId="77A4C829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1559" w:type="dxa"/>
            <w:vAlign w:val="center"/>
          </w:tcPr>
          <w:p w14:paraId="19B6DA7B" w14:textId="2FE35FF3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6E5A9B08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67283B" w:rsidRPr="001B6B04" w14:paraId="1CA1F63D" w14:textId="77777777" w:rsidTr="0067283B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1D983682" w14:textId="079FC083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94,6</w:t>
            </w:r>
          </w:p>
        </w:tc>
        <w:tc>
          <w:tcPr>
            <w:tcW w:w="1559" w:type="dxa"/>
            <w:vAlign w:val="center"/>
          </w:tcPr>
          <w:p w14:paraId="1B002BD9" w14:textId="28AF0144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5B086922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4,2</w:t>
            </w:r>
          </w:p>
        </w:tc>
      </w:tr>
      <w:tr w:rsidR="0067283B" w:rsidRPr="001B6B04" w14:paraId="06AE38F6" w14:textId="77777777" w:rsidTr="0067283B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2409DBAF" w14:textId="16A91F8F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1559" w:type="dxa"/>
            <w:vAlign w:val="center"/>
          </w:tcPr>
          <w:p w14:paraId="63EED3B1" w14:textId="52760ACD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64D8A4B8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67283B" w:rsidRPr="001B6B04" w14:paraId="25813806" w14:textId="77777777" w:rsidTr="0067283B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39E62CB4" w14:textId="712C6CBD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98,0</w:t>
            </w:r>
          </w:p>
        </w:tc>
        <w:tc>
          <w:tcPr>
            <w:tcW w:w="1559" w:type="dxa"/>
            <w:vAlign w:val="center"/>
          </w:tcPr>
          <w:p w14:paraId="0FCEC70D" w14:textId="0065A274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725993B6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67283B" w:rsidRPr="001B6B04" w14:paraId="3F04F2F8" w14:textId="77777777" w:rsidTr="0067283B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164847D2" w14:textId="50548CEA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559" w:type="dxa"/>
            <w:vAlign w:val="center"/>
          </w:tcPr>
          <w:p w14:paraId="7D34A147" w14:textId="37D75C1B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58485ACB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20,3</w:t>
            </w:r>
          </w:p>
        </w:tc>
      </w:tr>
      <w:tr w:rsidR="0067283B" w:rsidRPr="001B6B04" w14:paraId="350AE782" w14:textId="77777777" w:rsidTr="0067283B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5E777B37" w14:textId="56AEC965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94,3</w:t>
            </w:r>
          </w:p>
        </w:tc>
        <w:tc>
          <w:tcPr>
            <w:tcW w:w="1559" w:type="dxa"/>
            <w:vAlign w:val="center"/>
          </w:tcPr>
          <w:p w14:paraId="50DCE4A4" w14:textId="773AC9A9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16DAC10E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67283B" w:rsidRPr="001B6B04" w14:paraId="542952A6" w14:textId="77777777" w:rsidTr="0067283B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3DAF8BFE" w14:textId="0A71001C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99,3</w:t>
            </w:r>
          </w:p>
        </w:tc>
        <w:tc>
          <w:tcPr>
            <w:tcW w:w="1559" w:type="dxa"/>
            <w:vAlign w:val="center"/>
          </w:tcPr>
          <w:p w14:paraId="69718176" w14:textId="6BA1A97E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455B25E2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7283B" w:rsidRPr="001B6B04" w14:paraId="0AD3C8E0" w14:textId="77777777" w:rsidTr="0067283B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5ABB2A4" w14:textId="2C1DF289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4E173915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18ED833F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-1,3</w:t>
            </w:r>
          </w:p>
        </w:tc>
      </w:tr>
      <w:tr w:rsidR="0067283B" w:rsidRPr="001B6B04" w14:paraId="6353966C" w14:textId="77777777" w:rsidTr="0067283B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199C" w14:textId="13EE4CBC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4C555D91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01E12FE4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67283B" w:rsidRPr="001B6B04" w14:paraId="1B88FAD4" w14:textId="77777777" w:rsidTr="0067283B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67283B" w:rsidRPr="008E7CC9" w:rsidRDefault="0067283B" w:rsidP="0067283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67283B" w:rsidRPr="008E7CC9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CC2F47D" w14:textId="38028F68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10CE86E3" w:rsidR="0067283B" w:rsidRPr="008E7CC9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3C75B975" w:rsidR="0067283B" w:rsidRPr="008E7CC9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7283B" w:rsidRPr="001B6B04" w14:paraId="5A8C36EF" w14:textId="77777777" w:rsidTr="0067283B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C3AADA" w14:textId="55444AB8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1BB3199F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12B64B3C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7283B" w:rsidRPr="001B6B04" w14:paraId="1254012C" w14:textId="77777777" w:rsidTr="0067283B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B0C550" w14:textId="37F348B0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5506DF2D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0CE1947D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7283B" w:rsidRPr="001B6B04" w14:paraId="6C36C82B" w14:textId="77777777" w:rsidTr="0067283B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67283B" w:rsidRPr="003109A6" w:rsidRDefault="0067283B" w:rsidP="0067283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44A47304" w14:textId="0B386B98" w:rsidR="0067283B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54970FE4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68F682AD" w:rsidR="0067283B" w:rsidRPr="003109A6" w:rsidRDefault="0067283B" w:rsidP="0067283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2,7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393D0568" w14:textId="57B54E13" w:rsidR="00163BAD" w:rsidRDefault="00267A4B" w:rsidP="001F4695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lastRenderedPageBreak/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1F4695">
        <w:rPr>
          <w:rFonts w:ascii="Times New Roman" w:eastAsia="Gulim" w:hAnsi="Times New Roman"/>
          <w:sz w:val="28"/>
          <w:szCs w:val="28"/>
        </w:rPr>
        <w:t>Mars</w:t>
      </w:r>
      <w:r w:rsidR="00792547">
        <w:rPr>
          <w:rFonts w:ascii="Times New Roman" w:eastAsia="Gulim" w:hAnsi="Times New Roman"/>
          <w:sz w:val="28"/>
          <w:szCs w:val="28"/>
        </w:rPr>
        <w:t xml:space="preserve"> et </w:t>
      </w:r>
      <w:r w:rsidR="001F4695">
        <w:rPr>
          <w:rFonts w:ascii="Times New Roman" w:eastAsia="Gulim" w:hAnsi="Times New Roman"/>
          <w:sz w:val="28"/>
          <w:szCs w:val="28"/>
        </w:rPr>
        <w:t>Avril</w:t>
      </w:r>
      <w:r w:rsidR="005E2CA1">
        <w:rPr>
          <w:rFonts w:ascii="Times New Roman" w:eastAsia="Gulim" w:hAnsi="Times New Roman"/>
          <w:sz w:val="28"/>
          <w:szCs w:val="28"/>
        </w:rPr>
        <w:t xml:space="preserve"> </w:t>
      </w:r>
      <w:r w:rsidR="00792547">
        <w:rPr>
          <w:rFonts w:ascii="Times New Roman" w:eastAsia="Gulim" w:hAnsi="Times New Roman"/>
          <w:sz w:val="28"/>
          <w:szCs w:val="28"/>
        </w:rPr>
        <w:t>2021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792547">
        <w:rPr>
          <w:rFonts w:ascii="Times New Roman" w:eastAsia="Gulim" w:hAnsi="Times New Roman"/>
          <w:sz w:val="28"/>
          <w:szCs w:val="28"/>
        </w:rPr>
        <w:t xml:space="preserve">les </w:t>
      </w:r>
      <w:r w:rsidR="001F4695" w:rsidRPr="009C0D33">
        <w:rPr>
          <w:rFonts w:ascii="Times New Roman" w:eastAsia="Gulim" w:hAnsi="Times New Roman"/>
          <w:sz w:val="28"/>
          <w:szCs w:val="28"/>
        </w:rPr>
        <w:t>‘‘</w:t>
      </w:r>
      <w:r w:rsidR="001F4695">
        <w:rPr>
          <w:rFonts w:ascii="Times New Roman" w:eastAsia="Gulim" w:hAnsi="Times New Roman"/>
          <w:sz w:val="28"/>
          <w:szCs w:val="28"/>
        </w:rPr>
        <w:t>Articles d’habillements et chaussures</w:t>
      </w:r>
      <w:r w:rsidR="001F4695" w:rsidRPr="00391850">
        <w:rPr>
          <w:rFonts w:ascii="Times New Roman" w:eastAsia="Gulim" w:hAnsi="Times New Roman"/>
          <w:sz w:val="28"/>
          <w:szCs w:val="28"/>
        </w:rPr>
        <w:t>’’</w:t>
      </w:r>
      <w:r w:rsidR="001F4695">
        <w:rPr>
          <w:rFonts w:ascii="Times New Roman" w:eastAsia="Gulim" w:hAnsi="Times New Roman"/>
          <w:sz w:val="28"/>
          <w:szCs w:val="28"/>
        </w:rPr>
        <w:t xml:space="preserve"> avec 0,7%, le </w:t>
      </w:r>
      <w:r w:rsidR="001F4695" w:rsidRPr="009C0D33">
        <w:rPr>
          <w:rFonts w:ascii="Times New Roman" w:eastAsia="Gulim" w:hAnsi="Times New Roman"/>
          <w:sz w:val="28"/>
          <w:szCs w:val="28"/>
        </w:rPr>
        <w:t>‘‘</w:t>
      </w:r>
      <w:r w:rsidR="001F4695">
        <w:rPr>
          <w:rFonts w:ascii="Times New Roman" w:eastAsia="Gulim" w:hAnsi="Times New Roman"/>
          <w:sz w:val="28"/>
          <w:szCs w:val="28"/>
        </w:rPr>
        <w:t>Loyer</w:t>
      </w:r>
      <w:r w:rsidR="001F4695" w:rsidRPr="00391850">
        <w:rPr>
          <w:rFonts w:ascii="Times New Roman" w:eastAsia="Gulim" w:hAnsi="Times New Roman"/>
          <w:sz w:val="28"/>
          <w:szCs w:val="28"/>
        </w:rPr>
        <w:t>’’</w:t>
      </w:r>
      <w:r w:rsidR="001F4695">
        <w:rPr>
          <w:rFonts w:ascii="Times New Roman" w:eastAsia="Gulim" w:hAnsi="Times New Roman"/>
          <w:sz w:val="28"/>
          <w:szCs w:val="28"/>
        </w:rPr>
        <w:t xml:space="preserve"> avec 0,2% et le </w:t>
      </w:r>
      <w:r w:rsidR="001F4695" w:rsidRPr="009C0D33">
        <w:rPr>
          <w:rFonts w:ascii="Times New Roman" w:eastAsia="Gulim" w:hAnsi="Times New Roman"/>
          <w:sz w:val="28"/>
          <w:szCs w:val="28"/>
        </w:rPr>
        <w:t>‘‘</w:t>
      </w:r>
      <w:r w:rsidR="001F4695">
        <w:rPr>
          <w:rFonts w:ascii="Times New Roman" w:eastAsia="Gulim" w:hAnsi="Times New Roman"/>
          <w:sz w:val="28"/>
          <w:szCs w:val="28"/>
        </w:rPr>
        <w:t>Matériel de traitement de l’information</w:t>
      </w:r>
      <w:r w:rsidR="001F4695" w:rsidRPr="00391850">
        <w:rPr>
          <w:rFonts w:ascii="Times New Roman" w:eastAsia="Gulim" w:hAnsi="Times New Roman"/>
          <w:sz w:val="28"/>
          <w:szCs w:val="28"/>
        </w:rPr>
        <w:t>’’</w:t>
      </w:r>
      <w:r w:rsidR="001F4695">
        <w:rPr>
          <w:rFonts w:ascii="Times New Roman" w:eastAsia="Gulim" w:hAnsi="Times New Roman"/>
          <w:sz w:val="28"/>
          <w:szCs w:val="28"/>
        </w:rPr>
        <w:t xml:space="preserve"> avec 1,4% contre une baisse </w:t>
      </w:r>
      <w:r w:rsidR="006C7231">
        <w:rPr>
          <w:rFonts w:ascii="Times New Roman" w:eastAsia="Gulim" w:hAnsi="Times New Roman"/>
          <w:sz w:val="28"/>
          <w:szCs w:val="28"/>
        </w:rPr>
        <w:t xml:space="preserve">des prix </w:t>
      </w:r>
      <w:r w:rsidR="001F4695">
        <w:rPr>
          <w:rFonts w:ascii="Times New Roman" w:eastAsia="Gulim" w:hAnsi="Times New Roman"/>
          <w:sz w:val="28"/>
          <w:szCs w:val="28"/>
        </w:rPr>
        <w:t xml:space="preserve">des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792547">
        <w:rPr>
          <w:rFonts w:ascii="Times New Roman" w:eastAsia="Gulim" w:hAnsi="Times New Roman"/>
          <w:sz w:val="28"/>
          <w:szCs w:val="28"/>
        </w:rPr>
        <w:t>Carburants et Lubrifiants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1F4695">
        <w:rPr>
          <w:rFonts w:ascii="Times New Roman" w:eastAsia="Gulim" w:hAnsi="Times New Roman"/>
          <w:sz w:val="28"/>
          <w:szCs w:val="28"/>
        </w:rPr>
        <w:t>1,3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1F4695">
        <w:rPr>
          <w:rFonts w:ascii="Times New Roman" w:eastAsia="Gulim" w:hAnsi="Times New Roman"/>
          <w:sz w:val="28"/>
          <w:szCs w:val="28"/>
        </w:rPr>
        <w:t>.</w:t>
      </w:r>
    </w:p>
    <w:p w14:paraId="76A360F4" w14:textId="3F8BB092" w:rsidR="001F4695" w:rsidRDefault="001F4695" w:rsidP="001F4695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D01A5C8" wp14:editId="78DFAAA1">
            <wp:extent cx="5534025" cy="2581275"/>
            <wp:effectExtent l="0" t="0" r="9525" b="9525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3C94DB8F" w:rsidR="00CB4CB9" w:rsidRPr="00956A42" w:rsidRDefault="00B93C3B" w:rsidP="001F469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1F469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Avril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</w:t>
      </w:r>
      <w:r w:rsidR="00950F5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1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5E2CA1">
        <w:trPr>
          <w:trHeight w:val="53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0948DAB7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791F5D60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B4CB9" w:rsidRPr="004E0DA4" w14:paraId="6524C1CF" w14:textId="77777777" w:rsidTr="005E2CA1">
        <w:trPr>
          <w:trHeight w:val="39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7EF15E2A" w:rsidR="00CB4CB9" w:rsidRPr="004E0DA4" w:rsidRDefault="005E2CA1" w:rsidP="000D482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02D0F351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21B15284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28FEB4BC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2 ,8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39A5C25A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2915A156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2568B8F7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58915805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4253F5E2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257EAB96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18E2F93C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-0,8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5ED549AD" w:rsidR="00163BAD" w:rsidRPr="004E0DA4" w:rsidRDefault="005E2CA1" w:rsidP="00163BA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11,2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33BA72BD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3B6C4552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605B834A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12A796E4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4AEDC4BE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04E2F016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01127353" w:rsidR="00CB4CB9" w:rsidRPr="004E0DA4" w:rsidRDefault="005E2CA1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4EE7CD78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5621D93C" w:rsidR="00CB4CB9" w:rsidRPr="004E0DA4" w:rsidRDefault="005E2CA1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1,8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3B90DD21" w:rsidR="00CB4CB9" w:rsidRPr="004E0DA4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2ADC0C7B" w:rsidR="00CB4CB9" w:rsidRPr="005E0AD7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2E49EA5D" w:rsidR="00CB4CB9" w:rsidRPr="005E0AD7" w:rsidRDefault="005E2CA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</w:tbl>
    <w:p w14:paraId="608BF836" w14:textId="7D69386A" w:rsidR="00F1588E" w:rsidRDefault="00D615DD" w:rsidP="00FD650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FD6503">
        <w:rPr>
          <w:rFonts w:ascii="Times New Roman" w:eastAsia="Gulim" w:hAnsi="Times New Roman"/>
          <w:b/>
          <w:bCs/>
          <w:sz w:val="28"/>
          <w:szCs w:val="28"/>
        </w:rPr>
        <w:t>1,6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7B315903" w:rsidR="00E3722B" w:rsidRDefault="00D615DD" w:rsidP="00FD65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lastRenderedPageBreak/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FD6503">
        <w:rPr>
          <w:rFonts w:ascii="Times New Roman" w:eastAsia="Gulim" w:hAnsi="Times New Roman"/>
          <w:sz w:val="28"/>
          <w:szCs w:val="28"/>
        </w:rPr>
        <w:t>1,6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E54AE3">
        <w:rPr>
          <w:rFonts w:ascii="Times New Roman" w:eastAsia="Gulim" w:hAnsi="Times New Roman"/>
          <w:sz w:val="28"/>
          <w:szCs w:val="28"/>
        </w:rPr>
        <w:t>hausse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FD6503">
        <w:rPr>
          <w:rFonts w:ascii="Times New Roman" w:eastAsia="Gulim" w:hAnsi="Times New Roman"/>
          <w:sz w:val="28"/>
          <w:szCs w:val="28"/>
        </w:rPr>
        <w:t>2</w:t>
      </w:r>
      <w:r w:rsidR="00E5103D">
        <w:rPr>
          <w:rFonts w:ascii="Times New Roman" w:eastAsia="Gulim" w:hAnsi="Times New Roman"/>
          <w:sz w:val="28"/>
          <w:szCs w:val="28"/>
        </w:rPr>
        <w:t>,</w:t>
      </w:r>
      <w:r w:rsidR="00144A47">
        <w:rPr>
          <w:rFonts w:ascii="Times New Roman" w:eastAsia="Gulim" w:hAnsi="Times New Roman"/>
          <w:sz w:val="28"/>
          <w:szCs w:val="28"/>
        </w:rPr>
        <w:t>9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</w:t>
      </w:r>
      <w:r w:rsidR="00102ABD">
        <w:rPr>
          <w:rFonts w:ascii="Times New Roman" w:eastAsia="Gulim" w:hAnsi="Times New Roman"/>
          <w:sz w:val="28"/>
          <w:szCs w:val="28"/>
        </w:rPr>
        <w:t xml:space="preserve">non </w:t>
      </w:r>
      <w:r w:rsidRPr="00D615DD">
        <w:rPr>
          <w:rFonts w:ascii="Times New Roman" w:eastAsia="Gulim" w:hAnsi="Times New Roman"/>
          <w:sz w:val="28"/>
          <w:szCs w:val="28"/>
        </w:rPr>
        <w:t xml:space="preserve">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102ABD">
        <w:rPr>
          <w:rFonts w:ascii="Times New Roman" w:eastAsia="Gulim" w:hAnsi="Times New Roman"/>
          <w:sz w:val="28"/>
          <w:szCs w:val="28"/>
        </w:rPr>
        <w:t xml:space="preserve">la baisse de </w:t>
      </w:r>
      <w:r w:rsidR="00FD6503">
        <w:rPr>
          <w:rFonts w:ascii="Times New Roman" w:eastAsia="Gulim" w:hAnsi="Times New Roman"/>
          <w:sz w:val="28"/>
          <w:szCs w:val="28"/>
        </w:rPr>
        <w:t>0,4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alimentaires.</w:t>
      </w:r>
    </w:p>
    <w:p w14:paraId="1727D137" w14:textId="77777777" w:rsidR="00E5103D" w:rsidRDefault="00E5103D" w:rsidP="00E5103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5A00BB4" w14:textId="4B3C3DEE" w:rsidR="003442C0" w:rsidRDefault="008A6B63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120BA90" wp14:editId="2DEB33BB">
            <wp:extent cx="5400675" cy="3132455"/>
            <wp:effectExtent l="0" t="0" r="9525" b="10795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EDFD9E" w14:textId="44187213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70BA185" w14:textId="77777777" w:rsidR="0023570B" w:rsidRDefault="0023570B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6D7A7EF" w14:textId="7D61411B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71A4B29C" w:rsidR="007C49D9" w:rsidRDefault="00A641E7" w:rsidP="003C32A6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3C32A6">
        <w:rPr>
          <w:rFonts w:ascii="Times New Roman" w:eastAsia="Gulim" w:hAnsi="Times New Roman"/>
          <w:sz w:val="28"/>
          <w:szCs w:val="28"/>
        </w:rPr>
        <w:t>d’Avril</w:t>
      </w:r>
      <w:r w:rsidR="00EB100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</w:t>
      </w:r>
      <w:r w:rsidR="00EB1005">
        <w:rPr>
          <w:rFonts w:ascii="Times New Roman" w:eastAsia="Gulim" w:hAnsi="Times New Roman"/>
          <w:sz w:val="28"/>
          <w:szCs w:val="28"/>
        </w:rPr>
        <w:t>1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111084">
        <w:rPr>
          <w:rFonts w:ascii="Times New Roman" w:eastAsia="Gulim" w:hAnsi="Times New Roman"/>
          <w:sz w:val="28"/>
          <w:szCs w:val="28"/>
        </w:rPr>
        <w:t>hausse</w:t>
      </w:r>
      <w:r w:rsidR="002C0653">
        <w:rPr>
          <w:rFonts w:ascii="Times New Roman" w:eastAsia="Gulim" w:hAnsi="Times New Roman"/>
          <w:sz w:val="28"/>
          <w:szCs w:val="28"/>
        </w:rPr>
        <w:t xml:space="preserve"> de </w:t>
      </w:r>
      <w:r w:rsidR="003C32A6">
        <w:rPr>
          <w:rFonts w:ascii="Times New Roman" w:eastAsia="Gulim" w:hAnsi="Times New Roman"/>
          <w:sz w:val="28"/>
          <w:szCs w:val="28"/>
        </w:rPr>
        <w:t>1</w:t>
      </w:r>
      <w:r w:rsidR="006E483C">
        <w:rPr>
          <w:rFonts w:ascii="Times New Roman" w:eastAsia="Gulim" w:hAnsi="Times New Roman"/>
          <w:sz w:val="28"/>
          <w:szCs w:val="28"/>
        </w:rPr>
        <w:t>,</w:t>
      </w:r>
      <w:r w:rsidR="00426A7C">
        <w:rPr>
          <w:rFonts w:ascii="Times New Roman" w:eastAsia="Gulim" w:hAnsi="Times New Roman"/>
          <w:sz w:val="28"/>
          <w:szCs w:val="28"/>
        </w:rPr>
        <w:t>2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2A7B99">
        <w:rPr>
          <w:rFonts w:ascii="Times New Roman" w:eastAsia="Gulim" w:hAnsi="Times New Roman"/>
          <w:sz w:val="28"/>
          <w:szCs w:val="28"/>
        </w:rPr>
        <w:t xml:space="preserve">de </w:t>
      </w:r>
      <w:r w:rsidR="003C32A6">
        <w:rPr>
          <w:rFonts w:ascii="Times New Roman" w:eastAsia="Gulim" w:hAnsi="Times New Roman"/>
          <w:sz w:val="28"/>
          <w:szCs w:val="28"/>
        </w:rPr>
        <w:t>1,4</w:t>
      </w:r>
      <w:r w:rsidR="002A7B99">
        <w:rPr>
          <w:rFonts w:ascii="Times New Roman" w:eastAsia="Gulim" w:hAnsi="Times New Roman"/>
          <w:sz w:val="28"/>
          <w:szCs w:val="28"/>
        </w:rPr>
        <w:t xml:space="preserve">% </w:t>
      </w:r>
      <w:r w:rsidR="004E4762">
        <w:rPr>
          <w:rFonts w:ascii="Times New Roman" w:eastAsia="Gulim" w:hAnsi="Times New Roman"/>
          <w:sz w:val="28"/>
          <w:szCs w:val="28"/>
        </w:rPr>
        <w:t>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4016FC77" w:rsidR="00A74981" w:rsidRDefault="0084762C" w:rsidP="003C32A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3C32A6">
        <w:rPr>
          <w:rFonts w:ascii="Times New Roman" w:eastAsia="Gulim" w:hAnsi="Times New Roman"/>
          <w:sz w:val="28"/>
          <w:szCs w:val="28"/>
        </w:rPr>
        <w:t xml:space="preserve">d’une tendance haussière </w:t>
      </w:r>
      <w:r w:rsidR="006E483C">
        <w:rPr>
          <w:rFonts w:ascii="Times New Roman" w:eastAsia="Gulim" w:hAnsi="Times New Roman"/>
          <w:sz w:val="28"/>
          <w:szCs w:val="28"/>
        </w:rPr>
        <w:t xml:space="preserve">allant de </w:t>
      </w:r>
      <w:r w:rsidR="003C32A6">
        <w:rPr>
          <w:rFonts w:ascii="Times New Roman" w:eastAsia="Gulim" w:hAnsi="Times New Roman"/>
          <w:sz w:val="28"/>
          <w:szCs w:val="28"/>
        </w:rPr>
        <w:t>1,0</w:t>
      </w:r>
      <w:r w:rsidR="006E483C">
        <w:rPr>
          <w:rFonts w:ascii="Times New Roman" w:eastAsia="Gulim" w:hAnsi="Times New Roman"/>
          <w:sz w:val="28"/>
          <w:szCs w:val="28"/>
        </w:rPr>
        <w:t xml:space="preserve">% à </w:t>
      </w:r>
      <w:r w:rsidR="003C32A6">
        <w:rPr>
          <w:rFonts w:ascii="Times New Roman" w:eastAsia="Gulim" w:hAnsi="Times New Roman"/>
          <w:sz w:val="28"/>
          <w:szCs w:val="28"/>
        </w:rPr>
        <w:t xml:space="preserve">Marrakech et à Kenitra </w:t>
      </w:r>
      <w:r w:rsidR="006E483C">
        <w:rPr>
          <w:rFonts w:ascii="Times New Roman" w:eastAsia="Gulim" w:hAnsi="Times New Roman"/>
          <w:sz w:val="28"/>
          <w:szCs w:val="28"/>
        </w:rPr>
        <w:t xml:space="preserve">à une hausse de </w:t>
      </w:r>
      <w:r w:rsidR="003C32A6">
        <w:rPr>
          <w:rFonts w:ascii="Times New Roman" w:eastAsia="Gulim" w:hAnsi="Times New Roman"/>
          <w:sz w:val="28"/>
          <w:szCs w:val="28"/>
        </w:rPr>
        <w:t>2,6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3C32A6">
        <w:rPr>
          <w:rFonts w:ascii="Times New Roman" w:eastAsia="Gulim" w:hAnsi="Times New Roman"/>
          <w:sz w:val="28"/>
          <w:szCs w:val="28"/>
        </w:rPr>
        <w:t>Al Hoceima.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5C230" w14:textId="77777777" w:rsidR="00791ECF" w:rsidRDefault="00791ECF">
      <w:r>
        <w:separator/>
      </w:r>
    </w:p>
    <w:p w14:paraId="03C7A679" w14:textId="77777777" w:rsidR="00791ECF" w:rsidRDefault="00791ECF"/>
  </w:endnote>
  <w:endnote w:type="continuationSeparator" w:id="0">
    <w:p w14:paraId="41B3DA2F" w14:textId="77777777" w:rsidR="00791ECF" w:rsidRDefault="00791ECF">
      <w:r>
        <w:continuationSeparator/>
      </w:r>
    </w:p>
    <w:p w14:paraId="2BC617D0" w14:textId="77777777" w:rsidR="00791ECF" w:rsidRDefault="00791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1CF7F9D7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7120F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51DA150F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7120F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567D" w14:textId="77777777" w:rsidR="00791ECF" w:rsidRDefault="00791ECF">
      <w:r>
        <w:separator/>
      </w:r>
    </w:p>
    <w:p w14:paraId="7ECEB8B9" w14:textId="77777777" w:rsidR="00791ECF" w:rsidRDefault="00791ECF"/>
  </w:footnote>
  <w:footnote w:type="continuationSeparator" w:id="0">
    <w:p w14:paraId="77903CD3" w14:textId="77777777" w:rsidR="00791ECF" w:rsidRDefault="00791ECF">
      <w:r>
        <w:continuationSeparator/>
      </w:r>
    </w:p>
    <w:p w14:paraId="737A7411" w14:textId="77777777" w:rsidR="00791ECF" w:rsidRDefault="00791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A74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47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4D3F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24AD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C90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D8F"/>
    <w:rsid w:val="00842F6F"/>
    <w:rsid w:val="008430B0"/>
    <w:rsid w:val="00843598"/>
    <w:rsid w:val="00843942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38E6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5FC3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210"/>
    <w:rsid w:val="00AC6F6F"/>
    <w:rsid w:val="00AC717F"/>
    <w:rsid w:val="00AC72F6"/>
    <w:rsid w:val="00AC735C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6E9F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21\Note_04_2021\04_2021xlsx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1\Note_04_2021\04_2021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Avril 2020_Avril 2021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7212013963054867"/>
          <c:w val="0.90435184585085271"/>
          <c:h val="0.7555239174438988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43922</c:v>
                </c:pt>
                <c:pt idx="1">
                  <c:v>43952</c:v>
                </c:pt>
                <c:pt idx="2">
                  <c:v>43983</c:v>
                </c:pt>
                <c:pt idx="3">
                  <c:v>44013</c:v>
                </c:pt>
                <c:pt idx="4">
                  <c:v>44044</c:v>
                </c:pt>
                <c:pt idx="5">
                  <c:v>44075</c:v>
                </c:pt>
                <c:pt idx="6">
                  <c:v>44105</c:v>
                </c:pt>
                <c:pt idx="7">
                  <c:v>44136</c:v>
                </c:pt>
                <c:pt idx="8">
                  <c:v>44166</c:v>
                </c:pt>
                <c:pt idx="9">
                  <c:v>44197</c:v>
                </c:pt>
                <c:pt idx="10">
                  <c:v>44228</c:v>
                </c:pt>
                <c:pt idx="11">
                  <c:v>44256</c:v>
                </c:pt>
                <c:pt idx="12">
                  <c:v>44287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0</c:v>
                </c:pt>
                <c:pt idx="1">
                  <c:v>-0.2</c:v>
                </c:pt>
                <c:pt idx="2">
                  <c:v>-0.2</c:v>
                </c:pt>
                <c:pt idx="3">
                  <c:v>-0.3</c:v>
                </c:pt>
                <c:pt idx="4">
                  <c:v>1</c:v>
                </c:pt>
                <c:pt idx="5">
                  <c:v>0.2</c:v>
                </c:pt>
                <c:pt idx="6">
                  <c:v>0.5</c:v>
                </c:pt>
                <c:pt idx="7">
                  <c:v>-0.3</c:v>
                </c:pt>
                <c:pt idx="8">
                  <c:v>-0.3</c:v>
                </c:pt>
                <c:pt idx="9">
                  <c:v>0.2</c:v>
                </c:pt>
                <c:pt idx="10">
                  <c:v>-0.1</c:v>
                </c:pt>
                <c:pt idx="11">
                  <c:v>0</c:v>
                </c:pt>
                <c:pt idx="12">
                  <c:v>1.1000000000000001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922-4356-A77D-9F6CF6A56783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43922</c:v>
                </c:pt>
                <c:pt idx="1">
                  <c:v>43952</c:v>
                </c:pt>
                <c:pt idx="2">
                  <c:v>43983</c:v>
                </c:pt>
                <c:pt idx="3">
                  <c:v>44013</c:v>
                </c:pt>
                <c:pt idx="4">
                  <c:v>44044</c:v>
                </c:pt>
                <c:pt idx="5">
                  <c:v>44075</c:v>
                </c:pt>
                <c:pt idx="6">
                  <c:v>44105</c:v>
                </c:pt>
                <c:pt idx="7">
                  <c:v>44136</c:v>
                </c:pt>
                <c:pt idx="8">
                  <c:v>44166</c:v>
                </c:pt>
                <c:pt idx="9">
                  <c:v>44197</c:v>
                </c:pt>
                <c:pt idx="10">
                  <c:v>44228</c:v>
                </c:pt>
                <c:pt idx="11">
                  <c:v>44256</c:v>
                </c:pt>
                <c:pt idx="12">
                  <c:v>44287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-0.1</c:v>
                </c:pt>
                <c:pt idx="1">
                  <c:v>-0.2</c:v>
                </c:pt>
                <c:pt idx="2">
                  <c:v>-0.3</c:v>
                </c:pt>
                <c:pt idx="3">
                  <c:v>-0.3</c:v>
                </c:pt>
                <c:pt idx="4">
                  <c:v>1.4</c:v>
                </c:pt>
                <c:pt idx="5">
                  <c:v>0.3</c:v>
                </c:pt>
                <c:pt idx="6">
                  <c:v>0.1</c:v>
                </c:pt>
                <c:pt idx="7">
                  <c:v>-0.7</c:v>
                </c:pt>
                <c:pt idx="8">
                  <c:v>-0.5</c:v>
                </c:pt>
                <c:pt idx="9">
                  <c:v>0.1</c:v>
                </c:pt>
                <c:pt idx="10">
                  <c:v>0.1</c:v>
                </c:pt>
                <c:pt idx="11">
                  <c:v>0.2</c:v>
                </c:pt>
                <c:pt idx="12">
                  <c:v>1.2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922-4356-A77D-9F6CF6A567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64780464"/>
        <c:axId val="864785904"/>
      </c:lineChart>
      <c:dateAx>
        <c:axId val="86478046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64785904"/>
        <c:crosses val="autoZero"/>
        <c:auto val="1"/>
        <c:lblOffset val="100"/>
        <c:baseTimeUnit val="months"/>
      </c:dateAx>
      <c:valAx>
        <c:axId val="864785904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6478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600" b="1" i="0" u="none" strike="noStrike" kern="1200" spc="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u="none" strike="noStrike" kern="1200" baseline="0">
                <a:solidFill>
                  <a:srgbClr val="1F497D"/>
                </a:solidFill>
                <a:effectLst/>
                <a:latin typeface="+mn-lt"/>
                <a:ea typeface="+mn-ea"/>
                <a:cs typeface="+mn-cs"/>
              </a:rPr>
              <a:t>IPC: Glissement annuel</a:t>
            </a:r>
          </a:p>
        </c:rich>
      </c:tx>
      <c:layout>
        <c:manualLayout>
          <c:xMode val="edge"/>
          <c:yMode val="edge"/>
          <c:x val="0.35065966754155731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600" b="1" i="0" u="none" strike="noStrike" kern="1200" spc="0" baseline="0">
              <a:solidFill>
                <a:srgbClr val="1F497D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Feuil9!$B$58</c:f>
              <c:strCache>
                <c:ptCount val="1"/>
                <c:pt idx="0">
                  <c:v>Casablanca</c:v>
                </c:pt>
              </c:strCache>
            </c:strRef>
          </c:tx>
          <c:spPr>
            <a:ln w="28575" cap="rnd">
              <a:solidFill>
                <a:schemeClr val="accent2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Feuil9!$A$59:$A$98</c:f>
              <c:numCache>
                <c:formatCode>mmm\-yy</c:formatCode>
                <c:ptCount val="4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</c:numCache>
            </c:numRef>
          </c:cat>
          <c:val>
            <c:numRef>
              <c:f>Feuil9!$B$59:$B$98</c:f>
              <c:numCache>
                <c:formatCode>General</c:formatCode>
                <c:ptCount val="40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E9-4F39-91F5-9026CB3941CA}"/>
            </c:ext>
          </c:extLst>
        </c:ser>
        <c:ser>
          <c:idx val="1"/>
          <c:order val="1"/>
          <c:tx>
            <c:strRef>
              <c:f>Feuil9!$C$58</c:f>
              <c:strCache>
                <c:ptCount val="1"/>
                <c:pt idx="0">
                  <c:v>Maroc</c:v>
                </c:pt>
              </c:strCache>
            </c:strRef>
          </c:tx>
          <c:spPr>
            <a:ln w="28575" cap="rnd">
              <a:solidFill>
                <a:schemeClr val="accent2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Feuil9!$A$59:$A$98</c:f>
              <c:numCache>
                <c:formatCode>mmm\-yy</c:formatCode>
                <c:ptCount val="4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</c:numCache>
            </c:numRef>
          </c:cat>
          <c:val>
            <c:numRef>
              <c:f>Feuil9!$C$59:$C$98</c:f>
              <c:numCache>
                <c:formatCode>General</c:formatCode>
                <c:ptCount val="40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E9-4F39-91F5-9026CB394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9863256"/>
        <c:axId val="389863912"/>
      </c:lineChart>
      <c:dateAx>
        <c:axId val="38986325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89863912"/>
        <c:crosses val="autoZero"/>
        <c:auto val="1"/>
        <c:lblOffset val="100"/>
        <c:baseTimeUnit val="months"/>
      </c:dateAx>
      <c:valAx>
        <c:axId val="389863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89863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E3ECEB-FD52-4295-8BD3-1620124D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2021-05-24T10:42:00Z</dcterms:created>
  <dcterms:modified xsi:type="dcterms:W3CDTF">2021-05-26T08:49:00Z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