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D434EA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Décembre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434EA" w:rsidP="00D434EA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Décembre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A9411F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3B767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D434EA">
        <w:rPr>
          <w:rFonts w:ascii="Times New Roman" w:eastAsia="Gulim" w:hAnsi="Times New Roman"/>
          <w:sz w:val="28"/>
          <w:szCs w:val="28"/>
        </w:rPr>
        <w:t>hausse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450AAC">
        <w:rPr>
          <w:rFonts w:ascii="Times New Roman" w:eastAsia="Gulim" w:hAnsi="Times New Roman"/>
          <w:sz w:val="28"/>
          <w:szCs w:val="28"/>
        </w:rPr>
        <w:t>0,</w:t>
      </w:r>
      <w:r w:rsidR="00D434EA">
        <w:rPr>
          <w:rFonts w:ascii="Times New Roman" w:eastAsia="Gulim" w:hAnsi="Times New Roman"/>
          <w:sz w:val="28"/>
          <w:szCs w:val="28"/>
        </w:rPr>
        <w:t>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450AAC">
        <w:rPr>
          <w:rFonts w:ascii="Times New Roman" w:eastAsia="Gulim" w:hAnsi="Times New Roman"/>
          <w:sz w:val="28"/>
          <w:szCs w:val="28"/>
        </w:rPr>
        <w:t>d</w:t>
      </w:r>
      <w:r w:rsidR="00762D29">
        <w:rPr>
          <w:rFonts w:ascii="Times New Roman" w:eastAsia="Gulim" w:hAnsi="Times New Roman"/>
          <w:sz w:val="28"/>
          <w:szCs w:val="28"/>
        </w:rPr>
        <w:t xml:space="preserve">e </w:t>
      </w:r>
      <w:r w:rsidR="00D434EA">
        <w:rPr>
          <w:rFonts w:ascii="Times New Roman" w:eastAsia="Gulim" w:hAnsi="Times New Roman"/>
          <w:sz w:val="28"/>
          <w:szCs w:val="28"/>
        </w:rPr>
        <w:t>Décembre</w:t>
      </w:r>
      <w:r w:rsidR="006C3D28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D434EA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D434EA">
        <w:rPr>
          <w:rFonts w:ascii="Times New Roman" w:eastAsia="Gulim" w:hAnsi="Times New Roman"/>
          <w:sz w:val="28"/>
          <w:szCs w:val="28"/>
        </w:rPr>
        <w:t>0,8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450AAC">
        <w:rPr>
          <w:rFonts w:ascii="Times New Roman" w:eastAsia="Gulim" w:hAnsi="Times New Roman"/>
          <w:sz w:val="28"/>
          <w:szCs w:val="28"/>
        </w:rPr>
        <w:t xml:space="preserve"> à </w:t>
      </w:r>
      <w:r w:rsidR="0069178F">
        <w:rPr>
          <w:rFonts w:ascii="Times New Roman" w:eastAsia="Gulim" w:hAnsi="Times New Roman"/>
          <w:sz w:val="28"/>
          <w:szCs w:val="28"/>
        </w:rPr>
        <w:t xml:space="preserve">une </w:t>
      </w:r>
      <w:r w:rsidR="00D434EA">
        <w:rPr>
          <w:rFonts w:ascii="Times New Roman" w:eastAsia="Gulim" w:hAnsi="Times New Roman"/>
          <w:sz w:val="28"/>
          <w:szCs w:val="28"/>
        </w:rPr>
        <w:t>baisse</w:t>
      </w:r>
      <w:r w:rsidR="00762D29">
        <w:rPr>
          <w:rFonts w:ascii="Times New Roman" w:eastAsia="Gulim" w:hAnsi="Times New Roman"/>
          <w:sz w:val="28"/>
          <w:szCs w:val="28"/>
        </w:rPr>
        <w:t xml:space="preserve"> </w:t>
      </w:r>
      <w:r w:rsidR="005D2C90">
        <w:rPr>
          <w:rFonts w:ascii="Times New Roman" w:eastAsia="Gulim" w:hAnsi="Times New Roman"/>
          <w:sz w:val="28"/>
          <w:szCs w:val="28"/>
        </w:rPr>
        <w:t>de 0,</w:t>
      </w:r>
      <w:r w:rsidR="00D434EA">
        <w:rPr>
          <w:rFonts w:ascii="Times New Roman" w:eastAsia="Gulim" w:hAnsi="Times New Roman"/>
          <w:sz w:val="28"/>
          <w:szCs w:val="28"/>
        </w:rPr>
        <w:t>2</w:t>
      </w:r>
      <w:r w:rsidR="005D2C90">
        <w:rPr>
          <w:rFonts w:ascii="Times New Roman" w:eastAsia="Gulim" w:hAnsi="Times New Roman"/>
          <w:sz w:val="28"/>
          <w:szCs w:val="28"/>
        </w:rPr>
        <w:t xml:space="preserve">%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050054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05005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6002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43" y="21327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050054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050054">
        <w:rPr>
          <w:rFonts w:ascii="Times New Roman" w:eastAsia="Gulim" w:hAnsi="Times New Roman"/>
          <w:sz w:val="28"/>
          <w:szCs w:val="28"/>
        </w:rPr>
        <w:t>Novembre</w:t>
      </w:r>
      <w:r w:rsidR="00960BBD">
        <w:rPr>
          <w:rFonts w:ascii="Times New Roman" w:eastAsia="Gulim" w:hAnsi="Times New Roman"/>
          <w:sz w:val="28"/>
          <w:szCs w:val="28"/>
        </w:rPr>
        <w:t xml:space="preserve"> et </w:t>
      </w:r>
      <w:r w:rsidR="00050054">
        <w:rPr>
          <w:rFonts w:ascii="Times New Roman" w:eastAsia="Gulim" w:hAnsi="Times New Roman"/>
          <w:sz w:val="28"/>
          <w:szCs w:val="28"/>
        </w:rPr>
        <w:t>Décembre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050054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050054">
        <w:rPr>
          <w:rFonts w:ascii="Times New Roman" w:eastAsia="Gulim" w:hAnsi="Times New Roman"/>
          <w:sz w:val="28"/>
          <w:szCs w:val="28"/>
        </w:rPr>
        <w:t>4,2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, </w:t>
      </w:r>
      <w:r w:rsidR="00841559">
        <w:rPr>
          <w:rFonts w:ascii="Times New Roman" w:eastAsia="Gulim" w:hAnsi="Times New Roman"/>
          <w:sz w:val="28"/>
          <w:szCs w:val="28"/>
        </w:rPr>
        <w:t>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BA7505">
        <w:rPr>
          <w:rFonts w:ascii="Times New Roman" w:eastAsia="Gulim" w:hAnsi="Times New Roman"/>
          <w:sz w:val="28"/>
          <w:szCs w:val="28"/>
        </w:rPr>
        <w:t xml:space="preserve"> </w:t>
      </w:r>
      <w:r w:rsidR="00BA7505" w:rsidRPr="009C0D33">
        <w:rPr>
          <w:rFonts w:ascii="Times New Roman" w:eastAsia="Gulim" w:hAnsi="Times New Roman"/>
          <w:sz w:val="28"/>
          <w:szCs w:val="28"/>
        </w:rPr>
        <w:t>‘‘</w:t>
      </w:r>
      <w:r w:rsidR="00050054">
        <w:rPr>
          <w:rFonts w:ascii="Times New Roman" w:eastAsia="Gulim" w:hAnsi="Times New Roman"/>
          <w:sz w:val="28"/>
          <w:szCs w:val="28"/>
        </w:rPr>
        <w:t>Viandes</w:t>
      </w:r>
      <w:r w:rsidR="00BA7505" w:rsidRPr="009C0D33">
        <w:rPr>
          <w:rFonts w:ascii="Times New Roman" w:eastAsia="Gulim" w:hAnsi="Times New Roman"/>
          <w:sz w:val="28"/>
          <w:szCs w:val="28"/>
        </w:rPr>
        <w:t>’’</w:t>
      </w:r>
      <w:r w:rsidR="00BA7505">
        <w:rPr>
          <w:rFonts w:ascii="Times New Roman" w:eastAsia="Gulim" w:hAnsi="Times New Roman"/>
          <w:sz w:val="28"/>
          <w:szCs w:val="28"/>
        </w:rPr>
        <w:t xml:space="preserve"> avec </w:t>
      </w:r>
      <w:r w:rsidR="00050054">
        <w:rPr>
          <w:rFonts w:ascii="Times New Roman" w:eastAsia="Gulim" w:hAnsi="Times New Roman"/>
          <w:sz w:val="28"/>
          <w:szCs w:val="28"/>
        </w:rPr>
        <w:t>1,2</w:t>
      </w:r>
      <w:r w:rsidR="00A551B7">
        <w:rPr>
          <w:rFonts w:ascii="Times New Roman" w:eastAsia="Gulim" w:hAnsi="Times New Roman"/>
          <w:sz w:val="28"/>
          <w:szCs w:val="28"/>
        </w:rPr>
        <w:t>%</w:t>
      </w:r>
      <w:r w:rsidR="005720CA">
        <w:rPr>
          <w:rFonts w:ascii="Times New Roman" w:eastAsia="Gulim" w:hAnsi="Times New Roman"/>
          <w:sz w:val="28"/>
          <w:szCs w:val="28"/>
        </w:rPr>
        <w:t xml:space="preserve"> et </w:t>
      </w:r>
      <w:r w:rsidR="00B35FA1">
        <w:rPr>
          <w:rFonts w:ascii="Times New Roman" w:eastAsia="Gulim" w:hAnsi="Times New Roman"/>
          <w:sz w:val="28"/>
          <w:szCs w:val="28"/>
        </w:rPr>
        <w:t>le</w:t>
      </w:r>
      <w:r w:rsidR="00AF5B1A">
        <w:rPr>
          <w:rFonts w:ascii="Times New Roman" w:eastAsia="Gulim" w:hAnsi="Times New Roman"/>
          <w:sz w:val="28"/>
          <w:szCs w:val="28"/>
        </w:rPr>
        <w:t>s</w:t>
      </w:r>
      <w:r w:rsidR="00B35FA1">
        <w:rPr>
          <w:rFonts w:ascii="Times New Roman" w:eastAsia="Gulim" w:hAnsi="Times New Roman"/>
          <w:sz w:val="28"/>
          <w:szCs w:val="28"/>
        </w:rPr>
        <w:t xml:space="preserve"> </w:t>
      </w:r>
      <w:r w:rsidR="00B35FA1" w:rsidRPr="009C0D33">
        <w:rPr>
          <w:rFonts w:ascii="Times New Roman" w:eastAsia="Gulim" w:hAnsi="Times New Roman"/>
          <w:sz w:val="28"/>
          <w:szCs w:val="28"/>
        </w:rPr>
        <w:t>‘‘</w:t>
      </w:r>
      <w:r w:rsidR="00050054">
        <w:rPr>
          <w:rFonts w:ascii="Times New Roman" w:eastAsia="Gulim" w:hAnsi="Times New Roman"/>
          <w:sz w:val="28"/>
          <w:szCs w:val="28"/>
        </w:rPr>
        <w:t>Fruits</w:t>
      </w:r>
      <w:r w:rsidR="00B35FA1" w:rsidRPr="009C0D33">
        <w:rPr>
          <w:rFonts w:ascii="Times New Roman" w:eastAsia="Gulim" w:hAnsi="Times New Roman"/>
          <w:sz w:val="28"/>
          <w:szCs w:val="28"/>
        </w:rPr>
        <w:t>’’</w:t>
      </w:r>
      <w:r w:rsidR="00B35FA1">
        <w:rPr>
          <w:rFonts w:ascii="Times New Roman" w:eastAsia="Gulim" w:hAnsi="Times New Roman"/>
          <w:sz w:val="28"/>
          <w:szCs w:val="28"/>
        </w:rPr>
        <w:t xml:space="preserve"> avec </w:t>
      </w:r>
      <w:r w:rsidR="005720CA">
        <w:rPr>
          <w:rFonts w:ascii="Times New Roman" w:eastAsia="Gulim" w:hAnsi="Times New Roman"/>
          <w:sz w:val="28"/>
          <w:szCs w:val="28"/>
        </w:rPr>
        <w:t>0,</w:t>
      </w:r>
      <w:r w:rsidR="00050054">
        <w:rPr>
          <w:rFonts w:ascii="Times New Roman" w:eastAsia="Gulim" w:hAnsi="Times New Roman"/>
          <w:sz w:val="28"/>
          <w:szCs w:val="28"/>
        </w:rPr>
        <w:t>9</w:t>
      </w:r>
      <w:r w:rsidR="00B35FA1">
        <w:rPr>
          <w:rFonts w:ascii="Times New Roman" w:eastAsia="Gulim" w:hAnsi="Times New Roman"/>
          <w:sz w:val="28"/>
          <w:szCs w:val="28"/>
        </w:rPr>
        <w:t xml:space="preserve">%. </w:t>
      </w:r>
    </w:p>
    <w:p w:rsidR="00050054" w:rsidRDefault="00050054" w:rsidP="0005005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Cette hausse a été atténuée par la baisse des prix des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Poissons et fruits de mer</w:t>
      </w:r>
      <w:r w:rsidRPr="009C0D33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et des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Huiles et graisses</w:t>
      </w:r>
      <w:r w:rsidRPr="009C0D33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avec respectivement 2,8% et 0,2%.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D84CEE" w:rsidRPr="001B6B04" w:rsidTr="00762D29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Nov_2023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D84CEE" w:rsidRPr="001B6B04" w:rsidTr="00762D29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CEE" w:rsidRPr="008E7CC9" w:rsidRDefault="00D84CEE" w:rsidP="00D84CE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CEE" w:rsidRPr="008E7CC9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CEE" w:rsidRPr="008E7CC9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CEE" w:rsidRPr="008E7CC9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84CEE" w:rsidRPr="008E7CC9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D84CEE" w:rsidRPr="001B6B04" w:rsidTr="00762D29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D84CEE" w:rsidRPr="001B6B04" w:rsidTr="00762D29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126,6</w:t>
            </w:r>
          </w:p>
        </w:tc>
        <w:tc>
          <w:tcPr>
            <w:tcW w:w="1701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D84CEE" w:rsidRPr="001B6B04" w:rsidTr="00762D29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1701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-2,8</w:t>
            </w:r>
          </w:p>
        </w:tc>
      </w:tr>
      <w:tr w:rsidR="00D84CEE" w:rsidRPr="001B6B04" w:rsidTr="00762D29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122,0</w:t>
            </w:r>
          </w:p>
        </w:tc>
        <w:tc>
          <w:tcPr>
            <w:tcW w:w="1701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D84CEE" w:rsidRPr="001B6B04" w:rsidTr="00762D29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153,1</w:t>
            </w:r>
          </w:p>
        </w:tc>
        <w:tc>
          <w:tcPr>
            <w:tcW w:w="1701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D84CEE" w:rsidRPr="001B6B04" w:rsidTr="00762D29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701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D84CEE" w:rsidRPr="001B6B04" w:rsidTr="00762D29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1701" w:type="dxa"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D84CEE" w:rsidRPr="001B6B04" w:rsidTr="00762D29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701" w:type="dxa"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D84CEE" w:rsidRPr="001B6B04" w:rsidTr="00762D29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D84CEE" w:rsidRPr="001B6B04" w:rsidTr="00762D29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D84CEE" w:rsidRPr="001B6B04" w:rsidTr="00762D29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84CEE" w:rsidRPr="008E7CC9" w:rsidRDefault="00D84CEE" w:rsidP="00D84CE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84CEE" w:rsidRPr="008E7CC9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84CEE" w:rsidRPr="008E7CC9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D84CEE" w:rsidRPr="008E7CC9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D84CEE" w:rsidRPr="008E7CC9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D84CEE" w:rsidRPr="001B6B04" w:rsidTr="00762D29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D84CEE" w:rsidRPr="001B6B04" w:rsidTr="00762D29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137 ,9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D84CEE" w:rsidRPr="001B6B04" w:rsidTr="00762D29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D84CEE" w:rsidRPr="003109A6" w:rsidRDefault="00D84CEE" w:rsidP="00D84CE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D84CEE" w:rsidRPr="003109A6" w:rsidRDefault="00D84CEE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D84CEE" w:rsidRPr="003109A6" w:rsidRDefault="005A01F3" w:rsidP="00D84C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D84CEE" w:rsidRPr="003109A6" w:rsidRDefault="005A01F3" w:rsidP="009A354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</w:t>
            </w:r>
            <w:r w:rsidR="009A3547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8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F92B40" w:rsidRDefault="00267A4B" w:rsidP="009E57B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9E57B8">
        <w:rPr>
          <w:rFonts w:ascii="Times New Roman" w:eastAsia="Gulim" w:hAnsi="Times New Roman"/>
          <w:sz w:val="28"/>
          <w:szCs w:val="28"/>
        </w:rPr>
        <w:t>la baisse des prix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9E57B8">
        <w:rPr>
          <w:rFonts w:ascii="Times New Roman" w:eastAsia="Gulim" w:hAnsi="Times New Roman"/>
          <w:sz w:val="28"/>
          <w:szCs w:val="28"/>
        </w:rPr>
        <w:t>Novembre</w:t>
      </w:r>
      <w:r w:rsidR="00957DEE">
        <w:rPr>
          <w:rFonts w:ascii="Times New Roman" w:eastAsia="Gulim" w:hAnsi="Times New Roman"/>
          <w:sz w:val="28"/>
          <w:szCs w:val="28"/>
        </w:rPr>
        <w:t xml:space="preserve"> et </w:t>
      </w:r>
      <w:r w:rsidR="009E57B8">
        <w:rPr>
          <w:rFonts w:ascii="Times New Roman" w:eastAsia="Gulim" w:hAnsi="Times New Roman"/>
          <w:sz w:val="28"/>
          <w:szCs w:val="28"/>
        </w:rPr>
        <w:t>Décembre</w:t>
      </w:r>
      <w:r w:rsidR="00AD587D">
        <w:rPr>
          <w:rFonts w:ascii="Times New Roman" w:eastAsia="Gulim" w:hAnsi="Times New Roman"/>
          <w:sz w:val="28"/>
          <w:szCs w:val="28"/>
        </w:rPr>
        <w:t xml:space="preserve">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 w:rsidR="009E57B8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concerné </w:t>
      </w:r>
      <w:r w:rsidR="00565D8A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E57B8">
        <w:rPr>
          <w:rFonts w:ascii="Times New Roman" w:eastAsia="Gulim" w:hAnsi="Times New Roman"/>
          <w:sz w:val="28"/>
          <w:szCs w:val="28"/>
        </w:rPr>
        <w:t>l</w:t>
      </w:r>
      <w:r w:rsidR="00435B3C">
        <w:rPr>
          <w:rFonts w:ascii="Times New Roman" w:eastAsia="Gulim" w:hAnsi="Times New Roman"/>
          <w:sz w:val="28"/>
          <w:szCs w:val="28"/>
        </w:rPr>
        <w:t xml:space="preserve">es </w:t>
      </w:r>
      <w:r w:rsidR="00565D8A">
        <w:rPr>
          <w:rFonts w:ascii="Times New Roman" w:eastAsia="Gulim" w:hAnsi="Times New Roman"/>
          <w:sz w:val="28"/>
          <w:szCs w:val="28"/>
        </w:rPr>
        <w:t xml:space="preserve">prix des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985FC8">
        <w:rPr>
          <w:rFonts w:ascii="Times New Roman" w:eastAsia="Gulim" w:hAnsi="Times New Roman"/>
          <w:sz w:val="28"/>
          <w:szCs w:val="28"/>
        </w:rPr>
        <w:t>Carburants</w:t>
      </w:r>
      <w:r w:rsidR="00565D8A">
        <w:rPr>
          <w:rFonts w:ascii="Times New Roman" w:eastAsia="Gulim" w:hAnsi="Times New Roman"/>
          <w:sz w:val="28"/>
          <w:szCs w:val="28"/>
        </w:rPr>
        <w:t xml:space="preserve"> </w:t>
      </w:r>
      <w:r w:rsidR="00985FC8">
        <w:rPr>
          <w:rFonts w:ascii="Times New Roman" w:eastAsia="Gulim" w:hAnsi="Times New Roman"/>
          <w:sz w:val="28"/>
          <w:szCs w:val="28"/>
        </w:rPr>
        <w:t>et lubrifiants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DF1EC6">
        <w:rPr>
          <w:rFonts w:ascii="Times New Roman" w:eastAsia="Gulim" w:hAnsi="Times New Roman"/>
          <w:sz w:val="28"/>
          <w:szCs w:val="28"/>
        </w:rPr>
        <w:t xml:space="preserve">avec </w:t>
      </w:r>
      <w:r w:rsidR="009E57B8">
        <w:rPr>
          <w:rFonts w:ascii="Times New Roman" w:eastAsia="Gulim" w:hAnsi="Times New Roman"/>
          <w:sz w:val="28"/>
          <w:szCs w:val="28"/>
        </w:rPr>
        <w:t>2,6</w:t>
      </w:r>
      <w:r w:rsidR="00DF1EC6">
        <w:rPr>
          <w:rFonts w:ascii="Times New Roman" w:eastAsia="Gulim" w:hAnsi="Times New Roman"/>
          <w:sz w:val="28"/>
          <w:szCs w:val="28"/>
        </w:rPr>
        <w:t>%</w:t>
      </w:r>
      <w:r w:rsidR="00CD6E38">
        <w:rPr>
          <w:rFonts w:ascii="Times New Roman" w:eastAsia="Gulim" w:hAnsi="Times New Roman"/>
          <w:sz w:val="28"/>
          <w:szCs w:val="28"/>
        </w:rPr>
        <w:t xml:space="preserve"> </w:t>
      </w:r>
      <w:r w:rsidR="009E57B8">
        <w:rPr>
          <w:rFonts w:ascii="Times New Roman" w:eastAsia="Gulim" w:hAnsi="Times New Roman"/>
          <w:sz w:val="28"/>
          <w:szCs w:val="28"/>
        </w:rPr>
        <w:t>contre</w:t>
      </w:r>
      <w:r w:rsidR="00CD6E38">
        <w:rPr>
          <w:rFonts w:ascii="Times New Roman" w:eastAsia="Gulim" w:hAnsi="Times New Roman"/>
          <w:sz w:val="28"/>
          <w:szCs w:val="28"/>
        </w:rPr>
        <w:t xml:space="preserve"> </w:t>
      </w:r>
      <w:r w:rsidR="00435B3C">
        <w:rPr>
          <w:rFonts w:ascii="Times New Roman" w:eastAsia="Gulim" w:hAnsi="Times New Roman"/>
          <w:sz w:val="28"/>
          <w:szCs w:val="28"/>
        </w:rPr>
        <w:t>une quasi -stagnation des prix des autres biens et services.</w:t>
      </w:r>
    </w:p>
    <w:p w:rsidR="00FD00D6" w:rsidRDefault="00877D0F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6297F91" wp14:editId="7F5F9E65">
            <wp:extent cx="5334000" cy="230505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9F50EE" w:rsidRPr="004E0DA4" w:rsidTr="009F50EE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50EE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Novembre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9F50EE" w:rsidRPr="005A6F02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50EE" w:rsidRPr="005A6F02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Décembre_ 2023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50EE" w:rsidRPr="005A6F02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9F50EE" w:rsidRPr="005A6F02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9F50EE" w:rsidRPr="004E0DA4" w:rsidTr="009F50EE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126,0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5,9</w:t>
            </w:r>
          </w:p>
        </w:tc>
      </w:tr>
      <w:tr w:rsidR="009F50EE" w:rsidRPr="004E0DA4" w:rsidTr="009F50EE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9F50EE" w:rsidRPr="00534BE7" w:rsidTr="009F50EE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9F50EE" w:rsidRPr="004E0DA4" w:rsidTr="009F50EE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9F50EE" w:rsidRPr="004E0DA4" w:rsidTr="009F50EE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9F50EE" w:rsidRPr="004E0DA4" w:rsidTr="009F50EE">
        <w:trPr>
          <w:trHeight w:val="39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9F50EE" w:rsidRPr="004E0DA4" w:rsidTr="009F50EE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123,5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-2,1</w:t>
            </w:r>
          </w:p>
        </w:tc>
      </w:tr>
      <w:tr w:rsidR="009F50EE" w:rsidRPr="004E0DA4" w:rsidTr="009F50EE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9F50EE" w:rsidRPr="004E0DA4" w:rsidTr="009F50EE">
        <w:trPr>
          <w:trHeight w:val="39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9F50EE" w:rsidRPr="004E0DA4" w:rsidTr="009F50EE">
        <w:trPr>
          <w:trHeight w:val="31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9F50EE" w:rsidRPr="004E0DA4" w:rsidTr="009F50EE">
        <w:trPr>
          <w:trHeight w:val="41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9F50EE" w:rsidRPr="004E0DA4" w:rsidTr="009F50EE">
        <w:trPr>
          <w:trHeight w:val="42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E0DA4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4101EA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9F50EE" w:rsidRPr="004E0DA4" w:rsidTr="009F50EE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Default="009F50EE" w:rsidP="009F50E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5703A7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5703A7" w:rsidRDefault="009F50EE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5703A7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5703A7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0EE" w:rsidRPr="005703A7" w:rsidRDefault="00D86F45" w:rsidP="009F50E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2,4</w:t>
            </w:r>
          </w:p>
        </w:tc>
      </w:tr>
    </w:tbl>
    <w:p w:rsidR="001D5B7A" w:rsidRDefault="001D5B7A" w:rsidP="00D86F4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5531D1">
        <w:rPr>
          <w:rFonts w:ascii="Times New Roman" w:eastAsia="Gulim" w:hAnsi="Times New Roman"/>
          <w:b/>
          <w:bCs/>
          <w:sz w:val="28"/>
          <w:szCs w:val="28"/>
        </w:rPr>
        <w:t>2,</w:t>
      </w:r>
      <w:r w:rsidR="00D86F45">
        <w:rPr>
          <w:rFonts w:ascii="Times New Roman" w:eastAsia="Gulim" w:hAnsi="Times New Roman"/>
          <w:b/>
          <w:bCs/>
          <w:sz w:val="28"/>
          <w:szCs w:val="28"/>
        </w:rPr>
        <w:t>4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D86F4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5531D1">
        <w:rPr>
          <w:rFonts w:ascii="Times New Roman" w:eastAsia="Gulim" w:hAnsi="Times New Roman"/>
          <w:sz w:val="28"/>
          <w:szCs w:val="28"/>
        </w:rPr>
        <w:t>2,</w:t>
      </w:r>
      <w:r w:rsidR="00D86F45">
        <w:rPr>
          <w:rFonts w:ascii="Times New Roman" w:eastAsia="Gulim" w:hAnsi="Times New Roman"/>
          <w:sz w:val="28"/>
          <w:szCs w:val="28"/>
        </w:rPr>
        <w:t>4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D86F45">
        <w:rPr>
          <w:rFonts w:ascii="Times New Roman" w:eastAsia="Gulim" w:hAnsi="Times New Roman"/>
          <w:sz w:val="28"/>
          <w:szCs w:val="28"/>
        </w:rPr>
        <w:t>5,9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D86F45">
        <w:rPr>
          <w:rFonts w:ascii="Times New Roman" w:eastAsia="Gulim" w:hAnsi="Times New Roman"/>
          <w:sz w:val="28"/>
          <w:szCs w:val="28"/>
        </w:rPr>
        <w:t xml:space="preserve">de 0,3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7A71C1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850E07F" wp14:editId="5ED61C70">
            <wp:extent cx="5419725" cy="246697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A06D2" w:rsidRDefault="009A06D2" w:rsidP="00D07698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02A9C" w:rsidRPr="00CA3A6A" w:rsidRDefault="00402A9C" w:rsidP="00E30FC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 w:rsidRPr="00CA3A6A">
        <w:rPr>
          <w:rFonts w:ascii="Times New Roman" w:eastAsia="Gulim" w:hAnsi="Times New Roman"/>
          <w:b/>
          <w:bCs/>
          <w:sz w:val="28"/>
          <w:szCs w:val="28"/>
        </w:rPr>
        <w:t xml:space="preserve">Hausse de l’IPC annuel de </w:t>
      </w:r>
      <w:r>
        <w:rPr>
          <w:rFonts w:ascii="Times New Roman" w:eastAsia="Gulim" w:hAnsi="Times New Roman"/>
          <w:b/>
          <w:bCs/>
          <w:sz w:val="28"/>
          <w:szCs w:val="28"/>
        </w:rPr>
        <w:t>4,9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t>% au cours de l’année 202</w:t>
      </w:r>
      <w:r w:rsidR="00D07698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E30FC0">
        <w:rPr>
          <w:rFonts w:ascii="Times New Roman" w:eastAsia="Gulim" w:hAnsi="Times New Roman"/>
          <w:b/>
          <w:bCs/>
          <w:sz w:val="28"/>
          <w:szCs w:val="28"/>
        </w:rPr>
        <w:t xml:space="preserve"> à Casablanca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t>.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br/>
      </w:r>
    </w:p>
    <w:p w:rsidR="00402A9C" w:rsidRDefault="00402A9C" w:rsidP="0042483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CA3A6A">
        <w:rPr>
          <w:rFonts w:ascii="Times New Roman" w:eastAsia="Gulim" w:hAnsi="Times New Roman"/>
          <w:sz w:val="28"/>
          <w:szCs w:val="28"/>
        </w:rPr>
        <w:t>L'IPC annuel moyen a enregistré, au terme de l’année 202</w:t>
      </w:r>
      <w:r>
        <w:rPr>
          <w:rFonts w:ascii="Times New Roman" w:eastAsia="Gulim" w:hAnsi="Times New Roman"/>
          <w:sz w:val="28"/>
          <w:szCs w:val="28"/>
        </w:rPr>
        <w:t>3</w:t>
      </w:r>
      <w:r w:rsidRPr="00CA3A6A">
        <w:rPr>
          <w:rFonts w:ascii="Times New Roman" w:eastAsia="Gulim" w:hAnsi="Times New Roman"/>
          <w:sz w:val="28"/>
          <w:szCs w:val="28"/>
        </w:rPr>
        <w:t xml:space="preserve">, une augmentation de </w:t>
      </w:r>
      <w:r>
        <w:rPr>
          <w:rFonts w:ascii="Times New Roman" w:eastAsia="Gulim" w:hAnsi="Times New Roman"/>
          <w:sz w:val="28"/>
          <w:szCs w:val="28"/>
        </w:rPr>
        <w:t>4,9</w:t>
      </w:r>
      <w:r w:rsidRPr="00CA3A6A">
        <w:rPr>
          <w:rFonts w:ascii="Times New Roman" w:eastAsia="Gulim" w:hAnsi="Times New Roman"/>
          <w:sz w:val="28"/>
          <w:szCs w:val="28"/>
        </w:rPr>
        <w:t>% par rapport à l’année 202</w:t>
      </w:r>
      <w:r w:rsidR="00424831">
        <w:rPr>
          <w:rFonts w:ascii="Times New Roman" w:eastAsia="Gulim" w:hAnsi="Times New Roman"/>
          <w:sz w:val="28"/>
          <w:szCs w:val="28"/>
        </w:rPr>
        <w:t>2</w:t>
      </w:r>
      <w:r w:rsidRPr="00B1526E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>suite à la hausse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 l’indice des produits alimentaires de 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>10,</w:t>
      </w:r>
      <w:r w:rsidR="00D07698">
        <w:rPr>
          <w:rFonts w:ascii="Times New Roman" w:eastAsia="Gulim" w:hAnsi="Times New Roman"/>
          <w:noProof/>
          <w:sz w:val="28"/>
          <w:szCs w:val="28"/>
          <w:lang w:eastAsia="fr-FR"/>
        </w:rPr>
        <w:t>9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% et 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de l’indice </w:t>
      </w:r>
      <w:r w:rsidRPr="001C5C62">
        <w:rPr>
          <w:rFonts w:ascii="Times New Roman" w:eastAsia="Gulim" w:hAnsi="Times New Roman"/>
          <w:noProof/>
          <w:sz w:val="28"/>
          <w:szCs w:val="28"/>
          <w:lang w:eastAsia="fr-FR"/>
        </w:rPr>
        <w:t>des produits non alimentaires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 </w:t>
      </w:r>
      <w:r w:rsidR="00D07698">
        <w:rPr>
          <w:rFonts w:ascii="Times New Roman" w:eastAsia="Gulim" w:hAnsi="Times New Roman"/>
          <w:noProof/>
          <w:sz w:val="28"/>
          <w:szCs w:val="28"/>
          <w:lang w:eastAsia="fr-FR"/>
        </w:rPr>
        <w:t>1,2</w:t>
      </w:r>
      <w:r>
        <w:rPr>
          <w:rFonts w:ascii="Times New Roman" w:eastAsia="Gulim" w:hAnsi="Times New Roman"/>
          <w:noProof/>
          <w:sz w:val="28"/>
          <w:szCs w:val="28"/>
          <w:lang w:eastAsia="fr-FR"/>
        </w:rPr>
        <w:t>%.</w:t>
      </w:r>
      <w:r w:rsidRPr="00CA3A6A">
        <w:rPr>
          <w:rFonts w:ascii="Times New Roman" w:eastAsia="Gulim" w:hAnsi="Times New Roman"/>
          <w:sz w:val="28"/>
          <w:szCs w:val="28"/>
        </w:rPr>
        <w:t xml:space="preserve"> </w:t>
      </w:r>
    </w:p>
    <w:p w:rsidR="00402A9C" w:rsidRDefault="00402A9C" w:rsidP="00402A9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8D110A" w:rsidRDefault="008D110A" w:rsidP="008D110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Au niveau national, l’IPC annuel est en hausse de 6,1% en 2023 :</w:t>
      </w:r>
    </w:p>
    <w:p w:rsidR="008D110A" w:rsidRDefault="008D110A" w:rsidP="008D110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8D110A" w:rsidRDefault="008D110A" w:rsidP="008D110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Au niveau national, l’IPC annuel moyen a enregistré une hausse de 6,1% au terme de l’année 2023 par rapport à l’année 2022.</w:t>
      </w:r>
    </w:p>
    <w:p w:rsidR="008D110A" w:rsidRDefault="008D110A" w:rsidP="008D110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8D110A" w:rsidRDefault="008D110A" w:rsidP="008D110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les hausses vont de 4,8% à Rabat à 10,1% à </w:t>
      </w:r>
    </w:p>
    <w:p w:rsidR="008D110A" w:rsidRDefault="008D110A" w:rsidP="008D110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Al-Hoceima.</w:t>
      </w:r>
    </w:p>
    <w:p w:rsidR="00435DE1" w:rsidRDefault="00435DE1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00" w:rsidRDefault="00453100">
      <w:r>
        <w:separator/>
      </w:r>
    </w:p>
    <w:p w:rsidR="00453100" w:rsidRDefault="00453100"/>
  </w:endnote>
  <w:endnote w:type="continuationSeparator" w:id="0">
    <w:p w:rsidR="00453100" w:rsidRDefault="00453100">
      <w:r>
        <w:continuationSeparator/>
      </w:r>
    </w:p>
    <w:p w:rsidR="00453100" w:rsidRDefault="00453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D4FEC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BD4FEC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00" w:rsidRDefault="00453100">
      <w:r>
        <w:separator/>
      </w:r>
    </w:p>
    <w:p w:rsidR="00453100" w:rsidRDefault="00453100"/>
  </w:footnote>
  <w:footnote w:type="continuationSeparator" w:id="0">
    <w:p w:rsidR="00453100" w:rsidRDefault="00453100">
      <w:r>
        <w:continuationSeparator/>
      </w:r>
    </w:p>
    <w:p w:rsidR="00453100" w:rsidRDefault="004531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100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4FEC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0FC0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12_2023\12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12_2023\12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Décembre 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2022_Décembre</a:t>
            </a:r>
            <a:r>
              <a:rPr lang="en-US" sz="1200"/>
              <a:t>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11249999999999998"/>
          <c:w val="0.88897440944881889"/>
          <c:h val="0.85104111986001751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44896</c:v>
                </c:pt>
                <c:pt idx="1">
                  <c:v>44927</c:v>
                </c:pt>
                <c:pt idx="2">
                  <c:v>44958</c:v>
                </c:pt>
                <c:pt idx="3">
                  <c:v>44986</c:v>
                </c:pt>
                <c:pt idx="4">
                  <c:v>45017</c:v>
                </c:pt>
                <c:pt idx="5">
                  <c:v>45047</c:v>
                </c:pt>
                <c:pt idx="6">
                  <c:v>45078</c:v>
                </c:pt>
                <c:pt idx="7">
                  <c:v>45108</c:v>
                </c:pt>
                <c:pt idx="8">
                  <c:v>45139</c:v>
                </c:pt>
                <c:pt idx="9">
                  <c:v>45170</c:v>
                </c:pt>
                <c:pt idx="10">
                  <c:v>45200</c:v>
                </c:pt>
                <c:pt idx="11">
                  <c:v>45231</c:v>
                </c:pt>
                <c:pt idx="12">
                  <c:v>45261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-0.2</c:v>
                </c:pt>
                <c:pt idx="1">
                  <c:v>0</c:v>
                </c:pt>
                <c:pt idx="2">
                  <c:v>1.2</c:v>
                </c:pt>
                <c:pt idx="3">
                  <c:v>-0.3</c:v>
                </c:pt>
                <c:pt idx="4">
                  <c:v>1.4</c:v>
                </c:pt>
                <c:pt idx="5">
                  <c:v>-0.4</c:v>
                </c:pt>
                <c:pt idx="6">
                  <c:v>-0.7</c:v>
                </c:pt>
                <c:pt idx="7">
                  <c:v>0.3</c:v>
                </c:pt>
                <c:pt idx="8">
                  <c:v>0.3</c:v>
                </c:pt>
                <c:pt idx="9">
                  <c:v>1.2</c:v>
                </c:pt>
                <c:pt idx="10">
                  <c:v>0.1</c:v>
                </c:pt>
                <c:pt idx="11">
                  <c:v>-0.4</c:v>
                </c:pt>
                <c:pt idx="12">
                  <c:v>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C62-4B2E-B566-9DCF8B4D48C1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44896</c:v>
                </c:pt>
                <c:pt idx="1">
                  <c:v>44927</c:v>
                </c:pt>
                <c:pt idx="2">
                  <c:v>44958</c:v>
                </c:pt>
                <c:pt idx="3">
                  <c:v>44986</c:v>
                </c:pt>
                <c:pt idx="4">
                  <c:v>45017</c:v>
                </c:pt>
                <c:pt idx="5">
                  <c:v>45047</c:v>
                </c:pt>
                <c:pt idx="6">
                  <c:v>45078</c:v>
                </c:pt>
                <c:pt idx="7">
                  <c:v>45108</c:v>
                </c:pt>
                <c:pt idx="8">
                  <c:v>45139</c:v>
                </c:pt>
                <c:pt idx="9">
                  <c:v>45170</c:v>
                </c:pt>
                <c:pt idx="10">
                  <c:v>45200</c:v>
                </c:pt>
                <c:pt idx="11">
                  <c:v>45231</c:v>
                </c:pt>
                <c:pt idx="12">
                  <c:v>45261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0.1</c:v>
                </c:pt>
                <c:pt idx="1">
                  <c:v>0.5</c:v>
                </c:pt>
                <c:pt idx="2">
                  <c:v>1.7</c:v>
                </c:pt>
                <c:pt idx="3">
                  <c:v>0.1</c:v>
                </c:pt>
                <c:pt idx="4">
                  <c:v>1.4</c:v>
                </c:pt>
                <c:pt idx="5">
                  <c:v>-0.4</c:v>
                </c:pt>
                <c:pt idx="6">
                  <c:v>-0.9</c:v>
                </c:pt>
                <c:pt idx="7">
                  <c:v>0.3</c:v>
                </c:pt>
                <c:pt idx="8">
                  <c:v>0.3</c:v>
                </c:pt>
                <c:pt idx="9">
                  <c:v>0.8</c:v>
                </c:pt>
                <c:pt idx="10">
                  <c:v>-0.1</c:v>
                </c:pt>
                <c:pt idx="11">
                  <c:v>-0.3</c:v>
                </c:pt>
                <c:pt idx="12">
                  <c:v>-0.1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C62-4B2E-B566-9DCF8B4D4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768992"/>
        <c:axId val="466767032"/>
      </c:lineChart>
      <c:dateAx>
        <c:axId val="466768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6767032"/>
        <c:crosses val="autoZero"/>
        <c:auto val="1"/>
        <c:lblOffset val="100"/>
        <c:baseTimeUnit val="months"/>
      </c:dateAx>
      <c:valAx>
        <c:axId val="466767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676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6166687424177429E-2"/>
          <c:y val="9.0862290862290862E-2"/>
          <c:w val="0.91805709699292859"/>
          <c:h val="0.72898833591746981"/>
        </c:manualLayout>
      </c:layout>
      <c:lineChart>
        <c:grouping val="standard"/>
        <c:varyColors val="0"/>
        <c:ser>
          <c:idx val="0"/>
          <c:order val="0"/>
          <c:tx>
            <c:strRef>
              <c:f>Feuil9!$B$88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Feuil9!$A$89:$A$160</c:f>
              <c:numCache>
                <c:formatCode>mmm\-yy</c:formatCode>
                <c:ptCount val="7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</c:numCache>
            </c:numRef>
          </c:cat>
          <c:val>
            <c:numRef>
              <c:f>Feuil9!$B$89:$B$160</c:f>
              <c:numCache>
                <c:formatCode>General</c:formatCode>
                <c:ptCount val="72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709-4AA2-BFF0-308DA1A2F754}"/>
            </c:ext>
          </c:extLst>
        </c:ser>
        <c:ser>
          <c:idx val="1"/>
          <c:order val="1"/>
          <c:tx>
            <c:strRef>
              <c:f>Feuil9!$C$88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Feuil9!$A$89:$A$160</c:f>
              <c:numCache>
                <c:formatCode>mmm\-yy</c:formatCode>
                <c:ptCount val="7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</c:numCache>
            </c:numRef>
          </c:cat>
          <c:val>
            <c:numRef>
              <c:f>Feuil9!$C$89:$C$160</c:f>
              <c:numCache>
                <c:formatCode>General</c:formatCode>
                <c:ptCount val="72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709-4AA2-BFF0-308DA1A2F7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769384"/>
        <c:axId val="466768600"/>
      </c:lineChart>
      <c:dateAx>
        <c:axId val="46676938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6768600"/>
        <c:crosses val="autoZero"/>
        <c:auto val="1"/>
        <c:lblOffset val="100"/>
        <c:baseTimeUnit val="months"/>
      </c:dateAx>
      <c:valAx>
        <c:axId val="466768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6769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F654BD-06CA-4652-AA57-D45771CB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2024-02-06T09:25:00Z</dcterms:created>
  <dcterms:modified xsi:type="dcterms:W3CDTF">2024-02-06T09:25:00Z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