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914D06" w:rsidP="00D8492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Avril</w:t>
            </w:r>
            <w:r w:rsidR="00CE74E5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2024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267788" w:rsidP="00914D06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914D06">
        <w:rPr>
          <w:rFonts w:ascii="Times New Roman" w:eastAsia="Gulim" w:hAnsi="Times New Roman"/>
          <w:b/>
          <w:bCs/>
          <w:sz w:val="28"/>
          <w:szCs w:val="28"/>
        </w:rPr>
        <w:t>Avril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CE74E5">
        <w:rPr>
          <w:rFonts w:ascii="Times New Roman" w:eastAsia="Gulim" w:hAnsi="Times New Roman"/>
          <w:b/>
          <w:bCs/>
          <w:sz w:val="28"/>
          <w:szCs w:val="28"/>
        </w:rPr>
        <w:t>4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914D0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267788">
        <w:rPr>
          <w:rFonts w:ascii="Times New Roman" w:eastAsia="Gulim" w:hAnsi="Times New Roman"/>
          <w:sz w:val="28"/>
          <w:szCs w:val="28"/>
        </w:rPr>
        <w:t>hausse</w:t>
      </w:r>
      <w:r w:rsidR="00960BBD">
        <w:rPr>
          <w:rFonts w:ascii="Times New Roman" w:eastAsia="Gulim" w:hAnsi="Times New Roman"/>
          <w:sz w:val="28"/>
          <w:szCs w:val="28"/>
        </w:rPr>
        <w:t xml:space="preserve"> de </w:t>
      </w:r>
      <w:r w:rsidR="00450AAC">
        <w:rPr>
          <w:rFonts w:ascii="Times New Roman" w:eastAsia="Gulim" w:hAnsi="Times New Roman"/>
          <w:sz w:val="28"/>
          <w:szCs w:val="28"/>
        </w:rPr>
        <w:t>0,</w:t>
      </w:r>
      <w:r w:rsidR="00914D06">
        <w:rPr>
          <w:rFonts w:ascii="Times New Roman" w:eastAsia="Gulim" w:hAnsi="Times New Roman"/>
          <w:sz w:val="28"/>
          <w:szCs w:val="28"/>
        </w:rPr>
        <w:t>5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914D06">
        <w:rPr>
          <w:rFonts w:ascii="Times New Roman" w:eastAsia="Gulim" w:hAnsi="Times New Roman"/>
          <w:sz w:val="28"/>
          <w:szCs w:val="28"/>
        </w:rPr>
        <w:t>d’Avril</w:t>
      </w:r>
      <w:r w:rsidR="00CE74E5">
        <w:rPr>
          <w:rFonts w:ascii="Times New Roman" w:eastAsia="Gulim" w:hAnsi="Times New Roman"/>
          <w:sz w:val="28"/>
          <w:szCs w:val="28"/>
        </w:rPr>
        <w:t xml:space="preserve"> 2024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267788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2A4E00">
        <w:rPr>
          <w:rFonts w:ascii="Times New Roman" w:eastAsia="Gulim" w:hAnsi="Times New Roman"/>
          <w:sz w:val="28"/>
          <w:szCs w:val="28"/>
        </w:rPr>
        <w:t>0,8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2A4E00">
        <w:rPr>
          <w:rFonts w:ascii="Times New Roman" w:eastAsia="Gulim" w:hAnsi="Times New Roman"/>
          <w:sz w:val="28"/>
          <w:szCs w:val="28"/>
        </w:rPr>
        <w:t xml:space="preserve"> </w:t>
      </w:r>
      <w:r w:rsidR="00914D06">
        <w:rPr>
          <w:rFonts w:ascii="Times New Roman" w:eastAsia="Gulim" w:hAnsi="Times New Roman"/>
          <w:sz w:val="28"/>
          <w:szCs w:val="28"/>
        </w:rPr>
        <w:t>de 0,3%</w:t>
      </w:r>
      <w:r w:rsidR="005D2C90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>l’indice des produits</w:t>
      </w:r>
      <w:r w:rsidR="005D2C90">
        <w:rPr>
          <w:rFonts w:ascii="Times New Roman" w:eastAsia="Gulim" w:hAnsi="Times New Roman"/>
          <w:sz w:val="28"/>
          <w:szCs w:val="28"/>
        </w:rPr>
        <w:t xml:space="preserve"> non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267788" w:rsidP="00AF5B1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2A4E00" w:rsidRDefault="002A4E00" w:rsidP="002A4E00">
      <w:pPr>
        <w:ind w:left="0"/>
        <w:jc w:val="both"/>
        <w:rPr>
          <w:rFonts w:ascii="Times New Roman" w:eastAsia="Gulim" w:hAnsi="Times New Roman"/>
          <w:noProof/>
          <w:sz w:val="28"/>
          <w:szCs w:val="28"/>
          <w:lang w:eastAsia="fr-FR"/>
        </w:rPr>
      </w:pPr>
    </w:p>
    <w:p w:rsidR="0046706C" w:rsidRDefault="00B06305" w:rsidP="00914D0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11430</wp:posOffset>
            </wp:positionV>
            <wp:extent cx="16002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43" y="21377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267788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914D06">
        <w:rPr>
          <w:rFonts w:ascii="Times New Roman" w:eastAsia="Gulim" w:hAnsi="Times New Roman"/>
          <w:sz w:val="28"/>
          <w:szCs w:val="28"/>
        </w:rPr>
        <w:t>Mars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 xml:space="preserve">et </w:t>
      </w:r>
      <w:r w:rsidR="00914D06">
        <w:rPr>
          <w:rFonts w:ascii="Times New Roman" w:eastAsia="Gulim" w:hAnsi="Times New Roman"/>
          <w:sz w:val="28"/>
          <w:szCs w:val="28"/>
        </w:rPr>
        <w:t>Avril</w:t>
      </w:r>
      <w:r w:rsidR="00CE74E5">
        <w:rPr>
          <w:rFonts w:ascii="Times New Roman" w:eastAsia="Gulim" w:hAnsi="Times New Roman"/>
          <w:sz w:val="28"/>
          <w:szCs w:val="28"/>
        </w:rPr>
        <w:t xml:space="preserve"> 2024,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1D3D9B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267788" w:rsidRPr="009C0D33">
        <w:rPr>
          <w:rFonts w:ascii="Times New Roman" w:eastAsia="Gulim" w:hAnsi="Times New Roman"/>
          <w:sz w:val="28"/>
          <w:szCs w:val="28"/>
        </w:rPr>
        <w:t>‘‘</w:t>
      </w:r>
      <w:r w:rsidR="00914D06">
        <w:rPr>
          <w:rFonts w:ascii="Times New Roman" w:eastAsia="Gulim" w:hAnsi="Times New Roman"/>
          <w:sz w:val="28"/>
          <w:szCs w:val="28"/>
        </w:rPr>
        <w:t>Légumes</w:t>
      </w:r>
      <w:r w:rsidR="00267788" w:rsidRPr="009C0D33">
        <w:rPr>
          <w:rFonts w:ascii="Times New Roman" w:eastAsia="Gulim" w:hAnsi="Times New Roman"/>
          <w:sz w:val="28"/>
          <w:szCs w:val="28"/>
        </w:rPr>
        <w:t>’’</w:t>
      </w:r>
      <w:r w:rsidR="00267788">
        <w:rPr>
          <w:rFonts w:ascii="Times New Roman" w:eastAsia="Gulim" w:hAnsi="Times New Roman"/>
          <w:sz w:val="28"/>
          <w:szCs w:val="28"/>
        </w:rPr>
        <w:t xml:space="preserve"> avec </w:t>
      </w:r>
      <w:r w:rsidR="00914D06">
        <w:rPr>
          <w:rFonts w:ascii="Times New Roman" w:eastAsia="Gulim" w:hAnsi="Times New Roman"/>
          <w:sz w:val="28"/>
          <w:szCs w:val="28"/>
        </w:rPr>
        <w:t>5,0</w:t>
      </w:r>
      <w:r w:rsidR="00267788">
        <w:rPr>
          <w:rFonts w:ascii="Times New Roman" w:eastAsia="Gulim" w:hAnsi="Times New Roman"/>
          <w:sz w:val="28"/>
          <w:szCs w:val="28"/>
        </w:rPr>
        <w:t xml:space="preserve">%, les </w:t>
      </w:r>
      <w:r w:rsidR="00267788" w:rsidRPr="009C0D33">
        <w:rPr>
          <w:rFonts w:ascii="Times New Roman" w:eastAsia="Gulim" w:hAnsi="Times New Roman"/>
          <w:sz w:val="28"/>
          <w:szCs w:val="28"/>
        </w:rPr>
        <w:t>‘‘</w:t>
      </w:r>
      <w:r w:rsidR="00267788">
        <w:rPr>
          <w:rFonts w:ascii="Times New Roman" w:eastAsia="Gulim" w:hAnsi="Times New Roman"/>
          <w:sz w:val="28"/>
          <w:szCs w:val="28"/>
        </w:rPr>
        <w:t>Poissons et fruits de mer</w:t>
      </w:r>
      <w:r w:rsidR="00267788" w:rsidRPr="009C0D33">
        <w:rPr>
          <w:rFonts w:ascii="Times New Roman" w:eastAsia="Gulim" w:hAnsi="Times New Roman"/>
          <w:sz w:val="28"/>
          <w:szCs w:val="28"/>
        </w:rPr>
        <w:t>’’</w:t>
      </w:r>
      <w:r w:rsidR="00267788">
        <w:rPr>
          <w:rFonts w:ascii="Times New Roman" w:eastAsia="Gulim" w:hAnsi="Times New Roman"/>
          <w:sz w:val="28"/>
          <w:szCs w:val="28"/>
        </w:rPr>
        <w:t xml:space="preserve"> avec </w:t>
      </w:r>
      <w:r w:rsidR="00914D06">
        <w:rPr>
          <w:rFonts w:ascii="Times New Roman" w:eastAsia="Gulim" w:hAnsi="Times New Roman"/>
          <w:sz w:val="28"/>
          <w:szCs w:val="28"/>
        </w:rPr>
        <w:t>4,3</w:t>
      </w:r>
      <w:r w:rsidR="00267788">
        <w:rPr>
          <w:rFonts w:ascii="Times New Roman" w:eastAsia="Gulim" w:hAnsi="Times New Roman"/>
          <w:sz w:val="28"/>
          <w:szCs w:val="28"/>
        </w:rPr>
        <w:t xml:space="preserve">% et les </w:t>
      </w:r>
      <w:r w:rsidR="00267788" w:rsidRPr="009C0D33">
        <w:rPr>
          <w:rFonts w:ascii="Times New Roman" w:eastAsia="Gulim" w:hAnsi="Times New Roman"/>
          <w:sz w:val="28"/>
          <w:szCs w:val="28"/>
        </w:rPr>
        <w:t>‘‘</w:t>
      </w:r>
      <w:r w:rsidR="00267788">
        <w:rPr>
          <w:rFonts w:ascii="Times New Roman" w:eastAsia="Gulim" w:hAnsi="Times New Roman"/>
          <w:sz w:val="28"/>
          <w:szCs w:val="28"/>
        </w:rPr>
        <w:t xml:space="preserve">Fruits avec </w:t>
      </w:r>
      <w:r w:rsidR="00914D06">
        <w:rPr>
          <w:rFonts w:ascii="Times New Roman" w:eastAsia="Gulim" w:hAnsi="Times New Roman"/>
          <w:sz w:val="28"/>
          <w:szCs w:val="28"/>
        </w:rPr>
        <w:t>4,4</w:t>
      </w:r>
      <w:r w:rsidR="00267788">
        <w:rPr>
          <w:rFonts w:ascii="Times New Roman" w:eastAsia="Gulim" w:hAnsi="Times New Roman"/>
          <w:sz w:val="28"/>
          <w:szCs w:val="28"/>
        </w:rPr>
        <w:t>%.</w:t>
      </w:r>
      <w:r w:rsidR="00B35FA1">
        <w:rPr>
          <w:rFonts w:ascii="Times New Roman" w:eastAsia="Gulim" w:hAnsi="Times New Roman"/>
          <w:sz w:val="28"/>
          <w:szCs w:val="28"/>
        </w:rPr>
        <w:t xml:space="preserve">  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914D06" w:rsidRPr="001B6B04" w:rsidTr="00914D06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14D06" w:rsidRPr="003109A6" w:rsidRDefault="00914D06" w:rsidP="00914D0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Mars_2024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Avril_2024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914D06" w:rsidRPr="001B6B04" w:rsidTr="00914D06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14D06" w:rsidRPr="008E7CC9" w:rsidRDefault="00914D06" w:rsidP="00914D0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14D06" w:rsidRPr="008E7CC9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14D06" w:rsidRPr="008E7CC9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14D06" w:rsidRPr="008E7CC9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914D06" w:rsidRPr="008E7CC9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914D06" w:rsidRPr="001B6B04" w:rsidTr="00914D06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914D06" w:rsidRPr="001B6B04" w:rsidTr="00914D06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131,4</w:t>
            </w:r>
          </w:p>
        </w:tc>
        <w:tc>
          <w:tcPr>
            <w:tcW w:w="1701" w:type="dxa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914D06" w:rsidRPr="001B6B04" w:rsidTr="00914D06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109,5</w:t>
            </w:r>
          </w:p>
        </w:tc>
        <w:tc>
          <w:tcPr>
            <w:tcW w:w="1701" w:type="dxa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4,3</w:t>
            </w:r>
          </w:p>
        </w:tc>
      </w:tr>
      <w:tr w:rsidR="00914D06" w:rsidRPr="001B6B04" w:rsidTr="00914D06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123,4</w:t>
            </w:r>
          </w:p>
        </w:tc>
        <w:tc>
          <w:tcPr>
            <w:tcW w:w="1701" w:type="dxa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-2,6</w:t>
            </w:r>
          </w:p>
        </w:tc>
      </w:tr>
      <w:tr w:rsidR="00914D06" w:rsidRPr="001B6B04" w:rsidTr="00914D06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150,5</w:t>
            </w:r>
          </w:p>
        </w:tc>
        <w:tc>
          <w:tcPr>
            <w:tcW w:w="1701" w:type="dxa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914D06" w:rsidRPr="001B6B04" w:rsidTr="00914D06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133,4</w:t>
            </w:r>
          </w:p>
        </w:tc>
        <w:tc>
          <w:tcPr>
            <w:tcW w:w="1701" w:type="dxa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139,3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4,4</w:t>
            </w:r>
          </w:p>
        </w:tc>
      </w:tr>
      <w:tr w:rsidR="00914D06" w:rsidRPr="001B6B04" w:rsidTr="00914D06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122,8</w:t>
            </w:r>
          </w:p>
        </w:tc>
        <w:tc>
          <w:tcPr>
            <w:tcW w:w="1701" w:type="dxa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5,0</w:t>
            </w:r>
          </w:p>
        </w:tc>
      </w:tr>
      <w:tr w:rsidR="00914D06" w:rsidRPr="001B6B04" w:rsidTr="00914D06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1701" w:type="dxa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914D06" w:rsidRPr="001B6B04" w:rsidTr="00914D06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914D06" w:rsidRPr="001B6B04" w:rsidTr="00914D06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914D06" w:rsidRPr="001B6B04" w:rsidTr="00914D06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14D06" w:rsidRPr="008E7CC9" w:rsidRDefault="00914D06" w:rsidP="00914D0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14D06" w:rsidRPr="008E7CC9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14D06" w:rsidRPr="008E7CC9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14D06" w:rsidRPr="008E7CC9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914D06" w:rsidRPr="008E7CC9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914D06" w:rsidRPr="001B6B04" w:rsidTr="00914D06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914D06" w:rsidRPr="001B6B04" w:rsidTr="00914D06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4D06" w:rsidRPr="003109A6" w:rsidRDefault="00686EF7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14D06" w:rsidRPr="003109A6" w:rsidRDefault="00686EF7" w:rsidP="00914D0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914D06" w:rsidRPr="001B6B04" w:rsidTr="00914D06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14D06" w:rsidRPr="003109A6" w:rsidRDefault="00914D06" w:rsidP="00914D0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14D06" w:rsidRPr="003109A6" w:rsidRDefault="00914D06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14D06" w:rsidRPr="003109A6" w:rsidRDefault="00686EF7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914D06" w:rsidRPr="003109A6" w:rsidRDefault="00686EF7" w:rsidP="00914D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</w:tbl>
    <w:p w:rsidR="00267A4B" w:rsidRDefault="00435B3C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Les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 xml:space="preserve"> produits non alimentaires</w:t>
      </w:r>
      <w:r w:rsidR="0069178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F92B40" w:rsidRDefault="00267A4B" w:rsidP="00F439A6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0F4DFF">
        <w:rPr>
          <w:rFonts w:ascii="Times New Roman" w:eastAsia="Gulim" w:hAnsi="Times New Roman"/>
          <w:sz w:val="28"/>
          <w:szCs w:val="28"/>
        </w:rPr>
        <w:t xml:space="preserve">les </w:t>
      </w:r>
      <w:r w:rsidR="009E57B8">
        <w:rPr>
          <w:rFonts w:ascii="Times New Roman" w:eastAsia="Gulim" w:hAnsi="Times New Roman"/>
          <w:sz w:val="28"/>
          <w:szCs w:val="28"/>
        </w:rPr>
        <w:t>prix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F11724">
        <w:rPr>
          <w:rFonts w:ascii="Times New Roman" w:eastAsia="Gulim" w:hAnsi="Times New Roman"/>
          <w:sz w:val="28"/>
          <w:szCs w:val="28"/>
        </w:rPr>
        <w:t xml:space="preserve">Mars </w:t>
      </w:r>
      <w:r w:rsidR="008E2196">
        <w:rPr>
          <w:rFonts w:ascii="Times New Roman" w:eastAsia="Gulim" w:hAnsi="Times New Roman"/>
          <w:sz w:val="28"/>
          <w:szCs w:val="28"/>
        </w:rPr>
        <w:t xml:space="preserve">et </w:t>
      </w:r>
      <w:r w:rsidR="00F11724">
        <w:rPr>
          <w:rFonts w:ascii="Times New Roman" w:eastAsia="Gulim" w:hAnsi="Times New Roman"/>
          <w:sz w:val="28"/>
          <w:szCs w:val="28"/>
        </w:rPr>
        <w:t>Avril</w:t>
      </w:r>
      <w:r w:rsidR="006C371B">
        <w:rPr>
          <w:rFonts w:ascii="Times New Roman" w:eastAsia="Gulim" w:hAnsi="Times New Roman"/>
          <w:sz w:val="28"/>
          <w:szCs w:val="28"/>
        </w:rPr>
        <w:t xml:space="preserve"> 2024 </w:t>
      </w:r>
      <w:r w:rsidR="000F4DFF">
        <w:rPr>
          <w:rFonts w:ascii="Times New Roman" w:eastAsia="Gulim" w:hAnsi="Times New Roman"/>
          <w:sz w:val="28"/>
          <w:szCs w:val="28"/>
        </w:rPr>
        <w:t xml:space="preserve">ont connu une hausse pour les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0F4DFF">
        <w:rPr>
          <w:rFonts w:ascii="Times New Roman" w:eastAsia="Gulim" w:hAnsi="Times New Roman"/>
          <w:sz w:val="28"/>
          <w:szCs w:val="28"/>
        </w:rPr>
        <w:t>Articles d’Habillement et Chaussures</w:t>
      </w:r>
      <w:r w:rsidR="008E2196" w:rsidRPr="00391850">
        <w:rPr>
          <w:rFonts w:ascii="Times New Roman" w:eastAsia="Gulim" w:hAnsi="Times New Roman"/>
          <w:sz w:val="28"/>
          <w:szCs w:val="28"/>
        </w:rPr>
        <w:t>’’</w:t>
      </w:r>
      <w:r w:rsidR="008E2196">
        <w:rPr>
          <w:rFonts w:ascii="Times New Roman" w:eastAsia="Gulim" w:hAnsi="Times New Roman"/>
          <w:sz w:val="28"/>
          <w:szCs w:val="28"/>
        </w:rPr>
        <w:t xml:space="preserve"> avec </w:t>
      </w:r>
      <w:r w:rsidR="00F11724">
        <w:rPr>
          <w:rFonts w:ascii="Times New Roman" w:eastAsia="Gulim" w:hAnsi="Times New Roman"/>
          <w:sz w:val="28"/>
          <w:szCs w:val="28"/>
        </w:rPr>
        <w:t xml:space="preserve">1,0, le </w:t>
      </w:r>
      <w:r w:rsidR="00F11724" w:rsidRPr="009C0D33">
        <w:rPr>
          <w:rFonts w:ascii="Times New Roman" w:eastAsia="Gulim" w:hAnsi="Times New Roman"/>
          <w:sz w:val="28"/>
          <w:szCs w:val="28"/>
        </w:rPr>
        <w:t>‘‘</w:t>
      </w:r>
      <w:r w:rsidR="00F11724">
        <w:rPr>
          <w:rFonts w:ascii="Times New Roman" w:eastAsia="Gulim" w:hAnsi="Times New Roman"/>
          <w:sz w:val="28"/>
          <w:szCs w:val="28"/>
        </w:rPr>
        <w:t>Matériel de traitement de l’information</w:t>
      </w:r>
      <w:r w:rsidR="00F11724" w:rsidRPr="00391850">
        <w:rPr>
          <w:rFonts w:ascii="Times New Roman" w:eastAsia="Gulim" w:hAnsi="Times New Roman"/>
          <w:sz w:val="28"/>
          <w:szCs w:val="28"/>
        </w:rPr>
        <w:t>’’</w:t>
      </w:r>
      <w:r w:rsidR="00F11724">
        <w:rPr>
          <w:rFonts w:ascii="Times New Roman" w:eastAsia="Gulim" w:hAnsi="Times New Roman"/>
          <w:sz w:val="28"/>
          <w:szCs w:val="28"/>
        </w:rPr>
        <w:t xml:space="preserve"> avec 2,3% et le</w:t>
      </w:r>
      <w:r w:rsidR="00AC1999">
        <w:rPr>
          <w:rFonts w:ascii="Times New Roman" w:eastAsia="Gulim" w:hAnsi="Times New Roman"/>
          <w:sz w:val="28"/>
          <w:szCs w:val="28"/>
        </w:rPr>
        <w:t>s</w:t>
      </w:r>
      <w:r w:rsidR="00F11724">
        <w:rPr>
          <w:rFonts w:ascii="Times New Roman" w:eastAsia="Gulim" w:hAnsi="Times New Roman"/>
          <w:sz w:val="28"/>
          <w:szCs w:val="28"/>
        </w:rPr>
        <w:t xml:space="preserve"> </w:t>
      </w:r>
      <w:r w:rsidR="00F11724" w:rsidRPr="009C0D33">
        <w:rPr>
          <w:rFonts w:ascii="Times New Roman" w:eastAsia="Gulim" w:hAnsi="Times New Roman"/>
          <w:sz w:val="28"/>
          <w:szCs w:val="28"/>
        </w:rPr>
        <w:t>‘‘</w:t>
      </w:r>
      <w:r w:rsidR="00F11724">
        <w:rPr>
          <w:rFonts w:ascii="Times New Roman" w:eastAsia="Gulim" w:hAnsi="Times New Roman"/>
          <w:sz w:val="28"/>
          <w:szCs w:val="28"/>
        </w:rPr>
        <w:t>Carburants et lubrifiants</w:t>
      </w:r>
      <w:r w:rsidR="00F11724" w:rsidRPr="00391850">
        <w:rPr>
          <w:rFonts w:ascii="Times New Roman" w:eastAsia="Gulim" w:hAnsi="Times New Roman"/>
          <w:sz w:val="28"/>
          <w:szCs w:val="28"/>
        </w:rPr>
        <w:t>’’</w:t>
      </w:r>
      <w:r w:rsidR="00F11724">
        <w:rPr>
          <w:rFonts w:ascii="Times New Roman" w:eastAsia="Gulim" w:hAnsi="Times New Roman"/>
          <w:sz w:val="28"/>
          <w:szCs w:val="28"/>
        </w:rPr>
        <w:t xml:space="preserve"> a</w:t>
      </w:r>
      <w:r w:rsidR="000F4DFF">
        <w:rPr>
          <w:rFonts w:ascii="Times New Roman" w:eastAsia="Gulim" w:hAnsi="Times New Roman"/>
          <w:sz w:val="28"/>
          <w:szCs w:val="28"/>
        </w:rPr>
        <w:t xml:space="preserve">vec </w:t>
      </w:r>
      <w:r w:rsidR="00F11724">
        <w:rPr>
          <w:rFonts w:ascii="Times New Roman" w:eastAsia="Gulim" w:hAnsi="Times New Roman"/>
          <w:sz w:val="28"/>
          <w:szCs w:val="28"/>
        </w:rPr>
        <w:t xml:space="preserve">1,3% contre </w:t>
      </w:r>
      <w:r w:rsidR="000F4DFF">
        <w:rPr>
          <w:rFonts w:ascii="Times New Roman" w:eastAsia="Gulim" w:hAnsi="Times New Roman"/>
          <w:sz w:val="28"/>
          <w:szCs w:val="28"/>
        </w:rPr>
        <w:t>une quasi- stagnation des</w:t>
      </w:r>
      <w:r w:rsidR="00054D2E">
        <w:rPr>
          <w:rFonts w:ascii="Times New Roman" w:eastAsia="Gulim" w:hAnsi="Times New Roman"/>
          <w:sz w:val="28"/>
          <w:szCs w:val="28"/>
        </w:rPr>
        <w:t xml:space="preserve"> prix des</w:t>
      </w:r>
      <w:r w:rsidR="000F4DFF">
        <w:rPr>
          <w:rFonts w:ascii="Times New Roman" w:eastAsia="Gulim" w:hAnsi="Times New Roman"/>
          <w:sz w:val="28"/>
          <w:szCs w:val="28"/>
        </w:rPr>
        <w:t xml:space="preserve"> autres biens et services.</w:t>
      </w:r>
    </w:p>
    <w:p w:rsidR="00FD00D6" w:rsidRDefault="00197858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E68350B" wp14:editId="7CF9290B">
            <wp:extent cx="5391150" cy="2324100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29"/>
        <w:gridCol w:w="993"/>
        <w:gridCol w:w="1421"/>
        <w:gridCol w:w="1276"/>
        <w:gridCol w:w="1421"/>
        <w:gridCol w:w="1698"/>
      </w:tblGrid>
      <w:tr w:rsidR="00F439A6" w:rsidRPr="004E0DA4" w:rsidTr="00F439A6">
        <w:trPr>
          <w:trHeight w:val="645"/>
          <w:jc w:val="center"/>
        </w:trPr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439A6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Mars_ </w:t>
            </w:r>
          </w:p>
          <w:p w:rsidR="00F439A6" w:rsidRPr="005A6F02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439A6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Avril_</w:t>
            </w:r>
          </w:p>
          <w:p w:rsidR="00F439A6" w:rsidRPr="005A6F02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439A6" w:rsidRPr="005A6F02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F439A6" w:rsidRPr="005A6F02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F439A6" w:rsidRPr="004E0DA4" w:rsidTr="00F439A6">
        <w:trPr>
          <w:trHeight w:val="530"/>
          <w:jc w:val="center"/>
        </w:trPr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126,0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-1,2</w:t>
            </w:r>
          </w:p>
        </w:tc>
      </w:tr>
      <w:tr w:rsidR="00F439A6" w:rsidRPr="004E0DA4" w:rsidTr="00F439A6">
        <w:trPr>
          <w:trHeight w:val="412"/>
          <w:jc w:val="center"/>
        </w:trPr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111,9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F439A6" w:rsidRPr="00534BE7" w:rsidTr="00F439A6">
        <w:trPr>
          <w:trHeight w:val="552"/>
          <w:jc w:val="center"/>
        </w:trPr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101EA" w:rsidRDefault="007C3D0E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F439A6" w:rsidRPr="004E0DA4" w:rsidTr="00F439A6">
        <w:trPr>
          <w:trHeight w:val="560"/>
          <w:jc w:val="center"/>
        </w:trPr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101EA" w:rsidRDefault="007C3D0E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F439A6" w:rsidRPr="004E0DA4" w:rsidTr="00F439A6">
        <w:trPr>
          <w:trHeight w:val="688"/>
          <w:jc w:val="center"/>
        </w:trPr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113,6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101EA" w:rsidRDefault="007C3D0E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F439A6" w:rsidRPr="004E0DA4" w:rsidTr="00F439A6">
        <w:trPr>
          <w:trHeight w:val="311"/>
          <w:jc w:val="center"/>
        </w:trPr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101EA" w:rsidRDefault="007C3D0E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-1,3</w:t>
            </w:r>
          </w:p>
        </w:tc>
      </w:tr>
      <w:tr w:rsidR="00F439A6" w:rsidRPr="004E0DA4" w:rsidTr="00F439A6">
        <w:trPr>
          <w:trHeight w:val="283"/>
          <w:jc w:val="center"/>
        </w:trPr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121,6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101EA" w:rsidRDefault="007C3D0E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3,1</w:t>
            </w:r>
          </w:p>
        </w:tc>
      </w:tr>
      <w:tr w:rsidR="00F439A6" w:rsidRPr="004E0DA4" w:rsidTr="00F439A6">
        <w:trPr>
          <w:trHeight w:val="407"/>
          <w:jc w:val="center"/>
        </w:trPr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104,2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101EA" w:rsidRDefault="007C3D0E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F439A6" w:rsidRPr="004E0DA4" w:rsidTr="00F439A6">
        <w:trPr>
          <w:trHeight w:val="393"/>
          <w:jc w:val="center"/>
        </w:trPr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101EA" w:rsidRDefault="007C3D0E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F439A6" w:rsidRPr="004E0DA4" w:rsidTr="00F439A6">
        <w:trPr>
          <w:trHeight w:val="313"/>
          <w:jc w:val="center"/>
        </w:trPr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101EA" w:rsidRDefault="007C3D0E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F439A6" w:rsidRPr="004E0DA4" w:rsidTr="00F439A6">
        <w:trPr>
          <w:trHeight w:val="418"/>
          <w:jc w:val="center"/>
        </w:trPr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114,8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101EA" w:rsidRDefault="007C3D0E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4,4</w:t>
            </w:r>
          </w:p>
        </w:tc>
      </w:tr>
      <w:tr w:rsidR="00F439A6" w:rsidRPr="004E0DA4" w:rsidTr="00F439A6">
        <w:trPr>
          <w:trHeight w:val="423"/>
          <w:jc w:val="center"/>
        </w:trPr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E0DA4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4101EA" w:rsidRDefault="007C3D0E" w:rsidP="00F439A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F439A6" w:rsidRPr="004E0DA4" w:rsidTr="00F439A6">
        <w:trPr>
          <w:trHeight w:val="415"/>
          <w:jc w:val="center"/>
        </w:trPr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Default="00F439A6" w:rsidP="00F439A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5703A7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5703A7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116,8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5703A7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5703A7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A6" w:rsidRPr="005703A7" w:rsidRDefault="00F439A6" w:rsidP="00F439A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</w:tbl>
    <w:p w:rsidR="001D5B7A" w:rsidRDefault="001D5B7A" w:rsidP="007C3D0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7C3D0E">
        <w:rPr>
          <w:rFonts w:ascii="Times New Roman" w:eastAsia="Gulim" w:hAnsi="Times New Roman"/>
          <w:b/>
          <w:bCs/>
          <w:sz w:val="28"/>
          <w:szCs w:val="28"/>
        </w:rPr>
        <w:t>0,3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7C3D0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7C3D0E">
        <w:rPr>
          <w:rFonts w:ascii="Times New Roman" w:eastAsia="Gulim" w:hAnsi="Times New Roman"/>
          <w:sz w:val="28"/>
          <w:szCs w:val="28"/>
        </w:rPr>
        <w:t>0,3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9967AC">
        <w:rPr>
          <w:rFonts w:ascii="Times New Roman" w:eastAsia="Gulim" w:hAnsi="Times New Roman"/>
          <w:sz w:val="28"/>
          <w:szCs w:val="28"/>
        </w:rPr>
        <w:t>1,</w:t>
      </w:r>
      <w:r w:rsidR="007C3D0E">
        <w:rPr>
          <w:rFonts w:ascii="Times New Roman" w:eastAsia="Gulim" w:hAnsi="Times New Roman"/>
          <w:sz w:val="28"/>
          <w:szCs w:val="28"/>
        </w:rPr>
        <w:t>1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</w:t>
      </w:r>
      <w:r w:rsidR="007C3D0E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alimentaires et </w:t>
      </w:r>
      <w:r w:rsidR="00D86F45">
        <w:rPr>
          <w:rFonts w:ascii="Times New Roman" w:eastAsia="Gulim" w:hAnsi="Times New Roman"/>
          <w:sz w:val="28"/>
          <w:szCs w:val="28"/>
        </w:rPr>
        <w:t>de</w:t>
      </w:r>
      <w:r w:rsidR="007C3D0E">
        <w:rPr>
          <w:rFonts w:ascii="Times New Roman" w:eastAsia="Gulim" w:hAnsi="Times New Roman"/>
          <w:sz w:val="28"/>
          <w:szCs w:val="28"/>
        </w:rPr>
        <w:t xml:space="preserve"> la baisse de 1,2% </w:t>
      </w:r>
      <w:r w:rsidR="007001FC">
        <w:rPr>
          <w:rFonts w:ascii="Times New Roman" w:eastAsia="Gulim" w:hAnsi="Times New Roman"/>
          <w:sz w:val="28"/>
          <w:szCs w:val="28"/>
        </w:rPr>
        <w:t xml:space="preserve">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>des produits alimentaires.</w:t>
      </w:r>
    </w:p>
    <w:p w:rsidR="00A61FB9" w:rsidRDefault="00A61FB9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7702D2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7F78C31" wp14:editId="286E9EC5">
            <wp:extent cx="5391150" cy="2743200"/>
            <wp:effectExtent l="0" t="0" r="0" b="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A06D2" w:rsidRDefault="009A06D2" w:rsidP="00D07698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82699" w:rsidRDefault="00182699" w:rsidP="0062698E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62698E">
        <w:rPr>
          <w:rFonts w:ascii="Times New Roman" w:eastAsia="Gulim" w:hAnsi="Times New Roman"/>
          <w:sz w:val="28"/>
          <w:szCs w:val="28"/>
        </w:rPr>
        <w:t>d’Avril</w:t>
      </w:r>
      <w:r>
        <w:rPr>
          <w:rFonts w:ascii="Times New Roman" w:eastAsia="Gulim" w:hAnsi="Times New Roman"/>
          <w:sz w:val="28"/>
          <w:szCs w:val="28"/>
        </w:rPr>
        <w:t xml:space="preserve"> 2024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170600">
        <w:rPr>
          <w:rFonts w:ascii="Times New Roman" w:eastAsia="Gulim" w:hAnsi="Times New Roman"/>
          <w:sz w:val="28"/>
          <w:szCs w:val="28"/>
        </w:rPr>
        <w:t>hausse</w:t>
      </w:r>
      <w:r>
        <w:rPr>
          <w:rFonts w:ascii="Times New Roman" w:eastAsia="Gulim" w:hAnsi="Times New Roman"/>
          <w:sz w:val="28"/>
          <w:szCs w:val="28"/>
        </w:rPr>
        <w:t xml:space="preserve"> de 0,</w:t>
      </w:r>
      <w:r w:rsidR="005B58E2">
        <w:rPr>
          <w:rFonts w:ascii="Times New Roman" w:eastAsia="Gulim" w:hAnsi="Times New Roman"/>
          <w:sz w:val="28"/>
          <w:szCs w:val="28"/>
        </w:rPr>
        <w:t>6</w:t>
      </w:r>
      <w:r>
        <w:rPr>
          <w:rFonts w:ascii="Times New Roman" w:eastAsia="Gulim" w:hAnsi="Times New Roman"/>
          <w:sz w:val="28"/>
          <w:szCs w:val="28"/>
        </w:rPr>
        <w:t xml:space="preserve">% en glissement mensuel et une hausse de </w:t>
      </w:r>
      <w:r w:rsidR="005C1973">
        <w:rPr>
          <w:rFonts w:ascii="Times New Roman" w:eastAsia="Gulim" w:hAnsi="Times New Roman"/>
          <w:sz w:val="28"/>
          <w:szCs w:val="28"/>
        </w:rPr>
        <w:t>0,</w:t>
      </w:r>
      <w:r w:rsidR="005B58E2">
        <w:rPr>
          <w:rFonts w:ascii="Times New Roman" w:eastAsia="Gulim" w:hAnsi="Times New Roman"/>
          <w:sz w:val="28"/>
          <w:szCs w:val="28"/>
        </w:rPr>
        <w:t>2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5B58E2" w:rsidRDefault="005B58E2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variations par villes, l’évolution mensuelle de l’IPC a été inégale allant d’une baisse de 0,6% à Laâyoune à une hausse de 1,8% à Al Hoceima.</w:t>
      </w:r>
    </w:p>
    <w:p w:rsidR="005B58E2" w:rsidRDefault="005B58E2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35DE1" w:rsidRDefault="00435DE1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435DE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C8" w:rsidRDefault="000513C8">
      <w:r>
        <w:separator/>
      </w:r>
    </w:p>
    <w:p w:rsidR="000513C8" w:rsidRDefault="000513C8"/>
  </w:endnote>
  <w:endnote w:type="continuationSeparator" w:id="0">
    <w:p w:rsidR="000513C8" w:rsidRDefault="000513C8">
      <w:r>
        <w:continuationSeparator/>
      </w:r>
    </w:p>
    <w:p w:rsidR="000513C8" w:rsidRDefault="00051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F42805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F42805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C8" w:rsidRDefault="000513C8">
      <w:r>
        <w:separator/>
      </w:r>
    </w:p>
    <w:p w:rsidR="000513C8" w:rsidRDefault="000513C8"/>
  </w:footnote>
  <w:footnote w:type="continuationSeparator" w:id="0">
    <w:p w:rsidR="000513C8" w:rsidRDefault="000513C8">
      <w:r>
        <w:continuationSeparator/>
      </w:r>
    </w:p>
    <w:p w:rsidR="000513C8" w:rsidRDefault="000513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102"/>
    <w:rsid w:val="0002224E"/>
    <w:rsid w:val="00022430"/>
    <w:rsid w:val="0002284B"/>
    <w:rsid w:val="000233EB"/>
    <w:rsid w:val="000238D8"/>
    <w:rsid w:val="00023E63"/>
    <w:rsid w:val="00024293"/>
    <w:rsid w:val="0002600D"/>
    <w:rsid w:val="00026377"/>
    <w:rsid w:val="000272DA"/>
    <w:rsid w:val="00027466"/>
    <w:rsid w:val="0002753A"/>
    <w:rsid w:val="00027755"/>
    <w:rsid w:val="000303CF"/>
    <w:rsid w:val="00030FEC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2F04"/>
    <w:rsid w:val="0004546F"/>
    <w:rsid w:val="00046CE3"/>
    <w:rsid w:val="00047130"/>
    <w:rsid w:val="000476D7"/>
    <w:rsid w:val="00047DA9"/>
    <w:rsid w:val="00047F74"/>
    <w:rsid w:val="00050054"/>
    <w:rsid w:val="000502E7"/>
    <w:rsid w:val="000503C2"/>
    <w:rsid w:val="00050951"/>
    <w:rsid w:val="00050C50"/>
    <w:rsid w:val="00050E83"/>
    <w:rsid w:val="00050F20"/>
    <w:rsid w:val="000513C8"/>
    <w:rsid w:val="000519C4"/>
    <w:rsid w:val="00051F75"/>
    <w:rsid w:val="000520BB"/>
    <w:rsid w:val="0005272F"/>
    <w:rsid w:val="00052E7B"/>
    <w:rsid w:val="00053184"/>
    <w:rsid w:val="00053473"/>
    <w:rsid w:val="00054D2E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5BA6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554F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4DFF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05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00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AC"/>
    <w:rsid w:val="00177FCE"/>
    <w:rsid w:val="00180B9A"/>
    <w:rsid w:val="00181324"/>
    <w:rsid w:val="0018165A"/>
    <w:rsid w:val="001821BF"/>
    <w:rsid w:val="001822B6"/>
    <w:rsid w:val="001822D5"/>
    <w:rsid w:val="0018260C"/>
    <w:rsid w:val="00182699"/>
    <w:rsid w:val="001828B8"/>
    <w:rsid w:val="00182C41"/>
    <w:rsid w:val="00182E71"/>
    <w:rsid w:val="00183F0D"/>
    <w:rsid w:val="001841F2"/>
    <w:rsid w:val="00184A0A"/>
    <w:rsid w:val="00184B98"/>
    <w:rsid w:val="00185026"/>
    <w:rsid w:val="00185674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87C28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858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5AD0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9B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3E41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16FC6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24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788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4E00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B7939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038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9CB"/>
    <w:rsid w:val="00357B8B"/>
    <w:rsid w:val="00357D0F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70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9C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648A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A51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831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B3C"/>
    <w:rsid w:val="00435DE1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4EA5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1F4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AB7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1D1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5D8A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1F3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8E2"/>
    <w:rsid w:val="005B5D76"/>
    <w:rsid w:val="005B6B46"/>
    <w:rsid w:val="005B6B66"/>
    <w:rsid w:val="005B6D4A"/>
    <w:rsid w:val="005B7034"/>
    <w:rsid w:val="005B765D"/>
    <w:rsid w:val="005C026C"/>
    <w:rsid w:val="005C1973"/>
    <w:rsid w:val="005C1E0D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2C90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65DF"/>
    <w:rsid w:val="005D76D1"/>
    <w:rsid w:val="005D7EFB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98E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67DC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12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6EF7"/>
    <w:rsid w:val="006879AE"/>
    <w:rsid w:val="00687AFB"/>
    <w:rsid w:val="006910CD"/>
    <w:rsid w:val="0069122D"/>
    <w:rsid w:val="006916C9"/>
    <w:rsid w:val="006916F6"/>
    <w:rsid w:val="0069178F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2F2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71B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2D29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2D2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1C1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D0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827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885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2C6C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0F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6C2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10A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49A"/>
    <w:rsid w:val="008E0EBB"/>
    <w:rsid w:val="008E103F"/>
    <w:rsid w:val="008E18A8"/>
    <w:rsid w:val="008E2196"/>
    <w:rsid w:val="008E220F"/>
    <w:rsid w:val="008E36AC"/>
    <w:rsid w:val="008E39D8"/>
    <w:rsid w:val="008E427C"/>
    <w:rsid w:val="008E449C"/>
    <w:rsid w:val="008E49C8"/>
    <w:rsid w:val="008E53F8"/>
    <w:rsid w:val="008E588D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108"/>
    <w:rsid w:val="00913D3C"/>
    <w:rsid w:val="009143C7"/>
    <w:rsid w:val="00914AC8"/>
    <w:rsid w:val="00914D06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7AC"/>
    <w:rsid w:val="00996CA3"/>
    <w:rsid w:val="00996CFD"/>
    <w:rsid w:val="009974F8"/>
    <w:rsid w:val="009975A4"/>
    <w:rsid w:val="00997AA5"/>
    <w:rsid w:val="00997E9E"/>
    <w:rsid w:val="009A006A"/>
    <w:rsid w:val="009A06D2"/>
    <w:rsid w:val="009A0FD8"/>
    <w:rsid w:val="009A1179"/>
    <w:rsid w:val="009A1A1F"/>
    <w:rsid w:val="009A1C27"/>
    <w:rsid w:val="009A24EA"/>
    <w:rsid w:val="009A27EF"/>
    <w:rsid w:val="009A2D08"/>
    <w:rsid w:val="009A3547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66E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7B8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1FB6"/>
    <w:rsid w:val="009F2653"/>
    <w:rsid w:val="009F2A80"/>
    <w:rsid w:val="009F2C2A"/>
    <w:rsid w:val="009F31D4"/>
    <w:rsid w:val="009F3EC6"/>
    <w:rsid w:val="009F4307"/>
    <w:rsid w:val="009F50EE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7DE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04B"/>
    <w:rsid w:val="00A54111"/>
    <w:rsid w:val="00A544FF"/>
    <w:rsid w:val="00A548F3"/>
    <w:rsid w:val="00A54AFF"/>
    <w:rsid w:val="00A551B7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25C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99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58F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8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52B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679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3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E74E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698"/>
    <w:rsid w:val="00D07B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4EA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BEF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27"/>
    <w:rsid w:val="00D84946"/>
    <w:rsid w:val="00D84A50"/>
    <w:rsid w:val="00D84CEE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6F45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0FC0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94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C2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24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805"/>
    <w:rsid w:val="00F429B2"/>
    <w:rsid w:val="00F42E10"/>
    <w:rsid w:val="00F42EDB"/>
    <w:rsid w:val="00F42F49"/>
    <w:rsid w:val="00F4306D"/>
    <w:rsid w:val="00F4320A"/>
    <w:rsid w:val="00F439A6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04C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004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309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4_2024\04_2024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4_2024\04_2024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Avril 2023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_ Avril 2024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0.19260355246291891"/>
          <c:w val="0.88897440944881889"/>
          <c:h val="0.77093767930171531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45017</c:v>
                </c:pt>
                <c:pt idx="1">
                  <c:v>45047</c:v>
                </c:pt>
                <c:pt idx="2">
                  <c:v>45078</c:v>
                </c:pt>
                <c:pt idx="3">
                  <c:v>45108</c:v>
                </c:pt>
                <c:pt idx="4">
                  <c:v>45139</c:v>
                </c:pt>
                <c:pt idx="5">
                  <c:v>45170</c:v>
                </c:pt>
                <c:pt idx="6">
                  <c:v>45200</c:v>
                </c:pt>
                <c:pt idx="7">
                  <c:v>45231</c:v>
                </c:pt>
                <c:pt idx="8">
                  <c:v>45261</c:v>
                </c:pt>
                <c:pt idx="9">
                  <c:v>45292</c:v>
                </c:pt>
                <c:pt idx="10">
                  <c:v>45323</c:v>
                </c:pt>
                <c:pt idx="11">
                  <c:v>45352</c:v>
                </c:pt>
                <c:pt idx="12">
                  <c:v>45383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1.4</c:v>
                </c:pt>
                <c:pt idx="1">
                  <c:v>-0.4</c:v>
                </c:pt>
                <c:pt idx="2">
                  <c:v>-0.7</c:v>
                </c:pt>
                <c:pt idx="3">
                  <c:v>0.3</c:v>
                </c:pt>
                <c:pt idx="4">
                  <c:v>0.3</c:v>
                </c:pt>
                <c:pt idx="5">
                  <c:v>1.2</c:v>
                </c:pt>
                <c:pt idx="6">
                  <c:v>0.1</c:v>
                </c:pt>
                <c:pt idx="7">
                  <c:v>-0.4</c:v>
                </c:pt>
                <c:pt idx="8">
                  <c:v>0.2</c:v>
                </c:pt>
                <c:pt idx="9">
                  <c:v>-0.8</c:v>
                </c:pt>
                <c:pt idx="10">
                  <c:v>-0.3</c:v>
                </c:pt>
                <c:pt idx="11">
                  <c:v>0.3</c:v>
                </c:pt>
                <c:pt idx="12">
                  <c:v>0.5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781-4DBF-85C3-2CFF0AD3587D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45017</c:v>
                </c:pt>
                <c:pt idx="1">
                  <c:v>45047</c:v>
                </c:pt>
                <c:pt idx="2">
                  <c:v>45078</c:v>
                </c:pt>
                <c:pt idx="3">
                  <c:v>45108</c:v>
                </c:pt>
                <c:pt idx="4">
                  <c:v>45139</c:v>
                </c:pt>
                <c:pt idx="5">
                  <c:v>45170</c:v>
                </c:pt>
                <c:pt idx="6">
                  <c:v>45200</c:v>
                </c:pt>
                <c:pt idx="7">
                  <c:v>45231</c:v>
                </c:pt>
                <c:pt idx="8">
                  <c:v>45261</c:v>
                </c:pt>
                <c:pt idx="9">
                  <c:v>45292</c:v>
                </c:pt>
                <c:pt idx="10">
                  <c:v>45323</c:v>
                </c:pt>
                <c:pt idx="11">
                  <c:v>45352</c:v>
                </c:pt>
                <c:pt idx="12">
                  <c:v>45383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1.4</c:v>
                </c:pt>
                <c:pt idx="1">
                  <c:v>-0.4</c:v>
                </c:pt>
                <c:pt idx="2">
                  <c:v>-0.9</c:v>
                </c:pt>
                <c:pt idx="3">
                  <c:v>0.3</c:v>
                </c:pt>
                <c:pt idx="4">
                  <c:v>0.3</c:v>
                </c:pt>
                <c:pt idx="5">
                  <c:v>0.8</c:v>
                </c:pt>
                <c:pt idx="6">
                  <c:v>-0.1</c:v>
                </c:pt>
                <c:pt idx="7">
                  <c:v>-0.3</c:v>
                </c:pt>
                <c:pt idx="8">
                  <c:v>-0.1</c:v>
                </c:pt>
                <c:pt idx="9">
                  <c:v>-0.6</c:v>
                </c:pt>
                <c:pt idx="10">
                  <c:v>-0.3</c:v>
                </c:pt>
                <c:pt idx="11">
                  <c:v>0.7</c:v>
                </c:pt>
                <c:pt idx="12">
                  <c:v>0.6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9781-4DBF-85C3-2CFF0AD35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2641344"/>
        <c:axId val="492638208"/>
      </c:lineChart>
      <c:dateAx>
        <c:axId val="49264134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2638208"/>
        <c:crosses val="autoZero"/>
        <c:auto val="1"/>
        <c:lblOffset val="100"/>
        <c:baseTimeUnit val="months"/>
      </c:dateAx>
      <c:valAx>
        <c:axId val="49263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264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Feuil9!$B$109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Feuil9!$A$110:$A$185</c:f>
              <c:numCache>
                <c:formatCode>mmm\-yy</c:formatCode>
                <c:ptCount val="76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</c:numCache>
            </c:numRef>
          </c:cat>
          <c:val>
            <c:numRef>
              <c:f>Feuil9!$B$110:$B$185</c:f>
              <c:numCache>
                <c:formatCode>General</c:formatCode>
                <c:ptCount val="76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  <c:pt idx="72">
                  <c:v>2.008733624454146</c:v>
                </c:pt>
                <c:pt idx="73">
                  <c:v>0.43140638481449528</c:v>
                </c:pt>
                <c:pt idx="74">
                  <c:v>1.0380622837370268</c:v>
                </c:pt>
                <c:pt idx="75">
                  <c:v>0.17064846416382495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E75-40F3-B56F-3B051D3B2828}"/>
            </c:ext>
          </c:extLst>
        </c:ser>
        <c:ser>
          <c:idx val="1"/>
          <c:order val="1"/>
          <c:tx>
            <c:strRef>
              <c:f>Feuil9!$C$109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Feuil9!$A$110:$A$185</c:f>
              <c:numCache>
                <c:formatCode>mmm\-yy</c:formatCode>
                <c:ptCount val="76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</c:numCache>
            </c:numRef>
          </c:cat>
          <c:val>
            <c:numRef>
              <c:f>Feuil9!$C$110:$C$185</c:f>
              <c:numCache>
                <c:formatCode>General</c:formatCode>
                <c:ptCount val="76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  <c:pt idx="72">
                  <c:v>2.2628372497824145</c:v>
                </c:pt>
                <c:pt idx="73">
                  <c:v>0.3424657534246624</c:v>
                </c:pt>
                <c:pt idx="74">
                  <c:v>0.94097519247219352</c:v>
                </c:pt>
                <c:pt idx="75">
                  <c:v>0.16877637130801926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E75-40F3-B56F-3B051D3B28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3734696"/>
        <c:axId val="493736264"/>
      </c:lineChart>
      <c:dateAx>
        <c:axId val="49373469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3736264"/>
        <c:crosses val="autoZero"/>
        <c:auto val="1"/>
        <c:lblOffset val="100"/>
        <c:baseTimeUnit val="months"/>
      </c:dateAx>
      <c:valAx>
        <c:axId val="493736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373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6AACFC-AB17-4DE8-B1DA-7051BD1B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2024-12-11T12:38:00Z</dcterms:created>
  <dcterms:modified xsi:type="dcterms:W3CDTF">2024-12-11T12:38:00Z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