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1027F2" w:rsidP="0038110E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</w:t>
            </w:r>
            <w:r w:rsidR="0038110E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uillet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38110E" w:rsidP="0038110E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1027F2">
        <w:rPr>
          <w:rFonts w:ascii="Times New Roman" w:eastAsia="Gulim" w:hAnsi="Times New Roman"/>
          <w:b/>
          <w:bCs/>
          <w:sz w:val="28"/>
          <w:szCs w:val="28"/>
        </w:rPr>
        <w:t>J</w:t>
      </w:r>
      <w:r>
        <w:rPr>
          <w:rFonts w:ascii="Times New Roman" w:eastAsia="Gulim" w:hAnsi="Times New Roman"/>
          <w:b/>
          <w:bCs/>
          <w:sz w:val="28"/>
          <w:szCs w:val="28"/>
        </w:rPr>
        <w:t>uillet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38110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38110E">
        <w:rPr>
          <w:rFonts w:ascii="Times New Roman" w:eastAsia="Gulim" w:hAnsi="Times New Roman"/>
          <w:sz w:val="28"/>
          <w:szCs w:val="28"/>
        </w:rPr>
        <w:t>baisse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38110E">
        <w:rPr>
          <w:rFonts w:ascii="Times New Roman" w:eastAsia="Gulim" w:hAnsi="Times New Roman"/>
          <w:sz w:val="28"/>
          <w:szCs w:val="28"/>
        </w:rPr>
        <w:t>1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8E0953">
        <w:rPr>
          <w:rFonts w:ascii="Times New Roman" w:eastAsia="Gulim" w:hAnsi="Times New Roman"/>
          <w:sz w:val="28"/>
          <w:szCs w:val="28"/>
        </w:rPr>
        <w:t xml:space="preserve">de </w:t>
      </w:r>
      <w:r w:rsidR="0038110E">
        <w:rPr>
          <w:rFonts w:ascii="Times New Roman" w:eastAsia="Gulim" w:hAnsi="Times New Roman"/>
          <w:sz w:val="28"/>
          <w:szCs w:val="28"/>
        </w:rPr>
        <w:t>Juillet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38110E">
        <w:rPr>
          <w:rFonts w:ascii="Times New Roman" w:eastAsia="Gulim" w:hAnsi="Times New Roman"/>
          <w:sz w:val="28"/>
          <w:szCs w:val="28"/>
        </w:rPr>
        <w:t>baisse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2A4E00">
        <w:rPr>
          <w:rFonts w:ascii="Times New Roman" w:eastAsia="Gulim" w:hAnsi="Times New Roman"/>
          <w:sz w:val="28"/>
          <w:szCs w:val="28"/>
        </w:rPr>
        <w:t>0,</w:t>
      </w:r>
      <w:r w:rsidR="001027F2">
        <w:rPr>
          <w:rFonts w:ascii="Times New Roman" w:eastAsia="Gulim" w:hAnsi="Times New Roman"/>
          <w:sz w:val="28"/>
          <w:szCs w:val="28"/>
        </w:rPr>
        <w:t>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38110E">
        <w:rPr>
          <w:rFonts w:ascii="Times New Roman" w:eastAsia="Gulim" w:hAnsi="Times New Roman"/>
          <w:sz w:val="28"/>
          <w:szCs w:val="28"/>
        </w:rPr>
        <w:t xml:space="preserve">à une hausse </w:t>
      </w:r>
      <w:r w:rsidR="00914D06">
        <w:rPr>
          <w:rFonts w:ascii="Times New Roman" w:eastAsia="Gulim" w:hAnsi="Times New Roman"/>
          <w:sz w:val="28"/>
          <w:szCs w:val="28"/>
        </w:rPr>
        <w:t>de 0,</w:t>
      </w:r>
      <w:r w:rsidR="001027F2">
        <w:rPr>
          <w:rFonts w:ascii="Times New Roman" w:eastAsia="Gulim" w:hAnsi="Times New Roman"/>
          <w:sz w:val="28"/>
          <w:szCs w:val="28"/>
        </w:rPr>
        <w:t>1</w:t>
      </w:r>
      <w:r w:rsidR="00914D06">
        <w:rPr>
          <w:rFonts w:ascii="Times New Roman" w:eastAsia="Gulim" w:hAnsi="Times New Roman"/>
          <w:sz w:val="28"/>
          <w:szCs w:val="28"/>
        </w:rPr>
        <w:t>%</w:t>
      </w:r>
      <w:r w:rsidR="005D2C9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38110E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391836" w:rsidRDefault="00B06305" w:rsidP="0038110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38110E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38110E">
        <w:rPr>
          <w:rFonts w:ascii="Times New Roman" w:eastAsia="Gulim" w:hAnsi="Times New Roman"/>
          <w:sz w:val="28"/>
          <w:szCs w:val="28"/>
        </w:rPr>
        <w:t>juin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</w:t>
      </w:r>
      <w:r w:rsidR="001027F2">
        <w:rPr>
          <w:rFonts w:ascii="Times New Roman" w:eastAsia="Gulim" w:hAnsi="Times New Roman"/>
          <w:sz w:val="28"/>
          <w:szCs w:val="28"/>
        </w:rPr>
        <w:t>J</w:t>
      </w:r>
      <w:r w:rsidR="0038110E">
        <w:rPr>
          <w:rFonts w:ascii="Times New Roman" w:eastAsia="Gulim" w:hAnsi="Times New Roman"/>
          <w:sz w:val="28"/>
          <w:szCs w:val="28"/>
        </w:rPr>
        <w:t>uillet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38110E">
        <w:rPr>
          <w:rFonts w:ascii="Times New Roman" w:eastAsia="Gulim" w:hAnsi="Times New Roman"/>
          <w:sz w:val="28"/>
          <w:szCs w:val="28"/>
        </w:rPr>
        <w:t>Viandes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38110E">
        <w:rPr>
          <w:rFonts w:ascii="Times New Roman" w:eastAsia="Gulim" w:hAnsi="Times New Roman"/>
          <w:sz w:val="28"/>
          <w:szCs w:val="28"/>
        </w:rPr>
        <w:t>1</w:t>
      </w:r>
      <w:r w:rsidR="001027F2">
        <w:rPr>
          <w:rFonts w:ascii="Times New Roman" w:eastAsia="Gulim" w:hAnsi="Times New Roman"/>
          <w:sz w:val="28"/>
          <w:szCs w:val="28"/>
        </w:rPr>
        <w:t>,6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1027F2">
        <w:rPr>
          <w:rFonts w:ascii="Times New Roman" w:eastAsia="Gulim" w:hAnsi="Times New Roman"/>
          <w:sz w:val="28"/>
          <w:szCs w:val="28"/>
        </w:rPr>
        <w:t xml:space="preserve">, les </w:t>
      </w:r>
      <w:r w:rsidR="001027F2" w:rsidRPr="009C0D33">
        <w:rPr>
          <w:rFonts w:ascii="Times New Roman" w:eastAsia="Gulim" w:hAnsi="Times New Roman"/>
          <w:sz w:val="28"/>
          <w:szCs w:val="28"/>
        </w:rPr>
        <w:t>‘‘</w:t>
      </w:r>
      <w:r w:rsidR="0038110E">
        <w:rPr>
          <w:rFonts w:ascii="Times New Roman" w:eastAsia="Gulim" w:hAnsi="Times New Roman"/>
          <w:sz w:val="28"/>
          <w:szCs w:val="28"/>
        </w:rPr>
        <w:t>Légumes</w:t>
      </w:r>
      <w:r w:rsidR="001027F2" w:rsidRPr="009C0D33">
        <w:rPr>
          <w:rFonts w:ascii="Times New Roman" w:eastAsia="Gulim" w:hAnsi="Times New Roman"/>
          <w:sz w:val="28"/>
          <w:szCs w:val="28"/>
        </w:rPr>
        <w:t>’’</w:t>
      </w:r>
      <w:r w:rsidR="001027F2">
        <w:rPr>
          <w:rFonts w:ascii="Times New Roman" w:eastAsia="Gulim" w:hAnsi="Times New Roman"/>
          <w:sz w:val="28"/>
          <w:szCs w:val="28"/>
        </w:rPr>
        <w:t xml:space="preserve"> avec </w:t>
      </w:r>
      <w:r w:rsidR="0038110E">
        <w:rPr>
          <w:rFonts w:ascii="Times New Roman" w:eastAsia="Gulim" w:hAnsi="Times New Roman"/>
          <w:sz w:val="28"/>
          <w:szCs w:val="28"/>
        </w:rPr>
        <w:t>4,3</w:t>
      </w:r>
      <w:r w:rsidR="001027F2">
        <w:rPr>
          <w:rFonts w:ascii="Times New Roman" w:eastAsia="Gulim" w:hAnsi="Times New Roman"/>
          <w:sz w:val="28"/>
          <w:szCs w:val="28"/>
        </w:rPr>
        <w:t xml:space="preserve">% </w:t>
      </w:r>
      <w:r w:rsidR="00D00068">
        <w:rPr>
          <w:rFonts w:ascii="Times New Roman" w:eastAsia="Gulim" w:hAnsi="Times New Roman"/>
          <w:sz w:val="28"/>
          <w:szCs w:val="28"/>
        </w:rPr>
        <w:t xml:space="preserve">et le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38110E">
        <w:rPr>
          <w:rFonts w:ascii="Times New Roman" w:eastAsia="Gulim" w:hAnsi="Times New Roman"/>
          <w:sz w:val="28"/>
          <w:szCs w:val="28"/>
        </w:rPr>
        <w:t>Lait, fromage et œufs</w:t>
      </w:r>
      <w:r w:rsidR="00267788" w:rsidRPr="009C0D33">
        <w:rPr>
          <w:rFonts w:ascii="Times New Roman" w:eastAsia="Gulim" w:hAnsi="Times New Roman"/>
          <w:sz w:val="28"/>
          <w:szCs w:val="28"/>
        </w:rPr>
        <w:t>’’</w:t>
      </w:r>
      <w:r w:rsidR="00267788">
        <w:rPr>
          <w:rFonts w:ascii="Times New Roman" w:eastAsia="Gulim" w:hAnsi="Times New Roman"/>
          <w:sz w:val="28"/>
          <w:szCs w:val="28"/>
        </w:rPr>
        <w:t xml:space="preserve"> avec </w:t>
      </w:r>
      <w:r w:rsidR="001027F2">
        <w:rPr>
          <w:rFonts w:ascii="Times New Roman" w:eastAsia="Gulim" w:hAnsi="Times New Roman"/>
          <w:sz w:val="28"/>
          <w:szCs w:val="28"/>
        </w:rPr>
        <w:t>0</w:t>
      </w:r>
      <w:r w:rsidR="00914D06">
        <w:rPr>
          <w:rFonts w:ascii="Times New Roman" w:eastAsia="Gulim" w:hAnsi="Times New Roman"/>
          <w:sz w:val="28"/>
          <w:szCs w:val="28"/>
        </w:rPr>
        <w:t>,</w:t>
      </w:r>
      <w:r w:rsidR="0038110E">
        <w:rPr>
          <w:rFonts w:ascii="Times New Roman" w:eastAsia="Gulim" w:hAnsi="Times New Roman"/>
          <w:sz w:val="28"/>
          <w:szCs w:val="28"/>
        </w:rPr>
        <w:t>9</w:t>
      </w:r>
      <w:r w:rsidR="00267788">
        <w:rPr>
          <w:rFonts w:ascii="Times New Roman" w:eastAsia="Gulim" w:hAnsi="Times New Roman"/>
          <w:sz w:val="28"/>
          <w:szCs w:val="28"/>
        </w:rPr>
        <w:t>%</w:t>
      </w:r>
      <w:r w:rsidR="00D00068">
        <w:rPr>
          <w:rFonts w:ascii="Times New Roman" w:eastAsia="Gulim" w:hAnsi="Times New Roman"/>
          <w:sz w:val="28"/>
          <w:szCs w:val="28"/>
        </w:rPr>
        <w:t>.</w:t>
      </w:r>
    </w:p>
    <w:p w:rsidR="00D00068" w:rsidRDefault="00D00068" w:rsidP="00D0006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38110E" w:rsidRPr="001B6B04" w:rsidTr="0038110E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38110E" w:rsidRPr="001B6B04" w:rsidTr="0038110E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8E7CC9" w:rsidRDefault="0038110E" w:rsidP="0038110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8E7CC9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8E7CC9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8E7CC9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8110E" w:rsidRPr="008E7CC9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38110E" w:rsidRPr="001B6B04" w:rsidTr="0038110E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114.9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38110E" w:rsidRPr="001B6B04" w:rsidTr="0038110E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134,4</w:t>
            </w:r>
          </w:p>
        </w:tc>
        <w:tc>
          <w:tcPr>
            <w:tcW w:w="1701" w:type="dxa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-1,6</w:t>
            </w:r>
          </w:p>
        </w:tc>
      </w:tr>
      <w:tr w:rsidR="0038110E" w:rsidRPr="001B6B04" w:rsidTr="0038110E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1701" w:type="dxa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6,9</w:t>
            </w:r>
          </w:p>
        </w:tc>
      </w:tr>
      <w:tr w:rsidR="0038110E" w:rsidRPr="001B6B04" w:rsidTr="0038110E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701" w:type="dxa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38110E" w:rsidRPr="001B6B04" w:rsidTr="0038110E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145,4</w:t>
            </w:r>
          </w:p>
        </w:tc>
        <w:tc>
          <w:tcPr>
            <w:tcW w:w="1701" w:type="dxa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38110E" w:rsidRPr="001B6B04" w:rsidTr="0038110E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142,3</w:t>
            </w:r>
          </w:p>
        </w:tc>
        <w:tc>
          <w:tcPr>
            <w:tcW w:w="1701" w:type="dxa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</w:t>
            </w:r>
          </w:p>
        </w:tc>
      </w:tr>
      <w:tr w:rsidR="0038110E" w:rsidRPr="001B6B04" w:rsidTr="0038110E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126,6</w:t>
            </w:r>
          </w:p>
        </w:tc>
        <w:tc>
          <w:tcPr>
            <w:tcW w:w="1701" w:type="dxa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-4,3</w:t>
            </w:r>
          </w:p>
        </w:tc>
      </w:tr>
      <w:tr w:rsidR="0038110E" w:rsidRPr="001B6B04" w:rsidTr="0038110E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701" w:type="dxa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38110E" w:rsidRPr="001B6B04" w:rsidTr="0038110E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38110E" w:rsidRPr="001B6B04" w:rsidTr="0038110E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38110E" w:rsidRPr="001B6B04" w:rsidTr="0038110E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110E" w:rsidRPr="008E7CC9" w:rsidRDefault="0038110E" w:rsidP="0038110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110E" w:rsidRPr="008E7CC9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110E" w:rsidRPr="008E7CC9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110E" w:rsidRPr="008E7CC9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38110E" w:rsidRPr="008E7CC9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8110E" w:rsidRPr="001B6B04" w:rsidTr="0038110E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38110E" w:rsidRPr="001B6B04" w:rsidTr="0038110E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8110E" w:rsidRPr="001B6B04" w:rsidTr="0038110E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38110E" w:rsidP="0038110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38110E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8110E" w:rsidRPr="003109A6" w:rsidRDefault="00605570" w:rsidP="0038110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C556C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0F4DFF">
        <w:rPr>
          <w:rFonts w:ascii="Times New Roman" w:eastAsia="Gulim" w:hAnsi="Times New Roman"/>
          <w:sz w:val="28"/>
          <w:szCs w:val="28"/>
        </w:rPr>
        <w:t xml:space="preserve">les </w:t>
      </w:r>
      <w:r w:rsidR="009E57B8">
        <w:rPr>
          <w:rFonts w:ascii="Times New Roman" w:eastAsia="Gulim" w:hAnsi="Times New Roman"/>
          <w:sz w:val="28"/>
          <w:szCs w:val="28"/>
        </w:rPr>
        <w:t>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C556C0">
        <w:rPr>
          <w:rFonts w:ascii="Times New Roman" w:eastAsia="Gulim" w:hAnsi="Times New Roman"/>
          <w:sz w:val="28"/>
          <w:szCs w:val="28"/>
        </w:rPr>
        <w:t>Juin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8E2196">
        <w:rPr>
          <w:rFonts w:ascii="Times New Roman" w:eastAsia="Gulim" w:hAnsi="Times New Roman"/>
          <w:sz w:val="28"/>
          <w:szCs w:val="28"/>
        </w:rPr>
        <w:t xml:space="preserve">et </w:t>
      </w:r>
      <w:r w:rsidR="00EF3342">
        <w:rPr>
          <w:rFonts w:ascii="Times New Roman" w:eastAsia="Gulim" w:hAnsi="Times New Roman"/>
          <w:sz w:val="28"/>
          <w:szCs w:val="28"/>
        </w:rPr>
        <w:t>Ju</w:t>
      </w:r>
      <w:r w:rsidR="00C556C0">
        <w:rPr>
          <w:rFonts w:ascii="Times New Roman" w:eastAsia="Gulim" w:hAnsi="Times New Roman"/>
          <w:sz w:val="28"/>
          <w:szCs w:val="28"/>
        </w:rPr>
        <w:t>illet</w:t>
      </w:r>
      <w:r w:rsidR="00A5745B">
        <w:rPr>
          <w:rFonts w:ascii="Times New Roman" w:eastAsia="Gulim" w:hAnsi="Times New Roman"/>
          <w:sz w:val="28"/>
          <w:szCs w:val="28"/>
        </w:rPr>
        <w:t xml:space="preserve"> </w:t>
      </w:r>
      <w:r w:rsidR="006C371B">
        <w:rPr>
          <w:rFonts w:ascii="Times New Roman" w:eastAsia="Gulim" w:hAnsi="Times New Roman"/>
          <w:sz w:val="28"/>
          <w:szCs w:val="28"/>
        </w:rPr>
        <w:t xml:space="preserve">2024 </w:t>
      </w:r>
      <w:r w:rsidR="000F4DFF">
        <w:rPr>
          <w:rFonts w:ascii="Times New Roman" w:eastAsia="Gulim" w:hAnsi="Times New Roman"/>
          <w:sz w:val="28"/>
          <w:szCs w:val="28"/>
        </w:rPr>
        <w:t>ont connu une hausse pour le</w:t>
      </w:r>
      <w:r w:rsidR="00C556C0">
        <w:rPr>
          <w:rFonts w:ascii="Times New Roman" w:eastAsia="Gulim" w:hAnsi="Times New Roman"/>
          <w:sz w:val="28"/>
          <w:szCs w:val="28"/>
        </w:rPr>
        <w:t>s</w:t>
      </w:r>
      <w:r w:rsidR="000F4DFF">
        <w:rPr>
          <w:rFonts w:ascii="Times New Roman" w:eastAsia="Gulim" w:hAnsi="Times New Roman"/>
          <w:sz w:val="28"/>
          <w:szCs w:val="28"/>
        </w:rPr>
        <w:t xml:space="preserve">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C556C0">
        <w:rPr>
          <w:rFonts w:ascii="Times New Roman" w:eastAsia="Gulim" w:hAnsi="Times New Roman"/>
          <w:sz w:val="28"/>
          <w:szCs w:val="28"/>
        </w:rPr>
        <w:t>Carburants et lubrifiants</w:t>
      </w:r>
      <w:r w:rsidR="008E2196" w:rsidRPr="00391850">
        <w:rPr>
          <w:rFonts w:ascii="Times New Roman" w:eastAsia="Gulim" w:hAnsi="Times New Roman"/>
          <w:sz w:val="28"/>
          <w:szCs w:val="28"/>
        </w:rPr>
        <w:t>’’</w:t>
      </w:r>
      <w:r w:rsidR="008E2196">
        <w:rPr>
          <w:rFonts w:ascii="Times New Roman" w:eastAsia="Gulim" w:hAnsi="Times New Roman"/>
          <w:sz w:val="28"/>
          <w:szCs w:val="28"/>
        </w:rPr>
        <w:t xml:space="preserve"> avec </w:t>
      </w:r>
      <w:r w:rsidR="00C556C0">
        <w:rPr>
          <w:rFonts w:ascii="Times New Roman" w:eastAsia="Gulim" w:hAnsi="Times New Roman"/>
          <w:sz w:val="28"/>
          <w:szCs w:val="28"/>
        </w:rPr>
        <w:t>1,4</w:t>
      </w:r>
      <w:r w:rsidR="00EF3342">
        <w:rPr>
          <w:rFonts w:ascii="Times New Roman" w:eastAsia="Gulim" w:hAnsi="Times New Roman"/>
          <w:sz w:val="28"/>
          <w:szCs w:val="28"/>
        </w:rPr>
        <w:t>% et</w:t>
      </w:r>
      <w:r w:rsidR="00F11724">
        <w:rPr>
          <w:rFonts w:ascii="Times New Roman" w:eastAsia="Gulim" w:hAnsi="Times New Roman"/>
          <w:sz w:val="28"/>
          <w:szCs w:val="28"/>
        </w:rPr>
        <w:t xml:space="preserve"> le</w:t>
      </w:r>
      <w:r w:rsidR="00EF3342">
        <w:rPr>
          <w:rFonts w:ascii="Times New Roman" w:eastAsia="Gulim" w:hAnsi="Times New Roman"/>
          <w:sz w:val="28"/>
          <w:szCs w:val="28"/>
        </w:rPr>
        <w:t>s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EF3342">
        <w:rPr>
          <w:rFonts w:ascii="Times New Roman" w:eastAsia="Gulim" w:hAnsi="Times New Roman"/>
          <w:sz w:val="28"/>
          <w:szCs w:val="28"/>
        </w:rPr>
        <w:t xml:space="preserve">Restaurants et hôtels 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avec </w:t>
      </w:r>
      <w:r w:rsidR="00C556C0">
        <w:rPr>
          <w:rFonts w:ascii="Times New Roman" w:eastAsia="Gulim" w:hAnsi="Times New Roman"/>
          <w:sz w:val="28"/>
          <w:szCs w:val="28"/>
        </w:rPr>
        <w:t>0</w:t>
      </w:r>
      <w:r w:rsidR="00A5745B">
        <w:rPr>
          <w:rFonts w:ascii="Times New Roman" w:eastAsia="Gulim" w:hAnsi="Times New Roman"/>
          <w:sz w:val="28"/>
          <w:szCs w:val="28"/>
        </w:rPr>
        <w:t>,</w:t>
      </w:r>
      <w:r w:rsidR="00EF3342">
        <w:rPr>
          <w:rFonts w:ascii="Times New Roman" w:eastAsia="Gulim" w:hAnsi="Times New Roman"/>
          <w:sz w:val="28"/>
          <w:szCs w:val="28"/>
        </w:rPr>
        <w:t>1</w:t>
      </w:r>
      <w:r w:rsidR="00F11724">
        <w:rPr>
          <w:rFonts w:ascii="Times New Roman" w:eastAsia="Gulim" w:hAnsi="Times New Roman"/>
          <w:sz w:val="28"/>
          <w:szCs w:val="28"/>
        </w:rPr>
        <w:t xml:space="preserve">% </w:t>
      </w:r>
      <w:r w:rsidR="00A5745B">
        <w:rPr>
          <w:rFonts w:ascii="Times New Roman" w:eastAsia="Gulim" w:hAnsi="Times New Roman"/>
          <w:sz w:val="28"/>
          <w:szCs w:val="28"/>
        </w:rPr>
        <w:t>contre une</w:t>
      </w:r>
      <w:r w:rsidR="000F4DFF">
        <w:rPr>
          <w:rFonts w:ascii="Times New Roman" w:eastAsia="Gulim" w:hAnsi="Times New Roman"/>
          <w:sz w:val="28"/>
          <w:szCs w:val="28"/>
        </w:rPr>
        <w:t xml:space="preserve"> quasi- stagnation des</w:t>
      </w:r>
      <w:r w:rsidR="00054D2E">
        <w:rPr>
          <w:rFonts w:ascii="Times New Roman" w:eastAsia="Gulim" w:hAnsi="Times New Roman"/>
          <w:sz w:val="28"/>
          <w:szCs w:val="28"/>
        </w:rPr>
        <w:t xml:space="preserve"> prix des</w:t>
      </w:r>
      <w:r w:rsidR="000F4DFF">
        <w:rPr>
          <w:rFonts w:ascii="Times New Roman" w:eastAsia="Gulim" w:hAnsi="Times New Roman"/>
          <w:sz w:val="28"/>
          <w:szCs w:val="28"/>
        </w:rPr>
        <w:t xml:space="preserve"> autres biens et services.</w:t>
      </w:r>
    </w:p>
    <w:p w:rsidR="00FD00D6" w:rsidRDefault="00C556C0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CE28642" wp14:editId="7945AB93">
            <wp:extent cx="5295900" cy="24384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EE04CC" w:rsidRPr="004E0DA4" w:rsidTr="00EE04CC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04CC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Juin_</w:t>
            </w:r>
          </w:p>
          <w:p w:rsidR="00EE04CC" w:rsidRPr="005A6F02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04CC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Juillet_</w:t>
            </w:r>
          </w:p>
          <w:p w:rsidR="00EE04CC" w:rsidRPr="005A6F02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04CC" w:rsidRPr="005A6F02" w:rsidRDefault="00EE04CC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EE04CC" w:rsidRPr="005A6F02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EE04CC" w:rsidRPr="004E0DA4" w:rsidTr="00EE04CC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EE04CC" w:rsidRPr="004E0DA4" w:rsidTr="00EE04CC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EE04CC" w:rsidRPr="00534BE7" w:rsidTr="00EE04CC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EE04CC" w:rsidRPr="004E0DA4" w:rsidTr="00EE04CC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EE04CC" w:rsidRPr="004E0DA4" w:rsidTr="00EE04CC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EE04CC" w:rsidRPr="004E0DA4" w:rsidTr="00EE04CC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EE04CC" w:rsidRPr="004E0DA4" w:rsidTr="00EE04CC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EE04CC" w:rsidRPr="004E0DA4" w:rsidTr="00EE04CC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EE04CC" w:rsidRPr="004E0DA4" w:rsidTr="00EE04CC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EE04CC" w:rsidRPr="004E0DA4" w:rsidTr="00EE04CC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EE04CC" w:rsidRPr="004E0DA4" w:rsidTr="00EE04CC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4,6</w:t>
            </w:r>
          </w:p>
        </w:tc>
      </w:tr>
      <w:tr w:rsidR="00EE04CC" w:rsidRPr="004E0DA4" w:rsidTr="00EE04CC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E0DA4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4101EA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EE04CC" w:rsidRPr="004E0DA4" w:rsidTr="00EE04CC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Default="00EE04CC" w:rsidP="00EE04C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5703A7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5703A7" w:rsidRDefault="00EE04CC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5703A7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5703A7" w:rsidRDefault="00A37D72" w:rsidP="00A37D7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4CC" w:rsidRPr="005703A7" w:rsidRDefault="00A37D72" w:rsidP="00EE04C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</w:tbl>
    <w:p w:rsidR="001D5B7A" w:rsidRDefault="001D5B7A" w:rsidP="0016672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7A1650">
        <w:rPr>
          <w:rFonts w:ascii="Times New Roman" w:eastAsia="Gulim" w:hAnsi="Times New Roman"/>
          <w:b/>
          <w:bCs/>
          <w:sz w:val="28"/>
          <w:szCs w:val="28"/>
        </w:rPr>
        <w:t>1,</w:t>
      </w:r>
      <w:r w:rsidR="00166723">
        <w:rPr>
          <w:rFonts w:ascii="Times New Roman" w:eastAsia="Gulim" w:hAnsi="Times New Roman"/>
          <w:b/>
          <w:bCs/>
          <w:sz w:val="28"/>
          <w:szCs w:val="28"/>
        </w:rPr>
        <w:t>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16672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7A1650">
        <w:rPr>
          <w:rFonts w:ascii="Times New Roman" w:eastAsia="Gulim" w:hAnsi="Times New Roman"/>
          <w:sz w:val="28"/>
          <w:szCs w:val="28"/>
        </w:rPr>
        <w:t>1,</w:t>
      </w:r>
      <w:r w:rsidR="00166723">
        <w:rPr>
          <w:rFonts w:ascii="Times New Roman" w:eastAsia="Gulim" w:hAnsi="Times New Roman"/>
          <w:sz w:val="28"/>
          <w:szCs w:val="28"/>
        </w:rPr>
        <w:t>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166723">
        <w:rPr>
          <w:rFonts w:ascii="Times New Roman" w:eastAsia="Gulim" w:hAnsi="Times New Roman"/>
          <w:sz w:val="28"/>
          <w:szCs w:val="28"/>
        </w:rPr>
        <w:t>0,3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7C3D0E">
        <w:rPr>
          <w:rFonts w:ascii="Times New Roman" w:eastAsia="Gulim" w:hAnsi="Times New Roman"/>
          <w:sz w:val="28"/>
          <w:szCs w:val="28"/>
        </w:rPr>
        <w:t xml:space="preserve"> 1,</w:t>
      </w:r>
      <w:r w:rsidR="007A1650">
        <w:rPr>
          <w:rFonts w:ascii="Times New Roman" w:eastAsia="Gulim" w:hAnsi="Times New Roman"/>
          <w:sz w:val="28"/>
          <w:szCs w:val="28"/>
        </w:rPr>
        <w:t>5</w:t>
      </w:r>
      <w:r w:rsidR="007C3D0E">
        <w:rPr>
          <w:rFonts w:ascii="Times New Roman" w:eastAsia="Gulim" w:hAnsi="Times New Roman"/>
          <w:sz w:val="28"/>
          <w:szCs w:val="28"/>
        </w:rPr>
        <w:t xml:space="preserve">%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A1650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2223E3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0075EE6" wp14:editId="57D7C281">
            <wp:extent cx="5457825" cy="274320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30582" w:rsidRDefault="00E30582" w:rsidP="001421A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0,9% au cours 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1421AB">
        <w:rPr>
          <w:rFonts w:ascii="Times New Roman" w:eastAsia="Gulim" w:hAnsi="Times New Roman"/>
          <w:b/>
          <w:bCs/>
          <w:sz w:val="28"/>
          <w:szCs w:val="28"/>
        </w:rPr>
        <w:t>sept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2024.</w:t>
      </w: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0582" w:rsidRDefault="00E30582" w:rsidP="001421A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La variatio</w:t>
      </w:r>
      <w:r w:rsidR="001421AB">
        <w:rPr>
          <w:rFonts w:ascii="Times New Roman" w:eastAsia="Gulim" w:hAnsi="Times New Roman"/>
          <w:sz w:val="28"/>
          <w:szCs w:val="28"/>
        </w:rPr>
        <w:t>n accumulée de l’indice moyen des sept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1421AB">
        <w:rPr>
          <w:rFonts w:ascii="Times New Roman" w:eastAsia="Gulim" w:hAnsi="Times New Roman"/>
          <w:sz w:val="28"/>
          <w:szCs w:val="28"/>
        </w:rPr>
        <w:t xml:space="preserve">s mois </w:t>
      </w:r>
      <w:r>
        <w:rPr>
          <w:rFonts w:ascii="Times New Roman" w:eastAsia="Gulim" w:hAnsi="Times New Roman"/>
          <w:sz w:val="28"/>
          <w:szCs w:val="28"/>
        </w:rPr>
        <w:t xml:space="preserve">2024 par rapport à la même période 2023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0,9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E30582" w:rsidRDefault="00E30582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A769C9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E64FD5">
        <w:rPr>
          <w:rFonts w:ascii="Times New Roman" w:eastAsia="Gulim" w:hAnsi="Times New Roman"/>
          <w:sz w:val="28"/>
          <w:szCs w:val="28"/>
        </w:rPr>
        <w:t xml:space="preserve">de </w:t>
      </w:r>
      <w:r w:rsidR="00F476F7">
        <w:rPr>
          <w:rFonts w:ascii="Times New Roman" w:eastAsia="Gulim" w:hAnsi="Times New Roman"/>
          <w:sz w:val="28"/>
          <w:szCs w:val="28"/>
        </w:rPr>
        <w:t>juillet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F476F7">
        <w:rPr>
          <w:rFonts w:ascii="Times New Roman" w:eastAsia="Gulim" w:hAnsi="Times New Roman"/>
          <w:sz w:val="28"/>
          <w:szCs w:val="28"/>
        </w:rPr>
        <w:t>baisse</w:t>
      </w:r>
      <w:r>
        <w:rPr>
          <w:rFonts w:ascii="Times New Roman" w:eastAsia="Gulim" w:hAnsi="Times New Roman"/>
          <w:sz w:val="28"/>
          <w:szCs w:val="28"/>
        </w:rPr>
        <w:t xml:space="preserve"> de 0,</w:t>
      </w:r>
      <w:r w:rsidR="00F476F7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% en glissement mensuel et une hausse de </w:t>
      </w:r>
      <w:r w:rsidR="001064F4">
        <w:rPr>
          <w:rFonts w:ascii="Times New Roman" w:eastAsia="Gulim" w:hAnsi="Times New Roman"/>
          <w:sz w:val="28"/>
          <w:szCs w:val="28"/>
        </w:rPr>
        <w:t>1,</w:t>
      </w:r>
      <w:r w:rsidR="00A769C9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5B58E2" w:rsidRDefault="005B58E2" w:rsidP="00A769C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mensuelle de l’IPC a été inégale allant d’une baisse de </w:t>
      </w:r>
      <w:r w:rsidR="00A769C9">
        <w:rPr>
          <w:rFonts w:ascii="Times New Roman" w:eastAsia="Gulim" w:hAnsi="Times New Roman"/>
          <w:sz w:val="28"/>
          <w:szCs w:val="28"/>
        </w:rPr>
        <w:t>1,1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A769C9">
        <w:rPr>
          <w:rFonts w:ascii="Times New Roman" w:eastAsia="Gulim" w:hAnsi="Times New Roman"/>
          <w:sz w:val="28"/>
          <w:szCs w:val="28"/>
        </w:rPr>
        <w:t>Errachidia</w:t>
      </w:r>
      <w:r w:rsidR="001064F4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une hausse de </w:t>
      </w:r>
      <w:r w:rsidR="00A769C9">
        <w:rPr>
          <w:rFonts w:ascii="Times New Roman" w:eastAsia="Gulim" w:hAnsi="Times New Roman"/>
          <w:sz w:val="28"/>
          <w:szCs w:val="28"/>
        </w:rPr>
        <w:t>0,5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A769C9">
        <w:rPr>
          <w:rFonts w:ascii="Times New Roman" w:eastAsia="Gulim" w:hAnsi="Times New Roman"/>
          <w:sz w:val="28"/>
          <w:szCs w:val="28"/>
        </w:rPr>
        <w:t>Laâyoune et à Beni Mellal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25" w:rsidRDefault="006F6A25">
      <w:r>
        <w:separator/>
      </w:r>
    </w:p>
    <w:p w:rsidR="006F6A25" w:rsidRDefault="006F6A25"/>
  </w:endnote>
  <w:endnote w:type="continuationSeparator" w:id="0">
    <w:p w:rsidR="006F6A25" w:rsidRDefault="006F6A25">
      <w:r>
        <w:continuationSeparator/>
      </w:r>
    </w:p>
    <w:p w:rsidR="006F6A25" w:rsidRDefault="006F6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150E1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150E1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25" w:rsidRDefault="006F6A25">
      <w:r>
        <w:separator/>
      </w:r>
    </w:p>
    <w:p w:rsidR="006F6A25" w:rsidRDefault="006F6A25"/>
  </w:footnote>
  <w:footnote w:type="continuationSeparator" w:id="0">
    <w:p w:rsidR="006F6A25" w:rsidRDefault="006F6A25">
      <w:r>
        <w:continuationSeparator/>
      </w:r>
    </w:p>
    <w:p w:rsidR="006F6A25" w:rsidRDefault="006F6A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0E1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A25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7_2024\07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7_2024\07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</a:t>
            </a:r>
            <a:r>
              <a:rPr lang="fr-FR" sz="1200" baseline="0"/>
              <a:t> mensuel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Feuil9!$A$110:$A$188</c:f>
              <c:numCache>
                <c:formatCode>mmm\-yy</c:formatCode>
                <c:ptCount val="7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</c:numCache>
            </c:numRef>
          </c:cat>
          <c:val>
            <c:numRef>
              <c:f>Feuil9!$B$110:$B$188</c:f>
              <c:numCache>
                <c:formatCode>General</c:formatCode>
                <c:ptCount val="79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4A4-476D-856B-B04B5A436767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Feuil9!$A$110:$A$188</c:f>
              <c:numCache>
                <c:formatCode>mmm\-yy</c:formatCode>
                <c:ptCount val="7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</c:numCache>
            </c:numRef>
          </c:cat>
          <c:val>
            <c:numRef>
              <c:f>Feuil9!$C$110:$C$188</c:f>
              <c:numCache>
                <c:formatCode>General</c:formatCode>
                <c:ptCount val="79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4A4-476D-856B-B04B5A436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247480"/>
        <c:axId val="455249832"/>
      </c:lineChart>
      <c:dateAx>
        <c:axId val="4552474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5249832"/>
        <c:crosses val="autoZero"/>
        <c:auto val="1"/>
        <c:lblOffset val="100"/>
        <c:baseTimeUnit val="months"/>
      </c:dateAx>
      <c:valAx>
        <c:axId val="45524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524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</a:t>
            </a:r>
            <a:r>
              <a:rPr lang="fr-FR" sz="1200" baseline="0"/>
              <a:t> mensuel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Feuil9!$A$110:$A$188</c:f>
              <c:numCache>
                <c:formatCode>mmm\-yy</c:formatCode>
                <c:ptCount val="7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</c:numCache>
            </c:numRef>
          </c:cat>
          <c:val>
            <c:numRef>
              <c:f>Feuil9!$B$110:$B$188</c:f>
              <c:numCache>
                <c:formatCode>General</c:formatCode>
                <c:ptCount val="79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89F-4A65-ACF1-68615B4AC7C8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Feuil9!$A$110:$A$188</c:f>
              <c:numCache>
                <c:formatCode>mmm\-yy</c:formatCode>
                <c:ptCount val="7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</c:numCache>
            </c:numRef>
          </c:cat>
          <c:val>
            <c:numRef>
              <c:f>Feuil9!$C$110:$C$188</c:f>
              <c:numCache>
                <c:formatCode>General</c:formatCode>
                <c:ptCount val="79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89F-4A65-ACF1-68615B4AC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249440"/>
        <c:axId val="455249048"/>
      </c:lineChart>
      <c:dateAx>
        <c:axId val="45524944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5249048"/>
        <c:crosses val="autoZero"/>
        <c:auto val="1"/>
        <c:lblOffset val="100"/>
        <c:baseTimeUnit val="months"/>
      </c:dateAx>
      <c:valAx>
        <c:axId val="45524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524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444ADB-F3D1-43BF-937E-B07B2DB8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2025-01-15T11:12:00Z</dcterms:created>
  <dcterms:modified xsi:type="dcterms:W3CDTF">2025-01-15T11:12:00Z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