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5D" w:rsidRDefault="00CC4B5D" w:rsidP="00CC4B5D">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CC4B5D" w:rsidRDefault="00CC4B5D" w:rsidP="00CC4B5D">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CC4B5D" w:rsidRDefault="00CC4B5D" w:rsidP="00CC4B5D"/>
    <w:p w:rsidR="00CC4B5D" w:rsidRDefault="00CC4B5D" w:rsidP="00CC4B5D"/>
    <w:p w:rsidR="00CC4B5D" w:rsidRDefault="00CC4B5D" w:rsidP="003A1EDC"/>
    <w:p w:rsidR="00CC4B5D" w:rsidRDefault="00CC4B5D" w:rsidP="00CC4B5D"/>
    <w:p w:rsidR="00ED7C08" w:rsidRDefault="00ED7C08" w:rsidP="00CC4B5D"/>
    <w:p w:rsidR="00CC4B5D" w:rsidRPr="00B1388C" w:rsidRDefault="00CC4B5D" w:rsidP="00CC4B5D">
      <w:pPr>
        <w:pStyle w:val="Titre"/>
        <w:pBdr>
          <w:bottom w:val="none" w:sz="0" w:space="0" w:color="auto"/>
        </w:pBdr>
        <w:spacing w:after="0" w:line="360" w:lineRule="auto"/>
        <w:rPr>
          <w:rFonts w:ascii="Book Antiqua" w:eastAsia="Calibri" w:hAnsi="Book Antiqua" w:cs="Arial"/>
          <w:b/>
          <w:color w:val="000000"/>
          <w:spacing w:val="0"/>
          <w:kern w:val="0"/>
          <w:sz w:val="28"/>
          <w:szCs w:val="28"/>
        </w:rPr>
      </w:pPr>
      <w:r w:rsidRPr="00B1388C">
        <w:rPr>
          <w:rFonts w:ascii="Book Antiqua" w:eastAsia="Calibri" w:hAnsi="Book Antiqua" w:cs="Arial"/>
          <w:b/>
          <w:color w:val="000000"/>
          <w:spacing w:val="0"/>
          <w:kern w:val="0"/>
          <w:sz w:val="28"/>
          <w:szCs w:val="28"/>
        </w:rPr>
        <w:t> </w:t>
      </w:r>
    </w:p>
    <w:p w:rsidR="00CC4B5D" w:rsidRDefault="000E754B" w:rsidP="000E754B">
      <w:pPr>
        <w:spacing w:after="0" w:line="480" w:lineRule="auto"/>
        <w:jc w:val="center"/>
        <w:rPr>
          <w:rFonts w:ascii="Arial Rounded MT Bold" w:hAnsi="Arial Rounded MT Bold"/>
          <w:bCs/>
          <w:color w:val="000000"/>
          <w:sz w:val="32"/>
          <w:szCs w:val="32"/>
        </w:rPr>
      </w:pPr>
      <w:r w:rsidRPr="000E754B">
        <w:rPr>
          <w:rFonts w:ascii="Arial Rounded MT Bold" w:hAnsi="Arial Rounded MT Bold"/>
          <w:bCs/>
          <w:color w:val="000000"/>
          <w:sz w:val="32"/>
          <w:szCs w:val="32"/>
        </w:rPr>
        <w:t>Conférence de presse sur la situation socio-économique en 2018 et ses perspectives pour 2019</w:t>
      </w:r>
    </w:p>
    <w:p w:rsidR="00CC4B5D" w:rsidRDefault="00CC4B5D" w:rsidP="00CC4B5D">
      <w:pPr>
        <w:spacing w:after="0" w:line="480" w:lineRule="auto"/>
        <w:jc w:val="center"/>
        <w:rPr>
          <w:rFonts w:ascii="Arial Rounded MT Bold" w:hAnsi="Arial Rounded MT Bold"/>
          <w:bCs/>
          <w:color w:val="000000"/>
          <w:sz w:val="32"/>
          <w:szCs w:val="32"/>
        </w:rPr>
      </w:pPr>
      <w:r>
        <w:rPr>
          <w:rFonts w:ascii="Arial Rounded MT Bold" w:hAnsi="Arial Rounded MT Bold"/>
          <w:bCs/>
          <w:color w:val="000000"/>
          <w:sz w:val="32"/>
          <w:szCs w:val="32"/>
        </w:rPr>
        <w:t>-------</w:t>
      </w:r>
    </w:p>
    <w:p w:rsidR="00CC4B5D" w:rsidRDefault="00514431" w:rsidP="00CC4B5D">
      <w:pPr>
        <w:spacing w:after="0" w:line="360" w:lineRule="auto"/>
        <w:jc w:val="center"/>
        <w:rPr>
          <w:b/>
          <w:color w:val="000000"/>
          <w:sz w:val="30"/>
          <w:szCs w:val="30"/>
        </w:rPr>
      </w:pPr>
      <w:r>
        <w:rPr>
          <w:b/>
          <w:color w:val="000000"/>
          <w:sz w:val="30"/>
          <w:szCs w:val="30"/>
        </w:rPr>
        <w:t xml:space="preserve">           </w:t>
      </w:r>
    </w:p>
    <w:p w:rsidR="00CC4B5D" w:rsidRPr="005959F8" w:rsidRDefault="008404F8" w:rsidP="00CC4B5D">
      <w:pPr>
        <w:spacing w:after="0" w:line="360" w:lineRule="auto"/>
        <w:jc w:val="center"/>
        <w:rPr>
          <w:b/>
          <w:color w:val="000000"/>
          <w:sz w:val="30"/>
          <w:szCs w:val="30"/>
        </w:rPr>
      </w:pPr>
      <w:r>
        <w:rPr>
          <w:b/>
          <w:color w:val="000000"/>
          <w:sz w:val="30"/>
          <w:szCs w:val="30"/>
        </w:rPr>
        <w:t>Quelques éléments de l’introduction</w:t>
      </w:r>
      <w:r w:rsidR="00CC4B5D" w:rsidRPr="005959F8">
        <w:rPr>
          <w:b/>
          <w:color w:val="000000"/>
          <w:sz w:val="30"/>
          <w:szCs w:val="30"/>
        </w:rPr>
        <w:t xml:space="preserve"> de Monsieur Ahmed Lahlimi Alami,</w:t>
      </w:r>
    </w:p>
    <w:p w:rsidR="00CC4B5D" w:rsidRPr="005959F8" w:rsidRDefault="00CC4B5D" w:rsidP="0099029E">
      <w:pPr>
        <w:spacing w:after="0" w:line="360" w:lineRule="auto"/>
        <w:jc w:val="center"/>
        <w:rPr>
          <w:b/>
          <w:color w:val="000000"/>
          <w:sz w:val="30"/>
          <w:szCs w:val="30"/>
        </w:rPr>
      </w:pPr>
      <w:r w:rsidRPr="005959F8">
        <w:rPr>
          <w:b/>
          <w:color w:val="000000"/>
          <w:sz w:val="30"/>
          <w:szCs w:val="30"/>
        </w:rPr>
        <w:t xml:space="preserve"> Haut-Commissaire au Plan</w:t>
      </w:r>
      <w:r w:rsidR="0099029E">
        <w:rPr>
          <w:b/>
          <w:color w:val="000000"/>
          <w:sz w:val="30"/>
          <w:szCs w:val="30"/>
        </w:rPr>
        <w:t>,</w:t>
      </w:r>
    </w:p>
    <w:p w:rsidR="00CC4B5D" w:rsidRPr="005959F8" w:rsidRDefault="00CC4B5D" w:rsidP="000E754B">
      <w:pPr>
        <w:spacing w:after="0" w:line="360" w:lineRule="auto"/>
        <w:jc w:val="center"/>
        <w:rPr>
          <w:rFonts w:ascii="Arial Rounded MT Bold" w:hAnsi="Arial Rounded MT Bold"/>
          <w:bCs/>
          <w:color w:val="000000"/>
          <w:sz w:val="30"/>
          <w:szCs w:val="30"/>
        </w:rPr>
      </w:pPr>
      <w:r w:rsidRPr="005959F8">
        <w:rPr>
          <w:b/>
          <w:color w:val="000000"/>
          <w:sz w:val="30"/>
          <w:szCs w:val="30"/>
        </w:rPr>
        <w:t xml:space="preserve">à la présentation du Budget Economique </w:t>
      </w:r>
      <w:r w:rsidR="000E754B">
        <w:rPr>
          <w:b/>
          <w:color w:val="000000"/>
          <w:sz w:val="30"/>
          <w:szCs w:val="30"/>
        </w:rPr>
        <w:t>Prévisionnel</w:t>
      </w:r>
      <w:r w:rsidRPr="005959F8">
        <w:rPr>
          <w:b/>
          <w:color w:val="000000"/>
          <w:sz w:val="30"/>
          <w:szCs w:val="30"/>
        </w:rPr>
        <w:t xml:space="preserve"> 201</w:t>
      </w:r>
      <w:r w:rsidR="000E754B">
        <w:rPr>
          <w:b/>
          <w:color w:val="000000"/>
          <w:sz w:val="30"/>
          <w:szCs w:val="30"/>
        </w:rPr>
        <w:t>9</w:t>
      </w: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Pr="003C629C" w:rsidRDefault="00CC4B5D" w:rsidP="000E754B">
      <w:pPr>
        <w:spacing w:after="0" w:line="360" w:lineRule="auto"/>
        <w:jc w:val="center"/>
        <w:rPr>
          <w:rFonts w:ascii="Book Antiqua" w:hAnsi="Book Antiqua"/>
          <w:b/>
          <w:bCs/>
          <w:sz w:val="24"/>
          <w:szCs w:val="24"/>
        </w:rPr>
      </w:pPr>
      <w:r w:rsidRPr="003C629C">
        <w:rPr>
          <w:rFonts w:ascii="Book Antiqua" w:hAnsi="Book Antiqua"/>
          <w:b/>
          <w:bCs/>
          <w:color w:val="000000"/>
          <w:sz w:val="24"/>
          <w:szCs w:val="24"/>
        </w:rPr>
        <w:t xml:space="preserve">- Casablanca, le </w:t>
      </w:r>
      <w:r w:rsidR="000E754B">
        <w:rPr>
          <w:rFonts w:ascii="Book Antiqua" w:hAnsi="Book Antiqua"/>
          <w:b/>
          <w:bCs/>
          <w:color w:val="000000"/>
          <w:sz w:val="24"/>
          <w:szCs w:val="24"/>
        </w:rPr>
        <w:t>16</w:t>
      </w:r>
      <w:r>
        <w:rPr>
          <w:rFonts w:ascii="Book Antiqua" w:hAnsi="Book Antiqua"/>
          <w:b/>
          <w:bCs/>
          <w:color w:val="000000"/>
          <w:sz w:val="24"/>
          <w:szCs w:val="24"/>
        </w:rPr>
        <w:t xml:space="preserve"> </w:t>
      </w:r>
      <w:r w:rsidR="000E754B">
        <w:rPr>
          <w:rFonts w:ascii="Book Antiqua" w:hAnsi="Book Antiqua"/>
          <w:b/>
          <w:bCs/>
          <w:color w:val="000000"/>
          <w:sz w:val="24"/>
          <w:szCs w:val="24"/>
        </w:rPr>
        <w:t>janvier 2019</w:t>
      </w:r>
      <w:r w:rsidRPr="003C629C">
        <w:rPr>
          <w:rFonts w:ascii="Book Antiqua" w:hAnsi="Book Antiqua"/>
          <w:b/>
          <w:bCs/>
          <w:color w:val="000000"/>
          <w:sz w:val="24"/>
          <w:szCs w:val="24"/>
        </w:rPr>
        <w:t xml:space="preserve"> -</w:t>
      </w:r>
    </w:p>
    <w:p w:rsidR="00CC4B5D" w:rsidRPr="00352374" w:rsidRDefault="00CC4B5D" w:rsidP="00CC4B5D">
      <w:pPr>
        <w:spacing w:after="0" w:line="360" w:lineRule="auto"/>
        <w:rPr>
          <w:rFonts w:ascii="Book Antiqua" w:hAnsi="Book Antiqua"/>
          <w:sz w:val="24"/>
          <w:szCs w:val="24"/>
        </w:rPr>
      </w:pPr>
    </w:p>
    <w:p w:rsidR="0099029E" w:rsidRPr="0099029E" w:rsidRDefault="00CC4B5D" w:rsidP="00ED3830">
      <w:pPr>
        <w:numPr>
          <w:ilvl w:val="0"/>
          <w:numId w:val="5"/>
        </w:numPr>
        <w:spacing w:after="0"/>
        <w:rPr>
          <w:rFonts w:asciiTheme="minorHAnsi" w:hAnsiTheme="minorHAnsi" w:cstheme="minorHAnsi"/>
          <w:b/>
          <w:bCs/>
          <w:color w:val="632423" w:themeColor="accent2" w:themeShade="80"/>
          <w:sz w:val="30"/>
          <w:szCs w:val="30"/>
          <w:u w:val="single"/>
        </w:rPr>
      </w:pPr>
      <w:r>
        <w:rPr>
          <w:rFonts w:ascii="Book Antiqua" w:hAnsi="Book Antiqua"/>
          <w:sz w:val="26"/>
          <w:szCs w:val="26"/>
        </w:rPr>
        <w:br w:type="page"/>
      </w:r>
      <w:bookmarkStart w:id="0" w:name="_Ref535396564"/>
      <w:r w:rsidR="0099029E" w:rsidRPr="0099029E">
        <w:rPr>
          <w:rFonts w:asciiTheme="minorHAnsi" w:hAnsiTheme="minorHAnsi" w:cstheme="minorHAnsi"/>
          <w:b/>
          <w:bCs/>
          <w:color w:val="632423" w:themeColor="accent2" w:themeShade="80"/>
          <w:sz w:val="30"/>
          <w:szCs w:val="30"/>
          <w:u w:val="single"/>
        </w:rPr>
        <w:lastRenderedPageBreak/>
        <w:t>Le contexte international</w:t>
      </w:r>
      <w:bookmarkEnd w:id="0"/>
    </w:p>
    <w:p w:rsidR="00AB6F14" w:rsidRDefault="00AB6F14"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Après l’heureuse concordance qu’avaient connue, en 2017, les cycles de croissance dans tous les grands ensembles économiques mondiaux et l’espoir d’un retour à leur dynamisme d’avant la crise, la croissance mondiale aurait évolué dans un climat plutôt d’incertitude, chahuté, en particulier, par les retombées des tensions géostratégiques et l’agressivité des compétitions économiques, au centre desquelles ce qu’il est convenu d’appeler la guerre commerciale entre les Etats-Unis et la Chine.</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 xml:space="preserve">Même si cette guerre, qualifiée par le négociateur chinois de simples frictions, devait, à la fin de 2018 et au début de 2019, conduire à des négociations et aboutir à un compromis sur ses enjeux conjoncturels, elle n’en a pas moins affecté le rythme de croissance économique respective des deux partenaires, sans pour autant créer de perspectives apaisées de leur égale course au leadership mondial, focalisée dans les technologies avancées, civiles et militaires, le commerce mondial et l’influence géopolitique.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 xml:space="preserve">C’est dans ces conditions qu’après avoir progressé de 2,9% en 2018, portée par les stimulations d’une politique fiscale et monétaire particulièrement expansionniste, la croissance américaine ralentirait à 2,5% en 2019 et à 1,7% en 2020. Elle ne resterait pas, toutefois, à l’abri de moindres performances, avec une normalisation progressive du niveau des taux d’intérêt par la Banque Fédérale des Etats-Unis (FED) et des développements sous tension d’une conjoncture politique animée par la perspective des élections présidentielles.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Dans le même sillage, la croissance en Chine devrait, de son côté, décélérer à un taux anticipé, - semble-t-il optimiste - de 6</w:t>
      </w:r>
      <w:r w:rsidR="00CB657D">
        <w:rPr>
          <w:rFonts w:asciiTheme="minorHAnsi" w:hAnsiTheme="minorHAnsi" w:cstheme="minorHAnsi"/>
          <w:sz w:val="26"/>
          <w:szCs w:val="26"/>
        </w:rPr>
        <w:t>,2</w:t>
      </w:r>
      <w:r w:rsidRPr="0099029E">
        <w:rPr>
          <w:rFonts w:asciiTheme="minorHAnsi" w:hAnsiTheme="minorHAnsi" w:cstheme="minorHAnsi"/>
          <w:sz w:val="26"/>
          <w:szCs w:val="26"/>
        </w:rPr>
        <w:t xml:space="preserve">% en 2019, au lieu de 6,5% en 2018. La Chine devrait s’engager dans une politique monétaire et budgétaire, plutôt de stabilisation, ciblant une modulation sociale de la consommation et un soutien aux petites et moyennes entreprises en faveur, en particulier, des secteurs technologiques et du marché intérieur, avec une orientation stratégique globale privilégiant les échanges technologiques et commerciaux avec l’Europe et, à travers la route de la soie, une plus grande présence dans les secteurs des infrastructures et des ressources naturelles, en particulier en Afrique, avec la volonté d’atténuer le tête-à-tête avec les Etats-Unis.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lastRenderedPageBreak/>
        <w:t xml:space="preserve">Par ailleurs, l’Union européenne dont la croissance économique était vouée à renouer avec des taux de l’avant-crise, à la faveur des retombées des réformes structurelles économiques et sociales et des politiques monétaires exceptionnellement accommodantes de la Banque Centrale Européenne (BCE), aurait dû connaitre la même tendance au ralentissement du rythme de son économie. Elle aurait dû pâtir des effets de la vague de doutes sur sa cohésion institutionnelle et de contestations de son référentiel communautaire en matière économique et sociale, avec parallèlement la montée, sans précédent, d’une lame sociale de fond antimondialiste, la rupture chaotique de son adhésion par la Grande-Bretagne, l’affaiblissement économique et politique de l’axe franco-allemand et l’amorce de celui, aux conséquences inquiétantes à terme, qui pointe à l’horizon entre l’Italie et la Pologne.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 xml:space="preserve">Dans ce contexte, la croissance de la zone euro devrait passer de 1,9% en 2018, à 1,6% en 2019, après 2,5% en 2017.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D76017">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 xml:space="preserve">En dehors de la Chine qui continue à se considérer comme l’un des leurs, les </w:t>
      </w:r>
      <w:r w:rsidRPr="0099029E">
        <w:rPr>
          <w:rFonts w:asciiTheme="minorHAnsi" w:hAnsiTheme="minorHAnsi" w:cstheme="minorHAnsi"/>
          <w:b/>
          <w:bCs/>
          <w:sz w:val="26"/>
          <w:szCs w:val="26"/>
        </w:rPr>
        <w:t>pays émergents et en développement</w:t>
      </w:r>
      <w:r w:rsidRPr="0099029E">
        <w:rPr>
          <w:rFonts w:asciiTheme="minorHAnsi" w:hAnsiTheme="minorHAnsi" w:cstheme="minorHAnsi"/>
          <w:sz w:val="26"/>
          <w:szCs w:val="26"/>
        </w:rPr>
        <w:t xml:space="preserve"> devraient </w:t>
      </w:r>
      <w:r w:rsidR="00D76017">
        <w:rPr>
          <w:rFonts w:asciiTheme="minorHAnsi" w:hAnsiTheme="minorHAnsi" w:cstheme="minorHAnsi"/>
          <w:sz w:val="26"/>
          <w:szCs w:val="26"/>
        </w:rPr>
        <w:t>pâtir</w:t>
      </w:r>
      <w:r w:rsidRPr="0099029E">
        <w:rPr>
          <w:rFonts w:asciiTheme="minorHAnsi" w:hAnsiTheme="minorHAnsi" w:cstheme="minorHAnsi"/>
          <w:sz w:val="26"/>
          <w:szCs w:val="26"/>
        </w:rPr>
        <w:t xml:space="preserve"> de ce même ralentissement économique, enregistrant un recul de leur taux de croissance, aussi bien en Turquie que dans les pays d’Amérique Latine, sous l’effet notamment, de leur instabilité sociale et politique et de la dépréciation de leur monnaie face au dollar américain.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 xml:space="preserve">Fidèle à sa tendance historique, </w:t>
      </w:r>
      <w:r w:rsidRPr="0099029E">
        <w:rPr>
          <w:rFonts w:asciiTheme="minorHAnsi" w:hAnsiTheme="minorHAnsi" w:cstheme="minorHAnsi"/>
          <w:b/>
          <w:bCs/>
          <w:sz w:val="26"/>
          <w:szCs w:val="26"/>
        </w:rPr>
        <w:t>l’Inde</w:t>
      </w:r>
      <w:r w:rsidRPr="0099029E">
        <w:rPr>
          <w:rFonts w:asciiTheme="minorHAnsi" w:hAnsiTheme="minorHAnsi" w:cstheme="minorHAnsi"/>
          <w:sz w:val="26"/>
          <w:szCs w:val="26"/>
        </w:rPr>
        <w:t xml:space="preserve"> continuerait à performer, avec une croissance passant de 7,3% en 2018 à 7,5% en 2019, tirée par les retombées des réformes structurelles réalisées dans ce pays et le renforcement de sa demande intérieure.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5F7B5B">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 xml:space="preserve">En Amérique Latine, </w:t>
      </w:r>
      <w:r w:rsidRPr="0099029E">
        <w:rPr>
          <w:rFonts w:asciiTheme="minorHAnsi" w:hAnsiTheme="minorHAnsi" w:cstheme="minorHAnsi"/>
          <w:b/>
          <w:bCs/>
          <w:sz w:val="26"/>
          <w:szCs w:val="26"/>
        </w:rPr>
        <w:t>le Brésil</w:t>
      </w:r>
      <w:r w:rsidRPr="0099029E">
        <w:rPr>
          <w:rFonts w:asciiTheme="minorHAnsi" w:hAnsiTheme="minorHAnsi" w:cstheme="minorHAnsi"/>
          <w:sz w:val="26"/>
          <w:szCs w:val="26"/>
        </w:rPr>
        <w:t xml:space="preserve"> fait également bonne mine avec une activité en progression de 2,2% en 2019 au lieu de </w:t>
      </w:r>
      <w:r w:rsidR="005F7B5B">
        <w:rPr>
          <w:rFonts w:asciiTheme="minorHAnsi" w:hAnsiTheme="minorHAnsi" w:cstheme="minorHAnsi"/>
          <w:sz w:val="26"/>
          <w:szCs w:val="26"/>
        </w:rPr>
        <w:t>1,2</w:t>
      </w:r>
      <w:r w:rsidRPr="0099029E">
        <w:rPr>
          <w:rFonts w:asciiTheme="minorHAnsi" w:hAnsiTheme="minorHAnsi" w:cstheme="minorHAnsi"/>
          <w:sz w:val="26"/>
          <w:szCs w:val="26"/>
        </w:rPr>
        <w:t xml:space="preserve">% en 2018, avec la reprise de la consommation et de l’investissement.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 xml:space="preserve">En </w:t>
      </w:r>
      <w:r w:rsidRPr="0099029E">
        <w:rPr>
          <w:rFonts w:asciiTheme="minorHAnsi" w:hAnsiTheme="minorHAnsi" w:cstheme="minorHAnsi"/>
          <w:b/>
          <w:bCs/>
          <w:sz w:val="26"/>
          <w:szCs w:val="26"/>
        </w:rPr>
        <w:t>Russie</w:t>
      </w:r>
      <w:r w:rsidRPr="0099029E">
        <w:rPr>
          <w:rFonts w:asciiTheme="minorHAnsi" w:hAnsiTheme="minorHAnsi" w:cstheme="minorHAnsi"/>
          <w:sz w:val="26"/>
          <w:szCs w:val="26"/>
        </w:rPr>
        <w:t>, la baisse du pouvoir d’achat liée à la dépréciation du rouble et la hausse, depuis le début de janvier 2019, de la TVA, devrait pénaliser la croissance en en ramenant le taux à 1,5% en 2019, après 1,6% en 2018.</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b/>
          <w:bCs/>
          <w:sz w:val="26"/>
          <w:szCs w:val="26"/>
        </w:rPr>
        <w:t>Au total</w:t>
      </w:r>
      <w:r w:rsidRPr="0099029E">
        <w:rPr>
          <w:rFonts w:asciiTheme="minorHAnsi" w:hAnsiTheme="minorHAnsi" w:cstheme="minorHAnsi"/>
          <w:sz w:val="26"/>
          <w:szCs w:val="26"/>
        </w:rPr>
        <w:t xml:space="preserve">, avec le ralentissement de la croissance dans les grands ensembles économiques mondiaux, particulièrement en Chine d’une part et aux Etats-Unis et en </w:t>
      </w:r>
      <w:r w:rsidRPr="0099029E">
        <w:rPr>
          <w:rFonts w:asciiTheme="minorHAnsi" w:hAnsiTheme="minorHAnsi" w:cstheme="minorHAnsi"/>
          <w:sz w:val="26"/>
          <w:szCs w:val="26"/>
        </w:rPr>
        <w:lastRenderedPageBreak/>
        <w:t xml:space="preserve">Europe, d’autre part, qui se partageraient à quasi-égalité l’impulsion de la croissance mondiale, celle-ci devrait légèrement ralentir, passant de 3,6% en 2018 à 3,5% en 2019.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 xml:space="preserve">D’une façon générale, la situation économique mondiale devrait être ainsi marquée, en 2019, par un ralentissement de la croissance, de l’investissement et de la demande par rapport à 2018, avec une instabilité des marchés des capitaux et une volatilité des prix des matières premières et notamment du pétrole qui devrait connaitre une tendance à la baisse, sous l’effet des hausses anticipées de la production des Etats-Unis et des incertitudes sur la capacité des membres de l’OPEP à s’entendre sur une réduction conséquente de la leur. </w:t>
      </w:r>
    </w:p>
    <w:p w:rsidR="0099029E" w:rsidRPr="0099029E" w:rsidRDefault="0099029E" w:rsidP="0099029E">
      <w:pPr>
        <w:spacing w:after="0"/>
        <w:ind w:firstLine="709"/>
        <w:jc w:val="both"/>
        <w:rPr>
          <w:rFonts w:asciiTheme="minorHAnsi" w:hAnsiTheme="minorHAnsi" w:cstheme="minorHAnsi"/>
          <w:sz w:val="26"/>
          <w:szCs w:val="26"/>
        </w:rPr>
      </w:pPr>
    </w:p>
    <w:p w:rsidR="0099029E" w:rsidRPr="0099029E" w:rsidRDefault="0099029E" w:rsidP="0099029E">
      <w:pPr>
        <w:spacing w:after="0"/>
        <w:ind w:firstLine="709"/>
        <w:jc w:val="both"/>
        <w:rPr>
          <w:rFonts w:asciiTheme="minorHAnsi" w:hAnsiTheme="minorHAnsi" w:cstheme="minorHAnsi"/>
          <w:sz w:val="26"/>
          <w:szCs w:val="26"/>
        </w:rPr>
      </w:pPr>
      <w:r w:rsidRPr="0099029E">
        <w:rPr>
          <w:rFonts w:asciiTheme="minorHAnsi" w:hAnsiTheme="minorHAnsi" w:cstheme="minorHAnsi"/>
          <w:sz w:val="26"/>
          <w:szCs w:val="26"/>
        </w:rPr>
        <w:t xml:space="preserve">Dans ces conditions, le taux d’inflation attendu passerait de 2,6% en 2018 à 2,5% en 2019 et le rythme de croissance du commerce mondial poursuivrait sa tendance baissière, passant de 5,4% en 2017, à 3,8% en 2018 et à 3,6% en 2019. </w:t>
      </w:r>
    </w:p>
    <w:p w:rsidR="0099029E" w:rsidRPr="0099029E" w:rsidRDefault="0099029E" w:rsidP="0099029E">
      <w:pPr>
        <w:spacing w:after="0"/>
        <w:ind w:firstLine="709"/>
        <w:jc w:val="both"/>
        <w:rPr>
          <w:rFonts w:asciiTheme="minorHAnsi" w:hAnsiTheme="minorHAnsi" w:cstheme="minorHAnsi"/>
          <w:sz w:val="26"/>
          <w:szCs w:val="26"/>
        </w:rPr>
      </w:pPr>
    </w:p>
    <w:p w:rsidR="00ED3830" w:rsidRDefault="00ED3830" w:rsidP="00ED3830">
      <w:pPr>
        <w:numPr>
          <w:ilvl w:val="0"/>
          <w:numId w:val="5"/>
        </w:numPr>
        <w:spacing w:after="0"/>
        <w:rPr>
          <w:rFonts w:asciiTheme="minorHAnsi" w:hAnsiTheme="minorHAnsi" w:cstheme="minorHAnsi"/>
          <w:b/>
          <w:bCs/>
          <w:color w:val="632423" w:themeColor="accent2" w:themeShade="80"/>
          <w:sz w:val="30"/>
          <w:szCs w:val="30"/>
          <w:u w:val="single"/>
        </w:rPr>
      </w:pPr>
      <w:r>
        <w:rPr>
          <w:rFonts w:asciiTheme="minorHAnsi" w:hAnsiTheme="minorHAnsi" w:cstheme="minorHAnsi"/>
          <w:b/>
          <w:bCs/>
          <w:color w:val="632423" w:themeColor="accent2" w:themeShade="80"/>
          <w:sz w:val="30"/>
          <w:szCs w:val="30"/>
          <w:u w:val="single"/>
        </w:rPr>
        <w:t>Contexte national</w:t>
      </w:r>
    </w:p>
    <w:p w:rsidR="00ED3830" w:rsidRDefault="00ED3830" w:rsidP="00ED3830">
      <w:pPr>
        <w:spacing w:after="0"/>
        <w:ind w:left="720"/>
        <w:rPr>
          <w:rFonts w:asciiTheme="minorHAnsi" w:hAnsiTheme="minorHAnsi" w:cstheme="minorHAnsi"/>
          <w:b/>
          <w:bCs/>
          <w:color w:val="632423" w:themeColor="accent2" w:themeShade="80"/>
          <w:sz w:val="30"/>
          <w:szCs w:val="30"/>
          <w:u w:val="single"/>
        </w:rPr>
      </w:pPr>
    </w:p>
    <w:p w:rsidR="0099029E" w:rsidRPr="0099029E" w:rsidRDefault="00ED3830" w:rsidP="00CB657D">
      <w:pPr>
        <w:numPr>
          <w:ilvl w:val="0"/>
          <w:numId w:val="6"/>
        </w:numPr>
        <w:spacing w:after="0"/>
        <w:rPr>
          <w:rFonts w:asciiTheme="minorHAnsi" w:hAnsiTheme="minorHAnsi" w:cstheme="minorHAnsi"/>
          <w:b/>
          <w:bCs/>
          <w:color w:val="632423" w:themeColor="accent2" w:themeShade="80"/>
          <w:sz w:val="30"/>
          <w:szCs w:val="30"/>
          <w:u w:val="single"/>
        </w:rPr>
      </w:pPr>
      <w:r>
        <w:rPr>
          <w:rFonts w:asciiTheme="minorHAnsi" w:hAnsiTheme="minorHAnsi" w:cstheme="minorHAnsi"/>
          <w:b/>
          <w:bCs/>
          <w:color w:val="632423" w:themeColor="accent2" w:themeShade="80"/>
          <w:sz w:val="30"/>
          <w:szCs w:val="30"/>
          <w:u w:val="single"/>
        </w:rPr>
        <w:t>P</w:t>
      </w:r>
      <w:r w:rsidR="0099029E" w:rsidRPr="0099029E">
        <w:rPr>
          <w:rFonts w:asciiTheme="minorHAnsi" w:hAnsiTheme="minorHAnsi" w:cstheme="minorHAnsi"/>
          <w:b/>
          <w:bCs/>
          <w:color w:val="632423" w:themeColor="accent2" w:themeShade="80"/>
          <w:sz w:val="30"/>
          <w:szCs w:val="30"/>
          <w:u w:val="single"/>
        </w:rPr>
        <w:t>rincipaux éléments sur l’offre</w:t>
      </w:r>
    </w:p>
    <w:p w:rsidR="00AB6F14" w:rsidRDefault="00AB6F14" w:rsidP="0099029E">
      <w:pPr>
        <w:spacing w:after="0"/>
        <w:ind w:firstLine="709"/>
        <w:jc w:val="both"/>
        <w:rPr>
          <w:rFonts w:asciiTheme="minorHAnsi" w:hAnsiTheme="minorHAnsi" w:cstheme="minorHAnsi"/>
          <w:sz w:val="26"/>
          <w:szCs w:val="26"/>
        </w:rPr>
      </w:pPr>
    </w:p>
    <w:p w:rsidR="00CC442A" w:rsidRPr="00CC442A" w:rsidRDefault="00CC442A" w:rsidP="00151EE1">
      <w:pPr>
        <w:spacing w:line="340" w:lineRule="exact"/>
        <w:ind w:firstLine="709"/>
        <w:jc w:val="both"/>
        <w:rPr>
          <w:rFonts w:asciiTheme="minorHAnsi" w:hAnsiTheme="minorHAnsi" w:cstheme="minorHAnsi"/>
          <w:sz w:val="26"/>
          <w:szCs w:val="26"/>
        </w:rPr>
      </w:pPr>
      <w:r w:rsidRPr="00CC442A">
        <w:rPr>
          <w:rFonts w:asciiTheme="minorHAnsi" w:hAnsiTheme="minorHAnsi" w:cstheme="minorHAnsi"/>
          <w:sz w:val="26"/>
          <w:szCs w:val="26"/>
        </w:rPr>
        <w:t xml:space="preserve">Profitant d’une pluviométrie mieux équilibrée territorialement, </w:t>
      </w:r>
      <w:r w:rsidRPr="00CC442A">
        <w:rPr>
          <w:rFonts w:asciiTheme="minorHAnsi" w:hAnsiTheme="minorHAnsi" w:cstheme="minorHAnsi"/>
          <w:b/>
          <w:bCs/>
          <w:sz w:val="26"/>
          <w:szCs w:val="26"/>
        </w:rPr>
        <w:t>l’activité agricole</w:t>
      </w:r>
      <w:r w:rsidRPr="00CC442A">
        <w:rPr>
          <w:rFonts w:asciiTheme="minorHAnsi" w:hAnsiTheme="minorHAnsi" w:cstheme="minorHAnsi"/>
          <w:sz w:val="26"/>
          <w:szCs w:val="26"/>
        </w:rPr>
        <w:t xml:space="preserve"> aurait terminé l’année 2018 avec un palmarès de performances remarquables aussi bien pour la céréaliculture que pour les cultures maraichères et l’arboriculture, avec toutefois un léger ralentissement des activités de l’élevage. Dans ces conditions, la valeur ajoutée agricole aurait progressé de 3,9%, contribuant de 0,4 point à la croissance économique et le redressement de l’emploi amorcé en 2017 se serait poursuivi avec la création nette de 9000 postes. Les échanges commerciaux de produits agricoles se seraient, également, intensifiés se soldant </w:t>
      </w:r>
      <w:r w:rsidR="00151EE1">
        <w:rPr>
          <w:rFonts w:asciiTheme="minorHAnsi" w:hAnsiTheme="minorHAnsi" w:cstheme="minorHAnsi"/>
          <w:sz w:val="26"/>
          <w:szCs w:val="26"/>
        </w:rPr>
        <w:t>par</w:t>
      </w:r>
      <w:r w:rsidRPr="00CC442A">
        <w:rPr>
          <w:rFonts w:asciiTheme="minorHAnsi" w:hAnsiTheme="minorHAnsi" w:cstheme="minorHAnsi"/>
          <w:sz w:val="26"/>
          <w:szCs w:val="26"/>
        </w:rPr>
        <w:t xml:space="preserve"> un excédent de la balance alimentaire de 6 milliard</w:t>
      </w:r>
      <w:r w:rsidR="00151EE1">
        <w:rPr>
          <w:rFonts w:asciiTheme="minorHAnsi" w:hAnsiTheme="minorHAnsi" w:cstheme="minorHAnsi"/>
          <w:sz w:val="26"/>
          <w:szCs w:val="26"/>
        </w:rPr>
        <w:t>s</w:t>
      </w:r>
      <w:r w:rsidRPr="00CC442A">
        <w:rPr>
          <w:rFonts w:asciiTheme="minorHAnsi" w:hAnsiTheme="minorHAnsi" w:cstheme="minorHAnsi"/>
          <w:sz w:val="26"/>
          <w:szCs w:val="26"/>
        </w:rPr>
        <w:t xml:space="preserve"> de dh. </w:t>
      </w:r>
    </w:p>
    <w:p w:rsidR="00CC442A" w:rsidRPr="00CC442A" w:rsidRDefault="00CC442A" w:rsidP="00CC442A">
      <w:pPr>
        <w:spacing w:line="340" w:lineRule="exact"/>
        <w:ind w:firstLine="709"/>
        <w:jc w:val="both"/>
        <w:rPr>
          <w:rFonts w:asciiTheme="minorHAnsi" w:hAnsiTheme="minorHAnsi" w:cstheme="minorHAnsi"/>
          <w:sz w:val="26"/>
          <w:szCs w:val="26"/>
        </w:rPr>
      </w:pPr>
      <w:r w:rsidRPr="00CC442A">
        <w:rPr>
          <w:rFonts w:asciiTheme="minorHAnsi" w:hAnsiTheme="minorHAnsi" w:cstheme="minorHAnsi"/>
          <w:sz w:val="26"/>
          <w:szCs w:val="26"/>
        </w:rPr>
        <w:t xml:space="preserve">La </w:t>
      </w:r>
      <w:r w:rsidRPr="00CC442A">
        <w:rPr>
          <w:rFonts w:asciiTheme="minorHAnsi" w:hAnsiTheme="minorHAnsi" w:cstheme="minorHAnsi"/>
          <w:b/>
          <w:bCs/>
          <w:sz w:val="26"/>
          <w:szCs w:val="26"/>
        </w:rPr>
        <w:t>campagne agricole 2018/2019</w:t>
      </w:r>
      <w:r w:rsidRPr="00CC442A">
        <w:rPr>
          <w:rFonts w:asciiTheme="minorHAnsi" w:hAnsiTheme="minorHAnsi" w:cstheme="minorHAnsi"/>
          <w:sz w:val="26"/>
          <w:szCs w:val="26"/>
        </w:rPr>
        <w:t xml:space="preserve">, et après avoir démarré avec une pluviométrie généreuse qui aurait amélioré les réserves des barrages agricoles et conduit à une mobilisation des agriculteurs et une préparation technique, professionnelle et </w:t>
      </w:r>
      <w:bookmarkStart w:id="1" w:name="_GoBack"/>
      <w:r w:rsidRPr="00CC442A">
        <w:rPr>
          <w:rFonts w:asciiTheme="minorHAnsi" w:hAnsiTheme="minorHAnsi" w:cstheme="minorHAnsi"/>
          <w:sz w:val="26"/>
          <w:szCs w:val="26"/>
        </w:rPr>
        <w:t xml:space="preserve">logistique précoce, a subi le contrecoup d’un déficit pluviométrique généralisé </w:t>
      </w:r>
      <w:bookmarkEnd w:id="1"/>
      <w:r w:rsidRPr="00CC442A">
        <w:rPr>
          <w:rFonts w:asciiTheme="minorHAnsi" w:hAnsiTheme="minorHAnsi" w:cstheme="minorHAnsi"/>
          <w:sz w:val="26"/>
          <w:szCs w:val="26"/>
        </w:rPr>
        <w:t xml:space="preserve">combiné à une hausse sensible de l’amplitude thermique pendant le mois de décembre. Les campagnes agricoles qui avaient démarré sous des conditions semblables s’élèvent à 6 sur les 30 dernières années, avec une probabilité de 74% de converger vers une saison bonne à moyenne.  </w:t>
      </w:r>
    </w:p>
    <w:p w:rsidR="00CC442A" w:rsidRPr="00CC442A" w:rsidRDefault="00CC442A" w:rsidP="00CC442A">
      <w:pPr>
        <w:spacing w:line="340" w:lineRule="exact"/>
        <w:ind w:firstLine="709"/>
        <w:jc w:val="both"/>
        <w:rPr>
          <w:rFonts w:asciiTheme="minorHAnsi" w:hAnsiTheme="minorHAnsi" w:cstheme="minorHAnsi"/>
          <w:sz w:val="26"/>
          <w:szCs w:val="26"/>
        </w:rPr>
      </w:pPr>
    </w:p>
    <w:p w:rsidR="00CC442A" w:rsidRDefault="00CC442A" w:rsidP="00CC442A">
      <w:pPr>
        <w:spacing w:line="340" w:lineRule="exact"/>
        <w:ind w:firstLine="709"/>
        <w:jc w:val="both"/>
        <w:rPr>
          <w:rFonts w:asciiTheme="minorHAnsi" w:hAnsiTheme="minorHAnsi" w:cstheme="minorHAnsi"/>
          <w:sz w:val="26"/>
          <w:szCs w:val="26"/>
        </w:rPr>
      </w:pPr>
      <w:r w:rsidRPr="00CC442A">
        <w:rPr>
          <w:rFonts w:asciiTheme="minorHAnsi" w:hAnsiTheme="minorHAnsi" w:cstheme="minorHAnsi"/>
          <w:sz w:val="26"/>
          <w:szCs w:val="26"/>
        </w:rPr>
        <w:t xml:space="preserve">Dans ces conditions, et sous les réserves d’usage concernant le déroulement des conditions climatiques de l’actuelle campagne conformément aux campagnes semblables antérieures, nous retiendrons dans le cadre du Budget Economique Prévisionnel 2019 l’hypothèse du retour probable d’une pluviométrie hivernale conforme à la saison normale. Ainsi et tenant compte de la poursuite de la dynamique de croissance des cultures irriguées et du redressement de l’avicole, le repli de l’activité agricole se limiterait à -0,4% seulement en 2019. </w:t>
      </w:r>
    </w:p>
    <w:p w:rsidR="00396FEE" w:rsidRDefault="00396FEE" w:rsidP="00396FEE">
      <w:pPr>
        <w:spacing w:line="340" w:lineRule="exact"/>
        <w:ind w:firstLine="709"/>
        <w:jc w:val="both"/>
        <w:rPr>
          <w:rFonts w:ascii="Book Antiqua" w:hAnsi="Book Antiqua"/>
          <w:sz w:val="24"/>
          <w:szCs w:val="24"/>
        </w:rPr>
      </w:pPr>
      <w:r w:rsidRPr="007B5278">
        <w:rPr>
          <w:rFonts w:ascii="Book Antiqua" w:hAnsi="Book Antiqua"/>
          <w:b/>
          <w:bCs/>
          <w:sz w:val="24"/>
          <w:szCs w:val="24"/>
        </w:rPr>
        <w:t>Hors agriculture</w:t>
      </w:r>
      <w:r w:rsidRPr="007B5278">
        <w:rPr>
          <w:rFonts w:ascii="Book Antiqua" w:hAnsi="Book Antiqua"/>
          <w:sz w:val="24"/>
          <w:szCs w:val="24"/>
        </w:rPr>
        <w:t xml:space="preserve">, </w:t>
      </w:r>
      <w:r w:rsidRPr="00466D5C">
        <w:rPr>
          <w:rFonts w:ascii="Book Antiqua" w:hAnsi="Book Antiqua"/>
          <w:sz w:val="24"/>
          <w:szCs w:val="24"/>
        </w:rPr>
        <w:t xml:space="preserve">l’activité </w:t>
      </w:r>
      <w:r>
        <w:rPr>
          <w:rFonts w:ascii="Book Antiqua" w:hAnsi="Book Antiqua"/>
          <w:sz w:val="24"/>
          <w:szCs w:val="24"/>
        </w:rPr>
        <w:t xml:space="preserve">poursuivraitson évolution modérée au rythme de </w:t>
      </w:r>
      <w:r w:rsidRPr="002669D2">
        <w:rPr>
          <w:rFonts w:ascii="Book Antiqua" w:hAnsi="Book Antiqua"/>
          <w:sz w:val="24"/>
          <w:szCs w:val="24"/>
        </w:rPr>
        <w:t>3,</w:t>
      </w:r>
      <w:r>
        <w:rPr>
          <w:rFonts w:ascii="Book Antiqua" w:hAnsi="Book Antiqua"/>
          <w:sz w:val="24"/>
          <w:szCs w:val="24"/>
        </w:rPr>
        <w:t>1</w:t>
      </w:r>
      <w:r w:rsidRPr="002669D2">
        <w:rPr>
          <w:rFonts w:ascii="Book Antiqua" w:hAnsi="Book Antiqua"/>
          <w:sz w:val="24"/>
          <w:szCs w:val="24"/>
        </w:rPr>
        <w:t xml:space="preserve">% </w:t>
      </w:r>
      <w:r>
        <w:rPr>
          <w:rFonts w:ascii="Book Antiqua" w:hAnsi="Book Antiqua"/>
          <w:sz w:val="24"/>
          <w:szCs w:val="24"/>
        </w:rPr>
        <w:t>au lieu de2,9</w:t>
      </w:r>
      <w:r w:rsidRPr="002669D2">
        <w:rPr>
          <w:rFonts w:ascii="Book Antiqua" w:hAnsi="Book Antiqua"/>
          <w:sz w:val="24"/>
          <w:szCs w:val="24"/>
        </w:rPr>
        <w:t xml:space="preserve">% </w:t>
      </w:r>
      <w:r>
        <w:rPr>
          <w:rFonts w:ascii="Book Antiqua" w:hAnsi="Book Antiqua"/>
          <w:sz w:val="24"/>
          <w:szCs w:val="24"/>
        </w:rPr>
        <w:t>en 2018</w:t>
      </w:r>
      <w:r w:rsidRPr="002669D2">
        <w:rPr>
          <w:rFonts w:ascii="Book Antiqua" w:hAnsi="Book Antiqua"/>
          <w:sz w:val="24"/>
          <w:szCs w:val="24"/>
        </w:rPr>
        <w:t xml:space="preserve">. Les </w:t>
      </w:r>
      <w:r>
        <w:rPr>
          <w:rFonts w:ascii="Book Antiqua" w:hAnsi="Book Antiqua"/>
          <w:sz w:val="24"/>
          <w:szCs w:val="24"/>
        </w:rPr>
        <w:t>branches tertiaires</w:t>
      </w:r>
      <w:r w:rsidRPr="002669D2">
        <w:rPr>
          <w:rFonts w:ascii="Book Antiqua" w:hAnsi="Book Antiqua"/>
          <w:sz w:val="24"/>
          <w:szCs w:val="24"/>
        </w:rPr>
        <w:t xml:space="preserve">, se situant toujours </w:t>
      </w:r>
      <w:r>
        <w:rPr>
          <w:rFonts w:ascii="Book Antiqua" w:hAnsi="Book Antiqua"/>
          <w:sz w:val="24"/>
          <w:szCs w:val="24"/>
        </w:rPr>
        <w:t>en deçà de leur performance enregistrée entre 2007 et 2011</w:t>
      </w:r>
      <w:r w:rsidRPr="002669D2">
        <w:rPr>
          <w:rFonts w:ascii="Book Antiqua" w:hAnsi="Book Antiqua"/>
          <w:sz w:val="24"/>
          <w:szCs w:val="24"/>
        </w:rPr>
        <w:t xml:space="preserve">, </w:t>
      </w:r>
      <w:r>
        <w:rPr>
          <w:rFonts w:ascii="Book Antiqua" w:hAnsi="Book Antiqua"/>
          <w:sz w:val="24"/>
          <w:szCs w:val="24"/>
        </w:rPr>
        <w:t>assureraient plus de 64% de cette progression, alors que la croissance des branches secondaires resterait moins soutenue, portées principalement par une légère accélération du rythme de la croissance</w:t>
      </w:r>
      <w:r w:rsidRPr="00B637DA">
        <w:rPr>
          <w:rFonts w:ascii="Book Antiqua" w:hAnsi="Book Antiqua"/>
          <w:sz w:val="24"/>
          <w:szCs w:val="24"/>
        </w:rPr>
        <w:t xml:space="preserve"> manufacturière</w:t>
      </w:r>
      <w:r>
        <w:rPr>
          <w:rFonts w:ascii="Book Antiqua" w:hAnsi="Book Antiqua"/>
          <w:sz w:val="24"/>
          <w:szCs w:val="24"/>
        </w:rPr>
        <w:t xml:space="preserve">. </w:t>
      </w:r>
      <w:r w:rsidRPr="002669D2">
        <w:rPr>
          <w:rFonts w:ascii="Book Antiqua" w:hAnsi="Book Antiqua"/>
          <w:sz w:val="24"/>
          <w:szCs w:val="24"/>
        </w:rPr>
        <w:t xml:space="preserve">Traditionnellement </w:t>
      </w:r>
      <w:r>
        <w:rPr>
          <w:rFonts w:ascii="Book Antiqua" w:hAnsi="Book Antiqua"/>
          <w:sz w:val="24"/>
          <w:szCs w:val="24"/>
        </w:rPr>
        <w:t>soutenue</w:t>
      </w:r>
      <w:r w:rsidRPr="002669D2">
        <w:rPr>
          <w:rFonts w:ascii="Book Antiqua" w:hAnsi="Book Antiqua"/>
          <w:sz w:val="24"/>
          <w:szCs w:val="24"/>
        </w:rPr>
        <w:t xml:space="preserve"> par les industriesagroalimentaire</w:t>
      </w:r>
      <w:r>
        <w:rPr>
          <w:rFonts w:ascii="Book Antiqua" w:hAnsi="Book Antiqua"/>
          <w:sz w:val="24"/>
          <w:szCs w:val="24"/>
        </w:rPr>
        <w:t>s</w:t>
      </w:r>
      <w:r w:rsidRPr="002669D2">
        <w:rPr>
          <w:rFonts w:ascii="Book Antiqua" w:hAnsi="Book Antiqua"/>
          <w:sz w:val="24"/>
          <w:szCs w:val="24"/>
        </w:rPr>
        <w:t xml:space="preserve"> et chimi</w:t>
      </w:r>
      <w:r>
        <w:rPr>
          <w:rFonts w:ascii="Book Antiqua" w:hAnsi="Book Antiqua"/>
          <w:sz w:val="24"/>
          <w:szCs w:val="24"/>
        </w:rPr>
        <w:t>ques</w:t>
      </w:r>
      <w:r w:rsidRPr="002669D2">
        <w:rPr>
          <w:rFonts w:ascii="Book Antiqua" w:hAnsi="Book Antiqua"/>
          <w:sz w:val="24"/>
          <w:szCs w:val="24"/>
        </w:rPr>
        <w:t xml:space="preserve">, </w:t>
      </w:r>
      <w:r>
        <w:rPr>
          <w:rFonts w:ascii="Book Antiqua" w:hAnsi="Book Antiqua"/>
          <w:sz w:val="24"/>
          <w:szCs w:val="24"/>
        </w:rPr>
        <w:t>l’activité</w:t>
      </w:r>
      <w:r w:rsidRPr="002669D2">
        <w:rPr>
          <w:rFonts w:ascii="Book Antiqua" w:hAnsi="Book Antiqua"/>
          <w:sz w:val="24"/>
          <w:szCs w:val="24"/>
        </w:rPr>
        <w:t xml:space="preserve"> manufacturière continuerait de se rééquilibrer en faveur des nouveaux métiers industriels, notamment l’automobile</w:t>
      </w:r>
      <w:r>
        <w:rPr>
          <w:rFonts w:ascii="Book Antiqua" w:hAnsi="Book Antiqua"/>
          <w:sz w:val="24"/>
          <w:szCs w:val="24"/>
        </w:rPr>
        <w:t>, dont la contribution a</w:t>
      </w:r>
      <w:r w:rsidRPr="002669D2">
        <w:rPr>
          <w:rFonts w:ascii="Book Antiqua" w:hAnsi="Book Antiqua"/>
          <w:sz w:val="24"/>
          <w:szCs w:val="24"/>
        </w:rPr>
        <w:t xml:space="preserve"> progressivement augmenté </w:t>
      </w:r>
      <w:r>
        <w:rPr>
          <w:rFonts w:ascii="Book Antiqua" w:hAnsi="Book Antiqua"/>
          <w:sz w:val="24"/>
          <w:szCs w:val="24"/>
        </w:rPr>
        <w:t xml:space="preserve">depuis 2012 </w:t>
      </w:r>
      <w:r w:rsidRPr="002669D2">
        <w:rPr>
          <w:rFonts w:ascii="Book Antiqua" w:hAnsi="Book Antiqua"/>
          <w:sz w:val="24"/>
          <w:szCs w:val="24"/>
        </w:rPr>
        <w:t xml:space="preserve">pour atteindre </w:t>
      </w:r>
      <w:r>
        <w:rPr>
          <w:rFonts w:ascii="Book Antiqua" w:hAnsi="Book Antiqua"/>
          <w:sz w:val="24"/>
          <w:szCs w:val="24"/>
        </w:rPr>
        <w:t>un</w:t>
      </w:r>
      <w:r w:rsidRPr="002669D2">
        <w:rPr>
          <w:rFonts w:ascii="Book Antiqua" w:hAnsi="Book Antiqua"/>
          <w:sz w:val="24"/>
          <w:szCs w:val="24"/>
        </w:rPr>
        <w:t xml:space="preserve"> niveau comparable </w:t>
      </w:r>
      <w:r>
        <w:rPr>
          <w:rFonts w:ascii="Book Antiqua" w:hAnsi="Book Antiqua"/>
          <w:sz w:val="24"/>
          <w:szCs w:val="24"/>
        </w:rPr>
        <w:t>à celui des</w:t>
      </w:r>
      <w:r w:rsidRPr="002669D2">
        <w:rPr>
          <w:rFonts w:ascii="Book Antiqua" w:hAnsi="Book Antiqua"/>
          <w:sz w:val="24"/>
          <w:szCs w:val="24"/>
        </w:rPr>
        <w:t xml:space="preserve"> industries </w:t>
      </w:r>
      <w:r>
        <w:rPr>
          <w:rFonts w:ascii="Book Antiqua" w:hAnsi="Book Antiqua"/>
          <w:sz w:val="24"/>
          <w:szCs w:val="24"/>
        </w:rPr>
        <w:t>de l’habillement</w:t>
      </w:r>
      <w:r w:rsidRPr="002669D2">
        <w:rPr>
          <w:rFonts w:ascii="Book Antiqua" w:hAnsi="Book Antiqua"/>
          <w:sz w:val="24"/>
          <w:szCs w:val="24"/>
        </w:rPr>
        <w:t>en 2018</w:t>
      </w:r>
      <w:r>
        <w:rPr>
          <w:rFonts w:ascii="Book Antiqua" w:hAnsi="Book Antiqua"/>
          <w:sz w:val="24"/>
          <w:szCs w:val="24"/>
        </w:rPr>
        <w:t xml:space="preserve">. </w:t>
      </w:r>
    </w:p>
    <w:p w:rsidR="00396FEE" w:rsidRDefault="00396FEE" w:rsidP="00396FEE">
      <w:pPr>
        <w:spacing w:line="340" w:lineRule="exact"/>
        <w:ind w:firstLine="709"/>
        <w:jc w:val="both"/>
        <w:rPr>
          <w:rFonts w:ascii="Book Antiqua" w:hAnsi="Book Antiqua"/>
          <w:sz w:val="24"/>
          <w:szCs w:val="24"/>
        </w:rPr>
      </w:pPr>
      <w:r>
        <w:rPr>
          <w:rFonts w:ascii="Book Antiqua" w:hAnsi="Book Antiqua"/>
          <w:sz w:val="24"/>
          <w:szCs w:val="24"/>
        </w:rPr>
        <w:t>En revanche, l’activité minière afficherait un retour vers son niveau tendanciel, après une forte progression en 2017.  La production du phosphate brut, principal socle de la croissance minière, subirait les ajustements de la demande des industries locales de transformation face à la montée</w:t>
      </w:r>
      <w:r w:rsidRPr="002669D2">
        <w:rPr>
          <w:rFonts w:ascii="Book Antiqua" w:hAnsi="Book Antiqua"/>
          <w:sz w:val="24"/>
          <w:szCs w:val="24"/>
        </w:rPr>
        <w:t xml:space="preserve"> des cours internationaux des engrais</w:t>
      </w:r>
      <w:r>
        <w:rPr>
          <w:rFonts w:ascii="Book Antiqua" w:hAnsi="Book Antiqua"/>
          <w:sz w:val="24"/>
          <w:szCs w:val="24"/>
        </w:rPr>
        <w:t>, à l</w:t>
      </w:r>
      <w:r w:rsidRPr="002669D2">
        <w:rPr>
          <w:rFonts w:ascii="Book Antiqua" w:hAnsi="Book Antiqua"/>
          <w:sz w:val="24"/>
          <w:szCs w:val="24"/>
        </w:rPr>
        <w:t>’augmentation des capa</w:t>
      </w:r>
      <w:r>
        <w:rPr>
          <w:rFonts w:ascii="Book Antiqua" w:hAnsi="Book Antiqua"/>
          <w:sz w:val="24"/>
          <w:szCs w:val="24"/>
        </w:rPr>
        <w:t>cités productives</w:t>
      </w:r>
      <w:r w:rsidRPr="002669D2">
        <w:rPr>
          <w:rFonts w:ascii="Book Antiqua" w:hAnsi="Book Antiqua"/>
          <w:sz w:val="24"/>
          <w:szCs w:val="24"/>
        </w:rPr>
        <w:t xml:space="preserve"> des pays asiatiques</w:t>
      </w:r>
      <w:r>
        <w:rPr>
          <w:rFonts w:ascii="Book Antiqua" w:hAnsi="Book Antiqua"/>
          <w:sz w:val="24"/>
          <w:szCs w:val="24"/>
        </w:rPr>
        <w:t xml:space="preserve"> et au rétablissement modéré de leurs débouchés traditionnels. </w:t>
      </w:r>
    </w:p>
    <w:p w:rsidR="00396FEE" w:rsidRDefault="00396FEE" w:rsidP="00396FEE">
      <w:pPr>
        <w:spacing w:line="340" w:lineRule="exact"/>
        <w:ind w:firstLine="709"/>
        <w:jc w:val="both"/>
        <w:rPr>
          <w:rFonts w:ascii="Book Antiqua" w:hAnsi="Book Antiqua"/>
          <w:sz w:val="24"/>
          <w:szCs w:val="24"/>
        </w:rPr>
      </w:pPr>
      <w:r>
        <w:rPr>
          <w:rFonts w:ascii="Book Antiqua" w:hAnsi="Book Antiqua"/>
          <w:sz w:val="24"/>
          <w:szCs w:val="24"/>
        </w:rPr>
        <w:t xml:space="preserve">L’activité de la construction resterait également en deçà de sa dynamique réalisée entre 2007 et 2012, plombée par le repli des investissements étrangers dans l’immobilier et la décélération du rythme </w:t>
      </w:r>
      <w:r w:rsidRPr="00311115">
        <w:rPr>
          <w:rFonts w:ascii="Book Antiqua" w:hAnsi="Book Antiqua"/>
          <w:sz w:val="24"/>
          <w:szCs w:val="24"/>
        </w:rPr>
        <w:t>de croissance du pouvoir d’achat immobilier des ménages, de +9,7% en moyenne entre 2005 et 2009 à + 2% entre 2010 et 201</w:t>
      </w:r>
      <w:r>
        <w:rPr>
          <w:rFonts w:ascii="Book Antiqua" w:hAnsi="Book Antiqua"/>
          <w:sz w:val="24"/>
          <w:szCs w:val="24"/>
        </w:rPr>
        <w:t xml:space="preserve">8. </w:t>
      </w:r>
    </w:p>
    <w:p w:rsidR="00396FEE" w:rsidRDefault="00396FEE" w:rsidP="00CC442A">
      <w:pPr>
        <w:spacing w:line="340" w:lineRule="exact"/>
        <w:ind w:firstLine="709"/>
        <w:jc w:val="both"/>
        <w:rPr>
          <w:rFonts w:asciiTheme="minorHAnsi" w:hAnsiTheme="minorHAnsi" w:cstheme="minorHAnsi"/>
          <w:sz w:val="26"/>
          <w:szCs w:val="26"/>
        </w:rPr>
      </w:pPr>
    </w:p>
    <w:p w:rsidR="00396FEE" w:rsidRDefault="00396FEE" w:rsidP="00CC442A">
      <w:pPr>
        <w:spacing w:line="340" w:lineRule="exact"/>
        <w:ind w:firstLine="709"/>
        <w:jc w:val="both"/>
        <w:rPr>
          <w:rFonts w:asciiTheme="minorHAnsi" w:hAnsiTheme="minorHAnsi" w:cstheme="minorHAnsi"/>
          <w:sz w:val="26"/>
          <w:szCs w:val="26"/>
        </w:rPr>
      </w:pPr>
    </w:p>
    <w:p w:rsidR="00396FEE" w:rsidRDefault="00396FEE" w:rsidP="00CC442A">
      <w:pPr>
        <w:spacing w:line="340" w:lineRule="exact"/>
        <w:ind w:firstLine="709"/>
        <w:jc w:val="both"/>
        <w:rPr>
          <w:rFonts w:asciiTheme="minorHAnsi" w:hAnsiTheme="minorHAnsi" w:cstheme="minorHAnsi"/>
          <w:sz w:val="26"/>
          <w:szCs w:val="26"/>
        </w:rPr>
      </w:pPr>
    </w:p>
    <w:p w:rsidR="00396FEE" w:rsidRDefault="00396FEE" w:rsidP="00CC442A">
      <w:pPr>
        <w:spacing w:line="340" w:lineRule="exact"/>
        <w:ind w:firstLine="709"/>
        <w:jc w:val="both"/>
        <w:rPr>
          <w:rFonts w:asciiTheme="minorHAnsi" w:hAnsiTheme="minorHAnsi" w:cstheme="minorHAnsi"/>
          <w:sz w:val="26"/>
          <w:szCs w:val="26"/>
        </w:rPr>
      </w:pPr>
    </w:p>
    <w:p w:rsidR="00396FEE" w:rsidRDefault="00396FEE" w:rsidP="00CC442A">
      <w:pPr>
        <w:spacing w:line="340" w:lineRule="exact"/>
        <w:ind w:firstLine="709"/>
        <w:jc w:val="both"/>
        <w:rPr>
          <w:rFonts w:asciiTheme="minorHAnsi" w:hAnsiTheme="minorHAnsi" w:cstheme="minorHAnsi"/>
          <w:sz w:val="26"/>
          <w:szCs w:val="26"/>
        </w:rPr>
      </w:pPr>
    </w:p>
    <w:p w:rsidR="000B19FD" w:rsidRPr="00D76017" w:rsidRDefault="000B19FD" w:rsidP="00D76017">
      <w:pPr>
        <w:spacing w:after="0"/>
        <w:ind w:firstLine="709"/>
        <w:jc w:val="both"/>
        <w:rPr>
          <w:rFonts w:asciiTheme="minorHAnsi" w:hAnsiTheme="minorHAnsi" w:cstheme="minorHAnsi"/>
          <w:sz w:val="26"/>
          <w:szCs w:val="26"/>
        </w:rPr>
      </w:pPr>
      <w:r w:rsidRPr="00D76017">
        <w:rPr>
          <w:rFonts w:asciiTheme="minorHAnsi" w:hAnsiTheme="minorHAnsi" w:cstheme="minorHAnsi"/>
          <w:sz w:val="26"/>
          <w:szCs w:val="26"/>
        </w:rPr>
        <w:lastRenderedPageBreak/>
        <w:t xml:space="preserve">Dans ces conditions, le </w:t>
      </w:r>
      <w:r w:rsidR="00D76017" w:rsidRPr="00D76017">
        <w:rPr>
          <w:rFonts w:asciiTheme="minorHAnsi" w:hAnsiTheme="minorHAnsi" w:cstheme="minorHAnsi"/>
          <w:sz w:val="26"/>
          <w:szCs w:val="26"/>
        </w:rPr>
        <w:t>PIB devrait s’accroitre en volume de 3% en 2018 et 2,9% en 2019, après 4,1% réalisé en 2017, dans un contexte d’une décélération de l’inflation intérieure passant de  1,7% en 2018 à  1,2% en 2019.</w:t>
      </w:r>
    </w:p>
    <w:p w:rsidR="000B19FD" w:rsidRPr="0099029E" w:rsidRDefault="000B19FD" w:rsidP="0099029E">
      <w:pPr>
        <w:spacing w:after="0"/>
        <w:ind w:firstLine="709"/>
        <w:jc w:val="both"/>
        <w:rPr>
          <w:rFonts w:asciiTheme="minorHAnsi" w:hAnsiTheme="minorHAnsi" w:cstheme="minorHAnsi"/>
          <w:sz w:val="26"/>
          <w:szCs w:val="26"/>
        </w:rPr>
      </w:pPr>
    </w:p>
    <w:p w:rsidR="0099029E" w:rsidRDefault="0099029E" w:rsidP="0099029E">
      <w:pPr>
        <w:spacing w:after="0"/>
        <w:ind w:firstLine="709"/>
        <w:jc w:val="both"/>
        <w:rPr>
          <w:rFonts w:asciiTheme="minorHAnsi" w:hAnsiTheme="minorHAnsi" w:cstheme="minorHAnsi"/>
          <w:sz w:val="26"/>
          <w:szCs w:val="26"/>
        </w:rPr>
      </w:pPr>
    </w:p>
    <w:p w:rsidR="0099029E" w:rsidRPr="0099029E" w:rsidRDefault="0099029E" w:rsidP="00CB657D">
      <w:pPr>
        <w:numPr>
          <w:ilvl w:val="0"/>
          <w:numId w:val="6"/>
        </w:numPr>
        <w:spacing w:after="0"/>
        <w:rPr>
          <w:rFonts w:asciiTheme="minorHAnsi" w:hAnsiTheme="minorHAnsi" w:cstheme="minorHAnsi"/>
          <w:b/>
          <w:bCs/>
          <w:color w:val="632423" w:themeColor="accent2" w:themeShade="80"/>
          <w:sz w:val="30"/>
          <w:szCs w:val="30"/>
          <w:u w:val="single"/>
        </w:rPr>
      </w:pPr>
      <w:r w:rsidRPr="0099029E">
        <w:rPr>
          <w:rFonts w:asciiTheme="minorHAnsi" w:hAnsiTheme="minorHAnsi" w:cstheme="minorHAnsi"/>
          <w:b/>
          <w:bCs/>
          <w:color w:val="632423" w:themeColor="accent2" w:themeShade="80"/>
          <w:sz w:val="30"/>
          <w:szCs w:val="30"/>
          <w:u w:val="single"/>
        </w:rPr>
        <w:t>Décélération du rythme de croissance de la demande intérieure en 2019</w:t>
      </w:r>
    </w:p>
    <w:p w:rsidR="00AB6F14" w:rsidRDefault="00AB6F14" w:rsidP="0099029E">
      <w:pPr>
        <w:spacing w:after="0"/>
        <w:ind w:firstLine="708"/>
        <w:jc w:val="both"/>
        <w:rPr>
          <w:rFonts w:asciiTheme="minorHAnsi" w:hAnsiTheme="minorHAnsi" w:cstheme="minorHAnsi"/>
          <w:sz w:val="26"/>
          <w:szCs w:val="26"/>
        </w:rPr>
      </w:pPr>
    </w:p>
    <w:p w:rsidR="0099029E" w:rsidRPr="0099029E" w:rsidRDefault="0099029E" w:rsidP="0099029E">
      <w:pPr>
        <w:spacing w:after="0"/>
        <w:ind w:firstLine="708"/>
        <w:jc w:val="both"/>
        <w:rPr>
          <w:rFonts w:asciiTheme="minorHAnsi" w:hAnsiTheme="minorHAnsi" w:cstheme="minorHAnsi"/>
          <w:sz w:val="26"/>
          <w:szCs w:val="26"/>
        </w:rPr>
      </w:pPr>
      <w:r w:rsidRPr="0099029E">
        <w:rPr>
          <w:rFonts w:asciiTheme="minorHAnsi" w:hAnsiTheme="minorHAnsi" w:cstheme="minorHAnsi"/>
          <w:sz w:val="26"/>
          <w:szCs w:val="26"/>
        </w:rPr>
        <w:t>Dans une ligne de continuité de son modèle historique, la croissance continuerait d’être soutenue en 2019 par la demande intérieure, avec cependant un rythme en léger retrait par rapport à 2018, alors que la contribution de la demande extérieure nette, bien qu’en légère amélioration, resterait négative.</w:t>
      </w:r>
    </w:p>
    <w:p w:rsidR="0099029E" w:rsidRPr="0099029E" w:rsidRDefault="0099029E" w:rsidP="0099029E">
      <w:pPr>
        <w:spacing w:after="0"/>
        <w:jc w:val="both"/>
        <w:rPr>
          <w:rFonts w:asciiTheme="minorHAnsi" w:hAnsiTheme="minorHAnsi" w:cstheme="minorHAnsi"/>
          <w:sz w:val="26"/>
          <w:szCs w:val="26"/>
        </w:rPr>
      </w:pPr>
    </w:p>
    <w:p w:rsidR="0099029E" w:rsidRDefault="0099029E" w:rsidP="0012609B">
      <w:pPr>
        <w:spacing w:after="0"/>
        <w:ind w:firstLine="708"/>
        <w:jc w:val="both"/>
        <w:rPr>
          <w:rFonts w:asciiTheme="minorHAnsi" w:hAnsiTheme="minorHAnsi" w:cstheme="minorHAnsi"/>
          <w:sz w:val="26"/>
          <w:szCs w:val="26"/>
        </w:rPr>
      </w:pPr>
      <w:r w:rsidRPr="0099029E">
        <w:rPr>
          <w:rFonts w:asciiTheme="minorHAnsi" w:hAnsiTheme="minorHAnsi" w:cstheme="minorHAnsi"/>
          <w:sz w:val="26"/>
          <w:szCs w:val="26"/>
        </w:rPr>
        <w:t xml:space="preserve">C’est ainsi que la croissance de la demande intérieure, en volume, </w:t>
      </w:r>
      <w:r w:rsidR="00AB6F14">
        <w:rPr>
          <w:rFonts w:asciiTheme="minorHAnsi" w:hAnsiTheme="minorHAnsi" w:cstheme="minorHAnsi"/>
          <w:sz w:val="26"/>
          <w:szCs w:val="26"/>
        </w:rPr>
        <w:t>passerait</w:t>
      </w:r>
      <w:r w:rsidRPr="0099029E">
        <w:rPr>
          <w:rFonts w:asciiTheme="minorHAnsi" w:hAnsiTheme="minorHAnsi" w:cstheme="minorHAnsi"/>
          <w:sz w:val="26"/>
          <w:szCs w:val="26"/>
        </w:rPr>
        <w:t xml:space="preserve"> de</w:t>
      </w:r>
      <w:r w:rsidR="00AB6F14">
        <w:rPr>
          <w:rFonts w:asciiTheme="minorHAnsi" w:hAnsiTheme="minorHAnsi" w:cstheme="minorHAnsi"/>
          <w:sz w:val="26"/>
          <w:szCs w:val="26"/>
        </w:rPr>
        <w:t xml:space="preserve"> </w:t>
      </w:r>
      <w:r w:rsidRPr="0099029E">
        <w:rPr>
          <w:rFonts w:asciiTheme="minorHAnsi" w:hAnsiTheme="minorHAnsi" w:cstheme="minorHAnsi"/>
          <w:sz w:val="26"/>
          <w:szCs w:val="26"/>
        </w:rPr>
        <w:t>3,</w:t>
      </w:r>
      <w:r w:rsidR="0012609B">
        <w:rPr>
          <w:rFonts w:asciiTheme="minorHAnsi" w:hAnsiTheme="minorHAnsi" w:cstheme="minorHAnsi"/>
          <w:sz w:val="26"/>
          <w:szCs w:val="26"/>
        </w:rPr>
        <w:t>6</w:t>
      </w:r>
      <w:r w:rsidRPr="0099029E">
        <w:rPr>
          <w:rFonts w:asciiTheme="minorHAnsi" w:hAnsiTheme="minorHAnsi" w:cstheme="minorHAnsi"/>
          <w:sz w:val="26"/>
          <w:szCs w:val="26"/>
        </w:rPr>
        <w:t>% en 2018 à 3,</w:t>
      </w:r>
      <w:r w:rsidR="0012609B">
        <w:rPr>
          <w:rFonts w:asciiTheme="minorHAnsi" w:hAnsiTheme="minorHAnsi" w:cstheme="minorHAnsi"/>
          <w:sz w:val="26"/>
          <w:szCs w:val="26"/>
        </w:rPr>
        <w:t>4</w:t>
      </w:r>
      <w:r w:rsidRPr="0099029E">
        <w:rPr>
          <w:rFonts w:asciiTheme="minorHAnsi" w:hAnsiTheme="minorHAnsi" w:cstheme="minorHAnsi"/>
          <w:sz w:val="26"/>
          <w:szCs w:val="26"/>
        </w:rPr>
        <w:t xml:space="preserve">% en 2019, sous l’effet d’une </w:t>
      </w:r>
      <w:r w:rsidR="0012609B">
        <w:rPr>
          <w:rFonts w:asciiTheme="minorHAnsi" w:hAnsiTheme="minorHAnsi" w:cstheme="minorHAnsi"/>
          <w:sz w:val="26"/>
          <w:szCs w:val="26"/>
        </w:rPr>
        <w:t>légère hausse</w:t>
      </w:r>
      <w:r w:rsidRPr="0099029E">
        <w:rPr>
          <w:rFonts w:asciiTheme="minorHAnsi" w:hAnsiTheme="minorHAnsi" w:cstheme="minorHAnsi"/>
          <w:sz w:val="26"/>
          <w:szCs w:val="26"/>
        </w:rPr>
        <w:t xml:space="preserve"> de la formation brute de capital fixe de </w:t>
      </w:r>
      <w:r w:rsidR="0012609B">
        <w:rPr>
          <w:rFonts w:asciiTheme="minorHAnsi" w:hAnsiTheme="minorHAnsi" w:cstheme="minorHAnsi"/>
          <w:sz w:val="26"/>
          <w:szCs w:val="26"/>
        </w:rPr>
        <w:t>2,9</w:t>
      </w:r>
      <w:r w:rsidRPr="0099029E">
        <w:rPr>
          <w:rFonts w:asciiTheme="minorHAnsi" w:hAnsiTheme="minorHAnsi" w:cstheme="minorHAnsi"/>
          <w:sz w:val="26"/>
          <w:szCs w:val="26"/>
        </w:rPr>
        <w:t xml:space="preserve">% en 2018 à </w:t>
      </w:r>
      <w:r w:rsidR="0012609B">
        <w:rPr>
          <w:rFonts w:asciiTheme="minorHAnsi" w:hAnsiTheme="minorHAnsi" w:cstheme="minorHAnsi"/>
          <w:sz w:val="26"/>
          <w:szCs w:val="26"/>
        </w:rPr>
        <w:t>3,2</w:t>
      </w:r>
      <w:r w:rsidRPr="0099029E">
        <w:rPr>
          <w:rFonts w:asciiTheme="minorHAnsi" w:hAnsiTheme="minorHAnsi" w:cstheme="minorHAnsi"/>
          <w:sz w:val="26"/>
          <w:szCs w:val="26"/>
        </w:rPr>
        <w:t>% en 2019 et d’une faible croissance de la consommation finale des ménages se situant à  3,5% en 2019, au lieu de 3,4% en 2018. En revanche, la consommation publique afficherait un accroissement de 2,9% en 2019, après 2,</w:t>
      </w:r>
      <w:r w:rsidR="0012609B">
        <w:rPr>
          <w:rFonts w:asciiTheme="minorHAnsi" w:hAnsiTheme="minorHAnsi" w:cstheme="minorHAnsi"/>
          <w:sz w:val="26"/>
          <w:szCs w:val="26"/>
        </w:rPr>
        <w:t>2</w:t>
      </w:r>
      <w:r w:rsidRPr="0099029E">
        <w:rPr>
          <w:rFonts w:asciiTheme="minorHAnsi" w:hAnsiTheme="minorHAnsi" w:cstheme="minorHAnsi"/>
          <w:sz w:val="26"/>
          <w:szCs w:val="26"/>
        </w:rPr>
        <w:t>% en 2018.</w:t>
      </w:r>
    </w:p>
    <w:p w:rsidR="00AB6F14" w:rsidRPr="0099029E" w:rsidRDefault="00AB6F14" w:rsidP="0099029E">
      <w:pPr>
        <w:spacing w:after="0"/>
        <w:ind w:firstLine="708"/>
        <w:jc w:val="both"/>
        <w:rPr>
          <w:rFonts w:asciiTheme="minorHAnsi" w:hAnsiTheme="minorHAnsi" w:cstheme="minorHAnsi"/>
          <w:sz w:val="26"/>
          <w:szCs w:val="26"/>
        </w:rPr>
      </w:pPr>
    </w:p>
    <w:p w:rsidR="0099029E" w:rsidRPr="0099029E" w:rsidRDefault="0099029E" w:rsidP="0012609B">
      <w:pPr>
        <w:spacing w:after="0"/>
        <w:ind w:firstLine="708"/>
        <w:jc w:val="both"/>
        <w:rPr>
          <w:rFonts w:asciiTheme="minorHAnsi" w:hAnsiTheme="minorHAnsi" w:cstheme="minorHAnsi"/>
          <w:sz w:val="26"/>
          <w:szCs w:val="26"/>
        </w:rPr>
      </w:pPr>
      <w:r w:rsidRPr="0099029E">
        <w:rPr>
          <w:rFonts w:asciiTheme="minorHAnsi" w:hAnsiTheme="minorHAnsi" w:cstheme="minorHAnsi"/>
          <w:sz w:val="26"/>
          <w:szCs w:val="26"/>
        </w:rPr>
        <w:t>La contribution de la demande extérieure à la croissance du PIB resterait, cependant, négative passant d</w:t>
      </w:r>
      <w:r w:rsidR="0012609B">
        <w:rPr>
          <w:rFonts w:asciiTheme="minorHAnsi" w:hAnsiTheme="minorHAnsi" w:cstheme="minorHAnsi"/>
          <w:sz w:val="26"/>
          <w:szCs w:val="26"/>
        </w:rPr>
        <w:t>’un</w:t>
      </w:r>
      <w:r w:rsidRPr="0099029E">
        <w:rPr>
          <w:rFonts w:asciiTheme="minorHAnsi" w:hAnsiTheme="minorHAnsi" w:cstheme="minorHAnsi"/>
          <w:sz w:val="26"/>
          <w:szCs w:val="26"/>
        </w:rPr>
        <w:t xml:space="preserve"> point en 2018 à -0,</w:t>
      </w:r>
      <w:r w:rsidR="0012609B">
        <w:rPr>
          <w:rFonts w:asciiTheme="minorHAnsi" w:hAnsiTheme="minorHAnsi" w:cstheme="minorHAnsi"/>
          <w:sz w:val="26"/>
          <w:szCs w:val="26"/>
        </w:rPr>
        <w:t>8</w:t>
      </w:r>
      <w:r w:rsidRPr="0099029E">
        <w:rPr>
          <w:rFonts w:asciiTheme="minorHAnsi" w:hAnsiTheme="minorHAnsi" w:cstheme="minorHAnsi"/>
          <w:sz w:val="26"/>
          <w:szCs w:val="26"/>
        </w:rPr>
        <w:t xml:space="preserve"> point en 2019, en raison de la persistance de l’écart entre le rythme de croissance des importations et celui des exportations.</w:t>
      </w:r>
    </w:p>
    <w:p w:rsidR="0099029E" w:rsidRPr="0099029E" w:rsidRDefault="0099029E" w:rsidP="0099029E">
      <w:pPr>
        <w:spacing w:after="0"/>
        <w:ind w:firstLine="708"/>
        <w:jc w:val="both"/>
        <w:rPr>
          <w:rFonts w:asciiTheme="minorHAnsi" w:hAnsiTheme="minorHAnsi" w:cstheme="minorHAnsi"/>
          <w:sz w:val="26"/>
          <w:szCs w:val="26"/>
        </w:rPr>
      </w:pPr>
    </w:p>
    <w:p w:rsidR="0099029E" w:rsidRPr="0099029E" w:rsidRDefault="0099029E" w:rsidP="0012609B">
      <w:pPr>
        <w:pStyle w:val="Paragraphedeliste"/>
        <w:numPr>
          <w:ilvl w:val="0"/>
          <w:numId w:val="3"/>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 xml:space="preserve">Les exportations de biens et services, en volume, progresserait de </w:t>
      </w:r>
      <w:r w:rsidR="0012609B">
        <w:rPr>
          <w:rFonts w:asciiTheme="minorHAnsi" w:hAnsiTheme="minorHAnsi" w:cstheme="minorHAnsi"/>
          <w:sz w:val="26"/>
          <w:szCs w:val="26"/>
        </w:rPr>
        <w:t>5,9</w:t>
      </w:r>
      <w:r w:rsidRPr="0099029E">
        <w:rPr>
          <w:rFonts w:asciiTheme="minorHAnsi" w:hAnsiTheme="minorHAnsi" w:cstheme="minorHAnsi"/>
          <w:sz w:val="26"/>
          <w:szCs w:val="26"/>
        </w:rPr>
        <w:t xml:space="preserve">% en 2019, au lieu de </w:t>
      </w:r>
      <w:r w:rsidR="0012609B">
        <w:rPr>
          <w:rFonts w:asciiTheme="minorHAnsi" w:hAnsiTheme="minorHAnsi" w:cstheme="minorHAnsi"/>
          <w:sz w:val="26"/>
          <w:szCs w:val="26"/>
        </w:rPr>
        <w:t>4</w:t>
      </w:r>
      <w:r w:rsidRPr="0099029E">
        <w:rPr>
          <w:rFonts w:asciiTheme="minorHAnsi" w:hAnsiTheme="minorHAnsi" w:cstheme="minorHAnsi"/>
          <w:sz w:val="26"/>
          <w:szCs w:val="26"/>
        </w:rPr>
        <w:t>,9% en 2018, en ralentissement par rapport à 10,9% affiché en 2017 ;</w:t>
      </w:r>
    </w:p>
    <w:p w:rsidR="0099029E" w:rsidRPr="0099029E" w:rsidRDefault="0099029E" w:rsidP="0012609B">
      <w:pPr>
        <w:pStyle w:val="Paragraphedeliste"/>
        <w:numPr>
          <w:ilvl w:val="0"/>
          <w:numId w:val="3"/>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Les importations devraient croitre de 6,</w:t>
      </w:r>
      <w:r w:rsidR="0012609B">
        <w:rPr>
          <w:rFonts w:asciiTheme="minorHAnsi" w:hAnsiTheme="minorHAnsi" w:cstheme="minorHAnsi"/>
          <w:sz w:val="26"/>
          <w:szCs w:val="26"/>
        </w:rPr>
        <w:t>4</w:t>
      </w:r>
      <w:r w:rsidRPr="0099029E">
        <w:rPr>
          <w:rFonts w:asciiTheme="minorHAnsi" w:hAnsiTheme="minorHAnsi" w:cstheme="minorHAnsi"/>
          <w:sz w:val="26"/>
          <w:szCs w:val="26"/>
        </w:rPr>
        <w:t>% en 2019, après 6,</w:t>
      </w:r>
      <w:r w:rsidR="0012609B">
        <w:rPr>
          <w:rFonts w:asciiTheme="minorHAnsi" w:hAnsiTheme="minorHAnsi" w:cstheme="minorHAnsi"/>
          <w:sz w:val="26"/>
          <w:szCs w:val="26"/>
        </w:rPr>
        <w:t>1</w:t>
      </w:r>
      <w:r w:rsidRPr="0099029E">
        <w:rPr>
          <w:rFonts w:asciiTheme="minorHAnsi" w:hAnsiTheme="minorHAnsi" w:cstheme="minorHAnsi"/>
          <w:sz w:val="26"/>
          <w:szCs w:val="26"/>
        </w:rPr>
        <w:t>% en 2018.</w:t>
      </w:r>
    </w:p>
    <w:p w:rsidR="0099029E" w:rsidRPr="0099029E" w:rsidRDefault="0099029E" w:rsidP="0099029E">
      <w:pPr>
        <w:spacing w:after="0"/>
        <w:rPr>
          <w:rFonts w:asciiTheme="minorHAnsi" w:hAnsiTheme="minorHAnsi" w:cstheme="minorHAnsi"/>
          <w:sz w:val="26"/>
          <w:szCs w:val="26"/>
        </w:rPr>
      </w:pPr>
    </w:p>
    <w:p w:rsidR="0099029E" w:rsidRPr="0099029E" w:rsidRDefault="0099029E" w:rsidP="0099029E">
      <w:pPr>
        <w:spacing w:after="0"/>
        <w:rPr>
          <w:rFonts w:asciiTheme="minorHAnsi" w:hAnsiTheme="minorHAnsi" w:cstheme="minorHAnsi"/>
          <w:b/>
          <w:bCs/>
          <w:color w:val="632423" w:themeColor="accent2" w:themeShade="80"/>
          <w:sz w:val="30"/>
          <w:szCs w:val="30"/>
          <w:u w:val="single"/>
        </w:rPr>
      </w:pPr>
      <w:r w:rsidRPr="0099029E">
        <w:rPr>
          <w:rFonts w:asciiTheme="minorHAnsi" w:hAnsiTheme="minorHAnsi" w:cstheme="minorHAnsi"/>
          <w:b/>
          <w:bCs/>
          <w:color w:val="632423" w:themeColor="accent2" w:themeShade="80"/>
          <w:sz w:val="30"/>
          <w:szCs w:val="30"/>
          <w:u w:val="single"/>
        </w:rPr>
        <w:t>Léger repli du besoin de financement</w:t>
      </w:r>
    </w:p>
    <w:p w:rsidR="00AB6F14" w:rsidRDefault="00AB6F14" w:rsidP="0099029E">
      <w:pPr>
        <w:spacing w:after="0"/>
        <w:ind w:firstLine="708"/>
        <w:jc w:val="both"/>
        <w:rPr>
          <w:rFonts w:asciiTheme="minorHAnsi" w:hAnsiTheme="minorHAnsi" w:cstheme="minorHAnsi"/>
          <w:sz w:val="26"/>
          <w:szCs w:val="26"/>
        </w:rPr>
      </w:pPr>
    </w:p>
    <w:p w:rsidR="0099029E" w:rsidRPr="0099029E" w:rsidRDefault="0099029E" w:rsidP="0099029E">
      <w:pPr>
        <w:spacing w:after="0"/>
        <w:ind w:firstLine="708"/>
        <w:jc w:val="both"/>
        <w:rPr>
          <w:rFonts w:asciiTheme="minorHAnsi" w:hAnsiTheme="minorHAnsi" w:cstheme="minorHAnsi"/>
          <w:sz w:val="26"/>
          <w:szCs w:val="26"/>
        </w:rPr>
      </w:pPr>
      <w:r w:rsidRPr="0099029E">
        <w:rPr>
          <w:rFonts w:asciiTheme="minorHAnsi" w:hAnsiTheme="minorHAnsi" w:cstheme="minorHAnsi"/>
          <w:sz w:val="26"/>
          <w:szCs w:val="26"/>
        </w:rPr>
        <w:t>Compte tenu d’un accro</w:t>
      </w:r>
      <w:r w:rsidR="00AB6F14">
        <w:rPr>
          <w:rFonts w:asciiTheme="minorHAnsi" w:hAnsiTheme="minorHAnsi" w:cstheme="minorHAnsi"/>
          <w:sz w:val="26"/>
          <w:szCs w:val="26"/>
        </w:rPr>
        <w:t>issement de 4,1% du PIB nominal</w:t>
      </w:r>
      <w:r w:rsidRPr="0099029E">
        <w:rPr>
          <w:rFonts w:asciiTheme="minorHAnsi" w:hAnsiTheme="minorHAnsi" w:cstheme="minorHAnsi"/>
          <w:sz w:val="26"/>
          <w:szCs w:val="26"/>
        </w:rPr>
        <w:t xml:space="preserve"> et d’une progression de 4,1% des revenus nets en provenance du Reste du Monde, l’économie nationale connaitrait un certain allègement du besoin en financement.</w:t>
      </w:r>
    </w:p>
    <w:p w:rsidR="0099029E" w:rsidRPr="0099029E" w:rsidRDefault="0099029E" w:rsidP="0099029E">
      <w:pPr>
        <w:spacing w:after="0"/>
        <w:ind w:firstLine="708"/>
        <w:jc w:val="both"/>
        <w:rPr>
          <w:rFonts w:asciiTheme="minorHAnsi" w:hAnsiTheme="minorHAnsi" w:cstheme="minorHAnsi"/>
          <w:sz w:val="26"/>
          <w:szCs w:val="26"/>
        </w:rPr>
      </w:pPr>
    </w:p>
    <w:p w:rsidR="0099029E" w:rsidRPr="0099029E" w:rsidRDefault="0099029E" w:rsidP="00E743F1">
      <w:pPr>
        <w:pStyle w:val="Paragraphedeliste"/>
        <w:numPr>
          <w:ilvl w:val="0"/>
          <w:numId w:val="3"/>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lastRenderedPageBreak/>
        <w:t>L’effort d’investissement ralentirait passant de 32,</w:t>
      </w:r>
      <w:r w:rsidR="00E743F1">
        <w:rPr>
          <w:rFonts w:asciiTheme="minorHAnsi" w:hAnsiTheme="minorHAnsi" w:cstheme="minorHAnsi"/>
          <w:sz w:val="26"/>
          <w:szCs w:val="26"/>
        </w:rPr>
        <w:t>4</w:t>
      </w:r>
      <w:r w:rsidRPr="0099029E">
        <w:rPr>
          <w:rFonts w:asciiTheme="minorHAnsi" w:hAnsiTheme="minorHAnsi" w:cstheme="minorHAnsi"/>
          <w:sz w:val="26"/>
          <w:szCs w:val="26"/>
        </w:rPr>
        <w:t xml:space="preserve">% du PIB en 2018 à 32% en 2019, alors que l’épargne nationale se situerait à 27,7% du PIB en 2019, au lieu de 28% en 2018. </w:t>
      </w:r>
    </w:p>
    <w:p w:rsidR="0099029E" w:rsidRPr="0099029E" w:rsidRDefault="0099029E" w:rsidP="0099029E">
      <w:pPr>
        <w:pStyle w:val="Paragraphedeliste"/>
        <w:numPr>
          <w:ilvl w:val="0"/>
          <w:numId w:val="3"/>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 xml:space="preserve">En conséquence, le besoin de financement passerait de 4,7% en 2018 à 4,5% en 2019, que notre pays doit couvrir par le recours à l’endettement. </w:t>
      </w:r>
    </w:p>
    <w:p w:rsidR="0099029E" w:rsidRPr="0099029E" w:rsidRDefault="0099029E" w:rsidP="00E743F1">
      <w:pPr>
        <w:pStyle w:val="Paragraphedeliste"/>
        <w:numPr>
          <w:ilvl w:val="0"/>
          <w:numId w:val="3"/>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Dans ces conditions, l’endettement public global de l’économie passerait de 82,</w:t>
      </w:r>
      <w:r w:rsidR="00E743F1">
        <w:rPr>
          <w:rFonts w:asciiTheme="minorHAnsi" w:hAnsiTheme="minorHAnsi" w:cstheme="minorHAnsi"/>
          <w:sz w:val="26"/>
          <w:szCs w:val="26"/>
        </w:rPr>
        <w:t>2</w:t>
      </w:r>
      <w:r w:rsidRPr="0099029E">
        <w:rPr>
          <w:rFonts w:asciiTheme="minorHAnsi" w:hAnsiTheme="minorHAnsi" w:cstheme="minorHAnsi"/>
          <w:sz w:val="26"/>
          <w:szCs w:val="26"/>
        </w:rPr>
        <w:t xml:space="preserve">% du PIB en 2018 à 82,5% en 2019, au lieu de 82% en 2017. </w:t>
      </w:r>
    </w:p>
    <w:p w:rsidR="0099029E" w:rsidRPr="0099029E" w:rsidRDefault="0099029E" w:rsidP="0099029E">
      <w:pPr>
        <w:spacing w:after="0"/>
        <w:ind w:firstLine="708"/>
        <w:jc w:val="both"/>
        <w:rPr>
          <w:rFonts w:asciiTheme="minorHAnsi" w:hAnsiTheme="minorHAnsi" w:cstheme="minorHAnsi"/>
          <w:sz w:val="26"/>
          <w:szCs w:val="26"/>
        </w:rPr>
      </w:pPr>
    </w:p>
    <w:p w:rsidR="0099029E" w:rsidRDefault="0099029E" w:rsidP="0099029E">
      <w:pPr>
        <w:widowControl w:val="0"/>
        <w:autoSpaceDE w:val="0"/>
        <w:autoSpaceDN w:val="0"/>
        <w:adjustRightInd w:val="0"/>
        <w:spacing w:after="0"/>
        <w:ind w:right="-1" w:firstLine="708"/>
        <w:jc w:val="both"/>
        <w:rPr>
          <w:rFonts w:asciiTheme="minorHAnsi" w:hAnsiTheme="minorHAnsi" w:cstheme="minorHAnsi"/>
          <w:sz w:val="26"/>
          <w:szCs w:val="26"/>
        </w:rPr>
      </w:pPr>
      <w:r w:rsidRPr="0099029E">
        <w:rPr>
          <w:rFonts w:asciiTheme="minorHAnsi" w:hAnsiTheme="minorHAnsi" w:cstheme="minorHAnsi"/>
          <w:sz w:val="26"/>
          <w:szCs w:val="26"/>
        </w:rPr>
        <w:t xml:space="preserve">Sur le marché monétaire, l’amélioration attendue des réserves en devises, passant de 230 milliards de dh en 2018 à 235 milliards dh en 2019, s’accompagnerait d’une accélération du rythme de croissance de la masse monétaire de 4% en 2019, au lieu de 3,5% en 2018. </w:t>
      </w:r>
    </w:p>
    <w:p w:rsidR="00AB6F14" w:rsidRPr="0099029E" w:rsidRDefault="00AB6F14" w:rsidP="0099029E">
      <w:pPr>
        <w:widowControl w:val="0"/>
        <w:autoSpaceDE w:val="0"/>
        <w:autoSpaceDN w:val="0"/>
        <w:adjustRightInd w:val="0"/>
        <w:spacing w:after="0"/>
        <w:ind w:right="-1" w:firstLine="708"/>
        <w:jc w:val="both"/>
        <w:rPr>
          <w:rFonts w:asciiTheme="minorHAnsi" w:hAnsiTheme="minorHAnsi" w:cstheme="minorHAnsi"/>
          <w:sz w:val="26"/>
          <w:szCs w:val="26"/>
        </w:rPr>
      </w:pPr>
    </w:p>
    <w:p w:rsidR="0099029E" w:rsidRPr="0099029E" w:rsidRDefault="0099029E" w:rsidP="0099029E">
      <w:pPr>
        <w:spacing w:after="0"/>
        <w:rPr>
          <w:rFonts w:asciiTheme="minorHAnsi" w:hAnsiTheme="minorHAnsi" w:cstheme="minorHAnsi"/>
          <w:b/>
          <w:bCs/>
          <w:color w:val="632423" w:themeColor="accent2" w:themeShade="80"/>
          <w:sz w:val="30"/>
          <w:szCs w:val="30"/>
          <w:u w:val="single"/>
        </w:rPr>
      </w:pPr>
      <w:r w:rsidRPr="0099029E">
        <w:rPr>
          <w:rFonts w:asciiTheme="minorHAnsi" w:hAnsiTheme="minorHAnsi" w:cstheme="minorHAnsi"/>
          <w:b/>
          <w:bCs/>
          <w:color w:val="632423" w:themeColor="accent2" w:themeShade="80"/>
          <w:sz w:val="30"/>
          <w:szCs w:val="30"/>
          <w:u w:val="single"/>
        </w:rPr>
        <w:t>Quelques remarques en guise de conclusion</w:t>
      </w:r>
    </w:p>
    <w:p w:rsidR="0099029E" w:rsidRPr="0099029E" w:rsidRDefault="0099029E" w:rsidP="0099029E">
      <w:pPr>
        <w:spacing w:after="0"/>
        <w:rPr>
          <w:rFonts w:asciiTheme="minorHAnsi" w:hAnsiTheme="minorHAnsi" w:cstheme="minorHAnsi"/>
          <w:sz w:val="26"/>
          <w:szCs w:val="26"/>
        </w:rPr>
      </w:pPr>
    </w:p>
    <w:p w:rsidR="0099029E" w:rsidRPr="0099029E" w:rsidRDefault="0099029E" w:rsidP="00C80B50">
      <w:pPr>
        <w:spacing w:after="0"/>
        <w:ind w:firstLine="708"/>
        <w:jc w:val="both"/>
        <w:rPr>
          <w:rFonts w:asciiTheme="minorHAnsi" w:hAnsiTheme="minorHAnsi" w:cstheme="minorHAnsi"/>
          <w:sz w:val="26"/>
          <w:szCs w:val="26"/>
        </w:rPr>
      </w:pPr>
      <w:r w:rsidRPr="0099029E">
        <w:rPr>
          <w:rFonts w:asciiTheme="minorHAnsi" w:hAnsiTheme="minorHAnsi" w:cstheme="minorHAnsi"/>
          <w:sz w:val="26"/>
          <w:szCs w:val="26"/>
        </w:rPr>
        <w:t xml:space="preserve">Les </w:t>
      </w:r>
      <w:r w:rsidR="00C80B50">
        <w:rPr>
          <w:rFonts w:asciiTheme="minorHAnsi" w:hAnsiTheme="minorHAnsi" w:cstheme="minorHAnsi"/>
          <w:sz w:val="26"/>
          <w:szCs w:val="26"/>
        </w:rPr>
        <w:t>deux</w:t>
      </w:r>
      <w:r w:rsidRPr="0099029E">
        <w:rPr>
          <w:rFonts w:asciiTheme="minorHAnsi" w:hAnsiTheme="minorHAnsi" w:cstheme="minorHAnsi"/>
          <w:sz w:val="26"/>
          <w:szCs w:val="26"/>
        </w:rPr>
        <w:t xml:space="preserve"> années sous examen devraient s’inscrire, comme on pourrait le constater, dans le prolongement des tendances qui caractérisent l’évolution des composantes de la demande intérieure, laquelle reste le moteur de la croissance économique de notre pays et, selon une idée largement répandue, distingue l’identité de cette dernière.</w:t>
      </w:r>
    </w:p>
    <w:p w:rsidR="0099029E" w:rsidRPr="0099029E" w:rsidRDefault="0099029E" w:rsidP="0099029E">
      <w:pPr>
        <w:spacing w:after="0"/>
        <w:jc w:val="both"/>
        <w:rPr>
          <w:rFonts w:asciiTheme="minorHAnsi" w:hAnsiTheme="minorHAnsi" w:cstheme="minorHAnsi"/>
          <w:sz w:val="26"/>
          <w:szCs w:val="26"/>
        </w:rPr>
      </w:pPr>
    </w:p>
    <w:p w:rsidR="0099029E" w:rsidRPr="0099029E" w:rsidRDefault="0099029E" w:rsidP="0099029E">
      <w:pPr>
        <w:spacing w:after="0"/>
        <w:ind w:firstLine="708"/>
        <w:jc w:val="both"/>
        <w:rPr>
          <w:rFonts w:asciiTheme="minorHAnsi" w:hAnsiTheme="minorHAnsi" w:cstheme="minorHAnsi"/>
          <w:sz w:val="26"/>
          <w:szCs w:val="26"/>
        </w:rPr>
      </w:pPr>
      <w:r w:rsidRPr="0099029E">
        <w:rPr>
          <w:rFonts w:asciiTheme="minorHAnsi" w:hAnsiTheme="minorHAnsi" w:cstheme="minorHAnsi"/>
          <w:sz w:val="26"/>
          <w:szCs w:val="26"/>
        </w:rPr>
        <w:t xml:space="preserve">Il convient, à cet égard, de rappeler que, dès 2012, nous avions parlé, au cours de la présentation du Budget Economique d’alors, des "signes d’essoufflement du modèle national de développement" et l’avons rappelé à plusieurs occasions. Nous en avions lié, à chaque fois, l’origine structurelle non pas à ce rôle moteur de la demande intérieure dans la croissance économique mais à l’insoutenabilité de son financement. </w:t>
      </w:r>
    </w:p>
    <w:p w:rsidR="0099029E" w:rsidRPr="0099029E" w:rsidRDefault="0099029E" w:rsidP="0099029E">
      <w:pPr>
        <w:spacing w:after="0"/>
        <w:ind w:firstLine="708"/>
        <w:jc w:val="both"/>
        <w:rPr>
          <w:rFonts w:asciiTheme="minorHAnsi" w:hAnsiTheme="minorHAnsi" w:cstheme="minorHAnsi"/>
          <w:sz w:val="26"/>
          <w:szCs w:val="26"/>
        </w:rPr>
      </w:pPr>
    </w:p>
    <w:p w:rsidR="0099029E" w:rsidRPr="0099029E" w:rsidRDefault="0099029E" w:rsidP="0099029E">
      <w:pPr>
        <w:spacing w:after="0"/>
        <w:ind w:firstLine="708"/>
        <w:jc w:val="both"/>
        <w:rPr>
          <w:rFonts w:asciiTheme="minorHAnsi" w:hAnsiTheme="minorHAnsi" w:cstheme="minorHAnsi"/>
          <w:sz w:val="26"/>
          <w:szCs w:val="26"/>
        </w:rPr>
      </w:pPr>
      <w:r w:rsidRPr="0099029E">
        <w:rPr>
          <w:rFonts w:asciiTheme="minorHAnsi" w:hAnsiTheme="minorHAnsi" w:cstheme="minorHAnsi"/>
          <w:sz w:val="26"/>
          <w:szCs w:val="26"/>
        </w:rPr>
        <w:t xml:space="preserve">La résolution de cette question devrait être, aujourd’hui, au cœur des objectifs des politiques publiques dans notre pays. </w:t>
      </w:r>
    </w:p>
    <w:p w:rsidR="0099029E" w:rsidRPr="0099029E" w:rsidRDefault="0099029E" w:rsidP="0099029E">
      <w:pPr>
        <w:spacing w:after="0"/>
        <w:ind w:firstLine="708"/>
        <w:jc w:val="both"/>
        <w:rPr>
          <w:rFonts w:asciiTheme="minorHAnsi" w:hAnsiTheme="minorHAnsi" w:cstheme="minorHAnsi"/>
          <w:sz w:val="26"/>
          <w:szCs w:val="26"/>
        </w:rPr>
      </w:pPr>
    </w:p>
    <w:p w:rsidR="00155D4C" w:rsidRPr="00155D4C" w:rsidRDefault="00155D4C" w:rsidP="00155D4C">
      <w:pPr>
        <w:spacing w:after="0"/>
        <w:ind w:firstLine="708"/>
        <w:jc w:val="both"/>
        <w:rPr>
          <w:rFonts w:asciiTheme="minorHAnsi" w:hAnsiTheme="minorHAnsi" w:cstheme="minorHAnsi"/>
          <w:b/>
          <w:bCs/>
          <w:sz w:val="26"/>
          <w:szCs w:val="26"/>
        </w:rPr>
      </w:pPr>
      <w:r>
        <w:rPr>
          <w:rFonts w:asciiTheme="minorHAnsi" w:hAnsiTheme="minorHAnsi" w:cstheme="minorHAnsi"/>
          <w:sz w:val="26"/>
          <w:szCs w:val="26"/>
        </w:rPr>
        <w:t xml:space="preserve">- </w:t>
      </w:r>
      <w:r w:rsidRPr="00155D4C">
        <w:rPr>
          <w:rFonts w:asciiTheme="minorHAnsi" w:hAnsiTheme="minorHAnsi" w:cstheme="minorHAnsi"/>
          <w:b/>
          <w:bCs/>
          <w:sz w:val="26"/>
          <w:szCs w:val="26"/>
        </w:rPr>
        <w:t>Ré</w:t>
      </w:r>
      <w:r w:rsidR="0099029E" w:rsidRPr="00155D4C">
        <w:rPr>
          <w:rFonts w:asciiTheme="minorHAnsi" w:hAnsiTheme="minorHAnsi" w:cstheme="minorHAnsi"/>
          <w:b/>
          <w:bCs/>
          <w:sz w:val="26"/>
          <w:szCs w:val="26"/>
        </w:rPr>
        <w:t xml:space="preserve">duction du rythme d’accroissement de la demande intérieure, au niveau de sa double composante, la consommation des ménages et l’investissement en particulier. </w:t>
      </w:r>
    </w:p>
    <w:p w:rsidR="00155D4C" w:rsidRDefault="00155D4C" w:rsidP="00C80B50">
      <w:pPr>
        <w:spacing w:after="0"/>
        <w:ind w:firstLine="708"/>
        <w:jc w:val="both"/>
        <w:rPr>
          <w:rFonts w:asciiTheme="minorHAnsi" w:hAnsiTheme="minorHAnsi" w:cstheme="minorHAnsi"/>
          <w:sz w:val="26"/>
          <w:szCs w:val="26"/>
        </w:rPr>
      </w:pPr>
      <w:r>
        <w:rPr>
          <w:rFonts w:asciiTheme="minorHAnsi" w:hAnsiTheme="minorHAnsi" w:cstheme="minorHAnsi"/>
          <w:sz w:val="26"/>
          <w:szCs w:val="26"/>
        </w:rPr>
        <w:t xml:space="preserve"> </w:t>
      </w:r>
    </w:p>
    <w:p w:rsidR="00AF2599" w:rsidRDefault="00AF2599" w:rsidP="00C80B50">
      <w:pPr>
        <w:spacing w:after="0"/>
        <w:ind w:firstLine="708"/>
        <w:jc w:val="both"/>
        <w:rPr>
          <w:rFonts w:asciiTheme="minorHAnsi" w:hAnsiTheme="minorHAnsi" w:cstheme="minorHAnsi"/>
          <w:sz w:val="26"/>
          <w:szCs w:val="26"/>
        </w:rPr>
      </w:pPr>
    </w:p>
    <w:p w:rsidR="00AF2599" w:rsidRDefault="00AF2599" w:rsidP="00C80B50">
      <w:pPr>
        <w:spacing w:after="0"/>
        <w:ind w:firstLine="708"/>
        <w:jc w:val="both"/>
        <w:rPr>
          <w:rFonts w:asciiTheme="minorHAnsi" w:hAnsiTheme="minorHAnsi" w:cstheme="minorHAnsi"/>
          <w:sz w:val="26"/>
          <w:szCs w:val="26"/>
        </w:rPr>
      </w:pPr>
    </w:p>
    <w:p w:rsidR="0099029E" w:rsidRPr="0099029E" w:rsidRDefault="00155D4C" w:rsidP="000B7CC2">
      <w:pPr>
        <w:spacing w:after="0"/>
        <w:ind w:firstLine="708"/>
        <w:jc w:val="both"/>
        <w:rPr>
          <w:rFonts w:asciiTheme="minorHAnsi" w:hAnsiTheme="minorHAnsi" w:cstheme="minorHAnsi"/>
          <w:sz w:val="26"/>
          <w:szCs w:val="26"/>
        </w:rPr>
      </w:pPr>
      <w:r>
        <w:rPr>
          <w:rFonts w:asciiTheme="minorHAnsi" w:hAnsiTheme="minorHAnsi" w:cstheme="minorHAnsi"/>
          <w:sz w:val="26"/>
          <w:szCs w:val="26"/>
        </w:rPr>
        <w:lastRenderedPageBreak/>
        <w:t>Entre les deux</w:t>
      </w:r>
      <w:r w:rsidRPr="0099029E">
        <w:rPr>
          <w:rFonts w:asciiTheme="minorHAnsi" w:hAnsiTheme="minorHAnsi" w:cstheme="minorHAnsi"/>
          <w:sz w:val="26"/>
          <w:szCs w:val="26"/>
        </w:rPr>
        <w:t xml:space="preserve"> périodes 2000-2012 et 2013-2017</w:t>
      </w:r>
      <w:r>
        <w:rPr>
          <w:rFonts w:asciiTheme="minorHAnsi" w:hAnsiTheme="minorHAnsi" w:cstheme="minorHAnsi"/>
          <w:sz w:val="26"/>
          <w:szCs w:val="26"/>
        </w:rPr>
        <w:t xml:space="preserve"> </w:t>
      </w:r>
      <w:r w:rsidR="0099029E" w:rsidRPr="0099029E">
        <w:rPr>
          <w:rFonts w:asciiTheme="minorHAnsi" w:hAnsiTheme="minorHAnsi" w:cstheme="minorHAnsi"/>
          <w:sz w:val="26"/>
          <w:szCs w:val="26"/>
        </w:rPr>
        <w:t xml:space="preserve">: </w:t>
      </w:r>
    </w:p>
    <w:p w:rsidR="0099029E" w:rsidRPr="0099029E" w:rsidRDefault="0099029E" w:rsidP="0099029E">
      <w:pPr>
        <w:spacing w:after="0"/>
        <w:ind w:firstLine="708"/>
        <w:jc w:val="both"/>
        <w:rPr>
          <w:rFonts w:asciiTheme="minorHAnsi" w:hAnsiTheme="minorHAnsi" w:cstheme="minorHAnsi"/>
          <w:sz w:val="26"/>
          <w:szCs w:val="26"/>
        </w:rPr>
      </w:pPr>
    </w:p>
    <w:p w:rsidR="0099029E" w:rsidRPr="0099029E" w:rsidRDefault="0099029E" w:rsidP="0099029E">
      <w:pPr>
        <w:pStyle w:val="Paragraphedeliste"/>
        <w:numPr>
          <w:ilvl w:val="0"/>
          <w:numId w:val="4"/>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La croissance en volume de la demande intérieure est passée respectivement de 5</w:t>
      </w:r>
      <w:r w:rsidR="00E56576">
        <w:rPr>
          <w:rFonts w:asciiTheme="minorHAnsi" w:hAnsiTheme="minorHAnsi" w:cstheme="minorHAnsi"/>
          <w:sz w:val="26"/>
          <w:szCs w:val="26"/>
        </w:rPr>
        <w:t>%</w:t>
      </w:r>
      <w:r w:rsidRPr="0099029E">
        <w:rPr>
          <w:rFonts w:asciiTheme="minorHAnsi" w:hAnsiTheme="minorHAnsi" w:cstheme="minorHAnsi"/>
          <w:sz w:val="26"/>
          <w:szCs w:val="26"/>
        </w:rPr>
        <w:t xml:space="preserve"> à 3,1%, les dépenses de consommation finale de 4,3</w:t>
      </w:r>
      <w:r w:rsidR="00E56576">
        <w:rPr>
          <w:rFonts w:asciiTheme="minorHAnsi" w:hAnsiTheme="minorHAnsi" w:cstheme="minorHAnsi"/>
          <w:sz w:val="26"/>
          <w:szCs w:val="26"/>
        </w:rPr>
        <w:t>%</w:t>
      </w:r>
      <w:r w:rsidRPr="0099029E">
        <w:rPr>
          <w:rFonts w:asciiTheme="minorHAnsi" w:hAnsiTheme="minorHAnsi" w:cstheme="minorHAnsi"/>
          <w:sz w:val="26"/>
          <w:szCs w:val="26"/>
        </w:rPr>
        <w:t xml:space="preserve"> à 2,9% et la formation brute du capital fixe de 6</w:t>
      </w:r>
      <w:r w:rsidR="000B7CC2">
        <w:rPr>
          <w:rFonts w:asciiTheme="minorHAnsi" w:hAnsiTheme="minorHAnsi" w:cstheme="minorHAnsi"/>
          <w:sz w:val="26"/>
          <w:szCs w:val="26"/>
        </w:rPr>
        <w:t>%</w:t>
      </w:r>
      <w:r w:rsidRPr="0099029E">
        <w:rPr>
          <w:rFonts w:asciiTheme="minorHAnsi" w:hAnsiTheme="minorHAnsi" w:cstheme="minorHAnsi"/>
          <w:sz w:val="26"/>
          <w:szCs w:val="26"/>
        </w:rPr>
        <w:t xml:space="preserve"> à 1,2%.</w:t>
      </w:r>
    </w:p>
    <w:p w:rsidR="0099029E" w:rsidRPr="0099029E" w:rsidRDefault="0099029E" w:rsidP="0099029E">
      <w:pPr>
        <w:spacing w:after="0"/>
        <w:ind w:left="708"/>
        <w:jc w:val="both"/>
        <w:rPr>
          <w:rFonts w:asciiTheme="minorHAnsi" w:hAnsiTheme="minorHAnsi" w:cstheme="minorHAnsi"/>
          <w:sz w:val="26"/>
          <w:szCs w:val="26"/>
        </w:rPr>
      </w:pPr>
      <w:r w:rsidRPr="0099029E">
        <w:rPr>
          <w:rFonts w:asciiTheme="minorHAnsi" w:hAnsiTheme="minorHAnsi" w:cstheme="minorHAnsi"/>
          <w:sz w:val="26"/>
          <w:szCs w:val="26"/>
        </w:rPr>
        <w:t xml:space="preserve"> </w:t>
      </w:r>
    </w:p>
    <w:p w:rsidR="0099029E" w:rsidRPr="0099029E" w:rsidRDefault="0099029E" w:rsidP="000B7CC2">
      <w:pPr>
        <w:pStyle w:val="Paragraphedeliste"/>
        <w:numPr>
          <w:ilvl w:val="0"/>
          <w:numId w:val="4"/>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Au même moment, la valeur ajoutée créée par notre économie baissait de 4,6</w:t>
      </w:r>
      <w:r w:rsidR="00E56576">
        <w:rPr>
          <w:rFonts w:asciiTheme="minorHAnsi" w:hAnsiTheme="minorHAnsi" w:cstheme="minorHAnsi"/>
          <w:sz w:val="26"/>
          <w:szCs w:val="26"/>
        </w:rPr>
        <w:t>%</w:t>
      </w:r>
      <w:r w:rsidRPr="0099029E">
        <w:rPr>
          <w:rFonts w:asciiTheme="minorHAnsi" w:hAnsiTheme="minorHAnsi" w:cstheme="minorHAnsi"/>
          <w:sz w:val="26"/>
          <w:szCs w:val="26"/>
        </w:rPr>
        <w:t xml:space="preserve"> à 2,6% et le produit intérieur brut de 4,6</w:t>
      </w:r>
      <w:r w:rsidR="00E56576">
        <w:rPr>
          <w:rFonts w:asciiTheme="minorHAnsi" w:hAnsiTheme="minorHAnsi" w:cstheme="minorHAnsi"/>
          <w:sz w:val="26"/>
          <w:szCs w:val="26"/>
        </w:rPr>
        <w:t>%</w:t>
      </w:r>
      <w:r w:rsidRPr="0099029E">
        <w:rPr>
          <w:rFonts w:asciiTheme="minorHAnsi" w:hAnsiTheme="minorHAnsi" w:cstheme="minorHAnsi"/>
          <w:sz w:val="26"/>
          <w:szCs w:val="26"/>
        </w:rPr>
        <w:t xml:space="preserve"> à 3,4%.</w:t>
      </w:r>
    </w:p>
    <w:p w:rsidR="0099029E" w:rsidRPr="0099029E" w:rsidRDefault="0099029E" w:rsidP="0099029E">
      <w:pPr>
        <w:pStyle w:val="Paragraphedeliste"/>
        <w:spacing w:line="276" w:lineRule="auto"/>
        <w:rPr>
          <w:rFonts w:asciiTheme="minorHAnsi" w:hAnsiTheme="minorHAnsi" w:cstheme="minorHAnsi"/>
          <w:sz w:val="26"/>
          <w:szCs w:val="26"/>
        </w:rPr>
      </w:pPr>
    </w:p>
    <w:p w:rsidR="0099029E" w:rsidRDefault="0099029E" w:rsidP="00E93415">
      <w:pPr>
        <w:pStyle w:val="Paragraphedeliste"/>
        <w:numPr>
          <w:ilvl w:val="0"/>
          <w:numId w:val="4"/>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 xml:space="preserve">D’où un besoin croissant du financement de l’économie nationale passant de -1,2% du PIB à -4,8% entre les </w:t>
      </w:r>
      <w:r w:rsidR="00E93415">
        <w:rPr>
          <w:rFonts w:asciiTheme="minorHAnsi" w:hAnsiTheme="minorHAnsi" w:cstheme="minorHAnsi"/>
          <w:sz w:val="26"/>
          <w:szCs w:val="26"/>
        </w:rPr>
        <w:t>deux</w:t>
      </w:r>
      <w:r w:rsidRPr="0099029E">
        <w:rPr>
          <w:rFonts w:asciiTheme="minorHAnsi" w:hAnsiTheme="minorHAnsi" w:cstheme="minorHAnsi"/>
          <w:sz w:val="26"/>
          <w:szCs w:val="26"/>
        </w:rPr>
        <w:t xml:space="preserve"> périodes</w:t>
      </w:r>
      <w:r w:rsidR="00E16A4C">
        <w:rPr>
          <w:rFonts w:asciiTheme="minorHAnsi" w:hAnsiTheme="minorHAnsi" w:cstheme="minorHAnsi"/>
          <w:sz w:val="26"/>
          <w:szCs w:val="26"/>
        </w:rPr>
        <w:t xml:space="preserve"> (voir renvoi 1)</w:t>
      </w:r>
      <w:r w:rsidRPr="0099029E">
        <w:rPr>
          <w:rFonts w:asciiTheme="minorHAnsi" w:hAnsiTheme="minorHAnsi" w:cstheme="minorHAnsi"/>
          <w:sz w:val="26"/>
          <w:szCs w:val="26"/>
        </w:rPr>
        <w:t>.</w:t>
      </w:r>
    </w:p>
    <w:p w:rsidR="00E16A4C" w:rsidRDefault="00E16A4C" w:rsidP="00E16A4C">
      <w:pPr>
        <w:pStyle w:val="Paragraphedeliste"/>
        <w:rPr>
          <w:rFonts w:asciiTheme="minorHAnsi" w:hAnsiTheme="minorHAnsi" w:cstheme="minorHAnsi"/>
          <w:sz w:val="26"/>
          <w:szCs w:val="26"/>
        </w:rPr>
      </w:pPr>
    </w:p>
    <w:p w:rsidR="00E16A4C" w:rsidRDefault="00E16A4C" w:rsidP="00E16A4C">
      <w:pPr>
        <w:pStyle w:val="Paragraphedeliste"/>
        <w:spacing w:line="276" w:lineRule="auto"/>
        <w:ind w:left="1068" w:firstLine="0"/>
        <w:jc w:val="both"/>
        <w:rPr>
          <w:rFonts w:asciiTheme="minorHAnsi" w:hAnsiTheme="minorHAnsi" w:cstheme="minorHAnsi"/>
          <w:sz w:val="26"/>
          <w:szCs w:val="26"/>
        </w:rPr>
      </w:pPr>
    </w:p>
    <w:p w:rsidR="00E16A4C" w:rsidRDefault="00E16A4C" w:rsidP="00C50F22">
      <w:pPr>
        <w:spacing w:after="0"/>
        <w:ind w:firstLine="708"/>
        <w:jc w:val="both"/>
        <w:rPr>
          <w:rFonts w:asciiTheme="minorHAnsi" w:hAnsiTheme="minorHAnsi" w:cstheme="minorHAnsi"/>
          <w:sz w:val="26"/>
          <w:szCs w:val="26"/>
        </w:rPr>
      </w:pPr>
      <w:r w:rsidRPr="00155D4C">
        <w:rPr>
          <w:rFonts w:asciiTheme="minorHAnsi" w:hAnsiTheme="minorHAnsi" w:cstheme="minorHAnsi"/>
          <w:b/>
          <w:bCs/>
          <w:sz w:val="26"/>
          <w:szCs w:val="26"/>
        </w:rPr>
        <w:t>La baisse du rythme de croissance ne devrait être que l’expression d’une politique contrainte.</w:t>
      </w:r>
      <w:r>
        <w:rPr>
          <w:rFonts w:asciiTheme="minorHAnsi" w:hAnsiTheme="minorHAnsi" w:cstheme="minorHAnsi"/>
          <w:sz w:val="26"/>
          <w:szCs w:val="26"/>
        </w:rPr>
        <w:t xml:space="preserve"> Elle aurait </w:t>
      </w:r>
      <w:r w:rsidRPr="0099029E">
        <w:rPr>
          <w:rFonts w:asciiTheme="minorHAnsi" w:hAnsiTheme="minorHAnsi" w:cstheme="minorHAnsi"/>
          <w:sz w:val="26"/>
          <w:szCs w:val="26"/>
        </w:rPr>
        <w:t xml:space="preserve">vocation à compromettre la croissance potentielle future du pays. Elle serait d’autant plus injustifiable que, l’intensité capitalistique qui mesure le stock de capital par actif occupé reste encore inférieure à celle des pays émergents et en développement, comme cela a été montré par les études réalisées par le HCP. </w:t>
      </w:r>
      <w:r w:rsidR="00C50F22">
        <w:rPr>
          <w:rFonts w:asciiTheme="minorHAnsi" w:hAnsiTheme="minorHAnsi" w:cstheme="minorHAnsi"/>
          <w:sz w:val="26"/>
          <w:szCs w:val="26"/>
        </w:rPr>
        <w:t xml:space="preserve">Ce serait une regrettable rupture avec le volontarisme adopté depuis les années 2000 par le Maroc dans ce domaine où le taux d’investissement entre 30% et 33% était le plus élevé parmi ces pays en dehors de la Chine. </w:t>
      </w:r>
    </w:p>
    <w:p w:rsidR="002F0DE8" w:rsidRPr="0099029E" w:rsidRDefault="002F0DE8" w:rsidP="00C50F22">
      <w:pPr>
        <w:spacing w:after="0"/>
        <w:ind w:firstLine="708"/>
        <w:jc w:val="both"/>
        <w:rPr>
          <w:rFonts w:asciiTheme="minorHAnsi" w:hAnsiTheme="minorHAnsi" w:cstheme="minorHAnsi"/>
          <w:sz w:val="26"/>
          <w:szCs w:val="26"/>
        </w:rPr>
      </w:pPr>
    </w:p>
    <w:p w:rsidR="00080B40" w:rsidRPr="000B7CC2" w:rsidRDefault="00463E93" w:rsidP="008460E8">
      <w:pPr>
        <w:spacing w:after="0"/>
        <w:ind w:firstLine="708"/>
        <w:jc w:val="both"/>
        <w:rPr>
          <w:rFonts w:asciiTheme="minorHAnsi" w:hAnsiTheme="minorHAnsi" w:cstheme="minorHAnsi"/>
          <w:b/>
          <w:bCs/>
          <w:sz w:val="26"/>
          <w:szCs w:val="26"/>
        </w:rPr>
      </w:pPr>
      <w:r w:rsidRPr="00463E93">
        <w:rPr>
          <w:rFonts w:asciiTheme="minorHAnsi" w:hAnsiTheme="minorHAnsi" w:cstheme="minorHAnsi"/>
          <w:b/>
          <w:bCs/>
          <w:sz w:val="26"/>
          <w:szCs w:val="26"/>
        </w:rPr>
        <w:t>L</w:t>
      </w:r>
      <w:r w:rsidR="002F0DE8" w:rsidRPr="00463E93">
        <w:rPr>
          <w:rFonts w:asciiTheme="minorHAnsi" w:hAnsiTheme="minorHAnsi" w:cstheme="minorHAnsi"/>
          <w:b/>
          <w:bCs/>
          <w:sz w:val="26"/>
          <w:szCs w:val="26"/>
        </w:rPr>
        <w:t>’endettement</w:t>
      </w:r>
      <w:r w:rsidR="00E56576" w:rsidRPr="00463E93">
        <w:rPr>
          <w:rFonts w:asciiTheme="minorHAnsi" w:hAnsiTheme="minorHAnsi" w:cstheme="minorHAnsi"/>
          <w:b/>
          <w:bCs/>
          <w:sz w:val="26"/>
          <w:szCs w:val="26"/>
        </w:rPr>
        <w:t xml:space="preserve"> du pays s’érige au </w:t>
      </w:r>
      <w:r w:rsidR="00080B40" w:rsidRPr="00463E93">
        <w:rPr>
          <w:rFonts w:asciiTheme="minorHAnsi" w:hAnsiTheme="minorHAnsi" w:cstheme="minorHAnsi"/>
          <w:b/>
          <w:bCs/>
          <w:sz w:val="26"/>
          <w:szCs w:val="26"/>
        </w:rPr>
        <w:t xml:space="preserve">cœur de la problématique par cette exigence du maintien d’un tel effort. L’encours de la dette extérieure publique en </w:t>
      </w:r>
      <w:r w:rsidR="008460E8">
        <w:rPr>
          <w:rFonts w:asciiTheme="minorHAnsi" w:hAnsiTheme="minorHAnsi" w:cstheme="minorHAnsi"/>
          <w:b/>
          <w:bCs/>
          <w:sz w:val="26"/>
          <w:szCs w:val="26"/>
        </w:rPr>
        <w:t>pourcentage</w:t>
      </w:r>
      <w:r w:rsidR="00080B40" w:rsidRPr="00463E93">
        <w:rPr>
          <w:rFonts w:asciiTheme="minorHAnsi" w:hAnsiTheme="minorHAnsi" w:cstheme="minorHAnsi"/>
          <w:b/>
          <w:bCs/>
          <w:sz w:val="26"/>
          <w:szCs w:val="26"/>
        </w:rPr>
        <w:t xml:space="preserve"> du PIB, entre les deux périodes 2000-2012 et 2013-2017, est passé d’environ 25% </w:t>
      </w:r>
      <w:r w:rsidR="00080B40" w:rsidRPr="000B7CC2">
        <w:rPr>
          <w:rFonts w:asciiTheme="minorHAnsi" w:hAnsiTheme="minorHAnsi" w:cstheme="minorHAnsi"/>
          <w:b/>
          <w:bCs/>
          <w:sz w:val="26"/>
          <w:szCs w:val="26"/>
        </w:rPr>
        <w:t>à 30%</w:t>
      </w:r>
      <w:r w:rsidR="000B7CC2" w:rsidRPr="000B7CC2">
        <w:rPr>
          <w:rStyle w:val="Appelnotedebasdep"/>
          <w:rFonts w:asciiTheme="minorHAnsi" w:hAnsiTheme="minorHAnsi" w:cstheme="minorHAnsi"/>
          <w:b/>
          <w:bCs/>
          <w:sz w:val="26"/>
          <w:szCs w:val="26"/>
        </w:rPr>
        <w:footnoteReference w:id="2"/>
      </w:r>
      <w:r w:rsidR="00080B40" w:rsidRPr="000B7CC2">
        <w:rPr>
          <w:rFonts w:asciiTheme="minorHAnsi" w:hAnsiTheme="minorHAnsi" w:cstheme="minorHAnsi"/>
          <w:b/>
          <w:bCs/>
          <w:sz w:val="26"/>
          <w:szCs w:val="26"/>
        </w:rPr>
        <w:t>.</w:t>
      </w:r>
    </w:p>
    <w:p w:rsidR="00795AA4" w:rsidRDefault="00795AA4" w:rsidP="00795AA4">
      <w:pPr>
        <w:spacing w:after="0"/>
        <w:ind w:firstLine="708"/>
        <w:jc w:val="both"/>
        <w:rPr>
          <w:rFonts w:asciiTheme="minorHAnsi" w:hAnsiTheme="minorHAnsi" w:cstheme="minorHAnsi"/>
          <w:sz w:val="26"/>
          <w:szCs w:val="26"/>
        </w:rPr>
      </w:pPr>
    </w:p>
    <w:p w:rsidR="008642F7" w:rsidRDefault="00463E93" w:rsidP="00463E93">
      <w:pPr>
        <w:numPr>
          <w:ilvl w:val="0"/>
          <w:numId w:val="4"/>
        </w:numPr>
        <w:spacing w:after="0"/>
        <w:jc w:val="both"/>
        <w:rPr>
          <w:rFonts w:asciiTheme="minorHAnsi" w:hAnsiTheme="minorHAnsi" w:cstheme="minorHAnsi"/>
          <w:sz w:val="26"/>
          <w:szCs w:val="26"/>
        </w:rPr>
      </w:pPr>
      <w:r>
        <w:rPr>
          <w:rFonts w:asciiTheme="minorHAnsi" w:hAnsiTheme="minorHAnsi" w:cstheme="minorHAnsi"/>
          <w:sz w:val="26"/>
          <w:szCs w:val="26"/>
        </w:rPr>
        <w:t>P</w:t>
      </w:r>
      <w:r w:rsidR="00795AA4">
        <w:rPr>
          <w:rFonts w:asciiTheme="minorHAnsi" w:hAnsiTheme="minorHAnsi" w:cstheme="minorHAnsi"/>
          <w:sz w:val="26"/>
          <w:szCs w:val="26"/>
        </w:rPr>
        <w:t xml:space="preserve">art importante de la </w:t>
      </w:r>
      <w:r w:rsidR="00795AA4" w:rsidRPr="008642F7">
        <w:rPr>
          <w:rFonts w:asciiTheme="minorHAnsi" w:hAnsiTheme="minorHAnsi" w:cstheme="minorHAnsi"/>
          <w:sz w:val="26"/>
          <w:szCs w:val="26"/>
        </w:rPr>
        <w:t xml:space="preserve">dette garantie </w:t>
      </w:r>
      <w:r w:rsidR="00795AA4">
        <w:rPr>
          <w:rFonts w:asciiTheme="minorHAnsi" w:hAnsiTheme="minorHAnsi" w:cstheme="minorHAnsi"/>
          <w:sz w:val="26"/>
          <w:szCs w:val="26"/>
        </w:rPr>
        <w:t>(entreprises et établissements publics)</w:t>
      </w:r>
      <w:r>
        <w:rPr>
          <w:rFonts w:asciiTheme="minorHAnsi" w:hAnsiTheme="minorHAnsi" w:cstheme="minorHAnsi"/>
          <w:sz w:val="26"/>
          <w:szCs w:val="26"/>
        </w:rPr>
        <w:t xml:space="preserve"> : </w:t>
      </w:r>
      <w:r w:rsidR="00795AA4">
        <w:rPr>
          <w:rFonts w:asciiTheme="minorHAnsi" w:hAnsiTheme="minorHAnsi" w:cstheme="minorHAnsi"/>
          <w:sz w:val="26"/>
          <w:szCs w:val="26"/>
        </w:rPr>
        <w:t>15,3%</w:t>
      </w:r>
    </w:p>
    <w:p w:rsidR="008642F7" w:rsidRDefault="008642F7" w:rsidP="008642F7">
      <w:pPr>
        <w:spacing w:after="0"/>
        <w:ind w:left="1080"/>
        <w:jc w:val="both"/>
        <w:rPr>
          <w:rFonts w:asciiTheme="minorHAnsi" w:hAnsiTheme="minorHAnsi" w:cstheme="minorHAnsi"/>
          <w:sz w:val="26"/>
          <w:szCs w:val="26"/>
        </w:rPr>
      </w:pPr>
    </w:p>
    <w:p w:rsidR="00772248" w:rsidRDefault="00463E93" w:rsidP="00463E93">
      <w:pPr>
        <w:numPr>
          <w:ilvl w:val="0"/>
          <w:numId w:val="4"/>
        </w:numPr>
        <w:spacing w:after="0"/>
        <w:jc w:val="both"/>
        <w:rPr>
          <w:rFonts w:asciiTheme="minorHAnsi" w:hAnsiTheme="minorHAnsi" w:cstheme="minorHAnsi"/>
          <w:sz w:val="26"/>
          <w:szCs w:val="26"/>
        </w:rPr>
      </w:pPr>
      <w:r>
        <w:rPr>
          <w:rFonts w:asciiTheme="minorHAnsi" w:hAnsiTheme="minorHAnsi" w:cstheme="minorHAnsi"/>
          <w:sz w:val="26"/>
          <w:szCs w:val="26"/>
        </w:rPr>
        <w:t>D</w:t>
      </w:r>
      <w:r w:rsidR="008642F7">
        <w:rPr>
          <w:rFonts w:asciiTheme="minorHAnsi" w:hAnsiTheme="minorHAnsi" w:cstheme="minorHAnsi"/>
          <w:sz w:val="26"/>
          <w:szCs w:val="26"/>
        </w:rPr>
        <w:t>éséquilibre entre investissement dans</w:t>
      </w:r>
      <w:r w:rsidR="00772248">
        <w:rPr>
          <w:rFonts w:asciiTheme="minorHAnsi" w:hAnsiTheme="minorHAnsi" w:cstheme="minorHAnsi"/>
          <w:sz w:val="26"/>
          <w:szCs w:val="26"/>
        </w:rPr>
        <w:t xml:space="preserve"> les infrastructures et les activités productives. </w:t>
      </w:r>
    </w:p>
    <w:p w:rsidR="00772248" w:rsidRDefault="00772248" w:rsidP="00772248">
      <w:pPr>
        <w:pStyle w:val="Paragraphedeliste"/>
        <w:rPr>
          <w:rFonts w:asciiTheme="minorHAnsi" w:hAnsiTheme="minorHAnsi" w:cstheme="minorHAnsi"/>
          <w:sz w:val="26"/>
          <w:szCs w:val="26"/>
        </w:rPr>
      </w:pPr>
    </w:p>
    <w:p w:rsidR="008642F7" w:rsidRDefault="00463E93" w:rsidP="00463E93">
      <w:pPr>
        <w:spacing w:after="0"/>
        <w:ind w:left="1080"/>
        <w:jc w:val="both"/>
        <w:rPr>
          <w:rFonts w:asciiTheme="minorHAnsi" w:hAnsiTheme="minorHAnsi" w:cstheme="minorHAnsi"/>
          <w:sz w:val="26"/>
          <w:szCs w:val="26"/>
        </w:rPr>
      </w:pPr>
      <w:r>
        <w:rPr>
          <w:rFonts w:asciiTheme="minorHAnsi" w:hAnsiTheme="minorHAnsi" w:cstheme="minorHAnsi"/>
          <w:sz w:val="26"/>
          <w:szCs w:val="26"/>
        </w:rPr>
        <w:t>- E</w:t>
      </w:r>
      <w:r w:rsidR="00772248">
        <w:rPr>
          <w:rFonts w:asciiTheme="minorHAnsi" w:hAnsiTheme="minorHAnsi" w:cstheme="minorHAnsi"/>
          <w:sz w:val="26"/>
          <w:szCs w:val="26"/>
        </w:rPr>
        <w:t>fficience de gestion des programmes d’investissements.</w:t>
      </w:r>
    </w:p>
    <w:p w:rsidR="00080B40" w:rsidRDefault="00772248" w:rsidP="00772248">
      <w:pPr>
        <w:spacing w:after="0"/>
        <w:ind w:firstLine="708"/>
        <w:jc w:val="both"/>
        <w:rPr>
          <w:rFonts w:asciiTheme="minorHAnsi" w:hAnsiTheme="minorHAnsi" w:cstheme="minorHAnsi"/>
          <w:b/>
          <w:bCs/>
          <w:sz w:val="26"/>
          <w:szCs w:val="26"/>
        </w:rPr>
      </w:pPr>
      <w:r w:rsidRPr="00772248">
        <w:rPr>
          <w:rFonts w:asciiTheme="minorHAnsi" w:hAnsiTheme="minorHAnsi" w:cstheme="minorHAnsi"/>
          <w:b/>
          <w:bCs/>
          <w:sz w:val="26"/>
          <w:szCs w:val="26"/>
        </w:rPr>
        <w:lastRenderedPageBreak/>
        <w:t>L’épargne nationale comme alternative à l’endettement avec sa double composante intérieure et extérieure</w:t>
      </w:r>
      <w:r w:rsidR="00155D4C">
        <w:rPr>
          <w:rFonts w:asciiTheme="minorHAnsi" w:hAnsiTheme="minorHAnsi" w:cstheme="minorHAnsi"/>
          <w:b/>
          <w:bCs/>
          <w:sz w:val="26"/>
          <w:szCs w:val="26"/>
        </w:rPr>
        <w:t>.</w:t>
      </w:r>
    </w:p>
    <w:p w:rsidR="0035194E" w:rsidRDefault="0035194E" w:rsidP="00772248">
      <w:pPr>
        <w:spacing w:after="0"/>
        <w:ind w:firstLine="708"/>
        <w:jc w:val="both"/>
        <w:rPr>
          <w:rFonts w:asciiTheme="minorHAnsi" w:hAnsiTheme="minorHAnsi" w:cstheme="minorHAnsi"/>
          <w:b/>
          <w:bCs/>
          <w:sz w:val="26"/>
          <w:szCs w:val="26"/>
        </w:rPr>
      </w:pPr>
    </w:p>
    <w:p w:rsidR="0035194E" w:rsidRDefault="0035194E" w:rsidP="0035194E">
      <w:pPr>
        <w:spacing w:after="0"/>
        <w:ind w:firstLine="708"/>
        <w:jc w:val="both"/>
        <w:rPr>
          <w:rFonts w:asciiTheme="minorHAnsi" w:hAnsiTheme="minorHAnsi" w:cstheme="minorHAnsi"/>
          <w:b/>
          <w:bCs/>
          <w:sz w:val="26"/>
          <w:szCs w:val="26"/>
        </w:rPr>
      </w:pPr>
      <w:r w:rsidRPr="00EB3693">
        <w:rPr>
          <w:rFonts w:asciiTheme="minorHAnsi" w:hAnsiTheme="minorHAnsi" w:cstheme="minorHAnsi"/>
          <w:b/>
          <w:bCs/>
          <w:sz w:val="26"/>
          <w:szCs w:val="26"/>
        </w:rPr>
        <w:t xml:space="preserve">Les principales sources de l’épargne intérieure : </w:t>
      </w:r>
    </w:p>
    <w:p w:rsidR="001C660A" w:rsidRDefault="001C660A" w:rsidP="0035194E">
      <w:pPr>
        <w:spacing w:after="0"/>
        <w:ind w:firstLine="708"/>
        <w:jc w:val="both"/>
        <w:rPr>
          <w:rFonts w:asciiTheme="minorHAnsi" w:hAnsiTheme="minorHAnsi" w:cstheme="minorHAnsi"/>
          <w:b/>
          <w:bCs/>
          <w:sz w:val="26"/>
          <w:szCs w:val="26"/>
        </w:rPr>
      </w:pPr>
    </w:p>
    <w:p w:rsidR="00EB3693" w:rsidRPr="00467592" w:rsidRDefault="001C660A" w:rsidP="00467592">
      <w:pPr>
        <w:numPr>
          <w:ilvl w:val="0"/>
          <w:numId w:val="10"/>
        </w:numPr>
        <w:spacing w:after="0"/>
        <w:jc w:val="both"/>
        <w:rPr>
          <w:rFonts w:asciiTheme="minorHAnsi" w:hAnsiTheme="minorHAnsi" w:cstheme="minorHAnsi"/>
          <w:b/>
          <w:bCs/>
          <w:sz w:val="26"/>
          <w:szCs w:val="26"/>
        </w:rPr>
      </w:pPr>
      <w:r>
        <w:rPr>
          <w:rFonts w:asciiTheme="minorHAnsi" w:hAnsiTheme="minorHAnsi" w:cstheme="minorHAnsi"/>
          <w:b/>
          <w:bCs/>
          <w:sz w:val="26"/>
          <w:szCs w:val="26"/>
        </w:rPr>
        <w:t>Entreprises</w:t>
      </w:r>
      <w:r w:rsidR="00467592">
        <w:rPr>
          <w:rFonts w:asciiTheme="minorHAnsi" w:hAnsiTheme="minorHAnsi" w:cstheme="minorHAnsi"/>
          <w:b/>
          <w:bCs/>
          <w:sz w:val="26"/>
          <w:szCs w:val="26"/>
        </w:rPr>
        <w:t xml:space="preserve"> : </w:t>
      </w:r>
      <w:r w:rsidR="00EB3693" w:rsidRPr="00467592">
        <w:rPr>
          <w:rFonts w:asciiTheme="minorHAnsi" w:hAnsiTheme="minorHAnsi" w:cstheme="minorHAnsi"/>
          <w:b/>
          <w:bCs/>
          <w:sz w:val="26"/>
          <w:szCs w:val="26"/>
        </w:rPr>
        <w:t>50% de l’épargne intérieure.</w:t>
      </w:r>
      <w:r w:rsidR="00EB3693" w:rsidRPr="00467592">
        <w:rPr>
          <w:rFonts w:asciiTheme="minorHAnsi" w:hAnsiTheme="minorHAnsi" w:cstheme="minorHAnsi"/>
          <w:sz w:val="26"/>
          <w:szCs w:val="26"/>
        </w:rPr>
        <w:t xml:space="preserve"> </w:t>
      </w:r>
    </w:p>
    <w:p w:rsidR="00EB3693" w:rsidRDefault="00EB3693" w:rsidP="00EB3693">
      <w:pPr>
        <w:spacing w:after="0"/>
        <w:ind w:left="1068"/>
        <w:jc w:val="both"/>
        <w:rPr>
          <w:rFonts w:asciiTheme="minorHAnsi" w:hAnsiTheme="minorHAnsi" w:cstheme="minorHAnsi"/>
          <w:sz w:val="26"/>
          <w:szCs w:val="26"/>
        </w:rPr>
      </w:pPr>
    </w:p>
    <w:p w:rsidR="0035194E" w:rsidRDefault="00EB3693" w:rsidP="00EB3693">
      <w:pPr>
        <w:numPr>
          <w:ilvl w:val="0"/>
          <w:numId w:val="8"/>
        </w:numPr>
        <w:spacing w:after="0"/>
        <w:jc w:val="both"/>
        <w:rPr>
          <w:rFonts w:asciiTheme="minorHAnsi" w:hAnsiTheme="minorHAnsi" w:cstheme="minorHAnsi"/>
          <w:sz w:val="26"/>
          <w:szCs w:val="26"/>
        </w:rPr>
      </w:pPr>
      <w:r w:rsidRPr="00EB3693">
        <w:rPr>
          <w:rFonts w:asciiTheme="minorHAnsi" w:hAnsiTheme="minorHAnsi" w:cstheme="minorHAnsi"/>
          <w:sz w:val="26"/>
          <w:szCs w:val="26"/>
        </w:rPr>
        <w:t>Augmentation</w:t>
      </w:r>
      <w:r w:rsidR="0035194E" w:rsidRPr="00EB3693">
        <w:rPr>
          <w:rFonts w:asciiTheme="minorHAnsi" w:hAnsiTheme="minorHAnsi" w:cstheme="minorHAnsi"/>
          <w:sz w:val="26"/>
          <w:szCs w:val="26"/>
        </w:rPr>
        <w:t xml:space="preserve"> des revenus des entreprises</w:t>
      </w:r>
      <w:r w:rsidRPr="00EB3693">
        <w:rPr>
          <w:rFonts w:asciiTheme="minorHAnsi" w:hAnsiTheme="minorHAnsi" w:cstheme="minorHAnsi"/>
          <w:sz w:val="26"/>
          <w:szCs w:val="26"/>
        </w:rPr>
        <w:t xml:space="preserve"> d</w:t>
      </w:r>
      <w:r>
        <w:rPr>
          <w:rFonts w:asciiTheme="minorHAnsi" w:hAnsiTheme="minorHAnsi" w:cstheme="minorHAnsi"/>
          <w:sz w:val="26"/>
          <w:szCs w:val="26"/>
        </w:rPr>
        <w:t>e</w:t>
      </w:r>
      <w:r w:rsidRPr="00EB3693">
        <w:rPr>
          <w:rFonts w:asciiTheme="minorHAnsi" w:hAnsiTheme="minorHAnsi" w:cstheme="minorHAnsi"/>
          <w:sz w:val="26"/>
          <w:szCs w:val="26"/>
        </w:rPr>
        <w:t xml:space="preserve"> 4,9%</w:t>
      </w:r>
      <w:r>
        <w:rPr>
          <w:rFonts w:asciiTheme="minorHAnsi" w:hAnsiTheme="minorHAnsi" w:cstheme="minorHAnsi"/>
          <w:sz w:val="26"/>
          <w:szCs w:val="26"/>
        </w:rPr>
        <w:t xml:space="preserve"> à 6,</w:t>
      </w:r>
      <w:r w:rsidR="0035194E" w:rsidRPr="00EB3693">
        <w:rPr>
          <w:rFonts w:asciiTheme="minorHAnsi" w:hAnsiTheme="minorHAnsi" w:cstheme="minorHAnsi"/>
          <w:sz w:val="26"/>
          <w:szCs w:val="26"/>
        </w:rPr>
        <w:t>7% par an entre les mêmes périodes.</w:t>
      </w:r>
    </w:p>
    <w:p w:rsidR="001C660A" w:rsidRDefault="001C660A" w:rsidP="001C660A">
      <w:pPr>
        <w:pStyle w:val="Paragraphedeliste"/>
        <w:rPr>
          <w:rFonts w:asciiTheme="minorHAnsi" w:hAnsiTheme="minorHAnsi" w:cstheme="minorHAnsi"/>
          <w:sz w:val="26"/>
          <w:szCs w:val="26"/>
        </w:rPr>
      </w:pPr>
    </w:p>
    <w:p w:rsidR="00151EE1" w:rsidRPr="001C660A" w:rsidRDefault="001C660A" w:rsidP="00151EE1">
      <w:pPr>
        <w:numPr>
          <w:ilvl w:val="0"/>
          <w:numId w:val="8"/>
        </w:numPr>
        <w:spacing w:after="0"/>
        <w:jc w:val="both"/>
        <w:rPr>
          <w:rFonts w:asciiTheme="minorHAnsi" w:hAnsiTheme="minorHAnsi" w:cstheme="minorHAnsi"/>
          <w:sz w:val="26"/>
          <w:szCs w:val="26"/>
        </w:rPr>
      </w:pPr>
      <w:r w:rsidRPr="001C660A">
        <w:rPr>
          <w:rFonts w:asciiTheme="minorHAnsi" w:hAnsiTheme="minorHAnsi" w:cstheme="minorHAnsi"/>
          <w:sz w:val="26"/>
          <w:szCs w:val="26"/>
        </w:rPr>
        <w:t>Une épargne limitée par la structure inégalitaire du tissu des entreprises :</w:t>
      </w:r>
      <w:r w:rsidR="00151EE1" w:rsidRPr="001C660A">
        <w:rPr>
          <w:rFonts w:asciiTheme="minorHAnsi" w:hAnsiTheme="minorHAnsi" w:cstheme="minorHAnsi"/>
          <w:sz w:val="26"/>
          <w:szCs w:val="26"/>
        </w:rPr>
        <w:t>Le secteur manufacturier est constitué de 11% de grandes entreprises et 89% de PME.</w:t>
      </w:r>
    </w:p>
    <w:p w:rsidR="00151EE1" w:rsidRDefault="00151EE1" w:rsidP="00151EE1">
      <w:pPr>
        <w:spacing w:after="0"/>
        <w:jc w:val="both"/>
        <w:rPr>
          <w:rFonts w:asciiTheme="minorHAnsi" w:hAnsiTheme="minorHAnsi" w:cstheme="minorHAnsi"/>
          <w:sz w:val="26"/>
          <w:szCs w:val="26"/>
        </w:rPr>
      </w:pPr>
    </w:p>
    <w:p w:rsidR="00151EE1" w:rsidRDefault="00151EE1" w:rsidP="00151EE1">
      <w:pPr>
        <w:numPr>
          <w:ilvl w:val="0"/>
          <w:numId w:val="8"/>
        </w:numPr>
        <w:spacing w:after="0"/>
        <w:jc w:val="both"/>
        <w:rPr>
          <w:rFonts w:asciiTheme="minorHAnsi" w:hAnsiTheme="minorHAnsi" w:cstheme="minorHAnsi"/>
          <w:sz w:val="26"/>
          <w:szCs w:val="26"/>
        </w:rPr>
      </w:pPr>
      <w:r>
        <w:rPr>
          <w:rFonts w:asciiTheme="minorHAnsi" w:hAnsiTheme="minorHAnsi" w:cstheme="minorHAnsi"/>
          <w:sz w:val="26"/>
          <w:szCs w:val="26"/>
        </w:rPr>
        <w:t>Les grandes entreprises : 67% des effectifs employés, 85% du chiffre d’affaires et 89% des exportations.</w:t>
      </w:r>
    </w:p>
    <w:p w:rsidR="00151EE1" w:rsidRDefault="00151EE1" w:rsidP="00151EE1">
      <w:pPr>
        <w:pStyle w:val="Paragraphedeliste"/>
        <w:rPr>
          <w:rFonts w:asciiTheme="minorHAnsi" w:hAnsiTheme="minorHAnsi" w:cstheme="minorHAnsi"/>
          <w:sz w:val="26"/>
          <w:szCs w:val="26"/>
        </w:rPr>
      </w:pPr>
    </w:p>
    <w:p w:rsidR="0099005B" w:rsidRDefault="00151EE1" w:rsidP="00F3379E">
      <w:pPr>
        <w:numPr>
          <w:ilvl w:val="0"/>
          <w:numId w:val="8"/>
        </w:numPr>
        <w:spacing w:after="0"/>
        <w:jc w:val="both"/>
        <w:rPr>
          <w:rFonts w:asciiTheme="minorHAnsi" w:hAnsiTheme="minorHAnsi" w:cstheme="minorHAnsi"/>
          <w:sz w:val="26"/>
          <w:szCs w:val="26"/>
        </w:rPr>
      </w:pPr>
      <w:r>
        <w:rPr>
          <w:rFonts w:asciiTheme="minorHAnsi" w:hAnsiTheme="minorHAnsi" w:cstheme="minorHAnsi"/>
          <w:sz w:val="26"/>
          <w:szCs w:val="26"/>
        </w:rPr>
        <w:t>Les PME </w:t>
      </w:r>
      <w:r w:rsidR="001C660A">
        <w:rPr>
          <w:rFonts w:asciiTheme="minorHAnsi" w:hAnsiTheme="minorHAnsi" w:cstheme="minorHAnsi"/>
          <w:sz w:val="26"/>
          <w:szCs w:val="26"/>
        </w:rPr>
        <w:t xml:space="preserve">participent </w:t>
      </w:r>
      <w:r>
        <w:rPr>
          <w:rFonts w:asciiTheme="minorHAnsi" w:hAnsiTheme="minorHAnsi" w:cstheme="minorHAnsi"/>
          <w:sz w:val="26"/>
          <w:szCs w:val="26"/>
        </w:rPr>
        <w:t xml:space="preserve">: </w:t>
      </w:r>
      <w:r w:rsidR="00F3379E">
        <w:rPr>
          <w:rFonts w:asciiTheme="minorHAnsi" w:hAnsiTheme="minorHAnsi" w:cstheme="minorHAnsi"/>
          <w:sz w:val="26"/>
          <w:szCs w:val="26"/>
        </w:rPr>
        <w:t>de</w:t>
      </w:r>
      <w:r w:rsidR="001C660A">
        <w:rPr>
          <w:rFonts w:asciiTheme="minorHAnsi" w:hAnsiTheme="minorHAnsi" w:cstheme="minorHAnsi"/>
          <w:sz w:val="26"/>
          <w:szCs w:val="26"/>
        </w:rPr>
        <w:t xml:space="preserve"> </w:t>
      </w:r>
      <w:r>
        <w:rPr>
          <w:rFonts w:asciiTheme="minorHAnsi" w:hAnsiTheme="minorHAnsi" w:cstheme="minorHAnsi"/>
          <w:sz w:val="26"/>
          <w:szCs w:val="26"/>
        </w:rPr>
        <w:t xml:space="preserve">4,7% </w:t>
      </w:r>
      <w:r w:rsidR="00F3379E">
        <w:rPr>
          <w:rFonts w:asciiTheme="minorHAnsi" w:hAnsiTheme="minorHAnsi" w:cstheme="minorHAnsi"/>
          <w:sz w:val="26"/>
          <w:szCs w:val="26"/>
        </w:rPr>
        <w:t>à</w:t>
      </w:r>
      <w:r>
        <w:rPr>
          <w:rFonts w:asciiTheme="minorHAnsi" w:hAnsiTheme="minorHAnsi" w:cstheme="minorHAnsi"/>
          <w:sz w:val="26"/>
          <w:szCs w:val="26"/>
        </w:rPr>
        <w:t xml:space="preserve"> l’</w:t>
      </w:r>
      <w:r w:rsidR="004C3FB7">
        <w:rPr>
          <w:rFonts w:asciiTheme="minorHAnsi" w:hAnsiTheme="minorHAnsi" w:cstheme="minorHAnsi"/>
          <w:sz w:val="26"/>
          <w:szCs w:val="26"/>
        </w:rPr>
        <w:t xml:space="preserve">investissement total </w:t>
      </w:r>
      <w:r w:rsidR="00DD352F">
        <w:rPr>
          <w:rFonts w:asciiTheme="minorHAnsi" w:hAnsiTheme="minorHAnsi" w:cstheme="minorHAnsi"/>
          <w:sz w:val="26"/>
          <w:szCs w:val="26"/>
        </w:rPr>
        <w:t>(collatéraux et coûts élevés des financements bancaires)</w:t>
      </w:r>
      <w:r w:rsidR="00F3379E">
        <w:rPr>
          <w:rFonts w:asciiTheme="minorHAnsi" w:hAnsiTheme="minorHAnsi" w:cstheme="minorHAnsi"/>
          <w:sz w:val="26"/>
          <w:szCs w:val="26"/>
        </w:rPr>
        <w:t>. Elles s’autofinancent à 80%.</w:t>
      </w:r>
    </w:p>
    <w:p w:rsidR="0099005B" w:rsidRDefault="0099005B" w:rsidP="0099005B">
      <w:pPr>
        <w:pStyle w:val="Paragraphedeliste"/>
        <w:rPr>
          <w:rFonts w:asciiTheme="minorHAnsi" w:hAnsiTheme="minorHAnsi" w:cstheme="minorHAnsi"/>
          <w:sz w:val="26"/>
          <w:szCs w:val="26"/>
        </w:rPr>
      </w:pPr>
    </w:p>
    <w:p w:rsidR="001C660A" w:rsidRDefault="001C660A" w:rsidP="001C660A">
      <w:pPr>
        <w:pStyle w:val="Paragraphedeliste"/>
        <w:rPr>
          <w:rFonts w:asciiTheme="minorHAnsi" w:hAnsiTheme="minorHAnsi" w:cstheme="minorHAnsi"/>
          <w:sz w:val="26"/>
          <w:szCs w:val="26"/>
        </w:rPr>
      </w:pPr>
    </w:p>
    <w:p w:rsidR="001C660A" w:rsidRDefault="001C660A" w:rsidP="00424AD2">
      <w:pPr>
        <w:numPr>
          <w:ilvl w:val="0"/>
          <w:numId w:val="10"/>
        </w:numPr>
        <w:spacing w:after="0"/>
        <w:jc w:val="both"/>
        <w:rPr>
          <w:rFonts w:asciiTheme="minorHAnsi" w:hAnsiTheme="minorHAnsi" w:cstheme="minorHAnsi"/>
          <w:b/>
          <w:bCs/>
          <w:sz w:val="26"/>
          <w:szCs w:val="26"/>
        </w:rPr>
      </w:pPr>
      <w:r w:rsidRPr="001C660A">
        <w:rPr>
          <w:rFonts w:asciiTheme="minorHAnsi" w:hAnsiTheme="minorHAnsi" w:cstheme="minorHAnsi"/>
          <w:b/>
          <w:bCs/>
          <w:sz w:val="26"/>
          <w:szCs w:val="26"/>
        </w:rPr>
        <w:t>Ménages : 35% de l’épargne nationale</w:t>
      </w:r>
    </w:p>
    <w:p w:rsidR="00424AD2" w:rsidRDefault="00424AD2" w:rsidP="00424AD2">
      <w:pPr>
        <w:spacing w:after="0"/>
        <w:ind w:left="1428"/>
        <w:jc w:val="both"/>
        <w:rPr>
          <w:rFonts w:asciiTheme="minorHAnsi" w:hAnsiTheme="minorHAnsi" w:cstheme="minorHAnsi"/>
          <w:b/>
          <w:bCs/>
          <w:sz w:val="26"/>
          <w:szCs w:val="26"/>
        </w:rPr>
      </w:pPr>
    </w:p>
    <w:p w:rsidR="001C660A" w:rsidRPr="00AC7DA7" w:rsidRDefault="00AC7DA7" w:rsidP="00C92965">
      <w:pPr>
        <w:spacing w:after="0"/>
        <w:ind w:left="1080" w:firstLine="348"/>
        <w:jc w:val="both"/>
        <w:rPr>
          <w:rFonts w:asciiTheme="minorHAnsi" w:hAnsiTheme="minorHAnsi" w:cstheme="minorHAnsi"/>
          <w:b/>
          <w:bCs/>
          <w:sz w:val="26"/>
          <w:szCs w:val="26"/>
        </w:rPr>
      </w:pPr>
      <w:r>
        <w:rPr>
          <w:rFonts w:asciiTheme="minorHAnsi" w:hAnsiTheme="minorHAnsi" w:cstheme="minorHAnsi"/>
          <w:b/>
          <w:bCs/>
          <w:sz w:val="26"/>
          <w:szCs w:val="26"/>
        </w:rPr>
        <w:t xml:space="preserve">   </w:t>
      </w:r>
      <w:r w:rsidR="00424AD2" w:rsidRPr="00AC7DA7">
        <w:rPr>
          <w:rFonts w:asciiTheme="minorHAnsi" w:hAnsiTheme="minorHAnsi" w:cstheme="minorHAnsi"/>
          <w:b/>
          <w:bCs/>
          <w:sz w:val="26"/>
          <w:szCs w:val="26"/>
        </w:rPr>
        <w:t>Revenus </w:t>
      </w:r>
      <w:r>
        <w:rPr>
          <w:rFonts w:asciiTheme="minorHAnsi" w:hAnsiTheme="minorHAnsi" w:cstheme="minorHAnsi"/>
          <w:b/>
          <w:bCs/>
          <w:sz w:val="26"/>
          <w:szCs w:val="26"/>
        </w:rPr>
        <w:t>faibles et en ralentissement :</w:t>
      </w:r>
    </w:p>
    <w:p w:rsidR="00424AD2" w:rsidRPr="00424AD2" w:rsidRDefault="00424AD2" w:rsidP="001C660A">
      <w:pPr>
        <w:spacing w:after="0"/>
        <w:ind w:left="1068"/>
        <w:jc w:val="both"/>
        <w:rPr>
          <w:rFonts w:asciiTheme="minorHAnsi" w:hAnsiTheme="minorHAnsi" w:cstheme="minorHAnsi"/>
          <w:b/>
          <w:bCs/>
          <w:sz w:val="26"/>
          <w:szCs w:val="26"/>
          <w:u w:val="single"/>
        </w:rPr>
      </w:pPr>
    </w:p>
    <w:p w:rsidR="0099005B" w:rsidRDefault="00424AD2" w:rsidP="00424AD2">
      <w:pPr>
        <w:numPr>
          <w:ilvl w:val="0"/>
          <w:numId w:val="8"/>
        </w:numPr>
        <w:spacing w:after="0"/>
        <w:jc w:val="both"/>
        <w:rPr>
          <w:rFonts w:asciiTheme="minorHAnsi" w:hAnsiTheme="minorHAnsi" w:cstheme="minorHAnsi"/>
          <w:color w:val="FF0000"/>
          <w:sz w:val="26"/>
          <w:szCs w:val="26"/>
        </w:rPr>
      </w:pPr>
      <w:r>
        <w:rPr>
          <w:rFonts w:asciiTheme="minorHAnsi" w:hAnsiTheme="minorHAnsi" w:cstheme="minorHAnsi"/>
          <w:sz w:val="26"/>
          <w:szCs w:val="26"/>
        </w:rPr>
        <w:t>R</w:t>
      </w:r>
      <w:r w:rsidR="001C660A" w:rsidRPr="001C660A">
        <w:rPr>
          <w:rFonts w:asciiTheme="minorHAnsi" w:hAnsiTheme="minorHAnsi" w:cstheme="minorHAnsi"/>
          <w:sz w:val="26"/>
          <w:szCs w:val="26"/>
        </w:rPr>
        <w:t>alentissement des revenus des ménages</w:t>
      </w:r>
      <w:r>
        <w:rPr>
          <w:rFonts w:asciiTheme="minorHAnsi" w:hAnsiTheme="minorHAnsi" w:cstheme="minorHAnsi"/>
          <w:sz w:val="26"/>
          <w:szCs w:val="26"/>
        </w:rPr>
        <w:t> :</w:t>
      </w:r>
      <w:r w:rsidR="001C660A" w:rsidRPr="001C660A">
        <w:rPr>
          <w:rFonts w:asciiTheme="minorHAnsi" w:hAnsiTheme="minorHAnsi" w:cstheme="minorHAnsi"/>
          <w:sz w:val="26"/>
          <w:szCs w:val="26"/>
        </w:rPr>
        <w:t xml:space="preserve"> 6,1% d’accroissement à 3,5% en moyenne annuelle, au cours des 2 périodes</w:t>
      </w:r>
      <w:r w:rsidR="001C660A">
        <w:rPr>
          <w:rFonts w:asciiTheme="minorHAnsi" w:hAnsiTheme="minorHAnsi" w:cstheme="minorHAnsi"/>
          <w:sz w:val="26"/>
          <w:szCs w:val="26"/>
        </w:rPr>
        <w:t> :</w:t>
      </w:r>
    </w:p>
    <w:p w:rsidR="0099005B" w:rsidRPr="0099005B" w:rsidRDefault="0099005B" w:rsidP="0099005B">
      <w:pPr>
        <w:spacing w:after="0"/>
        <w:jc w:val="both"/>
        <w:rPr>
          <w:rFonts w:asciiTheme="minorHAnsi" w:hAnsiTheme="minorHAnsi" w:cstheme="minorHAnsi"/>
          <w:sz w:val="26"/>
          <w:szCs w:val="26"/>
        </w:rPr>
      </w:pPr>
    </w:p>
    <w:p w:rsidR="0099005B" w:rsidRPr="0099005B" w:rsidRDefault="001C660A" w:rsidP="001C660A">
      <w:pPr>
        <w:numPr>
          <w:ilvl w:val="0"/>
          <w:numId w:val="4"/>
        </w:numPr>
        <w:spacing w:after="0"/>
        <w:ind w:firstLine="66"/>
        <w:jc w:val="both"/>
        <w:rPr>
          <w:rFonts w:asciiTheme="minorHAnsi" w:hAnsiTheme="minorHAnsi" w:cstheme="minorHAnsi"/>
          <w:sz w:val="26"/>
          <w:szCs w:val="26"/>
        </w:rPr>
      </w:pPr>
      <w:r>
        <w:rPr>
          <w:rFonts w:asciiTheme="minorHAnsi" w:hAnsiTheme="minorHAnsi" w:cstheme="minorHAnsi"/>
          <w:sz w:val="26"/>
          <w:szCs w:val="26"/>
        </w:rPr>
        <w:t xml:space="preserve">sources de revenus : </w:t>
      </w:r>
      <w:r w:rsidR="0099005B" w:rsidRPr="0099005B">
        <w:rPr>
          <w:rFonts w:asciiTheme="minorHAnsi" w:hAnsiTheme="minorHAnsi" w:cstheme="minorHAnsi"/>
          <w:sz w:val="26"/>
          <w:szCs w:val="26"/>
        </w:rPr>
        <w:t>42% sous formes de salaires versés à quasi–égalité par les entreprises (22%) et les administrations publiques (20%)</w:t>
      </w:r>
    </w:p>
    <w:p w:rsidR="0099005B" w:rsidRPr="0099005B" w:rsidRDefault="0099005B" w:rsidP="0099005B">
      <w:pPr>
        <w:numPr>
          <w:ilvl w:val="0"/>
          <w:numId w:val="4"/>
        </w:numPr>
        <w:spacing w:after="0"/>
        <w:ind w:firstLine="66"/>
        <w:jc w:val="both"/>
        <w:rPr>
          <w:rFonts w:asciiTheme="minorHAnsi" w:hAnsiTheme="minorHAnsi" w:cstheme="minorHAnsi"/>
          <w:sz w:val="26"/>
          <w:szCs w:val="26"/>
        </w:rPr>
      </w:pPr>
      <w:r w:rsidRPr="0099005B">
        <w:rPr>
          <w:rFonts w:asciiTheme="minorHAnsi" w:hAnsiTheme="minorHAnsi" w:cstheme="minorHAnsi"/>
          <w:sz w:val="26"/>
          <w:szCs w:val="26"/>
        </w:rPr>
        <w:t xml:space="preserve">12% sous forme de transferts en particulier les transferts des MRE </w:t>
      </w:r>
    </w:p>
    <w:p w:rsidR="0035194E" w:rsidRDefault="0035194E" w:rsidP="0099005B">
      <w:pPr>
        <w:spacing w:after="0"/>
        <w:ind w:left="1068" w:firstLine="66"/>
        <w:jc w:val="both"/>
        <w:rPr>
          <w:rFonts w:asciiTheme="minorHAnsi" w:hAnsiTheme="minorHAnsi" w:cstheme="minorHAnsi"/>
          <w:sz w:val="26"/>
          <w:szCs w:val="26"/>
        </w:rPr>
      </w:pPr>
    </w:p>
    <w:p w:rsidR="000B7CC2" w:rsidRPr="00FF4115" w:rsidRDefault="0099005B" w:rsidP="00FF4115">
      <w:pPr>
        <w:numPr>
          <w:ilvl w:val="0"/>
          <w:numId w:val="4"/>
        </w:numPr>
        <w:spacing w:after="0"/>
        <w:ind w:firstLine="66"/>
        <w:jc w:val="both"/>
        <w:rPr>
          <w:rFonts w:asciiTheme="minorHAnsi" w:hAnsiTheme="minorHAnsi" w:cstheme="minorHAnsi"/>
          <w:sz w:val="26"/>
          <w:szCs w:val="26"/>
        </w:rPr>
      </w:pPr>
      <w:r w:rsidRPr="00FF4115">
        <w:rPr>
          <w:rFonts w:asciiTheme="minorHAnsi" w:hAnsiTheme="minorHAnsi" w:cstheme="minorHAnsi"/>
          <w:sz w:val="26"/>
          <w:szCs w:val="26"/>
        </w:rPr>
        <w:t>faible évolution</w:t>
      </w:r>
      <w:r w:rsidR="00424AD2" w:rsidRPr="00FF4115">
        <w:rPr>
          <w:rFonts w:asciiTheme="minorHAnsi" w:hAnsiTheme="minorHAnsi" w:cstheme="minorHAnsi"/>
          <w:sz w:val="26"/>
          <w:szCs w:val="26"/>
        </w:rPr>
        <w:t> : salaire brut évoluant de 0,2% au lieu de 2,8%</w:t>
      </w:r>
      <w:r w:rsidR="00FF4115" w:rsidRPr="00FF4115">
        <w:rPr>
          <w:rFonts w:asciiTheme="minorHAnsi" w:hAnsiTheme="minorHAnsi" w:cstheme="minorHAnsi"/>
          <w:sz w:val="26"/>
          <w:szCs w:val="26"/>
        </w:rPr>
        <w:t xml:space="preserve">, avec une </w:t>
      </w:r>
      <w:r w:rsidRPr="00FF4115">
        <w:rPr>
          <w:rFonts w:asciiTheme="minorHAnsi" w:hAnsiTheme="minorHAnsi" w:cstheme="minorHAnsi"/>
          <w:sz w:val="26"/>
          <w:szCs w:val="26"/>
        </w:rPr>
        <w:t>structure inégalitaire des salaires </w:t>
      </w:r>
      <w:r w:rsidR="00FF4115">
        <w:rPr>
          <w:rFonts w:asciiTheme="minorHAnsi" w:hAnsiTheme="minorHAnsi" w:cstheme="minorHAnsi"/>
          <w:sz w:val="26"/>
          <w:szCs w:val="26"/>
        </w:rPr>
        <w:t>(</w:t>
      </w:r>
      <w:r w:rsidR="00FF4115" w:rsidRPr="00FF4115">
        <w:rPr>
          <w:rFonts w:asciiTheme="minorHAnsi" w:hAnsiTheme="minorHAnsi" w:cstheme="minorHAnsi"/>
          <w:sz w:val="26"/>
          <w:szCs w:val="26"/>
        </w:rPr>
        <w:t>salaire moyen mensuel 4468 dh</w:t>
      </w:r>
      <w:r w:rsidR="00FF4115">
        <w:rPr>
          <w:rFonts w:asciiTheme="minorHAnsi" w:hAnsiTheme="minorHAnsi" w:cstheme="minorHAnsi"/>
          <w:sz w:val="26"/>
          <w:szCs w:val="26"/>
        </w:rPr>
        <w:t>, variant en</w:t>
      </w:r>
      <w:r w:rsidR="00FF4115" w:rsidRPr="00FF4115">
        <w:rPr>
          <w:rFonts w:asciiTheme="minorHAnsi" w:hAnsiTheme="minorHAnsi" w:cstheme="minorHAnsi"/>
          <w:sz w:val="26"/>
          <w:szCs w:val="26"/>
        </w:rPr>
        <w:t xml:space="preserve"> </w:t>
      </w:r>
      <w:r w:rsidR="00424AD2" w:rsidRPr="00FF4115">
        <w:rPr>
          <w:rFonts w:asciiTheme="minorHAnsi" w:hAnsiTheme="minorHAnsi" w:cstheme="minorHAnsi"/>
          <w:sz w:val="26"/>
          <w:szCs w:val="26"/>
        </w:rPr>
        <w:t>2016 </w:t>
      </w:r>
      <w:r w:rsidR="00FF4115">
        <w:rPr>
          <w:rFonts w:asciiTheme="minorHAnsi" w:hAnsiTheme="minorHAnsi" w:cstheme="minorHAnsi"/>
          <w:sz w:val="26"/>
          <w:szCs w:val="26"/>
        </w:rPr>
        <w:t xml:space="preserve"> </w:t>
      </w:r>
      <w:r w:rsidR="00424AD2" w:rsidRPr="00FF4115">
        <w:rPr>
          <w:rFonts w:asciiTheme="minorHAnsi" w:hAnsiTheme="minorHAnsi" w:cstheme="minorHAnsi"/>
          <w:sz w:val="26"/>
          <w:szCs w:val="26"/>
        </w:rPr>
        <w:t xml:space="preserve">de 2877 dh </w:t>
      </w:r>
      <w:r w:rsidR="00FF4115">
        <w:rPr>
          <w:rFonts w:asciiTheme="minorHAnsi" w:hAnsiTheme="minorHAnsi" w:cstheme="minorHAnsi"/>
          <w:sz w:val="26"/>
          <w:szCs w:val="26"/>
        </w:rPr>
        <w:t xml:space="preserve">dans les </w:t>
      </w:r>
      <w:r w:rsidR="00424AD2" w:rsidRPr="00FF4115">
        <w:rPr>
          <w:rFonts w:asciiTheme="minorHAnsi" w:hAnsiTheme="minorHAnsi" w:cstheme="minorHAnsi"/>
          <w:sz w:val="26"/>
          <w:szCs w:val="26"/>
        </w:rPr>
        <w:t>entreprise</w:t>
      </w:r>
      <w:r w:rsidR="00FF4115">
        <w:rPr>
          <w:rFonts w:asciiTheme="minorHAnsi" w:hAnsiTheme="minorHAnsi" w:cstheme="minorHAnsi"/>
          <w:sz w:val="26"/>
          <w:szCs w:val="26"/>
        </w:rPr>
        <w:t xml:space="preserve">s à </w:t>
      </w:r>
      <w:r w:rsidR="00424AD2" w:rsidRPr="00FF4115">
        <w:rPr>
          <w:rFonts w:asciiTheme="minorHAnsi" w:hAnsiTheme="minorHAnsi" w:cstheme="minorHAnsi"/>
          <w:sz w:val="26"/>
          <w:szCs w:val="26"/>
        </w:rPr>
        <w:t xml:space="preserve">13052 dh </w:t>
      </w:r>
      <w:r w:rsidR="00FF4115">
        <w:rPr>
          <w:rFonts w:asciiTheme="minorHAnsi" w:hAnsiTheme="minorHAnsi" w:cstheme="minorHAnsi"/>
          <w:sz w:val="26"/>
          <w:szCs w:val="26"/>
        </w:rPr>
        <w:t xml:space="preserve">dans les </w:t>
      </w:r>
      <w:r w:rsidR="00424AD2" w:rsidRPr="00FF4115">
        <w:rPr>
          <w:rFonts w:asciiTheme="minorHAnsi" w:hAnsiTheme="minorHAnsi" w:cstheme="minorHAnsi"/>
          <w:sz w:val="26"/>
          <w:szCs w:val="26"/>
        </w:rPr>
        <w:t>administration</w:t>
      </w:r>
      <w:r w:rsidR="00FF4115">
        <w:rPr>
          <w:rFonts w:asciiTheme="minorHAnsi" w:hAnsiTheme="minorHAnsi" w:cstheme="minorHAnsi"/>
          <w:sz w:val="26"/>
          <w:szCs w:val="26"/>
        </w:rPr>
        <w:t>s</w:t>
      </w:r>
      <w:r w:rsidR="00424AD2" w:rsidRPr="00FF4115">
        <w:rPr>
          <w:rFonts w:asciiTheme="minorHAnsi" w:hAnsiTheme="minorHAnsi" w:cstheme="minorHAnsi"/>
          <w:sz w:val="26"/>
          <w:szCs w:val="26"/>
        </w:rPr>
        <w:t xml:space="preserve"> publique</w:t>
      </w:r>
      <w:r w:rsidR="00FF4115">
        <w:rPr>
          <w:rFonts w:asciiTheme="minorHAnsi" w:hAnsiTheme="minorHAnsi" w:cstheme="minorHAnsi"/>
          <w:sz w:val="26"/>
          <w:szCs w:val="26"/>
        </w:rPr>
        <w:t>s).</w:t>
      </w:r>
    </w:p>
    <w:p w:rsidR="00424AD2" w:rsidRDefault="00424AD2" w:rsidP="00424AD2">
      <w:pPr>
        <w:spacing w:after="0"/>
        <w:jc w:val="both"/>
        <w:rPr>
          <w:rFonts w:asciiTheme="minorHAnsi" w:hAnsiTheme="minorHAnsi" w:cstheme="minorHAnsi"/>
          <w:sz w:val="26"/>
          <w:szCs w:val="26"/>
        </w:rPr>
      </w:pPr>
    </w:p>
    <w:p w:rsidR="00424AD2" w:rsidRPr="00AC7DA7" w:rsidRDefault="00424AD2" w:rsidP="00FF4115">
      <w:pPr>
        <w:spacing w:after="0"/>
        <w:ind w:left="1068" w:firstLine="348"/>
        <w:jc w:val="both"/>
        <w:rPr>
          <w:rFonts w:asciiTheme="minorHAnsi" w:hAnsiTheme="minorHAnsi" w:cstheme="minorHAnsi"/>
          <w:b/>
          <w:bCs/>
          <w:sz w:val="26"/>
          <w:szCs w:val="26"/>
        </w:rPr>
      </w:pPr>
      <w:r w:rsidRPr="00AC7DA7">
        <w:rPr>
          <w:rFonts w:asciiTheme="minorHAnsi" w:hAnsiTheme="minorHAnsi" w:cstheme="minorHAnsi"/>
          <w:b/>
          <w:bCs/>
          <w:sz w:val="26"/>
          <w:szCs w:val="26"/>
        </w:rPr>
        <w:lastRenderedPageBreak/>
        <w:t>Consommation </w:t>
      </w:r>
      <w:r w:rsidR="00FF4115">
        <w:rPr>
          <w:rFonts w:asciiTheme="minorHAnsi" w:hAnsiTheme="minorHAnsi" w:cstheme="minorHAnsi"/>
          <w:b/>
          <w:bCs/>
          <w:sz w:val="26"/>
          <w:szCs w:val="26"/>
        </w:rPr>
        <w:t>et épargne en perte de vitesse au détriment en particulier des ménages les plus vulnérables</w:t>
      </w:r>
    </w:p>
    <w:p w:rsidR="00424AD2" w:rsidRDefault="00424AD2" w:rsidP="00424AD2">
      <w:pPr>
        <w:spacing w:after="0"/>
        <w:ind w:left="1068"/>
        <w:jc w:val="both"/>
        <w:rPr>
          <w:rFonts w:asciiTheme="minorHAnsi" w:hAnsiTheme="minorHAnsi" w:cstheme="minorHAnsi"/>
          <w:sz w:val="26"/>
          <w:szCs w:val="26"/>
        </w:rPr>
      </w:pPr>
    </w:p>
    <w:p w:rsidR="0035194E" w:rsidRPr="0035194E" w:rsidRDefault="00FF4115" w:rsidP="00FF4115">
      <w:pPr>
        <w:numPr>
          <w:ilvl w:val="0"/>
          <w:numId w:val="8"/>
        </w:numPr>
        <w:spacing w:after="0"/>
        <w:ind w:hanging="359"/>
        <w:jc w:val="both"/>
        <w:rPr>
          <w:rFonts w:asciiTheme="minorHAnsi" w:hAnsiTheme="minorHAnsi" w:cstheme="minorHAnsi"/>
          <w:sz w:val="26"/>
          <w:szCs w:val="26"/>
        </w:rPr>
      </w:pPr>
      <w:r>
        <w:rPr>
          <w:rFonts w:asciiTheme="minorHAnsi" w:hAnsiTheme="minorHAnsi" w:cstheme="minorHAnsi"/>
          <w:sz w:val="26"/>
          <w:szCs w:val="26"/>
        </w:rPr>
        <w:t xml:space="preserve">Taux </w:t>
      </w:r>
      <w:r w:rsidR="0035194E" w:rsidRPr="0035194E">
        <w:rPr>
          <w:rFonts w:asciiTheme="minorHAnsi" w:hAnsiTheme="minorHAnsi" w:cstheme="minorHAnsi"/>
          <w:sz w:val="26"/>
          <w:szCs w:val="26"/>
        </w:rPr>
        <w:t xml:space="preserve">de croissance </w:t>
      </w:r>
      <w:r>
        <w:rPr>
          <w:rFonts w:asciiTheme="minorHAnsi" w:hAnsiTheme="minorHAnsi" w:cstheme="minorHAnsi"/>
          <w:sz w:val="26"/>
          <w:szCs w:val="26"/>
        </w:rPr>
        <w:t xml:space="preserve">de la consommation : </w:t>
      </w:r>
      <w:r w:rsidR="00424AD2">
        <w:rPr>
          <w:rFonts w:asciiTheme="minorHAnsi" w:hAnsiTheme="minorHAnsi" w:cstheme="minorHAnsi"/>
          <w:sz w:val="26"/>
          <w:szCs w:val="26"/>
        </w:rPr>
        <w:t>en baisse à 3,1%, après</w:t>
      </w:r>
      <w:r w:rsidR="0035194E">
        <w:rPr>
          <w:rFonts w:asciiTheme="minorHAnsi" w:hAnsiTheme="minorHAnsi" w:cstheme="minorHAnsi"/>
          <w:sz w:val="26"/>
          <w:szCs w:val="26"/>
        </w:rPr>
        <w:t xml:space="preserve"> 4,3% par an.</w:t>
      </w:r>
    </w:p>
    <w:p w:rsidR="0035194E" w:rsidRPr="00155D4C" w:rsidRDefault="0035194E" w:rsidP="0035194E">
      <w:pPr>
        <w:spacing w:after="0"/>
        <w:ind w:firstLine="708"/>
        <w:jc w:val="both"/>
        <w:rPr>
          <w:rFonts w:asciiTheme="minorHAnsi" w:hAnsiTheme="minorHAnsi" w:cstheme="minorHAnsi"/>
          <w:sz w:val="26"/>
          <w:szCs w:val="26"/>
        </w:rPr>
      </w:pPr>
    </w:p>
    <w:p w:rsidR="00144EEF" w:rsidRDefault="00424AD2" w:rsidP="000B7CC2">
      <w:pPr>
        <w:numPr>
          <w:ilvl w:val="0"/>
          <w:numId w:val="8"/>
        </w:numPr>
        <w:spacing w:after="0"/>
        <w:jc w:val="both"/>
        <w:rPr>
          <w:rFonts w:asciiTheme="minorHAnsi" w:hAnsiTheme="minorHAnsi" w:cstheme="minorHAnsi"/>
          <w:sz w:val="26"/>
          <w:szCs w:val="26"/>
        </w:rPr>
      </w:pPr>
      <w:r>
        <w:rPr>
          <w:rFonts w:asciiTheme="minorHAnsi" w:hAnsiTheme="minorHAnsi" w:cstheme="minorHAnsi"/>
          <w:sz w:val="26"/>
          <w:szCs w:val="26"/>
        </w:rPr>
        <w:t>E</w:t>
      </w:r>
      <w:r w:rsidR="00144EEF">
        <w:rPr>
          <w:rFonts w:asciiTheme="minorHAnsi" w:hAnsiTheme="minorHAnsi" w:cstheme="minorHAnsi"/>
          <w:sz w:val="26"/>
          <w:szCs w:val="26"/>
        </w:rPr>
        <w:t>pargne en baisse à 1,5%</w:t>
      </w:r>
      <w:r w:rsidR="0035194E">
        <w:rPr>
          <w:rFonts w:asciiTheme="minorHAnsi" w:hAnsiTheme="minorHAnsi" w:cstheme="minorHAnsi"/>
          <w:sz w:val="26"/>
          <w:szCs w:val="26"/>
        </w:rPr>
        <w:t xml:space="preserve"> par an</w:t>
      </w:r>
      <w:r w:rsidR="00144EEF">
        <w:rPr>
          <w:rFonts w:asciiTheme="minorHAnsi" w:hAnsiTheme="minorHAnsi" w:cstheme="minorHAnsi"/>
          <w:sz w:val="26"/>
          <w:szCs w:val="26"/>
        </w:rPr>
        <w:t>, après 8,7%.</w:t>
      </w:r>
    </w:p>
    <w:p w:rsidR="00424AD2" w:rsidRDefault="00424AD2" w:rsidP="00424AD2">
      <w:pPr>
        <w:pStyle w:val="Paragraphedeliste"/>
        <w:rPr>
          <w:rFonts w:asciiTheme="minorHAnsi" w:hAnsiTheme="minorHAnsi" w:cstheme="minorHAnsi"/>
          <w:sz w:val="26"/>
          <w:szCs w:val="26"/>
        </w:rPr>
      </w:pPr>
    </w:p>
    <w:p w:rsidR="00F52F46" w:rsidRDefault="00F963A9" w:rsidP="0041477A">
      <w:pPr>
        <w:numPr>
          <w:ilvl w:val="0"/>
          <w:numId w:val="8"/>
        </w:numPr>
        <w:spacing w:after="0"/>
        <w:jc w:val="both"/>
        <w:rPr>
          <w:rFonts w:asciiTheme="minorHAnsi" w:hAnsiTheme="minorHAnsi" w:cstheme="minorHAnsi"/>
          <w:sz w:val="26"/>
          <w:szCs w:val="26"/>
        </w:rPr>
      </w:pPr>
      <w:r>
        <w:rPr>
          <w:rFonts w:asciiTheme="minorHAnsi" w:hAnsiTheme="minorHAnsi" w:cstheme="minorHAnsi"/>
          <w:sz w:val="26"/>
          <w:szCs w:val="26"/>
        </w:rPr>
        <w:t>S</w:t>
      </w:r>
      <w:r w:rsidRPr="008460E8">
        <w:rPr>
          <w:rFonts w:asciiTheme="minorHAnsi" w:hAnsiTheme="minorHAnsi" w:cstheme="minorHAnsi"/>
          <w:sz w:val="26"/>
          <w:szCs w:val="26"/>
        </w:rPr>
        <w:t>elon la structure sociale des ménages et la nature des produits consommés</w:t>
      </w:r>
      <w:r>
        <w:rPr>
          <w:rFonts w:asciiTheme="minorHAnsi" w:hAnsiTheme="minorHAnsi" w:cstheme="minorHAnsi"/>
          <w:sz w:val="26"/>
          <w:szCs w:val="26"/>
        </w:rPr>
        <w:t>, l</w:t>
      </w:r>
      <w:r w:rsidR="000B7CC2" w:rsidRPr="008460E8">
        <w:rPr>
          <w:rFonts w:asciiTheme="minorHAnsi" w:hAnsiTheme="minorHAnsi" w:cstheme="minorHAnsi"/>
          <w:sz w:val="26"/>
          <w:szCs w:val="26"/>
        </w:rPr>
        <w:t>a consommation des ménages est impactée d’une façon</w:t>
      </w:r>
      <w:r w:rsidR="0082109C">
        <w:rPr>
          <w:rFonts w:asciiTheme="minorHAnsi" w:hAnsiTheme="minorHAnsi" w:cstheme="minorHAnsi"/>
          <w:sz w:val="26"/>
          <w:szCs w:val="26"/>
        </w:rPr>
        <w:t xml:space="preserve"> différenciée</w:t>
      </w:r>
      <w:r w:rsidR="00F52F46">
        <w:rPr>
          <w:rFonts w:asciiTheme="minorHAnsi" w:hAnsiTheme="minorHAnsi" w:cstheme="minorHAnsi"/>
          <w:sz w:val="26"/>
          <w:szCs w:val="26"/>
        </w:rPr>
        <w:t xml:space="preserve">, avec une </w:t>
      </w:r>
      <w:r w:rsidR="001612DC">
        <w:rPr>
          <w:rFonts w:asciiTheme="minorHAnsi" w:hAnsiTheme="minorHAnsi" w:cstheme="minorHAnsi"/>
          <w:sz w:val="26"/>
          <w:szCs w:val="26"/>
        </w:rPr>
        <w:t>c</w:t>
      </w:r>
      <w:r w:rsidR="00F52F46">
        <w:rPr>
          <w:rFonts w:asciiTheme="minorHAnsi" w:hAnsiTheme="minorHAnsi" w:cstheme="minorHAnsi"/>
          <w:sz w:val="26"/>
          <w:szCs w:val="26"/>
        </w:rPr>
        <w:t>onsommation non-alimentaire absorbant 50%</w:t>
      </w:r>
      <w:r w:rsidR="001612DC">
        <w:rPr>
          <w:rFonts w:asciiTheme="minorHAnsi" w:hAnsiTheme="minorHAnsi" w:cstheme="minorHAnsi"/>
          <w:sz w:val="26"/>
          <w:szCs w:val="26"/>
        </w:rPr>
        <w:t xml:space="preserve"> des dépenses, l’inflation cumulée entre 2004 et 2017 a été de 14,8% pour l’énergie, 15,5% pour la facture de l’eau, </w:t>
      </w:r>
      <w:r w:rsidR="0041477A">
        <w:rPr>
          <w:rFonts w:asciiTheme="minorHAnsi" w:hAnsiTheme="minorHAnsi" w:cstheme="minorHAnsi"/>
          <w:sz w:val="26"/>
          <w:szCs w:val="26"/>
        </w:rPr>
        <w:t>18,4</w:t>
      </w:r>
      <w:r w:rsidR="001612DC">
        <w:rPr>
          <w:rFonts w:asciiTheme="minorHAnsi" w:hAnsiTheme="minorHAnsi" w:cstheme="minorHAnsi"/>
          <w:sz w:val="26"/>
          <w:szCs w:val="26"/>
        </w:rPr>
        <w:t>%</w:t>
      </w:r>
      <w:r w:rsidR="001612DC" w:rsidRPr="001612DC">
        <w:rPr>
          <w:rFonts w:asciiTheme="minorHAnsi" w:hAnsiTheme="minorHAnsi" w:cstheme="minorHAnsi"/>
          <w:sz w:val="26"/>
          <w:szCs w:val="26"/>
        </w:rPr>
        <w:t xml:space="preserve"> </w:t>
      </w:r>
      <w:r w:rsidR="001612DC">
        <w:rPr>
          <w:rFonts w:asciiTheme="minorHAnsi" w:hAnsiTheme="minorHAnsi" w:cstheme="minorHAnsi"/>
          <w:sz w:val="26"/>
          <w:szCs w:val="26"/>
        </w:rPr>
        <w:t xml:space="preserve">pour les frais de scolarité et </w:t>
      </w:r>
      <w:r w:rsidR="0041477A">
        <w:rPr>
          <w:rFonts w:asciiTheme="minorHAnsi" w:hAnsiTheme="minorHAnsi" w:cstheme="minorHAnsi"/>
          <w:sz w:val="26"/>
          <w:szCs w:val="26"/>
        </w:rPr>
        <w:t>24</w:t>
      </w:r>
      <w:r w:rsidR="001612DC">
        <w:rPr>
          <w:rFonts w:asciiTheme="minorHAnsi" w:hAnsiTheme="minorHAnsi" w:cstheme="minorHAnsi"/>
          <w:sz w:val="26"/>
          <w:szCs w:val="26"/>
        </w:rPr>
        <w:t>%</w:t>
      </w:r>
      <w:r w:rsidR="001612DC" w:rsidRPr="001612DC">
        <w:rPr>
          <w:rFonts w:asciiTheme="minorHAnsi" w:hAnsiTheme="minorHAnsi" w:cstheme="minorHAnsi"/>
          <w:sz w:val="26"/>
          <w:szCs w:val="26"/>
        </w:rPr>
        <w:t xml:space="preserve"> </w:t>
      </w:r>
      <w:r w:rsidR="001612DC">
        <w:rPr>
          <w:rFonts w:asciiTheme="minorHAnsi" w:hAnsiTheme="minorHAnsi" w:cstheme="minorHAnsi"/>
          <w:sz w:val="26"/>
          <w:szCs w:val="26"/>
        </w:rPr>
        <w:t>pour les frais d’inscription.</w:t>
      </w:r>
    </w:p>
    <w:p w:rsidR="001612DC" w:rsidRDefault="001612DC" w:rsidP="001612DC">
      <w:pPr>
        <w:spacing w:after="0"/>
        <w:ind w:left="1070"/>
        <w:jc w:val="both"/>
        <w:rPr>
          <w:rFonts w:asciiTheme="minorHAnsi" w:hAnsiTheme="minorHAnsi" w:cstheme="minorHAnsi"/>
          <w:sz w:val="26"/>
          <w:szCs w:val="26"/>
        </w:rPr>
      </w:pPr>
    </w:p>
    <w:p w:rsidR="00A65718" w:rsidRDefault="00A65718" w:rsidP="00A65718">
      <w:pPr>
        <w:numPr>
          <w:ilvl w:val="0"/>
          <w:numId w:val="8"/>
        </w:numPr>
        <w:spacing w:after="0"/>
        <w:jc w:val="both"/>
        <w:rPr>
          <w:rFonts w:asciiTheme="minorHAnsi" w:hAnsiTheme="minorHAnsi" w:cstheme="minorHAnsi"/>
          <w:sz w:val="26"/>
          <w:szCs w:val="26"/>
        </w:rPr>
      </w:pPr>
      <w:r w:rsidRPr="00A65718">
        <w:rPr>
          <w:rFonts w:asciiTheme="minorHAnsi" w:hAnsiTheme="minorHAnsi" w:cstheme="minorHAnsi"/>
          <w:sz w:val="26"/>
          <w:szCs w:val="26"/>
        </w:rPr>
        <w:t xml:space="preserve"> </w:t>
      </w:r>
      <w:r>
        <w:rPr>
          <w:rFonts w:asciiTheme="minorHAnsi" w:hAnsiTheme="minorHAnsi" w:cstheme="minorHAnsi"/>
          <w:sz w:val="26"/>
          <w:szCs w:val="26"/>
        </w:rPr>
        <w:t xml:space="preserve">En excluant les dépenses relatives au logement et l’alimentaire, la consommation arbitrale de la catégorie des ménages les plus pauvres serait de 10% du montant global de leur consommation, celle des catégories intermédiaires de 27% et celle des catégories supérieures de 56%. </w:t>
      </w:r>
    </w:p>
    <w:p w:rsidR="008460E8" w:rsidRPr="008460E8" w:rsidRDefault="008460E8" w:rsidP="008460E8">
      <w:pPr>
        <w:spacing w:after="0"/>
        <w:ind w:left="1068"/>
        <w:jc w:val="both"/>
        <w:rPr>
          <w:rFonts w:asciiTheme="minorHAnsi" w:hAnsiTheme="minorHAnsi" w:cstheme="minorHAnsi"/>
          <w:sz w:val="26"/>
          <w:szCs w:val="26"/>
        </w:rPr>
      </w:pPr>
    </w:p>
    <w:p w:rsidR="00144507" w:rsidRDefault="00144507" w:rsidP="00233F93">
      <w:pPr>
        <w:spacing w:after="0"/>
        <w:jc w:val="both"/>
        <w:rPr>
          <w:rFonts w:asciiTheme="minorHAnsi" w:eastAsia="Times New Roman" w:hAnsiTheme="minorHAnsi" w:cstheme="minorHAnsi"/>
          <w:b/>
          <w:bCs/>
          <w:sz w:val="28"/>
          <w:szCs w:val="28"/>
          <w:lang w:bidi="en-US"/>
        </w:rPr>
      </w:pPr>
    </w:p>
    <w:p w:rsidR="00233F93" w:rsidRPr="00121A6A" w:rsidRDefault="00F963A9" w:rsidP="00B57A71">
      <w:pPr>
        <w:spacing w:after="0"/>
        <w:jc w:val="both"/>
        <w:rPr>
          <w:rFonts w:asciiTheme="minorHAnsi" w:hAnsiTheme="minorHAnsi" w:cstheme="minorHAnsi"/>
          <w:b/>
          <w:bCs/>
          <w:sz w:val="26"/>
          <w:szCs w:val="26"/>
        </w:rPr>
      </w:pPr>
      <w:r w:rsidRPr="00121A6A">
        <w:rPr>
          <w:rFonts w:asciiTheme="minorHAnsi" w:eastAsia="Times New Roman" w:hAnsiTheme="minorHAnsi" w:cstheme="minorHAnsi"/>
          <w:b/>
          <w:bCs/>
          <w:sz w:val="28"/>
          <w:szCs w:val="28"/>
          <w:lang w:bidi="en-US"/>
        </w:rPr>
        <w:t xml:space="preserve">En </w:t>
      </w:r>
      <w:r w:rsidRPr="00121A6A">
        <w:rPr>
          <w:rFonts w:asciiTheme="minorHAnsi" w:hAnsiTheme="minorHAnsi" w:cstheme="minorHAnsi"/>
          <w:b/>
          <w:bCs/>
          <w:sz w:val="28"/>
          <w:szCs w:val="28"/>
        </w:rPr>
        <w:t>conclusion : l’urgence de l’</w:t>
      </w:r>
      <w:r w:rsidR="00233F93" w:rsidRPr="00121A6A">
        <w:rPr>
          <w:rFonts w:asciiTheme="minorHAnsi" w:hAnsiTheme="minorHAnsi" w:cstheme="minorHAnsi"/>
          <w:b/>
          <w:bCs/>
          <w:sz w:val="28"/>
          <w:szCs w:val="28"/>
        </w:rPr>
        <w:t>augmentation</w:t>
      </w:r>
      <w:r w:rsidRPr="00121A6A">
        <w:rPr>
          <w:rFonts w:asciiTheme="minorHAnsi" w:hAnsiTheme="minorHAnsi" w:cstheme="minorHAnsi"/>
          <w:b/>
          <w:bCs/>
          <w:sz w:val="28"/>
          <w:szCs w:val="28"/>
        </w:rPr>
        <w:t xml:space="preserve"> de </w:t>
      </w:r>
      <w:r w:rsidR="00A333D4" w:rsidRPr="00121A6A">
        <w:rPr>
          <w:rFonts w:asciiTheme="minorHAnsi" w:hAnsiTheme="minorHAnsi" w:cstheme="minorHAnsi"/>
          <w:b/>
          <w:bCs/>
          <w:sz w:val="28"/>
          <w:szCs w:val="28"/>
        </w:rPr>
        <w:t>l’épargne</w:t>
      </w:r>
      <w:r w:rsidRPr="00121A6A">
        <w:rPr>
          <w:rFonts w:asciiTheme="minorHAnsi" w:hAnsiTheme="minorHAnsi" w:cstheme="minorHAnsi"/>
          <w:b/>
          <w:bCs/>
          <w:sz w:val="28"/>
          <w:szCs w:val="28"/>
        </w:rPr>
        <w:t xml:space="preserve"> qui doit êtr</w:t>
      </w:r>
      <w:r w:rsidR="00233F93" w:rsidRPr="00121A6A">
        <w:rPr>
          <w:rFonts w:asciiTheme="minorHAnsi" w:hAnsiTheme="minorHAnsi" w:cstheme="minorHAnsi"/>
          <w:b/>
          <w:bCs/>
          <w:sz w:val="28"/>
          <w:szCs w:val="28"/>
        </w:rPr>
        <w:t>e</w:t>
      </w:r>
      <w:r w:rsidRPr="00121A6A">
        <w:rPr>
          <w:rFonts w:asciiTheme="minorHAnsi" w:hAnsiTheme="minorHAnsi" w:cstheme="minorHAnsi"/>
          <w:b/>
          <w:bCs/>
          <w:sz w:val="28"/>
          <w:szCs w:val="28"/>
        </w:rPr>
        <w:t xml:space="preserve"> recherchée partout</w:t>
      </w:r>
      <w:r w:rsidR="00233F93" w:rsidRPr="00121A6A">
        <w:rPr>
          <w:rFonts w:asciiTheme="minorHAnsi" w:hAnsiTheme="minorHAnsi" w:cstheme="minorHAnsi"/>
          <w:b/>
          <w:bCs/>
          <w:sz w:val="28"/>
          <w:szCs w:val="28"/>
        </w:rPr>
        <w:t>. C’est une question économique, sociale et institutionnelle</w:t>
      </w:r>
      <w:r w:rsidR="005527EC" w:rsidRPr="00121A6A">
        <w:rPr>
          <w:rFonts w:asciiTheme="minorHAnsi" w:hAnsiTheme="minorHAnsi" w:cstheme="minorHAnsi"/>
          <w:b/>
          <w:bCs/>
          <w:sz w:val="28"/>
          <w:szCs w:val="28"/>
        </w:rPr>
        <w:t xml:space="preserve"> autour de laquelle je voudrais ouvrir avec vous, après cet exposé, le débat</w:t>
      </w:r>
      <w:r w:rsidR="00144507" w:rsidRPr="00121A6A">
        <w:rPr>
          <w:rFonts w:asciiTheme="minorHAnsi" w:hAnsiTheme="minorHAnsi" w:cstheme="minorHAnsi"/>
          <w:b/>
          <w:bCs/>
          <w:sz w:val="28"/>
          <w:szCs w:val="28"/>
        </w:rPr>
        <w:t>,</w:t>
      </w:r>
      <w:r w:rsidR="005527EC" w:rsidRPr="00121A6A">
        <w:rPr>
          <w:rFonts w:asciiTheme="minorHAnsi" w:hAnsiTheme="minorHAnsi" w:cstheme="minorHAnsi"/>
          <w:b/>
          <w:bCs/>
          <w:sz w:val="28"/>
          <w:szCs w:val="28"/>
        </w:rPr>
        <w:t xml:space="preserve"> étant entendu </w:t>
      </w:r>
      <w:r w:rsidR="003F4A0D" w:rsidRPr="00121A6A">
        <w:rPr>
          <w:rFonts w:asciiTheme="minorHAnsi" w:hAnsiTheme="minorHAnsi" w:cstheme="minorHAnsi"/>
          <w:b/>
          <w:bCs/>
          <w:sz w:val="28"/>
          <w:szCs w:val="28"/>
        </w:rPr>
        <w:t xml:space="preserve">qu’au cœur de cette question se trouve celle de la croissance. </w:t>
      </w:r>
      <w:r w:rsidR="003F4A0D" w:rsidRPr="00121A6A">
        <w:rPr>
          <w:rFonts w:asciiTheme="minorHAnsi" w:hAnsiTheme="minorHAnsi" w:cstheme="minorHAnsi"/>
          <w:b/>
          <w:bCs/>
          <w:sz w:val="26"/>
          <w:szCs w:val="26"/>
        </w:rPr>
        <w:t xml:space="preserve">En d’autres termes, </w:t>
      </w:r>
      <w:r w:rsidR="00121A6A" w:rsidRPr="00121A6A">
        <w:rPr>
          <w:rFonts w:asciiTheme="minorHAnsi" w:hAnsiTheme="minorHAnsi" w:cstheme="minorHAnsi"/>
          <w:b/>
          <w:bCs/>
          <w:sz w:val="26"/>
          <w:szCs w:val="26"/>
        </w:rPr>
        <w:t xml:space="preserve">comment </w:t>
      </w:r>
      <w:r w:rsidR="00121A6A" w:rsidRPr="00121A6A">
        <w:rPr>
          <w:rFonts w:asciiTheme="minorHAnsi" w:hAnsiTheme="minorHAnsi" w:cstheme="minorHAnsi"/>
          <w:b/>
          <w:bCs/>
          <w:sz w:val="28"/>
          <w:szCs w:val="28"/>
        </w:rPr>
        <w:t>sortir d’un modèle de croissance que nous avions qualifié « d’un modèle d’équilibre bas » où cette dernière avoisine les 4% avec une bonne année agricole et baisse en dessous de 3% dans le cas contraire. C</w:t>
      </w:r>
      <w:r w:rsidR="003F4A0D" w:rsidRPr="00121A6A">
        <w:rPr>
          <w:rFonts w:asciiTheme="minorHAnsi" w:hAnsiTheme="minorHAnsi" w:cstheme="minorHAnsi"/>
          <w:b/>
          <w:bCs/>
          <w:sz w:val="26"/>
          <w:szCs w:val="26"/>
        </w:rPr>
        <w:t xml:space="preserve">omment </w:t>
      </w:r>
      <w:r w:rsidR="00121A6A" w:rsidRPr="00121A6A">
        <w:rPr>
          <w:rFonts w:asciiTheme="minorHAnsi" w:hAnsiTheme="minorHAnsi" w:cstheme="minorHAnsi"/>
          <w:b/>
          <w:bCs/>
          <w:sz w:val="26"/>
          <w:szCs w:val="26"/>
        </w:rPr>
        <w:t>pourrait-</w:t>
      </w:r>
      <w:r w:rsidR="003F4A0D" w:rsidRPr="00121A6A">
        <w:rPr>
          <w:rFonts w:asciiTheme="minorHAnsi" w:hAnsiTheme="minorHAnsi" w:cstheme="minorHAnsi"/>
          <w:b/>
          <w:bCs/>
          <w:sz w:val="26"/>
          <w:szCs w:val="26"/>
        </w:rPr>
        <w:t xml:space="preserve">elle </w:t>
      </w:r>
      <w:r w:rsidR="00121A6A" w:rsidRPr="00121A6A">
        <w:rPr>
          <w:rFonts w:asciiTheme="minorHAnsi" w:hAnsiTheme="minorHAnsi" w:cstheme="minorHAnsi"/>
          <w:b/>
          <w:bCs/>
          <w:sz w:val="26"/>
          <w:szCs w:val="26"/>
        </w:rPr>
        <w:t xml:space="preserve">en même temps </w:t>
      </w:r>
      <w:r w:rsidR="003F4A0D" w:rsidRPr="00121A6A">
        <w:rPr>
          <w:rFonts w:asciiTheme="minorHAnsi" w:hAnsiTheme="minorHAnsi" w:cstheme="minorHAnsi"/>
          <w:b/>
          <w:bCs/>
          <w:sz w:val="26"/>
          <w:szCs w:val="26"/>
        </w:rPr>
        <w:t>être assortie d’une baisse des inégalités</w:t>
      </w:r>
      <w:r w:rsidR="00121A6A" w:rsidRPr="00121A6A">
        <w:rPr>
          <w:rFonts w:asciiTheme="minorHAnsi" w:hAnsiTheme="minorHAnsi" w:cstheme="minorHAnsi"/>
          <w:b/>
          <w:bCs/>
          <w:sz w:val="26"/>
          <w:szCs w:val="26"/>
        </w:rPr>
        <w:t xml:space="preserve">, </w:t>
      </w:r>
      <w:r w:rsidR="003F4A0D" w:rsidRPr="00121A6A">
        <w:rPr>
          <w:rFonts w:asciiTheme="minorHAnsi" w:hAnsiTheme="minorHAnsi" w:cstheme="minorHAnsi"/>
          <w:b/>
          <w:bCs/>
          <w:sz w:val="28"/>
          <w:szCs w:val="28"/>
        </w:rPr>
        <w:t xml:space="preserve">sachant que selon nos études,  </w:t>
      </w:r>
      <w:r w:rsidR="003F4A0D" w:rsidRPr="00121A6A">
        <w:rPr>
          <w:rFonts w:asciiTheme="minorHAnsi" w:hAnsiTheme="minorHAnsi" w:cstheme="minorHAnsi"/>
          <w:b/>
          <w:bCs/>
          <w:sz w:val="26"/>
          <w:szCs w:val="26"/>
        </w:rPr>
        <w:t>une croissance de 1% donnerait lieu à une diminution de la pauvreté de 3,6% et qu’une augmentation de l’inégalité se traduirait par une augmentation de la pauvreté de 8,4</w:t>
      </w:r>
      <w:r w:rsidR="003F4A0D" w:rsidRPr="00F62C01">
        <w:rPr>
          <w:rFonts w:asciiTheme="minorHAnsi" w:hAnsiTheme="minorHAnsi" w:cstheme="minorHAnsi"/>
          <w:sz w:val="26"/>
          <w:szCs w:val="26"/>
        </w:rPr>
        <w:t>%</w:t>
      </w:r>
      <w:r w:rsidR="003F4A0D" w:rsidRPr="00121A6A">
        <w:rPr>
          <w:rFonts w:asciiTheme="minorHAnsi" w:hAnsiTheme="minorHAnsi" w:cstheme="minorHAnsi"/>
          <w:b/>
          <w:bCs/>
          <w:sz w:val="26"/>
          <w:szCs w:val="26"/>
        </w:rPr>
        <w:t xml:space="preserve">. </w:t>
      </w:r>
    </w:p>
    <w:p w:rsidR="00FB35A4" w:rsidRDefault="00FB35A4" w:rsidP="00FB35A4">
      <w:pPr>
        <w:pStyle w:val="Paragraphedeliste"/>
        <w:rPr>
          <w:rFonts w:asciiTheme="minorHAnsi" w:hAnsiTheme="minorHAnsi" w:cstheme="minorHAnsi"/>
          <w:sz w:val="26"/>
          <w:szCs w:val="26"/>
        </w:rPr>
      </w:pPr>
    </w:p>
    <w:p w:rsidR="00104E84" w:rsidRDefault="00104E84" w:rsidP="00104E84">
      <w:pPr>
        <w:spacing w:after="0"/>
        <w:jc w:val="both"/>
        <w:rPr>
          <w:rFonts w:asciiTheme="minorHAnsi" w:hAnsiTheme="minorHAnsi" w:cstheme="minorHAnsi"/>
          <w:sz w:val="26"/>
          <w:szCs w:val="26"/>
        </w:rPr>
      </w:pPr>
    </w:p>
    <w:p w:rsidR="00A333D4" w:rsidRDefault="00A333D4" w:rsidP="00A333D4">
      <w:pPr>
        <w:spacing w:after="0"/>
        <w:jc w:val="both"/>
        <w:rPr>
          <w:rFonts w:asciiTheme="minorHAnsi" w:hAnsiTheme="minorHAnsi" w:cstheme="minorHAnsi"/>
          <w:b/>
          <w:bCs/>
          <w:sz w:val="26"/>
          <w:szCs w:val="26"/>
        </w:rPr>
      </w:pPr>
    </w:p>
    <w:p w:rsidR="00B31BA3" w:rsidRDefault="00B31BA3" w:rsidP="00A333D4">
      <w:pPr>
        <w:spacing w:after="0"/>
        <w:jc w:val="both"/>
        <w:rPr>
          <w:rFonts w:asciiTheme="minorHAnsi" w:hAnsiTheme="minorHAnsi" w:cstheme="minorHAnsi"/>
          <w:b/>
          <w:bCs/>
          <w:sz w:val="26"/>
          <w:szCs w:val="26"/>
        </w:rPr>
      </w:pPr>
    </w:p>
    <w:p w:rsidR="00E16A4C" w:rsidRPr="00474575" w:rsidRDefault="00E16A4C" w:rsidP="00BD0D27">
      <w:pPr>
        <w:spacing w:after="0"/>
        <w:ind w:firstLine="708"/>
        <w:jc w:val="center"/>
        <w:rPr>
          <w:rFonts w:asciiTheme="minorHAnsi" w:hAnsiTheme="minorHAnsi" w:cstheme="minorHAnsi"/>
          <w:b/>
          <w:bCs/>
          <w:sz w:val="28"/>
          <w:szCs w:val="28"/>
        </w:rPr>
      </w:pPr>
      <w:r w:rsidRPr="00474575">
        <w:rPr>
          <w:rFonts w:asciiTheme="minorHAnsi" w:hAnsiTheme="minorHAnsi" w:cstheme="minorHAnsi"/>
          <w:b/>
          <w:bCs/>
          <w:sz w:val="32"/>
          <w:szCs w:val="32"/>
        </w:rPr>
        <w:lastRenderedPageBreak/>
        <w:t>Notes sur le modèle de croissance tiré par la demande intérieure</w:t>
      </w:r>
    </w:p>
    <w:p w:rsidR="00E16A4C" w:rsidRDefault="00E16A4C" w:rsidP="0099029E">
      <w:pPr>
        <w:spacing w:after="0"/>
        <w:ind w:firstLine="708"/>
        <w:jc w:val="both"/>
        <w:rPr>
          <w:rFonts w:asciiTheme="minorHAnsi" w:hAnsiTheme="minorHAnsi" w:cstheme="minorHAnsi"/>
          <w:b/>
          <w:bCs/>
          <w:sz w:val="26"/>
          <w:szCs w:val="26"/>
        </w:rPr>
      </w:pPr>
    </w:p>
    <w:p w:rsidR="00474575" w:rsidRPr="00474575" w:rsidRDefault="00E16A4C" w:rsidP="00474575">
      <w:pPr>
        <w:spacing w:after="0" w:line="360" w:lineRule="auto"/>
        <w:jc w:val="center"/>
        <w:rPr>
          <w:b/>
          <w:color w:val="000000"/>
          <w:sz w:val="28"/>
          <w:szCs w:val="28"/>
        </w:rPr>
      </w:pPr>
      <w:r w:rsidRPr="00474575">
        <w:rPr>
          <w:rFonts w:asciiTheme="minorHAnsi" w:hAnsiTheme="minorHAnsi" w:cstheme="minorHAnsi"/>
          <w:b/>
          <w:bCs/>
          <w:sz w:val="28"/>
          <w:szCs w:val="28"/>
        </w:rPr>
        <w:t>Annexe à l’intervention de</w:t>
      </w:r>
      <w:r w:rsidR="00474575" w:rsidRPr="00474575">
        <w:rPr>
          <w:b/>
          <w:color w:val="000000"/>
          <w:sz w:val="28"/>
          <w:szCs w:val="28"/>
        </w:rPr>
        <w:t xml:space="preserve"> Monsieur Ahmed Lahlimi Alami,</w:t>
      </w:r>
    </w:p>
    <w:p w:rsidR="00474575" w:rsidRPr="00474575" w:rsidRDefault="00474575" w:rsidP="00474575">
      <w:pPr>
        <w:spacing w:after="0" w:line="360" w:lineRule="auto"/>
        <w:jc w:val="center"/>
        <w:rPr>
          <w:rFonts w:ascii="Arial Rounded MT Bold" w:hAnsi="Arial Rounded MT Bold"/>
          <w:bCs/>
          <w:color w:val="000000"/>
          <w:sz w:val="28"/>
          <w:szCs w:val="28"/>
        </w:rPr>
      </w:pPr>
      <w:r w:rsidRPr="00474575">
        <w:rPr>
          <w:b/>
          <w:color w:val="000000"/>
          <w:sz w:val="28"/>
          <w:szCs w:val="28"/>
        </w:rPr>
        <w:t xml:space="preserve"> Haut-Commissaire au Plan, à la présentation du Budget Economique Prévisionnel 2019</w:t>
      </w:r>
    </w:p>
    <w:p w:rsidR="00E16A4C" w:rsidRDefault="00E16A4C" w:rsidP="0099029E">
      <w:pPr>
        <w:spacing w:after="0"/>
        <w:ind w:firstLine="708"/>
        <w:jc w:val="both"/>
        <w:rPr>
          <w:rFonts w:asciiTheme="minorHAnsi" w:hAnsiTheme="minorHAnsi" w:cstheme="minorHAnsi"/>
          <w:b/>
          <w:bCs/>
          <w:sz w:val="26"/>
          <w:szCs w:val="26"/>
        </w:rPr>
      </w:pPr>
    </w:p>
    <w:p w:rsidR="00E16A4C" w:rsidRDefault="00E16A4C" w:rsidP="0099029E">
      <w:pPr>
        <w:spacing w:after="0"/>
        <w:ind w:firstLine="708"/>
        <w:jc w:val="both"/>
        <w:rPr>
          <w:rFonts w:asciiTheme="minorHAnsi" w:hAnsiTheme="minorHAnsi" w:cstheme="minorHAnsi"/>
          <w:b/>
          <w:bCs/>
          <w:sz w:val="26"/>
          <w:szCs w:val="26"/>
        </w:rPr>
      </w:pPr>
    </w:p>
    <w:p w:rsidR="00E16A4C" w:rsidRPr="0099029E" w:rsidRDefault="00E16A4C" w:rsidP="00E16A4C">
      <w:pPr>
        <w:spacing w:after="0"/>
        <w:ind w:firstLine="708"/>
        <w:jc w:val="both"/>
        <w:rPr>
          <w:rFonts w:asciiTheme="minorHAnsi" w:hAnsiTheme="minorHAnsi" w:cstheme="minorHAnsi"/>
          <w:sz w:val="26"/>
          <w:szCs w:val="26"/>
        </w:rPr>
      </w:pPr>
      <w:r>
        <w:rPr>
          <w:rFonts w:asciiTheme="minorHAnsi" w:hAnsiTheme="minorHAnsi" w:cstheme="minorHAnsi"/>
          <w:b/>
          <w:bCs/>
          <w:sz w:val="26"/>
          <w:szCs w:val="26"/>
        </w:rPr>
        <w:t>1.</w:t>
      </w:r>
      <w:r w:rsidRPr="00E16A4C">
        <w:rPr>
          <w:rFonts w:asciiTheme="minorHAnsi" w:hAnsiTheme="minorHAnsi" w:cstheme="minorHAnsi"/>
          <w:sz w:val="26"/>
          <w:szCs w:val="26"/>
        </w:rPr>
        <w:t xml:space="preserve"> </w:t>
      </w:r>
      <w:r w:rsidRPr="0099029E">
        <w:rPr>
          <w:rFonts w:asciiTheme="minorHAnsi" w:hAnsiTheme="minorHAnsi" w:cstheme="minorHAnsi"/>
          <w:sz w:val="26"/>
          <w:szCs w:val="26"/>
        </w:rPr>
        <w:t xml:space="preserve">Dans quelle mesure doit-on, dès lors, rendre le "fameux modèle de développement tiré par la demande" responsable de cette configuration macroéconomique évidemment si peu soutenable ? </w:t>
      </w:r>
    </w:p>
    <w:p w:rsidR="00E16A4C" w:rsidRPr="0099029E" w:rsidRDefault="00E16A4C" w:rsidP="00E16A4C">
      <w:pPr>
        <w:spacing w:after="0"/>
        <w:ind w:firstLine="708"/>
        <w:jc w:val="both"/>
        <w:rPr>
          <w:rFonts w:asciiTheme="minorHAnsi" w:hAnsiTheme="minorHAnsi" w:cstheme="minorHAnsi"/>
          <w:sz w:val="26"/>
          <w:szCs w:val="26"/>
        </w:rPr>
      </w:pPr>
    </w:p>
    <w:p w:rsidR="00E16A4C" w:rsidRPr="0099029E" w:rsidRDefault="00E16A4C" w:rsidP="00E16A4C">
      <w:pPr>
        <w:pStyle w:val="Paragraphedeliste"/>
        <w:numPr>
          <w:ilvl w:val="0"/>
          <w:numId w:val="4"/>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 xml:space="preserve">Tous les modèles de croissance sont tirés par la demande intérieure, les nuances n’intervenant que par la part que la demande extérieure apporte à leur financement et à la soutenabilité de leurs échanges extérieurs. </w:t>
      </w:r>
    </w:p>
    <w:p w:rsidR="00E16A4C" w:rsidRPr="0099029E" w:rsidRDefault="00E16A4C" w:rsidP="00E16A4C">
      <w:pPr>
        <w:spacing w:after="0"/>
        <w:ind w:left="708"/>
        <w:jc w:val="both"/>
        <w:rPr>
          <w:rFonts w:asciiTheme="minorHAnsi" w:hAnsiTheme="minorHAnsi" w:cstheme="minorHAnsi"/>
          <w:sz w:val="26"/>
          <w:szCs w:val="26"/>
        </w:rPr>
      </w:pPr>
    </w:p>
    <w:p w:rsidR="00E16A4C" w:rsidRPr="0099029E" w:rsidRDefault="00E16A4C" w:rsidP="00E16A4C">
      <w:pPr>
        <w:pStyle w:val="Paragraphedeliste"/>
        <w:numPr>
          <w:ilvl w:val="0"/>
          <w:numId w:val="4"/>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Aborder la complexité de définition du modèle de développement "avec des idées simples".</w:t>
      </w:r>
    </w:p>
    <w:p w:rsidR="00E16A4C" w:rsidRPr="0099029E" w:rsidRDefault="00E16A4C" w:rsidP="00E16A4C">
      <w:pPr>
        <w:spacing w:after="0"/>
        <w:jc w:val="both"/>
        <w:rPr>
          <w:rFonts w:asciiTheme="minorHAnsi" w:hAnsiTheme="minorHAnsi" w:cstheme="minorHAnsi"/>
          <w:sz w:val="26"/>
          <w:szCs w:val="26"/>
        </w:rPr>
      </w:pPr>
    </w:p>
    <w:p w:rsidR="00E16A4C" w:rsidRPr="0099029E" w:rsidRDefault="00E16A4C" w:rsidP="00E16A4C">
      <w:pPr>
        <w:pStyle w:val="Paragraphedeliste"/>
        <w:numPr>
          <w:ilvl w:val="0"/>
          <w:numId w:val="4"/>
        </w:numPr>
        <w:spacing w:line="276" w:lineRule="auto"/>
        <w:jc w:val="both"/>
        <w:rPr>
          <w:rFonts w:asciiTheme="minorHAnsi" w:hAnsiTheme="minorHAnsi" w:cstheme="minorHAnsi"/>
          <w:sz w:val="26"/>
          <w:szCs w:val="26"/>
        </w:rPr>
      </w:pPr>
      <w:r w:rsidRPr="0099029E">
        <w:rPr>
          <w:rFonts w:asciiTheme="minorHAnsi" w:hAnsiTheme="minorHAnsi" w:cstheme="minorHAnsi"/>
          <w:sz w:val="26"/>
          <w:szCs w:val="26"/>
        </w:rPr>
        <w:t>Un modèle de développement est un héritage historique et sa construction est toujours en devenir avec l’impulsion déterminante des politiques publiques dont l’efficience dépend du niveau d’adhésion des citoyens à leurs dimensions économique, sociétale et institutionnelle.</w:t>
      </w:r>
    </w:p>
    <w:p w:rsidR="00E16A4C" w:rsidRPr="0099029E" w:rsidRDefault="00E16A4C" w:rsidP="00E16A4C">
      <w:pPr>
        <w:spacing w:after="0"/>
        <w:ind w:firstLine="708"/>
        <w:jc w:val="both"/>
        <w:rPr>
          <w:rFonts w:asciiTheme="minorHAnsi" w:hAnsiTheme="minorHAnsi" w:cstheme="minorHAnsi"/>
          <w:sz w:val="26"/>
          <w:szCs w:val="26"/>
        </w:rPr>
      </w:pPr>
    </w:p>
    <w:p w:rsidR="00E16A4C" w:rsidRDefault="00E16A4C" w:rsidP="00E16A4C">
      <w:pPr>
        <w:spacing w:after="0"/>
        <w:ind w:firstLine="708"/>
        <w:jc w:val="both"/>
        <w:rPr>
          <w:rFonts w:asciiTheme="minorHAnsi" w:hAnsiTheme="minorHAnsi" w:cstheme="minorHAnsi"/>
          <w:sz w:val="26"/>
          <w:szCs w:val="26"/>
        </w:rPr>
      </w:pPr>
      <w:r w:rsidRPr="0099029E">
        <w:rPr>
          <w:rFonts w:asciiTheme="minorHAnsi" w:hAnsiTheme="minorHAnsi" w:cstheme="minorHAnsi"/>
          <w:sz w:val="26"/>
          <w:szCs w:val="26"/>
        </w:rPr>
        <w:t>L’évolution du modèle de développement du Maroc, depuis l’Indépendance à nos jours, aurait été, sous cet angle, particulièrement intéressante à analyser pour son exemplarité illustrative. Mais cela nous aurait éloignés des années 2018-2019. Nous espérons</w:t>
      </w:r>
      <w:r>
        <w:rPr>
          <w:rFonts w:asciiTheme="minorHAnsi" w:hAnsiTheme="minorHAnsi" w:cstheme="minorHAnsi"/>
          <w:sz w:val="26"/>
          <w:szCs w:val="26"/>
        </w:rPr>
        <w:t xml:space="preserve"> </w:t>
      </w:r>
      <w:r w:rsidRPr="0099029E">
        <w:rPr>
          <w:rFonts w:asciiTheme="minorHAnsi" w:hAnsiTheme="minorHAnsi" w:cstheme="minorHAnsi"/>
          <w:sz w:val="26"/>
          <w:szCs w:val="26"/>
        </w:rPr>
        <w:t xml:space="preserve">y revenir à une prochaine occasion. </w:t>
      </w:r>
    </w:p>
    <w:p w:rsidR="00F62C01" w:rsidRDefault="00F62C01" w:rsidP="00E16A4C">
      <w:pPr>
        <w:spacing w:after="0"/>
        <w:ind w:firstLine="708"/>
        <w:jc w:val="both"/>
        <w:rPr>
          <w:rFonts w:asciiTheme="minorHAnsi" w:hAnsiTheme="minorHAnsi" w:cstheme="minorHAnsi"/>
          <w:sz w:val="26"/>
          <w:szCs w:val="26"/>
        </w:rPr>
      </w:pPr>
    </w:p>
    <w:p w:rsidR="00F62C01" w:rsidRPr="00F62C01" w:rsidRDefault="00F62C01" w:rsidP="00F62C01">
      <w:pPr>
        <w:numPr>
          <w:ilvl w:val="0"/>
          <w:numId w:val="12"/>
        </w:numPr>
        <w:spacing w:after="0"/>
        <w:jc w:val="both"/>
        <w:rPr>
          <w:rFonts w:asciiTheme="minorHAnsi" w:hAnsiTheme="minorHAnsi" w:cstheme="minorHAnsi"/>
          <w:sz w:val="26"/>
          <w:szCs w:val="26"/>
        </w:rPr>
      </w:pPr>
      <w:r w:rsidRPr="00F62C01">
        <w:rPr>
          <w:rFonts w:asciiTheme="minorHAnsi" w:hAnsiTheme="minorHAnsi" w:cstheme="minorHAnsi"/>
          <w:sz w:val="26"/>
          <w:szCs w:val="26"/>
        </w:rPr>
        <w:t xml:space="preserve">Dans ce cadre, les études menées par le HCP montrent que le Maroc dispose d’un grand nombre d’opportunités de diversification dans des produits proches de la structure actuelle de production nationale et qui sont dotés d’un potentiel de compétitivité et notamment dans les filières à base de céréales, de fruits et légumes et de textile industriel, de chimie, de fabrication de machines et d’équipement, et dans une première estimation </w:t>
      </w:r>
      <w:r w:rsidRPr="00F62C01">
        <w:rPr>
          <w:rFonts w:asciiTheme="minorHAnsi" w:hAnsiTheme="minorHAnsi" w:cstheme="minorHAnsi"/>
          <w:sz w:val="26"/>
          <w:szCs w:val="26"/>
        </w:rPr>
        <w:lastRenderedPageBreak/>
        <w:t>porterait sur 3500 nouveaux produits. Il s’agit-là d’un champ ouvert pour les petites entreprises qui pourraient, ainsi, si elles étaient appuyées par l’encadrement, le financement et l’encouragement nécessaire, contribueraient à améliorer la complexité et la croissance de l’économie marocaine et réduirait par là le niveau des inégalités socio-économiques actuelles.</w:t>
      </w:r>
    </w:p>
    <w:p w:rsidR="00F62C01" w:rsidRPr="00F62C01" w:rsidRDefault="00F62C01" w:rsidP="00E16A4C">
      <w:pPr>
        <w:spacing w:after="0"/>
        <w:ind w:firstLine="708"/>
        <w:jc w:val="both"/>
        <w:rPr>
          <w:rFonts w:asciiTheme="minorHAnsi" w:hAnsiTheme="minorHAnsi" w:cstheme="minorHAnsi"/>
          <w:sz w:val="26"/>
          <w:szCs w:val="26"/>
        </w:rPr>
      </w:pPr>
    </w:p>
    <w:p w:rsidR="00E16A4C" w:rsidRPr="00E16A4C" w:rsidRDefault="00E16A4C" w:rsidP="00D744CD">
      <w:pPr>
        <w:spacing w:after="0"/>
        <w:ind w:left="1068"/>
        <w:jc w:val="both"/>
        <w:rPr>
          <w:rFonts w:asciiTheme="minorHAnsi" w:hAnsiTheme="minorHAnsi" w:cstheme="minorHAnsi"/>
          <w:b/>
          <w:bCs/>
          <w:sz w:val="26"/>
          <w:szCs w:val="26"/>
        </w:rPr>
      </w:pPr>
    </w:p>
    <w:p w:rsidR="00E87DB7" w:rsidRPr="0099029E" w:rsidRDefault="00E87DB7" w:rsidP="0099029E">
      <w:pPr>
        <w:spacing w:after="0"/>
        <w:jc w:val="both"/>
        <w:rPr>
          <w:rFonts w:asciiTheme="minorHAnsi" w:hAnsiTheme="minorHAnsi" w:cstheme="minorHAnsi"/>
          <w:sz w:val="26"/>
          <w:szCs w:val="26"/>
        </w:rPr>
      </w:pPr>
    </w:p>
    <w:sectPr w:rsidR="00E87DB7" w:rsidRPr="0099029E" w:rsidSect="00BE39C8">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074" w:rsidRDefault="00EA5074" w:rsidP="00300F80">
      <w:pPr>
        <w:spacing w:after="0" w:line="240" w:lineRule="auto"/>
      </w:pPr>
      <w:r>
        <w:separator/>
      </w:r>
    </w:p>
  </w:endnote>
  <w:endnote w:type="continuationSeparator" w:id="1">
    <w:p w:rsidR="00EA5074" w:rsidRDefault="00EA5074" w:rsidP="00300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0D" w:rsidRDefault="00173ADC">
    <w:pPr>
      <w:pStyle w:val="Pieddepage"/>
      <w:jc w:val="right"/>
    </w:pPr>
    <w:fldSimple w:instr=" PAGE   \* MERGEFORMAT ">
      <w:r w:rsidR="00100BE5">
        <w:rPr>
          <w:noProof/>
        </w:rPr>
        <w:t>2</w:t>
      </w:r>
    </w:fldSimple>
  </w:p>
  <w:p w:rsidR="003F4A0D" w:rsidRDefault="003F4A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074" w:rsidRDefault="00EA5074" w:rsidP="00300F80">
      <w:pPr>
        <w:spacing w:after="0" w:line="240" w:lineRule="auto"/>
      </w:pPr>
      <w:r>
        <w:separator/>
      </w:r>
    </w:p>
  </w:footnote>
  <w:footnote w:type="continuationSeparator" w:id="1">
    <w:p w:rsidR="00EA5074" w:rsidRDefault="00EA5074" w:rsidP="00300F80">
      <w:pPr>
        <w:spacing w:after="0" w:line="240" w:lineRule="auto"/>
      </w:pPr>
      <w:r>
        <w:continuationSeparator/>
      </w:r>
    </w:p>
  </w:footnote>
  <w:footnote w:id="2">
    <w:p w:rsidR="003F4A0D" w:rsidRPr="000B7CC2" w:rsidRDefault="003F4A0D" w:rsidP="008460E8">
      <w:pPr>
        <w:spacing w:after="0"/>
        <w:jc w:val="both"/>
        <w:rPr>
          <w:rFonts w:asciiTheme="minorHAnsi" w:hAnsiTheme="minorHAnsi" w:cstheme="minorHAnsi"/>
          <w:sz w:val="24"/>
          <w:szCs w:val="24"/>
        </w:rPr>
      </w:pPr>
      <w:r w:rsidRPr="000B7CC2">
        <w:rPr>
          <w:rStyle w:val="Appelnotedebasdep"/>
          <w:b/>
          <w:bCs/>
          <w:sz w:val="20"/>
          <w:szCs w:val="20"/>
        </w:rPr>
        <w:footnoteRef/>
      </w:r>
      <w:r w:rsidRPr="000B7CC2">
        <w:rPr>
          <w:b/>
          <w:bCs/>
          <w:sz w:val="20"/>
          <w:szCs w:val="20"/>
        </w:rPr>
        <w:t xml:space="preserve"> </w:t>
      </w:r>
      <w:r w:rsidRPr="000B7CC2">
        <w:rPr>
          <w:rFonts w:asciiTheme="minorHAnsi" w:hAnsiTheme="minorHAnsi" w:cstheme="minorHAnsi"/>
          <w:sz w:val="24"/>
          <w:szCs w:val="24"/>
        </w:rPr>
        <w:t xml:space="preserve">Après avoir baissé de 41,4 en 2000 à 25,1 en 2012, il est passé </w:t>
      </w:r>
      <w:r>
        <w:rPr>
          <w:rFonts w:asciiTheme="minorHAnsi" w:hAnsiTheme="minorHAnsi" w:cstheme="minorHAnsi"/>
          <w:sz w:val="24"/>
          <w:szCs w:val="24"/>
        </w:rPr>
        <w:t>de</w:t>
      </w:r>
      <w:r w:rsidRPr="000B7CC2">
        <w:rPr>
          <w:rFonts w:asciiTheme="minorHAnsi" w:hAnsiTheme="minorHAnsi" w:cstheme="minorHAnsi"/>
          <w:sz w:val="24"/>
          <w:szCs w:val="24"/>
        </w:rPr>
        <w:t xml:space="preserve"> 26,1 en 2013 à 31,3 en 2017.</w:t>
      </w:r>
    </w:p>
    <w:p w:rsidR="003F4A0D" w:rsidRDefault="003F4A0D">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0D" w:rsidRDefault="00B22AA4">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FCF"/>
    <w:multiLevelType w:val="hybridMultilevel"/>
    <w:tmpl w:val="B1C0B6D0"/>
    <w:lvl w:ilvl="0" w:tplc="16B69E06">
      <w:numFmt w:val="bullet"/>
      <w:lvlText w:val="-"/>
      <w:lvlJc w:val="left"/>
      <w:pPr>
        <w:ind w:left="1068" w:hanging="360"/>
      </w:pPr>
      <w:rPr>
        <w:rFonts w:ascii="Calibri" w:eastAsia="Calibri"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6F85AFC"/>
    <w:multiLevelType w:val="hybridMultilevel"/>
    <w:tmpl w:val="30D26BDA"/>
    <w:lvl w:ilvl="0" w:tplc="1180CE66">
      <w:start w:val="1"/>
      <w:numFmt w:val="decimal"/>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32897D2A"/>
    <w:multiLevelType w:val="hybridMultilevel"/>
    <w:tmpl w:val="F9A48FA4"/>
    <w:lvl w:ilvl="0" w:tplc="54A23F18">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7F4548C"/>
    <w:multiLevelType w:val="hybridMultilevel"/>
    <w:tmpl w:val="F9BC3EC2"/>
    <w:lvl w:ilvl="0" w:tplc="10C80E8C">
      <w:start w:val="1"/>
      <w:numFmt w:val="upperLetter"/>
      <w:lvlText w:val="%1."/>
      <w:lvlJc w:val="left"/>
      <w:pPr>
        <w:ind w:left="786" w:hanging="360"/>
      </w:pPr>
      <w:rPr>
        <w:rFonts w:ascii="Book Antiqua" w:hAnsi="Book Antiqua" w:cs="Arial" w:hint="default"/>
        <w:b/>
        <w:bCs w:val="0"/>
        <w:color w:val="7030A0"/>
        <w:sz w:val="26"/>
        <w:u w:val="single"/>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nsid w:val="43054CE3"/>
    <w:multiLevelType w:val="hybridMultilevel"/>
    <w:tmpl w:val="D57A41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1745C2"/>
    <w:multiLevelType w:val="hybridMultilevel"/>
    <w:tmpl w:val="7744D7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BD4C51"/>
    <w:multiLevelType w:val="hybridMultilevel"/>
    <w:tmpl w:val="0C3489FC"/>
    <w:lvl w:ilvl="0" w:tplc="54A23F1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7A24A3"/>
    <w:multiLevelType w:val="hybridMultilevel"/>
    <w:tmpl w:val="537C4796"/>
    <w:lvl w:ilvl="0" w:tplc="37A87B44">
      <w:start w:val="1"/>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
    <w:nsid w:val="4D9460A6"/>
    <w:multiLevelType w:val="hybridMultilevel"/>
    <w:tmpl w:val="91B8B6BC"/>
    <w:lvl w:ilvl="0" w:tplc="C20E1294">
      <w:start w:val="1"/>
      <w:numFmt w:val="bullet"/>
      <w:lvlText w:val=""/>
      <w:lvlJc w:val="left"/>
      <w:pPr>
        <w:ind w:left="1070"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650D73FB"/>
    <w:multiLevelType w:val="hybridMultilevel"/>
    <w:tmpl w:val="5DDC1C8A"/>
    <w:lvl w:ilvl="0" w:tplc="9F78478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721143C9"/>
    <w:multiLevelType w:val="hybridMultilevel"/>
    <w:tmpl w:val="409E708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7B233452"/>
    <w:multiLevelType w:val="hybridMultilevel"/>
    <w:tmpl w:val="C100BCA0"/>
    <w:lvl w:ilvl="0" w:tplc="99DAA9E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3"/>
  </w:num>
  <w:num w:numId="6">
    <w:abstractNumId w:val="5"/>
  </w:num>
  <w:num w:numId="7">
    <w:abstractNumId w:val="7"/>
  </w:num>
  <w:num w:numId="8">
    <w:abstractNumId w:val="8"/>
  </w:num>
  <w:num w:numId="9">
    <w:abstractNumId w:val="4"/>
  </w:num>
  <w:num w:numId="10">
    <w:abstractNumId w:val="10"/>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D23D66"/>
    <w:rsid w:val="00006C35"/>
    <w:rsid w:val="00006F53"/>
    <w:rsid w:val="00022582"/>
    <w:rsid w:val="00022862"/>
    <w:rsid w:val="00025331"/>
    <w:rsid w:val="000268BC"/>
    <w:rsid w:val="00035E26"/>
    <w:rsid w:val="0003736B"/>
    <w:rsid w:val="00041C7D"/>
    <w:rsid w:val="00051D30"/>
    <w:rsid w:val="00052651"/>
    <w:rsid w:val="00055150"/>
    <w:rsid w:val="00056F28"/>
    <w:rsid w:val="000621F2"/>
    <w:rsid w:val="00063CA4"/>
    <w:rsid w:val="00066052"/>
    <w:rsid w:val="00074339"/>
    <w:rsid w:val="00076C12"/>
    <w:rsid w:val="00080B40"/>
    <w:rsid w:val="000909D6"/>
    <w:rsid w:val="000949EC"/>
    <w:rsid w:val="00097321"/>
    <w:rsid w:val="000A4F30"/>
    <w:rsid w:val="000B19FD"/>
    <w:rsid w:val="000B51A9"/>
    <w:rsid w:val="000B7CC2"/>
    <w:rsid w:val="000C11A0"/>
    <w:rsid w:val="000E6C53"/>
    <w:rsid w:val="000E754B"/>
    <w:rsid w:val="00100BE5"/>
    <w:rsid w:val="0010139B"/>
    <w:rsid w:val="00104E84"/>
    <w:rsid w:val="00105F67"/>
    <w:rsid w:val="00121666"/>
    <w:rsid w:val="00121A6A"/>
    <w:rsid w:val="0012530B"/>
    <w:rsid w:val="0012609B"/>
    <w:rsid w:val="001415E4"/>
    <w:rsid w:val="00141ED9"/>
    <w:rsid w:val="00144507"/>
    <w:rsid w:val="00144EEF"/>
    <w:rsid w:val="00145918"/>
    <w:rsid w:val="00146373"/>
    <w:rsid w:val="00151EE1"/>
    <w:rsid w:val="001528CD"/>
    <w:rsid w:val="00155D4C"/>
    <w:rsid w:val="001612DC"/>
    <w:rsid w:val="00166670"/>
    <w:rsid w:val="001677CB"/>
    <w:rsid w:val="00173ADC"/>
    <w:rsid w:val="00184E7E"/>
    <w:rsid w:val="00187F74"/>
    <w:rsid w:val="001932CB"/>
    <w:rsid w:val="001A15C6"/>
    <w:rsid w:val="001B4300"/>
    <w:rsid w:val="001B713E"/>
    <w:rsid w:val="001B7DA6"/>
    <w:rsid w:val="001C5709"/>
    <w:rsid w:val="001C660A"/>
    <w:rsid w:val="001D4C4C"/>
    <w:rsid w:val="001D63D1"/>
    <w:rsid w:val="001F79D3"/>
    <w:rsid w:val="00203BD4"/>
    <w:rsid w:val="00205A79"/>
    <w:rsid w:val="0020657C"/>
    <w:rsid w:val="00207126"/>
    <w:rsid w:val="00214027"/>
    <w:rsid w:val="00223C11"/>
    <w:rsid w:val="00232D02"/>
    <w:rsid w:val="00233F93"/>
    <w:rsid w:val="002342AA"/>
    <w:rsid w:val="00240F13"/>
    <w:rsid w:val="00253780"/>
    <w:rsid w:val="00262E13"/>
    <w:rsid w:val="0027414E"/>
    <w:rsid w:val="0028081C"/>
    <w:rsid w:val="00283049"/>
    <w:rsid w:val="00284B23"/>
    <w:rsid w:val="0028781F"/>
    <w:rsid w:val="00291C1D"/>
    <w:rsid w:val="002A04F2"/>
    <w:rsid w:val="002A0B4D"/>
    <w:rsid w:val="002D43B4"/>
    <w:rsid w:val="002F0DE8"/>
    <w:rsid w:val="002F7D1B"/>
    <w:rsid w:val="00300F80"/>
    <w:rsid w:val="0030329B"/>
    <w:rsid w:val="0030684C"/>
    <w:rsid w:val="00311FCD"/>
    <w:rsid w:val="00323AD1"/>
    <w:rsid w:val="00323C83"/>
    <w:rsid w:val="00323C84"/>
    <w:rsid w:val="00324C9E"/>
    <w:rsid w:val="00337A78"/>
    <w:rsid w:val="003400D3"/>
    <w:rsid w:val="00342C46"/>
    <w:rsid w:val="003477E0"/>
    <w:rsid w:val="0035194E"/>
    <w:rsid w:val="00353321"/>
    <w:rsid w:val="00355E69"/>
    <w:rsid w:val="00367F6C"/>
    <w:rsid w:val="00395180"/>
    <w:rsid w:val="00396FEE"/>
    <w:rsid w:val="003A0722"/>
    <w:rsid w:val="003A1EDC"/>
    <w:rsid w:val="003B2EAF"/>
    <w:rsid w:val="003B350D"/>
    <w:rsid w:val="003C001C"/>
    <w:rsid w:val="003C3ED7"/>
    <w:rsid w:val="003F4A0D"/>
    <w:rsid w:val="003F6E00"/>
    <w:rsid w:val="00410943"/>
    <w:rsid w:val="004125D1"/>
    <w:rsid w:val="00412F3E"/>
    <w:rsid w:val="0041477A"/>
    <w:rsid w:val="00416361"/>
    <w:rsid w:val="00420EA6"/>
    <w:rsid w:val="00424AD2"/>
    <w:rsid w:val="004323AB"/>
    <w:rsid w:val="0043623E"/>
    <w:rsid w:val="00450143"/>
    <w:rsid w:val="00455967"/>
    <w:rsid w:val="00461167"/>
    <w:rsid w:val="00463E93"/>
    <w:rsid w:val="00467592"/>
    <w:rsid w:val="00472A40"/>
    <w:rsid w:val="00474575"/>
    <w:rsid w:val="00480B28"/>
    <w:rsid w:val="00482D31"/>
    <w:rsid w:val="004A0840"/>
    <w:rsid w:val="004A6B3F"/>
    <w:rsid w:val="004C02C5"/>
    <w:rsid w:val="004C3FB7"/>
    <w:rsid w:val="004C4010"/>
    <w:rsid w:val="004C452F"/>
    <w:rsid w:val="004C6B61"/>
    <w:rsid w:val="004E0A38"/>
    <w:rsid w:val="004F2EB1"/>
    <w:rsid w:val="004F5DCC"/>
    <w:rsid w:val="004F6B0B"/>
    <w:rsid w:val="005071B6"/>
    <w:rsid w:val="00514431"/>
    <w:rsid w:val="00520A63"/>
    <w:rsid w:val="00525F71"/>
    <w:rsid w:val="005331B0"/>
    <w:rsid w:val="005369E0"/>
    <w:rsid w:val="00543F34"/>
    <w:rsid w:val="005527EC"/>
    <w:rsid w:val="00556C0B"/>
    <w:rsid w:val="005657C0"/>
    <w:rsid w:val="005718DD"/>
    <w:rsid w:val="00580A0E"/>
    <w:rsid w:val="00582E7F"/>
    <w:rsid w:val="00583AAD"/>
    <w:rsid w:val="00597AD2"/>
    <w:rsid w:val="005A26D6"/>
    <w:rsid w:val="005A347F"/>
    <w:rsid w:val="005A44FD"/>
    <w:rsid w:val="005B033F"/>
    <w:rsid w:val="005C0447"/>
    <w:rsid w:val="005D0C7A"/>
    <w:rsid w:val="005E1E46"/>
    <w:rsid w:val="005E45EA"/>
    <w:rsid w:val="005F2B6F"/>
    <w:rsid w:val="005F7B5B"/>
    <w:rsid w:val="0060162A"/>
    <w:rsid w:val="006118FB"/>
    <w:rsid w:val="00615D45"/>
    <w:rsid w:val="00621C25"/>
    <w:rsid w:val="0062499C"/>
    <w:rsid w:val="006254C5"/>
    <w:rsid w:val="00627C81"/>
    <w:rsid w:val="00641ADE"/>
    <w:rsid w:val="00643616"/>
    <w:rsid w:val="006524B5"/>
    <w:rsid w:val="00656E63"/>
    <w:rsid w:val="006631BC"/>
    <w:rsid w:val="006731E5"/>
    <w:rsid w:val="006738C4"/>
    <w:rsid w:val="00674FC9"/>
    <w:rsid w:val="00687605"/>
    <w:rsid w:val="00690571"/>
    <w:rsid w:val="0069231E"/>
    <w:rsid w:val="00696F94"/>
    <w:rsid w:val="0069747A"/>
    <w:rsid w:val="00697BB1"/>
    <w:rsid w:val="00697FE2"/>
    <w:rsid w:val="006A086E"/>
    <w:rsid w:val="006C32A8"/>
    <w:rsid w:val="006C7C5D"/>
    <w:rsid w:val="006C7DBB"/>
    <w:rsid w:val="006D5D66"/>
    <w:rsid w:val="006D7017"/>
    <w:rsid w:val="006D7349"/>
    <w:rsid w:val="006E1C39"/>
    <w:rsid w:val="006F0BFF"/>
    <w:rsid w:val="006F6E5F"/>
    <w:rsid w:val="0073001E"/>
    <w:rsid w:val="007470A2"/>
    <w:rsid w:val="00750CBE"/>
    <w:rsid w:val="00751B6B"/>
    <w:rsid w:val="007625B6"/>
    <w:rsid w:val="00767350"/>
    <w:rsid w:val="00772248"/>
    <w:rsid w:val="00772DAF"/>
    <w:rsid w:val="00776809"/>
    <w:rsid w:val="007775FE"/>
    <w:rsid w:val="00777E36"/>
    <w:rsid w:val="00781A68"/>
    <w:rsid w:val="00793F5D"/>
    <w:rsid w:val="00795AA4"/>
    <w:rsid w:val="007C27B5"/>
    <w:rsid w:val="007D13B4"/>
    <w:rsid w:val="00813E3B"/>
    <w:rsid w:val="0082109C"/>
    <w:rsid w:val="00821BA2"/>
    <w:rsid w:val="00822676"/>
    <w:rsid w:val="00833A40"/>
    <w:rsid w:val="00840221"/>
    <w:rsid w:val="008404F8"/>
    <w:rsid w:val="008460E8"/>
    <w:rsid w:val="00847FE6"/>
    <w:rsid w:val="00854CC4"/>
    <w:rsid w:val="00863266"/>
    <w:rsid w:val="008642F7"/>
    <w:rsid w:val="00876C77"/>
    <w:rsid w:val="00880A2A"/>
    <w:rsid w:val="00884F8F"/>
    <w:rsid w:val="008947B6"/>
    <w:rsid w:val="008959FD"/>
    <w:rsid w:val="00897EBF"/>
    <w:rsid w:val="008A5FEF"/>
    <w:rsid w:val="008A70BD"/>
    <w:rsid w:val="008B7558"/>
    <w:rsid w:val="008C4A44"/>
    <w:rsid w:val="008D3B06"/>
    <w:rsid w:val="008E03BA"/>
    <w:rsid w:val="008E6859"/>
    <w:rsid w:val="008E7924"/>
    <w:rsid w:val="009047EC"/>
    <w:rsid w:val="00913277"/>
    <w:rsid w:val="00936B8F"/>
    <w:rsid w:val="00943F51"/>
    <w:rsid w:val="00952087"/>
    <w:rsid w:val="009810F6"/>
    <w:rsid w:val="009817B5"/>
    <w:rsid w:val="0099005B"/>
    <w:rsid w:val="0099029E"/>
    <w:rsid w:val="00991F49"/>
    <w:rsid w:val="00992B9C"/>
    <w:rsid w:val="009B10CC"/>
    <w:rsid w:val="009C187F"/>
    <w:rsid w:val="009C1C83"/>
    <w:rsid w:val="009C5FFD"/>
    <w:rsid w:val="009E6F63"/>
    <w:rsid w:val="009F4398"/>
    <w:rsid w:val="00A06B6D"/>
    <w:rsid w:val="00A12BB7"/>
    <w:rsid w:val="00A32AB0"/>
    <w:rsid w:val="00A333D4"/>
    <w:rsid w:val="00A34DF4"/>
    <w:rsid w:val="00A43F6B"/>
    <w:rsid w:val="00A56899"/>
    <w:rsid w:val="00A63918"/>
    <w:rsid w:val="00A65718"/>
    <w:rsid w:val="00A72A56"/>
    <w:rsid w:val="00A81757"/>
    <w:rsid w:val="00A90771"/>
    <w:rsid w:val="00A93BF3"/>
    <w:rsid w:val="00AA76A2"/>
    <w:rsid w:val="00AB2FE9"/>
    <w:rsid w:val="00AB40B2"/>
    <w:rsid w:val="00AB6F14"/>
    <w:rsid w:val="00AC0BBA"/>
    <w:rsid w:val="00AC7386"/>
    <w:rsid w:val="00AC7DA7"/>
    <w:rsid w:val="00AE7490"/>
    <w:rsid w:val="00AF2093"/>
    <w:rsid w:val="00AF2599"/>
    <w:rsid w:val="00AF3687"/>
    <w:rsid w:val="00AF7C93"/>
    <w:rsid w:val="00B20A01"/>
    <w:rsid w:val="00B20B4E"/>
    <w:rsid w:val="00B22AA4"/>
    <w:rsid w:val="00B2346B"/>
    <w:rsid w:val="00B26592"/>
    <w:rsid w:val="00B27200"/>
    <w:rsid w:val="00B31BA3"/>
    <w:rsid w:val="00B37A7B"/>
    <w:rsid w:val="00B41711"/>
    <w:rsid w:val="00B4774D"/>
    <w:rsid w:val="00B51691"/>
    <w:rsid w:val="00B52421"/>
    <w:rsid w:val="00B57432"/>
    <w:rsid w:val="00B57A71"/>
    <w:rsid w:val="00B63205"/>
    <w:rsid w:val="00B66F85"/>
    <w:rsid w:val="00B70DAF"/>
    <w:rsid w:val="00B77284"/>
    <w:rsid w:val="00B80A5E"/>
    <w:rsid w:val="00B86975"/>
    <w:rsid w:val="00B9143C"/>
    <w:rsid w:val="00B9421C"/>
    <w:rsid w:val="00B951BC"/>
    <w:rsid w:val="00BB21FB"/>
    <w:rsid w:val="00BD0D27"/>
    <w:rsid w:val="00BE39C8"/>
    <w:rsid w:val="00BE5632"/>
    <w:rsid w:val="00BE66D7"/>
    <w:rsid w:val="00BE7452"/>
    <w:rsid w:val="00C02FCD"/>
    <w:rsid w:val="00C23687"/>
    <w:rsid w:val="00C3258F"/>
    <w:rsid w:val="00C4667A"/>
    <w:rsid w:val="00C50F22"/>
    <w:rsid w:val="00C522F0"/>
    <w:rsid w:val="00C53CEF"/>
    <w:rsid w:val="00C55237"/>
    <w:rsid w:val="00C61FD4"/>
    <w:rsid w:val="00C6373E"/>
    <w:rsid w:val="00C654A4"/>
    <w:rsid w:val="00C65EE3"/>
    <w:rsid w:val="00C71D0F"/>
    <w:rsid w:val="00C80B50"/>
    <w:rsid w:val="00C920F6"/>
    <w:rsid w:val="00C92965"/>
    <w:rsid w:val="00C942D3"/>
    <w:rsid w:val="00C95DA6"/>
    <w:rsid w:val="00CA1DA5"/>
    <w:rsid w:val="00CA6E12"/>
    <w:rsid w:val="00CB657D"/>
    <w:rsid w:val="00CC442A"/>
    <w:rsid w:val="00CC4B5D"/>
    <w:rsid w:val="00CD6459"/>
    <w:rsid w:val="00CE26CC"/>
    <w:rsid w:val="00CE2C14"/>
    <w:rsid w:val="00CE35C0"/>
    <w:rsid w:val="00CE3BAF"/>
    <w:rsid w:val="00CF053F"/>
    <w:rsid w:val="00CF05DB"/>
    <w:rsid w:val="00CF1C4F"/>
    <w:rsid w:val="00D00D80"/>
    <w:rsid w:val="00D05AF9"/>
    <w:rsid w:val="00D163B2"/>
    <w:rsid w:val="00D16BA3"/>
    <w:rsid w:val="00D21DA9"/>
    <w:rsid w:val="00D23D66"/>
    <w:rsid w:val="00D30F3A"/>
    <w:rsid w:val="00D3300F"/>
    <w:rsid w:val="00D361D6"/>
    <w:rsid w:val="00D36948"/>
    <w:rsid w:val="00D4172F"/>
    <w:rsid w:val="00D65051"/>
    <w:rsid w:val="00D65A00"/>
    <w:rsid w:val="00D67B92"/>
    <w:rsid w:val="00D71805"/>
    <w:rsid w:val="00D73796"/>
    <w:rsid w:val="00D744CD"/>
    <w:rsid w:val="00D76017"/>
    <w:rsid w:val="00D8296A"/>
    <w:rsid w:val="00DA5806"/>
    <w:rsid w:val="00DA5AEB"/>
    <w:rsid w:val="00DB05A5"/>
    <w:rsid w:val="00DD20F6"/>
    <w:rsid w:val="00DD352F"/>
    <w:rsid w:val="00DD7932"/>
    <w:rsid w:val="00DE06AB"/>
    <w:rsid w:val="00DE4C6F"/>
    <w:rsid w:val="00DF0357"/>
    <w:rsid w:val="00DF24C8"/>
    <w:rsid w:val="00DF2C97"/>
    <w:rsid w:val="00DF4BAD"/>
    <w:rsid w:val="00DF61EA"/>
    <w:rsid w:val="00E06B97"/>
    <w:rsid w:val="00E1199E"/>
    <w:rsid w:val="00E13491"/>
    <w:rsid w:val="00E13CF3"/>
    <w:rsid w:val="00E16A4C"/>
    <w:rsid w:val="00E41836"/>
    <w:rsid w:val="00E56576"/>
    <w:rsid w:val="00E743F1"/>
    <w:rsid w:val="00E8360F"/>
    <w:rsid w:val="00E87DB7"/>
    <w:rsid w:val="00E91558"/>
    <w:rsid w:val="00E93415"/>
    <w:rsid w:val="00EA46DD"/>
    <w:rsid w:val="00EA5074"/>
    <w:rsid w:val="00EA57C2"/>
    <w:rsid w:val="00EB0129"/>
    <w:rsid w:val="00EB11A2"/>
    <w:rsid w:val="00EB3693"/>
    <w:rsid w:val="00EB75ED"/>
    <w:rsid w:val="00EC3B71"/>
    <w:rsid w:val="00EC429E"/>
    <w:rsid w:val="00ED3830"/>
    <w:rsid w:val="00ED7C08"/>
    <w:rsid w:val="00EF2DCD"/>
    <w:rsid w:val="00EF58FB"/>
    <w:rsid w:val="00F00216"/>
    <w:rsid w:val="00F01C8F"/>
    <w:rsid w:val="00F13930"/>
    <w:rsid w:val="00F3379E"/>
    <w:rsid w:val="00F41088"/>
    <w:rsid w:val="00F503B5"/>
    <w:rsid w:val="00F52F46"/>
    <w:rsid w:val="00F5766B"/>
    <w:rsid w:val="00F62C01"/>
    <w:rsid w:val="00F71036"/>
    <w:rsid w:val="00F71AC0"/>
    <w:rsid w:val="00F7343B"/>
    <w:rsid w:val="00F763AE"/>
    <w:rsid w:val="00F834D6"/>
    <w:rsid w:val="00F9392B"/>
    <w:rsid w:val="00F963A9"/>
    <w:rsid w:val="00FA1B2A"/>
    <w:rsid w:val="00FB35A4"/>
    <w:rsid w:val="00FB7A77"/>
    <w:rsid w:val="00FE19B2"/>
    <w:rsid w:val="00FE41C1"/>
    <w:rsid w:val="00FE7FF1"/>
    <w:rsid w:val="00FF1462"/>
    <w:rsid w:val="00FF2325"/>
    <w:rsid w:val="00FF41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33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00F80"/>
    <w:pPr>
      <w:tabs>
        <w:tab w:val="center" w:pos="4536"/>
        <w:tab w:val="right" w:pos="9072"/>
      </w:tabs>
    </w:pPr>
  </w:style>
  <w:style w:type="character" w:customStyle="1" w:styleId="En-tteCar">
    <w:name w:val="En-tête Car"/>
    <w:basedOn w:val="Policepardfaut"/>
    <w:link w:val="En-tte"/>
    <w:uiPriority w:val="99"/>
    <w:semiHidden/>
    <w:rsid w:val="00300F80"/>
    <w:rPr>
      <w:sz w:val="22"/>
      <w:szCs w:val="22"/>
      <w:lang w:eastAsia="en-US"/>
    </w:rPr>
  </w:style>
  <w:style w:type="paragraph" w:styleId="Pieddepage">
    <w:name w:val="footer"/>
    <w:basedOn w:val="Normal"/>
    <w:link w:val="PieddepageCar"/>
    <w:uiPriority w:val="99"/>
    <w:unhideWhenUsed/>
    <w:rsid w:val="00300F80"/>
    <w:pPr>
      <w:tabs>
        <w:tab w:val="center" w:pos="4536"/>
        <w:tab w:val="right" w:pos="9072"/>
      </w:tabs>
    </w:pPr>
  </w:style>
  <w:style w:type="character" w:customStyle="1" w:styleId="PieddepageCar">
    <w:name w:val="Pied de page Car"/>
    <w:basedOn w:val="Policepardfaut"/>
    <w:link w:val="Pieddepage"/>
    <w:uiPriority w:val="99"/>
    <w:rsid w:val="00300F80"/>
    <w:rPr>
      <w:sz w:val="22"/>
      <w:szCs w:val="22"/>
      <w:lang w:eastAsia="en-US"/>
    </w:rPr>
  </w:style>
  <w:style w:type="paragraph" w:styleId="Textedebulles">
    <w:name w:val="Balloon Text"/>
    <w:basedOn w:val="Normal"/>
    <w:link w:val="TextedebullesCar"/>
    <w:uiPriority w:val="99"/>
    <w:semiHidden/>
    <w:unhideWhenUsed/>
    <w:rsid w:val="002741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14E"/>
    <w:rPr>
      <w:rFonts w:ascii="Tahoma" w:hAnsi="Tahoma" w:cs="Tahoma"/>
      <w:sz w:val="16"/>
      <w:szCs w:val="16"/>
      <w:lang w:eastAsia="en-US"/>
    </w:rPr>
  </w:style>
  <w:style w:type="paragraph" w:styleId="Titre">
    <w:name w:val="Title"/>
    <w:basedOn w:val="Normal"/>
    <w:next w:val="Normal"/>
    <w:link w:val="TitreCar"/>
    <w:uiPriority w:val="10"/>
    <w:qFormat/>
    <w:rsid w:val="00CC4B5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CC4B5D"/>
    <w:rPr>
      <w:rFonts w:ascii="Cambria" w:eastAsia="Times New Roman" w:hAnsi="Cambria" w:cs="Times New Roman"/>
      <w:color w:val="17365D"/>
      <w:spacing w:val="5"/>
      <w:kern w:val="28"/>
      <w:sz w:val="52"/>
      <w:szCs w:val="52"/>
      <w:lang w:eastAsia="en-US"/>
    </w:rPr>
  </w:style>
  <w:style w:type="paragraph" w:styleId="Paragraphedeliste">
    <w:name w:val="List Paragraph"/>
    <w:basedOn w:val="Normal"/>
    <w:uiPriority w:val="34"/>
    <w:qFormat/>
    <w:rsid w:val="0099029E"/>
    <w:pPr>
      <w:spacing w:after="0" w:line="240" w:lineRule="auto"/>
      <w:ind w:left="720" w:firstLine="360"/>
      <w:contextualSpacing/>
    </w:pPr>
    <w:rPr>
      <w:rFonts w:eastAsia="Times New Roman"/>
      <w:lang w:bidi="en-US"/>
    </w:rPr>
  </w:style>
  <w:style w:type="paragraph" w:styleId="Notedebasdepage">
    <w:name w:val="footnote text"/>
    <w:basedOn w:val="Normal"/>
    <w:link w:val="NotedebasdepageCar"/>
    <w:uiPriority w:val="99"/>
    <w:semiHidden/>
    <w:unhideWhenUsed/>
    <w:rsid w:val="000B7CC2"/>
    <w:rPr>
      <w:sz w:val="20"/>
      <w:szCs w:val="20"/>
    </w:rPr>
  </w:style>
  <w:style w:type="character" w:customStyle="1" w:styleId="NotedebasdepageCar">
    <w:name w:val="Note de bas de page Car"/>
    <w:basedOn w:val="Policepardfaut"/>
    <w:link w:val="Notedebasdepage"/>
    <w:uiPriority w:val="99"/>
    <w:semiHidden/>
    <w:rsid w:val="000B7CC2"/>
    <w:rPr>
      <w:lang w:eastAsia="en-US"/>
    </w:rPr>
  </w:style>
  <w:style w:type="character" w:styleId="Appelnotedebasdep">
    <w:name w:val="footnote reference"/>
    <w:basedOn w:val="Policepardfaut"/>
    <w:uiPriority w:val="99"/>
    <w:semiHidden/>
    <w:unhideWhenUsed/>
    <w:rsid w:val="000B7CC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0507-CEA2-4B47-96DB-113E9D2E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3029</Words>
  <Characters>16663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hcp</cp:lastModifiedBy>
  <cp:revision>2</cp:revision>
  <cp:lastPrinted>2019-01-16T14:56:00Z</cp:lastPrinted>
  <dcterms:created xsi:type="dcterms:W3CDTF">2019-01-17T11:16:00Z</dcterms:created>
  <dcterms:modified xsi:type="dcterms:W3CDTF">2019-01-17T11:16:00Z</dcterms:modified>
</cp:coreProperties>
</file>