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CA" w:rsidRDefault="0003351E" w:rsidP="009D1CE9">
      <w:pPr>
        <w:spacing w:line="276" w:lineRule="auto"/>
        <w:jc w:val="center"/>
        <w:rPr>
          <w:rFonts w:ascii="Book Antiqua" w:hAnsi="Book Antiqua"/>
          <w:b/>
          <w:bCs/>
          <w:color w:val="1F497D" w:themeColor="text2"/>
          <w:sz w:val="28"/>
          <w:szCs w:val="28"/>
        </w:rPr>
      </w:pPr>
      <w:r w:rsidRPr="000F0CFB">
        <w:rPr>
          <w:rFonts w:ascii="Book Antiqua" w:hAnsi="Book Antiqua"/>
          <w:b/>
          <w:bCs/>
          <w:color w:val="1F497D" w:themeColor="text2"/>
          <w:sz w:val="28"/>
          <w:szCs w:val="28"/>
        </w:rPr>
        <w:t xml:space="preserve">Note du </w:t>
      </w:r>
      <w:r w:rsidR="000048CA" w:rsidRPr="000F0CFB">
        <w:rPr>
          <w:rFonts w:ascii="Book Antiqua" w:hAnsi="Book Antiqua"/>
          <w:b/>
          <w:bCs/>
          <w:color w:val="1F497D" w:themeColor="text2"/>
          <w:sz w:val="28"/>
          <w:szCs w:val="28"/>
        </w:rPr>
        <w:t>Haut</w:t>
      </w:r>
      <w:r w:rsidR="000048CA">
        <w:rPr>
          <w:rFonts w:ascii="Book Antiqua" w:hAnsi="Book Antiqua"/>
          <w:b/>
          <w:bCs/>
          <w:color w:val="1F497D" w:themeColor="text2"/>
          <w:sz w:val="28"/>
          <w:szCs w:val="28"/>
        </w:rPr>
        <w:t xml:space="preserve"> C</w:t>
      </w:r>
      <w:r w:rsidR="000048CA" w:rsidRPr="000F0CFB">
        <w:rPr>
          <w:rFonts w:ascii="Book Antiqua" w:hAnsi="Book Antiqua"/>
          <w:b/>
          <w:bCs/>
          <w:color w:val="1F497D" w:themeColor="text2"/>
          <w:sz w:val="28"/>
          <w:szCs w:val="28"/>
        </w:rPr>
        <w:t>ommissariat</w:t>
      </w:r>
      <w:r w:rsidRPr="000F0CFB">
        <w:rPr>
          <w:rFonts w:ascii="Book Antiqua" w:hAnsi="Book Antiqua"/>
          <w:b/>
          <w:bCs/>
          <w:color w:val="1F497D" w:themeColor="text2"/>
          <w:sz w:val="28"/>
          <w:szCs w:val="28"/>
        </w:rPr>
        <w:t xml:space="preserve"> </w:t>
      </w:r>
      <w:r w:rsidR="000048CA">
        <w:rPr>
          <w:rFonts w:ascii="Book Antiqua" w:hAnsi="Book Antiqua"/>
          <w:b/>
          <w:bCs/>
          <w:color w:val="1F497D" w:themeColor="text2"/>
          <w:sz w:val="28"/>
          <w:szCs w:val="28"/>
        </w:rPr>
        <w:t xml:space="preserve">au Plan </w:t>
      </w:r>
    </w:p>
    <w:p w:rsidR="00F248C1" w:rsidRDefault="0003351E" w:rsidP="00F248C1">
      <w:pPr>
        <w:spacing w:line="276" w:lineRule="auto"/>
        <w:jc w:val="center"/>
        <w:rPr>
          <w:rFonts w:ascii="Book Antiqua" w:hAnsi="Book Antiqua"/>
          <w:b/>
          <w:bCs/>
          <w:color w:val="1F497D" w:themeColor="text2"/>
          <w:sz w:val="28"/>
          <w:szCs w:val="28"/>
        </w:rPr>
      </w:pPr>
      <w:r w:rsidRPr="000F0CFB">
        <w:rPr>
          <w:rFonts w:ascii="Book Antiqua" w:hAnsi="Book Antiqua"/>
          <w:b/>
          <w:bCs/>
          <w:color w:val="1F497D" w:themeColor="text2"/>
          <w:sz w:val="28"/>
          <w:szCs w:val="28"/>
        </w:rPr>
        <w:t>relative aux principales caractéristiques d</w:t>
      </w:r>
      <w:r w:rsidR="00F248C1">
        <w:rPr>
          <w:rFonts w:ascii="Book Antiqua" w:hAnsi="Book Antiqua"/>
          <w:b/>
          <w:bCs/>
          <w:color w:val="1F497D" w:themeColor="text2"/>
          <w:sz w:val="28"/>
          <w:szCs w:val="28"/>
        </w:rPr>
        <w:t xml:space="preserve">e la population </w:t>
      </w:r>
    </w:p>
    <w:p w:rsidR="0003351E" w:rsidRDefault="00F248C1" w:rsidP="00F248C1">
      <w:pPr>
        <w:spacing w:line="276" w:lineRule="auto"/>
        <w:jc w:val="center"/>
        <w:rPr>
          <w:rFonts w:ascii="Book Antiqua" w:hAnsi="Book Antiqua"/>
          <w:b/>
          <w:bCs/>
          <w:color w:val="1F497D" w:themeColor="text2"/>
          <w:sz w:val="28"/>
          <w:szCs w:val="28"/>
        </w:rPr>
      </w:pPr>
      <w:r>
        <w:rPr>
          <w:rFonts w:ascii="Book Antiqua" w:hAnsi="Book Antiqua"/>
          <w:b/>
          <w:bCs/>
          <w:color w:val="1F497D" w:themeColor="text2"/>
          <w:sz w:val="28"/>
          <w:szCs w:val="28"/>
        </w:rPr>
        <w:t xml:space="preserve">active occupée </w:t>
      </w:r>
      <w:r w:rsidR="0003351E" w:rsidRPr="000F0CFB">
        <w:rPr>
          <w:rFonts w:ascii="Book Antiqua" w:hAnsi="Book Antiqua"/>
          <w:b/>
          <w:bCs/>
          <w:color w:val="1F497D" w:themeColor="text2"/>
          <w:sz w:val="28"/>
          <w:szCs w:val="28"/>
        </w:rPr>
        <w:t>en 2018</w:t>
      </w:r>
    </w:p>
    <w:p w:rsidR="000048CA" w:rsidRPr="000F0CFB" w:rsidRDefault="00B55115" w:rsidP="0024266F">
      <w:pPr>
        <w:spacing w:line="276" w:lineRule="auto"/>
        <w:jc w:val="center"/>
        <w:rPr>
          <w:rFonts w:ascii="Book Antiqua" w:hAnsi="Book Antiqua"/>
          <w:b/>
          <w:bCs/>
          <w:color w:val="1F497D" w:themeColor="text2"/>
          <w:sz w:val="28"/>
          <w:szCs w:val="28"/>
        </w:rPr>
      </w:pPr>
      <w:r>
        <w:rPr>
          <w:rFonts w:ascii="Book Antiqua" w:hAnsi="Book Antiqua"/>
          <w:b/>
          <w:bCs/>
          <w:color w:val="1F497D" w:themeColor="text2"/>
          <w:sz w:val="28"/>
          <w:szCs w:val="28"/>
        </w:rPr>
        <w:t xml:space="preserve">            </w:t>
      </w:r>
    </w:p>
    <w:p w:rsidR="00EA1A8E" w:rsidRPr="000F0CFB" w:rsidRDefault="00F248C1" w:rsidP="006C56D0">
      <w:pPr>
        <w:spacing w:before="240" w:line="312" w:lineRule="auto"/>
        <w:jc w:val="both"/>
        <w:rPr>
          <w:rFonts w:ascii="Book Antiqua" w:hAnsi="Book Antiqua" w:cstheme="majorBidi"/>
        </w:rPr>
      </w:pPr>
      <w:r>
        <w:rPr>
          <w:rFonts w:ascii="Book Antiqua" w:hAnsi="Book Antiqua" w:cstheme="majorBidi"/>
        </w:rPr>
        <w:t xml:space="preserve">Selon les résultats de l’enquête nationale sur </w:t>
      </w:r>
      <w:r w:rsidR="008C2807">
        <w:rPr>
          <w:rFonts w:ascii="Book Antiqua" w:hAnsi="Book Antiqua" w:cstheme="majorBidi"/>
        </w:rPr>
        <w:t xml:space="preserve">l’emploi, </w:t>
      </w:r>
      <w:r w:rsidR="00EA1A8E" w:rsidRPr="000F0CFB">
        <w:rPr>
          <w:rFonts w:ascii="Book Antiqua" w:hAnsi="Book Antiqua" w:cstheme="majorBidi"/>
        </w:rPr>
        <w:t>la population âgée de 15 ans et plus a atteint</w:t>
      </w:r>
      <w:r w:rsidR="008C2807">
        <w:rPr>
          <w:rFonts w:ascii="Book Antiqua" w:hAnsi="Book Antiqua" w:cstheme="majorBidi"/>
        </w:rPr>
        <w:t xml:space="preserve">, en 2018, </w:t>
      </w:r>
      <w:r w:rsidR="00EA1A8E" w:rsidRPr="000F0CFB">
        <w:rPr>
          <w:rFonts w:ascii="Book Antiqua" w:hAnsi="Book Antiqua" w:cstheme="majorBidi"/>
        </w:rPr>
        <w:t xml:space="preserve">25.950.000 personnes, 11.979.000 </w:t>
      </w:r>
      <w:r w:rsidR="000048CA">
        <w:rPr>
          <w:rFonts w:ascii="Book Antiqua" w:hAnsi="Book Antiqua" w:cstheme="majorBidi"/>
        </w:rPr>
        <w:t>sont des actifs</w:t>
      </w:r>
      <w:r w:rsidR="00EA1A8E" w:rsidRPr="000F0CFB">
        <w:rPr>
          <w:rFonts w:ascii="Book Antiqua" w:hAnsi="Book Antiqua" w:cstheme="majorBidi"/>
        </w:rPr>
        <w:t xml:space="preserve"> (10.811.000 pourvues d’un emploi et 1.168.000 en chômage) et 13.970.000 en dehors du marché de travail. </w:t>
      </w:r>
    </w:p>
    <w:p w:rsidR="00EA1A8E" w:rsidRPr="000F0CFB" w:rsidRDefault="00EA1A8E" w:rsidP="009D1CE9">
      <w:pPr>
        <w:spacing w:before="240" w:line="312" w:lineRule="auto"/>
        <w:jc w:val="both"/>
        <w:rPr>
          <w:rFonts w:ascii="Book Antiqua" w:hAnsi="Book Antiqua"/>
          <w:b/>
          <w:bCs/>
          <w:color w:val="1F497D" w:themeColor="text2"/>
        </w:rPr>
      </w:pPr>
      <w:r w:rsidRPr="000F0CFB">
        <w:rPr>
          <w:rFonts w:ascii="Book Antiqua" w:hAnsi="Book Antiqua" w:cstheme="majorBidi"/>
        </w:rPr>
        <w:t>Le taux d’activité a atteint 46,2%</w:t>
      </w:r>
      <w:r>
        <w:rPr>
          <w:rFonts w:ascii="Book Antiqua" w:hAnsi="Book Antiqua" w:cstheme="majorBidi"/>
        </w:rPr>
        <w:t>,</w:t>
      </w:r>
      <w:r w:rsidRPr="000F0CFB">
        <w:rPr>
          <w:rFonts w:ascii="Book Antiqua" w:hAnsi="Book Antiqua" w:cstheme="majorBidi"/>
        </w:rPr>
        <w:t xml:space="preserve"> 41,8% en milieu urbain et 53,9% en milieu rural</w:t>
      </w:r>
      <w:r>
        <w:rPr>
          <w:rFonts w:ascii="Book Antiqua" w:hAnsi="Book Antiqua" w:cstheme="majorBidi"/>
        </w:rPr>
        <w:t xml:space="preserve">, </w:t>
      </w:r>
      <w:r w:rsidRPr="000F0CFB">
        <w:rPr>
          <w:rFonts w:ascii="Book Antiqua" w:hAnsi="Book Antiqua" w:cstheme="majorBidi"/>
        </w:rPr>
        <w:t>70,9%</w:t>
      </w:r>
      <w:r>
        <w:rPr>
          <w:rFonts w:ascii="Book Antiqua" w:hAnsi="Book Antiqua" w:cstheme="majorBidi"/>
        </w:rPr>
        <w:t xml:space="preserve"> parmi les hommes et </w:t>
      </w:r>
      <w:r w:rsidRPr="000F0CFB">
        <w:rPr>
          <w:rFonts w:ascii="Book Antiqua" w:hAnsi="Book Antiqua" w:cstheme="majorBidi"/>
        </w:rPr>
        <w:t>22,</w:t>
      </w:r>
      <w:r w:rsidR="009D1CE9">
        <w:rPr>
          <w:rFonts w:ascii="Book Antiqua" w:hAnsi="Book Antiqua" w:cstheme="majorBidi"/>
        </w:rPr>
        <w:t>2</w:t>
      </w:r>
      <w:r w:rsidRPr="000F0CFB">
        <w:rPr>
          <w:rFonts w:ascii="Book Antiqua" w:hAnsi="Book Antiqua" w:cstheme="majorBidi"/>
        </w:rPr>
        <w:t>%</w:t>
      </w:r>
      <w:r>
        <w:rPr>
          <w:rFonts w:ascii="Book Antiqua" w:hAnsi="Book Antiqua" w:cstheme="majorBidi"/>
        </w:rPr>
        <w:t xml:space="preserve"> parmi les femmes</w:t>
      </w:r>
      <w:r w:rsidR="00D268CD">
        <w:rPr>
          <w:rFonts w:ascii="Book Antiqua" w:hAnsi="Book Antiqua" w:cstheme="majorBidi"/>
        </w:rPr>
        <w:t xml:space="preserve">. </w:t>
      </w:r>
      <w:r w:rsidR="00D268CD">
        <w:rPr>
          <w:rFonts w:ascii="Book Antiqua" w:hAnsi="Book Antiqua"/>
        </w:rPr>
        <w:t xml:space="preserve">Ce taux </w:t>
      </w:r>
      <w:r w:rsidRPr="000F0CFB">
        <w:rPr>
          <w:rFonts w:ascii="Book Antiqua" w:hAnsi="Book Antiqua"/>
        </w:rPr>
        <w:t xml:space="preserve">passe de </w:t>
      </w:r>
      <w:r w:rsidR="009D1CE9">
        <w:rPr>
          <w:rFonts w:ascii="Book Antiqua" w:hAnsi="Book Antiqua"/>
        </w:rPr>
        <w:t>45</w:t>
      </w:r>
      <w:r w:rsidRPr="000F0CFB">
        <w:rPr>
          <w:rFonts w:ascii="Book Antiqua" w:hAnsi="Book Antiqua"/>
        </w:rPr>
        <w:t>,</w:t>
      </w:r>
      <w:r w:rsidR="009D1CE9">
        <w:rPr>
          <w:rFonts w:ascii="Book Antiqua" w:hAnsi="Book Antiqua"/>
        </w:rPr>
        <w:t>7</w:t>
      </w:r>
      <w:r w:rsidRPr="000F0CFB">
        <w:rPr>
          <w:rFonts w:ascii="Book Antiqua" w:hAnsi="Book Antiqua"/>
        </w:rPr>
        <w:t>% parmi les actifs n'ayant aucun diplôme à 4</w:t>
      </w:r>
      <w:r w:rsidR="009D1CE9">
        <w:rPr>
          <w:rFonts w:ascii="Book Antiqua" w:hAnsi="Book Antiqua"/>
        </w:rPr>
        <w:t>2,9</w:t>
      </w:r>
      <w:r w:rsidRPr="000F0CFB">
        <w:rPr>
          <w:rFonts w:ascii="Book Antiqua" w:hAnsi="Book Antiqua"/>
        </w:rPr>
        <w:t>% parmi ceux ayant un diplôme de niveau moyen, pour atteindre 5</w:t>
      </w:r>
      <w:r w:rsidR="009D1CE9">
        <w:rPr>
          <w:rFonts w:ascii="Book Antiqua" w:hAnsi="Book Antiqua"/>
        </w:rPr>
        <w:t>5,9</w:t>
      </w:r>
      <w:r w:rsidRPr="000F0CFB">
        <w:rPr>
          <w:rFonts w:ascii="Book Antiqua" w:hAnsi="Book Antiqua"/>
        </w:rPr>
        <w:t xml:space="preserve">% parmi </w:t>
      </w:r>
      <w:r w:rsidR="000048CA">
        <w:rPr>
          <w:rFonts w:ascii="Book Antiqua" w:hAnsi="Book Antiqua"/>
        </w:rPr>
        <w:t>les actifs</w:t>
      </w:r>
      <w:r w:rsidRPr="000F0CFB">
        <w:rPr>
          <w:rFonts w:ascii="Book Antiqua" w:hAnsi="Book Antiqua"/>
        </w:rPr>
        <w:t xml:space="preserve"> ayant un diplôme de niveau supérieur.</w:t>
      </w:r>
    </w:p>
    <w:p w:rsidR="00EF27BF" w:rsidRPr="000F0CFB" w:rsidRDefault="009612DF" w:rsidP="009D1CE9">
      <w:pPr>
        <w:spacing w:before="240" w:line="312" w:lineRule="auto"/>
        <w:jc w:val="both"/>
        <w:rPr>
          <w:rFonts w:ascii="Book Antiqua" w:hAnsi="Book Antiqua"/>
        </w:rPr>
      </w:pPr>
      <w:r w:rsidRPr="000F0CFB">
        <w:rPr>
          <w:rFonts w:ascii="Book Antiqua" w:hAnsi="Book Antiqua"/>
        </w:rPr>
        <w:t>Sur les</w:t>
      </w:r>
      <w:r w:rsidR="001722D0" w:rsidRPr="000F0CFB">
        <w:rPr>
          <w:rFonts w:ascii="Book Antiqua" w:hAnsi="Book Antiqua"/>
        </w:rPr>
        <w:t xml:space="preserve"> </w:t>
      </w:r>
      <w:r w:rsidR="00EF27BF" w:rsidRPr="000F0CFB">
        <w:rPr>
          <w:rFonts w:ascii="Book Antiqua" w:hAnsi="Book Antiqua"/>
        </w:rPr>
        <w:t xml:space="preserve">10.811.000 </w:t>
      </w:r>
      <w:r w:rsidR="001722D0" w:rsidRPr="000F0CFB">
        <w:rPr>
          <w:rFonts w:ascii="Book Antiqua" w:hAnsi="Book Antiqua"/>
        </w:rPr>
        <w:t xml:space="preserve">personnes </w:t>
      </w:r>
      <w:r w:rsidRPr="000F0CFB">
        <w:rPr>
          <w:rFonts w:ascii="Book Antiqua" w:hAnsi="Book Antiqua"/>
        </w:rPr>
        <w:t xml:space="preserve">actives occupées, </w:t>
      </w:r>
      <w:r w:rsidR="00AA1437" w:rsidRPr="000F0CFB">
        <w:rPr>
          <w:rFonts w:ascii="Book Antiqua" w:hAnsi="Book Antiqua"/>
        </w:rPr>
        <w:t>44,</w:t>
      </w:r>
      <w:r w:rsidR="009D1CE9">
        <w:rPr>
          <w:rFonts w:ascii="Book Antiqua" w:hAnsi="Book Antiqua"/>
        </w:rPr>
        <w:t>8</w:t>
      </w:r>
      <w:r w:rsidRPr="000F0CFB">
        <w:rPr>
          <w:rFonts w:ascii="Book Antiqua" w:hAnsi="Book Antiqua"/>
        </w:rPr>
        <w:t xml:space="preserve">% sont des ruraux et </w:t>
      </w:r>
      <w:r w:rsidR="00EF27BF" w:rsidRPr="000F0CFB">
        <w:rPr>
          <w:rFonts w:ascii="Book Antiqua" w:hAnsi="Book Antiqua"/>
        </w:rPr>
        <w:t>23,2</w:t>
      </w:r>
      <w:r w:rsidR="001722D0" w:rsidRPr="000F0CFB">
        <w:rPr>
          <w:rFonts w:ascii="Book Antiqua" w:hAnsi="Book Antiqua"/>
        </w:rPr>
        <w:t>% so</w:t>
      </w:r>
      <w:r w:rsidRPr="000F0CFB">
        <w:rPr>
          <w:rFonts w:ascii="Book Antiqua" w:hAnsi="Book Antiqua"/>
        </w:rPr>
        <w:t xml:space="preserve">nt de sexe féminin. Les jeunes âgés de 15 à 34 ans </w:t>
      </w:r>
      <w:r w:rsidR="001722D0" w:rsidRPr="000F0CFB">
        <w:rPr>
          <w:rFonts w:ascii="Book Antiqua" w:hAnsi="Book Antiqua"/>
        </w:rPr>
        <w:t xml:space="preserve">sont plus présents sur le marché de l’emploi avec une part de </w:t>
      </w:r>
      <w:r w:rsidR="00EF27BF" w:rsidRPr="000F0CFB">
        <w:rPr>
          <w:rFonts w:ascii="Book Antiqua" w:hAnsi="Book Antiqua"/>
        </w:rPr>
        <w:t>37,8</w:t>
      </w:r>
      <w:r w:rsidR="006272EC" w:rsidRPr="000F0CFB">
        <w:rPr>
          <w:rFonts w:ascii="Book Antiqua" w:hAnsi="Book Antiqua"/>
        </w:rPr>
        <w:t xml:space="preserve">% </w:t>
      </w:r>
      <w:r w:rsidR="000048CA">
        <w:rPr>
          <w:rFonts w:ascii="Book Antiqua" w:hAnsi="Book Antiqua"/>
        </w:rPr>
        <w:t xml:space="preserve">du volume </w:t>
      </w:r>
      <w:r w:rsidR="00B37818" w:rsidRPr="000F0CFB">
        <w:rPr>
          <w:rFonts w:ascii="Book Antiqua" w:hAnsi="Book Antiqua"/>
        </w:rPr>
        <w:t xml:space="preserve">de </w:t>
      </w:r>
      <w:r w:rsidR="006272EC" w:rsidRPr="000F0CFB">
        <w:rPr>
          <w:rFonts w:ascii="Book Antiqua" w:hAnsi="Book Antiqua"/>
        </w:rPr>
        <w:t>l’emploi total (11,1% pour</w:t>
      </w:r>
      <w:r w:rsidR="00540AFC" w:rsidRPr="000F0CFB">
        <w:rPr>
          <w:rFonts w:ascii="Book Antiqua" w:hAnsi="Book Antiqua"/>
        </w:rPr>
        <w:t xml:space="preserve"> </w:t>
      </w:r>
      <w:r w:rsidR="006272EC" w:rsidRPr="000F0CFB">
        <w:rPr>
          <w:rFonts w:ascii="Book Antiqua" w:hAnsi="Book Antiqua"/>
        </w:rPr>
        <w:t xml:space="preserve">les </w:t>
      </w:r>
      <w:r w:rsidR="00540AFC" w:rsidRPr="000F0CFB">
        <w:rPr>
          <w:rFonts w:ascii="Book Antiqua" w:hAnsi="Book Antiqua"/>
        </w:rPr>
        <w:t xml:space="preserve">15-24 ans et </w:t>
      </w:r>
      <w:r w:rsidR="006272EC" w:rsidRPr="000F0CFB">
        <w:rPr>
          <w:rFonts w:ascii="Book Antiqua" w:hAnsi="Book Antiqua"/>
        </w:rPr>
        <w:t xml:space="preserve">26,7% pour les </w:t>
      </w:r>
      <w:r w:rsidR="00540AFC" w:rsidRPr="000F0CFB">
        <w:rPr>
          <w:rFonts w:ascii="Book Antiqua" w:hAnsi="Book Antiqua"/>
        </w:rPr>
        <w:t>25-34 ans)</w:t>
      </w:r>
      <w:r w:rsidR="006272EC" w:rsidRPr="000F0CFB">
        <w:rPr>
          <w:rFonts w:ascii="Book Antiqua" w:hAnsi="Book Antiqua"/>
        </w:rPr>
        <w:t>.</w:t>
      </w:r>
    </w:p>
    <w:p w:rsidR="008F2086" w:rsidRPr="000F0CFB" w:rsidRDefault="009612DF" w:rsidP="000048CA">
      <w:pPr>
        <w:spacing w:before="240" w:line="312" w:lineRule="auto"/>
        <w:jc w:val="both"/>
        <w:rPr>
          <w:rFonts w:ascii="Book Antiqua" w:hAnsi="Book Antiqua"/>
        </w:rPr>
      </w:pPr>
      <w:r w:rsidRPr="000F0CFB">
        <w:rPr>
          <w:rFonts w:ascii="Book Antiqua" w:hAnsi="Book Antiqua"/>
        </w:rPr>
        <w:t>En 2018, l</w:t>
      </w:r>
      <w:r w:rsidR="001722D0" w:rsidRPr="000F0CFB">
        <w:rPr>
          <w:rFonts w:ascii="Book Antiqua" w:hAnsi="Book Antiqua"/>
        </w:rPr>
        <w:t xml:space="preserve">e taux d’emploi </w:t>
      </w:r>
      <w:r w:rsidR="000048CA">
        <w:rPr>
          <w:rFonts w:ascii="Book Antiqua" w:hAnsi="Book Antiqua"/>
        </w:rPr>
        <w:t xml:space="preserve">a </w:t>
      </w:r>
      <w:r w:rsidR="00B37818" w:rsidRPr="000F0CFB">
        <w:rPr>
          <w:rFonts w:ascii="Book Antiqua" w:hAnsi="Book Antiqua"/>
        </w:rPr>
        <w:t>atteint</w:t>
      </w:r>
      <w:r w:rsidR="001722D0" w:rsidRPr="000F0CFB">
        <w:rPr>
          <w:rFonts w:ascii="Book Antiqua" w:hAnsi="Book Antiqua"/>
        </w:rPr>
        <w:t xml:space="preserve"> </w:t>
      </w:r>
      <w:r w:rsidR="005349B6" w:rsidRPr="000F0CFB">
        <w:rPr>
          <w:rFonts w:ascii="Book Antiqua" w:hAnsi="Book Antiqua"/>
        </w:rPr>
        <w:t>41,7</w:t>
      </w:r>
      <w:r w:rsidR="001722D0" w:rsidRPr="000F0CFB">
        <w:rPr>
          <w:rFonts w:ascii="Book Antiqua" w:hAnsi="Book Antiqua"/>
        </w:rPr>
        <w:t>% au niveau national</w:t>
      </w:r>
      <w:r w:rsidRPr="000F0CFB">
        <w:rPr>
          <w:rFonts w:ascii="Book Antiqua" w:hAnsi="Book Antiqua"/>
        </w:rPr>
        <w:t xml:space="preserve"> </w:t>
      </w:r>
      <w:r w:rsidR="004D43E5" w:rsidRPr="000F0CFB">
        <w:rPr>
          <w:rFonts w:ascii="Book Antiqua" w:hAnsi="Book Antiqua"/>
        </w:rPr>
        <w:t>(35,9% en milieu urba</w:t>
      </w:r>
      <w:r w:rsidRPr="000F0CFB">
        <w:rPr>
          <w:rFonts w:ascii="Book Antiqua" w:hAnsi="Book Antiqua"/>
        </w:rPr>
        <w:t xml:space="preserve">in </w:t>
      </w:r>
      <w:r w:rsidR="000048CA">
        <w:rPr>
          <w:rFonts w:ascii="Book Antiqua" w:hAnsi="Book Antiqua"/>
        </w:rPr>
        <w:t>et</w:t>
      </w:r>
      <w:r w:rsidRPr="000F0CFB">
        <w:rPr>
          <w:rFonts w:ascii="Book Antiqua" w:hAnsi="Book Antiqua"/>
        </w:rPr>
        <w:t xml:space="preserve"> 52% en milieu rural), </w:t>
      </w:r>
      <w:r w:rsidR="005349B6" w:rsidRPr="000F0CFB">
        <w:rPr>
          <w:rFonts w:ascii="Book Antiqua" w:hAnsi="Book Antiqua"/>
        </w:rPr>
        <w:t>65</w:t>
      </w:r>
      <w:r w:rsidR="001722D0" w:rsidRPr="000F0CFB">
        <w:rPr>
          <w:rFonts w:ascii="Book Antiqua" w:hAnsi="Book Antiqua"/>
        </w:rPr>
        <w:t xml:space="preserve">% </w:t>
      </w:r>
      <w:r w:rsidRPr="000F0CFB">
        <w:rPr>
          <w:rFonts w:ascii="Book Antiqua" w:hAnsi="Book Antiqua"/>
        </w:rPr>
        <w:t xml:space="preserve">parmi </w:t>
      </w:r>
      <w:r w:rsidR="001722D0" w:rsidRPr="000F0CFB">
        <w:rPr>
          <w:rFonts w:ascii="Book Antiqua" w:hAnsi="Book Antiqua"/>
        </w:rPr>
        <w:t xml:space="preserve">les hommes et </w:t>
      </w:r>
      <w:r w:rsidR="005349B6" w:rsidRPr="000F0CFB">
        <w:rPr>
          <w:rFonts w:ascii="Book Antiqua" w:hAnsi="Book Antiqua"/>
        </w:rPr>
        <w:t>19</w:t>
      </w:r>
      <w:r w:rsidRPr="000F0CFB">
        <w:rPr>
          <w:rFonts w:ascii="Book Antiqua" w:hAnsi="Book Antiqua"/>
        </w:rPr>
        <w:t xml:space="preserve">% parmi </w:t>
      </w:r>
      <w:r w:rsidR="001722D0" w:rsidRPr="000F0CFB">
        <w:rPr>
          <w:rFonts w:ascii="Book Antiqua" w:hAnsi="Book Antiqua"/>
        </w:rPr>
        <w:t xml:space="preserve">les femmes. </w:t>
      </w:r>
      <w:r w:rsidR="00476139">
        <w:rPr>
          <w:rFonts w:ascii="Book Antiqua" w:hAnsi="Book Antiqua"/>
        </w:rPr>
        <w:t xml:space="preserve">Il est de </w:t>
      </w:r>
      <w:r w:rsidR="00476139" w:rsidRPr="00476139">
        <w:rPr>
          <w:rFonts w:ascii="Book Antiqua" w:hAnsi="Book Antiqua"/>
        </w:rPr>
        <w:t>57,8%</w:t>
      </w:r>
      <w:r w:rsidR="00735A3A" w:rsidRPr="00476139">
        <w:rPr>
          <w:rFonts w:ascii="Book Antiqua" w:hAnsi="Book Antiqua"/>
        </w:rPr>
        <w:t xml:space="preserve"> </w:t>
      </w:r>
      <w:r w:rsidR="00476139" w:rsidRPr="00476139">
        <w:rPr>
          <w:rFonts w:ascii="Book Antiqua" w:hAnsi="Book Antiqua"/>
        </w:rPr>
        <w:t>pour</w:t>
      </w:r>
      <w:r w:rsidR="00735A3A" w:rsidRPr="00476139">
        <w:rPr>
          <w:rFonts w:ascii="Book Antiqua" w:hAnsi="Book Antiqua"/>
        </w:rPr>
        <w:t xml:space="preserve"> la tranche d’âge 35-44 ans</w:t>
      </w:r>
      <w:r w:rsidR="00476139" w:rsidRPr="00476139">
        <w:rPr>
          <w:rFonts w:ascii="Book Antiqua" w:hAnsi="Book Antiqua"/>
        </w:rPr>
        <w:t xml:space="preserve"> et de 20,2%</w:t>
      </w:r>
      <w:r w:rsidR="00735A3A" w:rsidRPr="00476139">
        <w:rPr>
          <w:rFonts w:ascii="Book Antiqua" w:hAnsi="Book Antiqua"/>
        </w:rPr>
        <w:t xml:space="preserve"> </w:t>
      </w:r>
      <w:r w:rsidR="00476139" w:rsidRPr="00476139">
        <w:rPr>
          <w:rFonts w:ascii="Book Antiqua" w:hAnsi="Book Antiqua"/>
        </w:rPr>
        <w:t>pour</w:t>
      </w:r>
      <w:r w:rsidR="00735A3A" w:rsidRPr="00476139">
        <w:rPr>
          <w:rFonts w:ascii="Book Antiqua" w:hAnsi="Book Antiqua"/>
        </w:rPr>
        <w:t xml:space="preserve"> </w:t>
      </w:r>
      <w:r w:rsidR="00476139" w:rsidRPr="00476139">
        <w:rPr>
          <w:rFonts w:ascii="Book Antiqua" w:hAnsi="Book Antiqua"/>
        </w:rPr>
        <w:t>celle</w:t>
      </w:r>
      <w:r w:rsidR="00735A3A" w:rsidRPr="00476139">
        <w:rPr>
          <w:rFonts w:ascii="Book Antiqua" w:hAnsi="Book Antiqua"/>
        </w:rPr>
        <w:t xml:space="preserve"> de 15 à 24 ans.</w:t>
      </w:r>
    </w:p>
    <w:p w:rsidR="004D43E5" w:rsidRPr="000F0CFB" w:rsidRDefault="00244AD3" w:rsidP="00D268CD">
      <w:pPr>
        <w:spacing w:before="240" w:line="312" w:lineRule="auto"/>
        <w:jc w:val="center"/>
        <w:rPr>
          <w:rFonts w:ascii="Book Antiqua" w:hAnsi="Book Antiqua"/>
          <w:color w:val="00B050"/>
        </w:rPr>
      </w:pPr>
      <w:r w:rsidRPr="000F0CFB">
        <w:rPr>
          <w:rFonts w:ascii="Book Antiqua" w:hAnsi="Book Antiqua"/>
          <w:b/>
          <w:bCs/>
          <w:color w:val="1F497D" w:themeColor="text2"/>
          <w:sz w:val="22"/>
          <w:szCs w:val="22"/>
        </w:rPr>
        <w:t xml:space="preserve">Graphique </w:t>
      </w:r>
      <w:r w:rsidR="00D268CD">
        <w:rPr>
          <w:rFonts w:ascii="Book Antiqua" w:hAnsi="Book Antiqua"/>
          <w:b/>
          <w:bCs/>
          <w:color w:val="1F497D" w:themeColor="text2"/>
          <w:sz w:val="22"/>
          <w:szCs w:val="22"/>
        </w:rPr>
        <w:t>1</w:t>
      </w:r>
      <w:r w:rsidR="00103D9B" w:rsidRPr="000F0CFB">
        <w:rPr>
          <w:rFonts w:ascii="Book Antiqua" w:hAnsi="Book Antiqua"/>
          <w:b/>
          <w:bCs/>
          <w:color w:val="1F497D" w:themeColor="text2"/>
          <w:sz w:val="22"/>
          <w:szCs w:val="22"/>
        </w:rPr>
        <w:t xml:space="preserve">. </w:t>
      </w:r>
      <w:r w:rsidR="004D43E5" w:rsidRPr="000F0CFB">
        <w:rPr>
          <w:rFonts w:ascii="Book Antiqua" w:hAnsi="Book Antiqua"/>
          <w:b/>
          <w:bCs/>
          <w:color w:val="1F497D" w:themeColor="text2"/>
          <w:sz w:val="22"/>
          <w:szCs w:val="22"/>
        </w:rPr>
        <w:t>Taux d’emploi selon l’âge et le milieu de résidence (%)</w:t>
      </w:r>
      <w:r w:rsidR="008F2086" w:rsidRPr="000F0CFB">
        <w:rPr>
          <w:rFonts w:ascii="Book Antiqua" w:hAnsi="Book Antiqua"/>
          <w:b/>
          <w:bCs/>
          <w:color w:val="1F497D" w:themeColor="text2"/>
          <w:sz w:val="22"/>
          <w:szCs w:val="22"/>
        </w:rPr>
        <w:t>.</w:t>
      </w:r>
    </w:p>
    <w:p w:rsidR="004D43E5" w:rsidRPr="000F0CFB" w:rsidRDefault="004D43E5" w:rsidP="007A69C0">
      <w:pPr>
        <w:spacing w:before="240" w:line="312" w:lineRule="auto"/>
        <w:jc w:val="center"/>
        <w:rPr>
          <w:rFonts w:ascii="Book Antiqua" w:hAnsi="Book Antiqua"/>
          <w:color w:val="00B050"/>
        </w:rPr>
      </w:pPr>
      <w:r w:rsidRPr="000F0CFB">
        <w:rPr>
          <w:rFonts w:ascii="Book Antiqua" w:hAnsi="Book Antiqua"/>
          <w:noProof/>
          <w:color w:val="00B050"/>
        </w:rPr>
        <w:drawing>
          <wp:inline distT="0" distB="0" distL="0" distR="0">
            <wp:extent cx="5300644" cy="2027208"/>
            <wp:effectExtent l="19050" t="0" r="14306"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20DE5" w:rsidRPr="000F0CFB" w:rsidRDefault="008373BA" w:rsidP="007A69C0">
      <w:pPr>
        <w:spacing w:before="240" w:line="312" w:lineRule="auto"/>
        <w:jc w:val="both"/>
        <w:rPr>
          <w:rFonts w:ascii="Book Antiqua" w:hAnsi="Book Antiqua"/>
        </w:rPr>
      </w:pPr>
      <w:r w:rsidRPr="000F0CFB">
        <w:rPr>
          <w:rFonts w:ascii="Book Antiqua" w:hAnsi="Book Antiqua"/>
        </w:rPr>
        <w:t>Les taux d’</w:t>
      </w:r>
      <w:r w:rsidR="00F20DE5" w:rsidRPr="000F0CFB">
        <w:rPr>
          <w:rFonts w:ascii="Book Antiqua" w:hAnsi="Book Antiqua"/>
        </w:rPr>
        <w:t>emploi les plus élevés s</w:t>
      </w:r>
      <w:r w:rsidR="009612DF" w:rsidRPr="000F0CFB">
        <w:rPr>
          <w:rFonts w:ascii="Book Antiqua" w:hAnsi="Book Antiqua"/>
        </w:rPr>
        <w:t>ont observés dans les régions d’</w:t>
      </w:r>
      <w:r w:rsidRPr="000F0CFB">
        <w:rPr>
          <w:rFonts w:ascii="Book Antiqua" w:hAnsi="Book Antiqua"/>
        </w:rPr>
        <w:t>Eddakhla-Oued Eddahab</w:t>
      </w:r>
      <w:r w:rsidR="00F20DE5" w:rsidRPr="000F0CFB">
        <w:rPr>
          <w:rFonts w:ascii="Book Antiqua" w:hAnsi="Book Antiqua"/>
        </w:rPr>
        <w:t xml:space="preserve"> (</w:t>
      </w:r>
      <w:r w:rsidRPr="000F0CFB">
        <w:rPr>
          <w:rFonts w:ascii="Book Antiqua" w:hAnsi="Book Antiqua"/>
        </w:rPr>
        <w:t>64,3</w:t>
      </w:r>
      <w:r w:rsidR="00F20DE5" w:rsidRPr="000F0CFB">
        <w:rPr>
          <w:rFonts w:ascii="Book Antiqua" w:hAnsi="Book Antiqua"/>
        </w:rPr>
        <w:t xml:space="preserve">%), </w:t>
      </w:r>
      <w:r w:rsidRPr="000F0CFB">
        <w:rPr>
          <w:rFonts w:ascii="Book Antiqua" w:hAnsi="Book Antiqua"/>
        </w:rPr>
        <w:t xml:space="preserve">de Marrakech-Safi </w:t>
      </w:r>
      <w:r w:rsidR="00F20DE5" w:rsidRPr="000F0CFB">
        <w:rPr>
          <w:rFonts w:ascii="Book Antiqua" w:hAnsi="Book Antiqua"/>
        </w:rPr>
        <w:t>(</w:t>
      </w:r>
      <w:r w:rsidRPr="000F0CFB">
        <w:rPr>
          <w:rFonts w:ascii="Book Antiqua" w:hAnsi="Book Antiqua"/>
        </w:rPr>
        <w:t>45,2</w:t>
      </w:r>
      <w:r w:rsidR="00F20DE5" w:rsidRPr="000F0CFB">
        <w:rPr>
          <w:rFonts w:ascii="Book Antiqua" w:hAnsi="Book Antiqua"/>
        </w:rPr>
        <w:t xml:space="preserve">%) et </w:t>
      </w:r>
      <w:r w:rsidR="00B37818" w:rsidRPr="000F0CFB">
        <w:rPr>
          <w:rFonts w:ascii="Book Antiqua" w:hAnsi="Book Antiqua"/>
        </w:rPr>
        <w:t xml:space="preserve">de </w:t>
      </w:r>
      <w:r w:rsidRPr="000F0CFB">
        <w:rPr>
          <w:rFonts w:ascii="Book Antiqua" w:hAnsi="Book Antiqua"/>
        </w:rPr>
        <w:t>Casablanca-Settat</w:t>
      </w:r>
      <w:r w:rsidR="00F20DE5" w:rsidRPr="000F0CFB">
        <w:rPr>
          <w:rFonts w:ascii="Book Antiqua" w:hAnsi="Book Antiqua"/>
        </w:rPr>
        <w:t xml:space="preserve"> (</w:t>
      </w:r>
      <w:r w:rsidRPr="000F0CFB">
        <w:rPr>
          <w:rFonts w:ascii="Book Antiqua" w:hAnsi="Book Antiqua"/>
        </w:rPr>
        <w:t>44,5</w:t>
      </w:r>
      <w:r w:rsidR="00F20DE5" w:rsidRPr="000F0CFB">
        <w:rPr>
          <w:rFonts w:ascii="Book Antiqua" w:hAnsi="Book Antiqua"/>
        </w:rPr>
        <w:t>%). En revanche, les régions de Guelmim-Oued Noun</w:t>
      </w:r>
      <w:r w:rsidRPr="000F0CFB">
        <w:rPr>
          <w:rFonts w:ascii="Book Antiqua" w:hAnsi="Book Antiqua"/>
        </w:rPr>
        <w:t xml:space="preserve">, </w:t>
      </w:r>
      <w:r w:rsidR="00F23640" w:rsidRPr="000F0CFB">
        <w:rPr>
          <w:rFonts w:ascii="Book Antiqua" w:hAnsi="Book Antiqua"/>
        </w:rPr>
        <w:t xml:space="preserve">de </w:t>
      </w:r>
      <w:r w:rsidRPr="000F0CFB">
        <w:rPr>
          <w:rFonts w:ascii="Book Antiqua" w:hAnsi="Book Antiqua"/>
        </w:rPr>
        <w:t xml:space="preserve">Laayoune-Sakia El Hamra et de </w:t>
      </w:r>
      <w:r w:rsidRPr="000F0CFB">
        <w:rPr>
          <w:rFonts w:ascii="Book Antiqua" w:hAnsi="Book Antiqua"/>
        </w:rPr>
        <w:lastRenderedPageBreak/>
        <w:t>l’Oriental</w:t>
      </w:r>
      <w:r w:rsidR="00F20DE5" w:rsidRPr="000F0CFB">
        <w:rPr>
          <w:rFonts w:ascii="Book Antiqua" w:hAnsi="Book Antiqua"/>
        </w:rPr>
        <w:t xml:space="preserve"> enregistrent les taux les plus bas avec respectivement </w:t>
      </w:r>
      <w:r w:rsidRPr="000F0CFB">
        <w:rPr>
          <w:rFonts w:ascii="Book Antiqua" w:hAnsi="Book Antiqua"/>
        </w:rPr>
        <w:t>34,4%, 35,9% et 36,9%.</w:t>
      </w:r>
      <w:r w:rsidR="00F20DE5" w:rsidRPr="000F0CFB">
        <w:rPr>
          <w:rFonts w:ascii="Book Antiqua" w:hAnsi="Book Antiqua"/>
        </w:rPr>
        <w:t xml:space="preserve"> </w:t>
      </w:r>
    </w:p>
    <w:p w:rsidR="006272EC" w:rsidRPr="000F0CFB" w:rsidRDefault="008D57A5" w:rsidP="000048CA">
      <w:pPr>
        <w:spacing w:before="240" w:line="312" w:lineRule="auto"/>
        <w:jc w:val="both"/>
        <w:rPr>
          <w:rFonts w:ascii="Book Antiqua" w:hAnsi="Book Antiqua"/>
        </w:rPr>
      </w:pPr>
      <w:r w:rsidRPr="000F0CFB">
        <w:rPr>
          <w:rFonts w:ascii="Book Antiqua" w:hAnsi="Book Antiqua"/>
        </w:rPr>
        <w:t>Le secteur des services emploie 42,4%</w:t>
      </w:r>
      <w:r w:rsidR="006272EC" w:rsidRPr="000F0CFB">
        <w:rPr>
          <w:rFonts w:ascii="Book Antiqua" w:hAnsi="Book Antiqua"/>
        </w:rPr>
        <w:t xml:space="preserve"> </w:t>
      </w:r>
      <w:r w:rsidR="00B37818" w:rsidRPr="000F0CFB">
        <w:rPr>
          <w:rFonts w:ascii="Book Antiqua" w:hAnsi="Book Antiqua"/>
        </w:rPr>
        <w:t xml:space="preserve">des actifs occupés </w:t>
      </w:r>
      <w:r w:rsidR="006272EC" w:rsidRPr="000F0CFB">
        <w:rPr>
          <w:rFonts w:ascii="Book Antiqua" w:hAnsi="Book Antiqua"/>
        </w:rPr>
        <w:t>(4.583.000 personnes)</w:t>
      </w:r>
      <w:r w:rsidRPr="000F0CFB">
        <w:rPr>
          <w:rFonts w:ascii="Book Antiqua" w:hAnsi="Book Antiqua"/>
        </w:rPr>
        <w:t xml:space="preserve">, suivi </w:t>
      </w:r>
      <w:r w:rsidR="001722D0" w:rsidRPr="000F0CFB">
        <w:rPr>
          <w:rFonts w:ascii="Book Antiqua" w:hAnsi="Book Antiqua"/>
        </w:rPr>
        <w:t xml:space="preserve">de </w:t>
      </w:r>
      <w:r w:rsidRPr="000F0CFB">
        <w:rPr>
          <w:rFonts w:ascii="Book Antiqua" w:hAnsi="Book Antiqua"/>
        </w:rPr>
        <w:t xml:space="preserve">l’"agriculture, forêt et pêche", avec </w:t>
      </w:r>
      <w:r w:rsidR="00EF27BF" w:rsidRPr="000F0CFB">
        <w:rPr>
          <w:rFonts w:ascii="Book Antiqua" w:hAnsi="Book Antiqua"/>
        </w:rPr>
        <w:t>35</w:t>
      </w:r>
      <w:r w:rsidRPr="000F0CFB">
        <w:rPr>
          <w:rFonts w:ascii="Book Antiqua" w:hAnsi="Book Antiqua"/>
        </w:rPr>
        <w:t xml:space="preserve">% </w:t>
      </w:r>
      <w:r w:rsidR="006272EC" w:rsidRPr="000F0CFB">
        <w:rPr>
          <w:rFonts w:ascii="Book Antiqua" w:hAnsi="Book Antiqua"/>
        </w:rPr>
        <w:t>(3.780.000)</w:t>
      </w:r>
      <w:r w:rsidRPr="000F0CFB">
        <w:rPr>
          <w:rFonts w:ascii="Book Antiqua" w:hAnsi="Book Antiqua"/>
        </w:rPr>
        <w:t xml:space="preserve">, </w:t>
      </w:r>
      <w:r w:rsidR="000048CA">
        <w:rPr>
          <w:rFonts w:ascii="Book Antiqua" w:hAnsi="Book Antiqua"/>
        </w:rPr>
        <w:t xml:space="preserve">de </w:t>
      </w:r>
      <w:r w:rsidRPr="000F0CFB">
        <w:rPr>
          <w:rFonts w:ascii="Book Antiqua" w:hAnsi="Book Antiqua"/>
        </w:rPr>
        <w:t>l’industrie</w:t>
      </w:r>
      <w:r w:rsidR="006272EC" w:rsidRPr="000F0CFB">
        <w:rPr>
          <w:rFonts w:ascii="Book Antiqua" w:hAnsi="Book Antiqua"/>
        </w:rPr>
        <w:t xml:space="preserve"> y compris l’artisanat, avec 11,7% (1.269.000)</w:t>
      </w:r>
      <w:r w:rsidR="000048CA">
        <w:rPr>
          <w:rFonts w:ascii="Book Antiqua" w:hAnsi="Book Antiqua"/>
        </w:rPr>
        <w:t xml:space="preserve"> et d</w:t>
      </w:r>
      <w:r w:rsidRPr="000F0CFB">
        <w:rPr>
          <w:rFonts w:ascii="Book Antiqua" w:hAnsi="Book Antiqua"/>
        </w:rPr>
        <w:t>es BTP</w:t>
      </w:r>
      <w:r w:rsidR="00F23640" w:rsidRPr="000F0CFB">
        <w:rPr>
          <w:rFonts w:ascii="Book Antiqua" w:hAnsi="Book Antiqua"/>
        </w:rPr>
        <w:t xml:space="preserve"> avec </w:t>
      </w:r>
      <w:r w:rsidR="009612DF" w:rsidRPr="000F0CFB">
        <w:rPr>
          <w:rFonts w:ascii="Book Antiqua" w:hAnsi="Book Antiqua"/>
        </w:rPr>
        <w:t xml:space="preserve">10,8% </w:t>
      </w:r>
      <w:r w:rsidR="006272EC" w:rsidRPr="000F0CFB">
        <w:rPr>
          <w:rFonts w:ascii="Book Antiqua" w:hAnsi="Book Antiqua"/>
        </w:rPr>
        <w:t>(1.169.000)</w:t>
      </w:r>
      <w:r w:rsidR="009612DF" w:rsidRPr="000F0CFB">
        <w:rPr>
          <w:rFonts w:ascii="Book Antiqua" w:hAnsi="Book Antiqua"/>
        </w:rPr>
        <w:t>.</w:t>
      </w:r>
      <w:r w:rsidRPr="000F0CFB">
        <w:rPr>
          <w:rFonts w:ascii="Book Antiqua" w:hAnsi="Book Antiqua"/>
        </w:rPr>
        <w:t xml:space="preserve"> </w:t>
      </w:r>
    </w:p>
    <w:p w:rsidR="00010827" w:rsidRPr="000F0CFB" w:rsidRDefault="00412880" w:rsidP="000048CA">
      <w:pPr>
        <w:spacing w:before="240" w:line="312" w:lineRule="auto"/>
        <w:jc w:val="both"/>
        <w:rPr>
          <w:rFonts w:ascii="Book Antiqua" w:hAnsi="Book Antiqua"/>
        </w:rPr>
      </w:pPr>
      <w:r w:rsidRPr="000F0CFB">
        <w:rPr>
          <w:rFonts w:ascii="Book Antiqua" w:hAnsi="Book Antiqua"/>
        </w:rPr>
        <w:t>P</w:t>
      </w:r>
      <w:r w:rsidR="001722D0" w:rsidRPr="000F0CFB">
        <w:rPr>
          <w:rFonts w:ascii="Book Antiqua" w:hAnsi="Book Antiqua"/>
        </w:rPr>
        <w:t>rès de</w:t>
      </w:r>
      <w:r w:rsidR="000048CA">
        <w:rPr>
          <w:rFonts w:ascii="Book Antiqua" w:hAnsi="Book Antiqua"/>
        </w:rPr>
        <w:t>s</w:t>
      </w:r>
      <w:r w:rsidR="001722D0" w:rsidRPr="000F0CFB">
        <w:rPr>
          <w:rFonts w:ascii="Book Antiqua" w:hAnsi="Book Antiqua"/>
        </w:rPr>
        <w:t xml:space="preserve"> deux tiers (</w:t>
      </w:r>
      <w:r w:rsidR="00EF27BF" w:rsidRPr="000F0CFB">
        <w:rPr>
          <w:rFonts w:ascii="Book Antiqua" w:hAnsi="Book Antiqua"/>
        </w:rPr>
        <w:t>64,4</w:t>
      </w:r>
      <w:r w:rsidR="001722D0" w:rsidRPr="000F0CFB">
        <w:rPr>
          <w:rFonts w:ascii="Book Antiqua" w:hAnsi="Book Antiqua"/>
        </w:rPr>
        <w:t xml:space="preserve">%) des actifs occupés citadins travaillent dans le secteur des services et près d’un travailleur sur </w:t>
      </w:r>
      <w:r w:rsidR="008D57A5" w:rsidRPr="000F0CFB">
        <w:rPr>
          <w:rFonts w:ascii="Book Antiqua" w:hAnsi="Book Antiqua"/>
        </w:rPr>
        <w:t>5</w:t>
      </w:r>
      <w:r w:rsidR="00EF27BF" w:rsidRPr="000F0CFB">
        <w:rPr>
          <w:rFonts w:ascii="Book Antiqua" w:hAnsi="Book Antiqua"/>
        </w:rPr>
        <w:t xml:space="preserve"> (17,9%)</w:t>
      </w:r>
      <w:r w:rsidR="00664FAB" w:rsidRPr="000F0CFB">
        <w:rPr>
          <w:rFonts w:ascii="Book Antiqua" w:hAnsi="Book Antiqua"/>
        </w:rPr>
        <w:t xml:space="preserve"> </w:t>
      </w:r>
      <w:r w:rsidR="001722D0" w:rsidRPr="000F0CFB">
        <w:rPr>
          <w:rFonts w:ascii="Book Antiqua" w:hAnsi="Book Antiqua"/>
        </w:rPr>
        <w:t>dans l’industrie</w:t>
      </w:r>
      <w:r w:rsidR="00664FAB" w:rsidRPr="000F0CFB">
        <w:rPr>
          <w:rFonts w:ascii="Book Antiqua" w:hAnsi="Book Antiqua"/>
        </w:rPr>
        <w:t xml:space="preserve"> y compris l’artisanat</w:t>
      </w:r>
      <w:r w:rsidR="001722D0" w:rsidRPr="000F0CFB">
        <w:rPr>
          <w:rFonts w:ascii="Book Antiqua" w:hAnsi="Book Antiqua"/>
        </w:rPr>
        <w:t xml:space="preserve">. En milieu rural, </w:t>
      </w:r>
      <w:r w:rsidR="00664FAB" w:rsidRPr="000F0CFB">
        <w:rPr>
          <w:rFonts w:ascii="Book Antiqua" w:hAnsi="Book Antiqua"/>
        </w:rPr>
        <w:t>près</w:t>
      </w:r>
      <w:r w:rsidR="001722D0" w:rsidRPr="000F0CFB">
        <w:rPr>
          <w:rFonts w:ascii="Book Antiqua" w:hAnsi="Book Antiqua"/>
        </w:rPr>
        <w:t xml:space="preserve"> des trois quarts</w:t>
      </w:r>
      <w:r w:rsidR="00EF27BF" w:rsidRPr="000F0CFB">
        <w:rPr>
          <w:rFonts w:ascii="Book Antiqua" w:hAnsi="Book Antiqua"/>
        </w:rPr>
        <w:t xml:space="preserve"> (72%)</w:t>
      </w:r>
      <w:r w:rsidR="00F23640" w:rsidRPr="000F0CFB">
        <w:rPr>
          <w:rFonts w:ascii="Book Antiqua" w:hAnsi="Book Antiqua"/>
        </w:rPr>
        <w:t xml:space="preserve"> des actifs occupés </w:t>
      </w:r>
      <w:r w:rsidR="001722D0" w:rsidRPr="000F0CFB">
        <w:rPr>
          <w:rFonts w:ascii="Book Antiqua" w:hAnsi="Book Antiqua"/>
        </w:rPr>
        <w:t xml:space="preserve">exercent </w:t>
      </w:r>
      <w:r w:rsidR="00664FAB" w:rsidRPr="000F0CFB">
        <w:rPr>
          <w:rFonts w:ascii="Book Antiqua" w:hAnsi="Book Antiqua"/>
        </w:rPr>
        <w:t>dans le secteur de l’</w:t>
      </w:r>
      <w:r w:rsidR="001722D0" w:rsidRPr="000F0CFB">
        <w:rPr>
          <w:rFonts w:ascii="Book Antiqua" w:hAnsi="Book Antiqua"/>
        </w:rPr>
        <w:t>agriculture, forêt et pêche.</w:t>
      </w:r>
      <w:r w:rsidR="008D57A5" w:rsidRPr="000F0CFB">
        <w:rPr>
          <w:rFonts w:ascii="Book Antiqua" w:hAnsi="Book Antiqua"/>
        </w:rPr>
        <w:t xml:space="preserve"> </w:t>
      </w:r>
    </w:p>
    <w:p w:rsidR="003669ED" w:rsidRPr="000F0CFB" w:rsidRDefault="003669ED" w:rsidP="000048CA">
      <w:pPr>
        <w:spacing w:before="240" w:line="312" w:lineRule="auto"/>
        <w:jc w:val="both"/>
        <w:rPr>
          <w:rFonts w:ascii="Book Antiqua" w:hAnsi="Book Antiqua"/>
        </w:rPr>
      </w:pPr>
      <w:r w:rsidRPr="000F0CFB">
        <w:rPr>
          <w:rFonts w:ascii="Book Antiqua" w:hAnsi="Book Antiqua"/>
        </w:rPr>
        <w:t xml:space="preserve">Au niveau national, 9 actifs occupés sur 10 travaillent dans le secteur privé, 97,1% en </w:t>
      </w:r>
      <w:r w:rsidR="00F23640" w:rsidRPr="000F0CFB">
        <w:rPr>
          <w:rFonts w:ascii="Book Antiqua" w:hAnsi="Book Antiqua"/>
        </w:rPr>
        <w:t>milieu rural</w:t>
      </w:r>
      <w:r w:rsidRPr="000F0CFB">
        <w:rPr>
          <w:rFonts w:ascii="Book Antiqua" w:hAnsi="Book Antiqua"/>
        </w:rPr>
        <w:t xml:space="preserve"> et 84,4% en milieu urbain.</w:t>
      </w:r>
    </w:p>
    <w:p w:rsidR="003669ED" w:rsidRPr="000F0CFB" w:rsidRDefault="003669ED" w:rsidP="007A69C0">
      <w:pPr>
        <w:suppressAutoHyphens/>
        <w:spacing w:before="240" w:line="312" w:lineRule="auto"/>
        <w:jc w:val="both"/>
        <w:rPr>
          <w:rFonts w:ascii="Book Antiqua" w:hAnsi="Book Antiqua"/>
        </w:rPr>
      </w:pPr>
      <w:r w:rsidRPr="000F0CFB">
        <w:rPr>
          <w:rFonts w:ascii="Book Antiqua" w:hAnsi="Book Antiqua"/>
        </w:rPr>
        <w:t xml:space="preserve">Les "ouvriers et manœuvres de l’agriculture et de la pêche" sont les professions les plus exercées avec 21% des actifs occupés (3,1% dans les villes et 43% dans la campagne). Viennent en deuxième position, les </w:t>
      </w:r>
      <w:r w:rsidRPr="000F0CFB">
        <w:rPr>
          <w:rFonts w:ascii="Book Antiqua" w:hAnsi="Book Antiqua"/>
        </w:rPr>
        <w:sym w:font="Symbol" w:char="F0B2"/>
      </w:r>
      <w:r w:rsidRPr="000F0CFB">
        <w:rPr>
          <w:rFonts w:ascii="Book Antiqua" w:hAnsi="Book Antiqua"/>
        </w:rPr>
        <w:t>artisans et ouvriers qualifiés des métiers artisanaux</w:t>
      </w:r>
      <w:r w:rsidRPr="000F0CFB">
        <w:rPr>
          <w:rFonts w:ascii="Book Antiqua" w:hAnsi="Book Antiqua"/>
        </w:rPr>
        <w:sym w:font="Symbol" w:char="F0B2"/>
      </w:r>
      <w:r w:rsidRPr="000F0CFB">
        <w:rPr>
          <w:rFonts w:ascii="Book Antiqua" w:hAnsi="Book Antiqua"/>
        </w:rPr>
        <w:t xml:space="preserve"> </w:t>
      </w:r>
      <w:r w:rsidR="00B37818" w:rsidRPr="000F0CFB">
        <w:rPr>
          <w:rFonts w:ascii="Book Antiqua" w:hAnsi="Book Antiqua"/>
        </w:rPr>
        <w:t xml:space="preserve">avec </w:t>
      </w:r>
      <w:r w:rsidRPr="000F0CFB">
        <w:rPr>
          <w:rFonts w:ascii="Book Antiqua" w:hAnsi="Book Antiqua"/>
        </w:rPr>
        <w:t xml:space="preserve">18,7%, suivis des "manœuvres non agricoles, manutentionnaires, petits métiers " </w:t>
      </w:r>
      <w:r w:rsidR="00B37818" w:rsidRPr="000F0CFB">
        <w:rPr>
          <w:rFonts w:ascii="Book Antiqua" w:hAnsi="Book Antiqua"/>
        </w:rPr>
        <w:t xml:space="preserve">avec </w:t>
      </w:r>
      <w:r w:rsidRPr="000F0CFB">
        <w:rPr>
          <w:rFonts w:ascii="Book Antiqua" w:hAnsi="Book Antiqua"/>
        </w:rPr>
        <w:t xml:space="preserve">14,9%.  </w:t>
      </w:r>
    </w:p>
    <w:p w:rsidR="003669ED" w:rsidRPr="000F0CFB" w:rsidRDefault="003669ED" w:rsidP="007A69C0">
      <w:pPr>
        <w:suppressAutoHyphens/>
        <w:spacing w:before="240" w:line="312" w:lineRule="auto"/>
        <w:jc w:val="both"/>
        <w:rPr>
          <w:rFonts w:ascii="Book Antiqua" w:hAnsi="Book Antiqua"/>
        </w:rPr>
      </w:pPr>
      <w:r w:rsidRPr="000F0CFB">
        <w:rPr>
          <w:rFonts w:ascii="Book Antiqua" w:hAnsi="Book Antiqua"/>
        </w:rPr>
        <w:t>Les "cadres supérieurs et membres des professions libérales" et les "membres des corps législatifs, élus, responsables hiérarchiques " affichent les proportions les plus faibles, avec respectivement 3,8% et 0,7% des actifs occupés.</w:t>
      </w:r>
    </w:p>
    <w:p w:rsidR="008D57A5" w:rsidRPr="000F0CFB" w:rsidRDefault="008D57A5" w:rsidP="007A69C0">
      <w:pPr>
        <w:spacing w:before="240" w:line="312" w:lineRule="auto"/>
        <w:jc w:val="both"/>
        <w:rPr>
          <w:rFonts w:ascii="Book Antiqua" w:hAnsi="Book Antiqua"/>
          <w:b/>
          <w:bCs/>
          <w:color w:val="1F497D" w:themeColor="text2"/>
        </w:rPr>
      </w:pPr>
      <w:r w:rsidRPr="000F0CFB">
        <w:rPr>
          <w:rFonts w:ascii="Book Antiqua" w:hAnsi="Book Antiqua"/>
          <w:b/>
          <w:bCs/>
          <w:color w:val="1F497D" w:themeColor="text2"/>
        </w:rPr>
        <w:t>Le sa</w:t>
      </w:r>
      <w:r w:rsidR="00F20DE5" w:rsidRPr="000F0CFB">
        <w:rPr>
          <w:rFonts w:ascii="Book Antiqua" w:hAnsi="Book Antiqua"/>
          <w:b/>
          <w:bCs/>
          <w:color w:val="1F497D" w:themeColor="text2"/>
        </w:rPr>
        <w:t xml:space="preserve">lariat et l’emploi individuel </w:t>
      </w:r>
      <w:r w:rsidRPr="000F0CFB">
        <w:rPr>
          <w:rFonts w:ascii="Book Antiqua" w:hAnsi="Book Antiqua"/>
          <w:b/>
          <w:bCs/>
          <w:color w:val="1F497D" w:themeColor="text2"/>
        </w:rPr>
        <w:t>prédomin</w:t>
      </w:r>
      <w:r w:rsidR="0029199C" w:rsidRPr="000F0CFB">
        <w:rPr>
          <w:rFonts w:ascii="Book Antiqua" w:hAnsi="Book Antiqua"/>
          <w:b/>
          <w:bCs/>
          <w:color w:val="1F497D" w:themeColor="text2"/>
        </w:rPr>
        <w:t>ent</w:t>
      </w:r>
    </w:p>
    <w:p w:rsidR="00B75E8E" w:rsidRPr="000F0CFB" w:rsidRDefault="00B75E8E" w:rsidP="007A69C0">
      <w:pPr>
        <w:spacing w:before="240" w:line="312" w:lineRule="auto"/>
        <w:jc w:val="both"/>
        <w:rPr>
          <w:rFonts w:ascii="Book Antiqua" w:hAnsi="Book Antiqua"/>
        </w:rPr>
      </w:pPr>
      <w:r w:rsidRPr="000F0CFB">
        <w:rPr>
          <w:rFonts w:ascii="Book Antiqua" w:hAnsi="Book Antiqua"/>
        </w:rPr>
        <w:t>Près de la moitié (48,8%) des actifs occupés âgés de 15 ans et plus sont des salariés, 30</w:t>
      </w:r>
      <w:r w:rsidR="00062C89" w:rsidRPr="000F0CFB">
        <w:rPr>
          <w:rFonts w:ascii="Book Antiqua" w:hAnsi="Book Antiqua"/>
        </w:rPr>
        <w:t>,3</w:t>
      </w:r>
      <w:r w:rsidR="00B658B7" w:rsidRPr="000F0CFB">
        <w:rPr>
          <w:rFonts w:ascii="Book Antiqua" w:hAnsi="Book Antiqua"/>
        </w:rPr>
        <w:t xml:space="preserve">% des indépendants, </w:t>
      </w:r>
      <w:r w:rsidR="00062C89" w:rsidRPr="000F0CFB">
        <w:rPr>
          <w:rFonts w:ascii="Book Antiqua" w:hAnsi="Book Antiqua"/>
        </w:rPr>
        <w:t>16% des aides familiales et 2,4% des employeurs.</w:t>
      </w:r>
    </w:p>
    <w:p w:rsidR="00062C89" w:rsidRPr="000F0CFB" w:rsidRDefault="00062C89" w:rsidP="000048CA">
      <w:pPr>
        <w:spacing w:before="240" w:line="312" w:lineRule="auto"/>
        <w:jc w:val="both"/>
        <w:rPr>
          <w:rFonts w:ascii="Book Antiqua" w:hAnsi="Book Antiqua"/>
        </w:rPr>
      </w:pPr>
      <w:r w:rsidRPr="000F0CFB">
        <w:rPr>
          <w:rFonts w:ascii="Book Antiqua" w:hAnsi="Book Antiqua"/>
        </w:rPr>
        <w:t>L</w:t>
      </w:r>
      <w:r w:rsidR="00B75E8E" w:rsidRPr="000F0CFB">
        <w:rPr>
          <w:rFonts w:ascii="Book Antiqua" w:hAnsi="Book Antiqua"/>
        </w:rPr>
        <w:t xml:space="preserve">e travail indépendant </w:t>
      </w:r>
      <w:r w:rsidR="0029199C" w:rsidRPr="000F0CFB">
        <w:rPr>
          <w:rFonts w:ascii="Book Antiqua" w:hAnsi="Book Antiqua"/>
        </w:rPr>
        <w:t xml:space="preserve">est plus fréquent parmi les </w:t>
      </w:r>
      <w:r w:rsidRPr="000F0CFB">
        <w:rPr>
          <w:rFonts w:ascii="Book Antiqua" w:hAnsi="Book Antiqua"/>
        </w:rPr>
        <w:t>hommes</w:t>
      </w:r>
      <w:r w:rsidR="00425054" w:rsidRPr="000F0CFB">
        <w:rPr>
          <w:rFonts w:ascii="Book Antiqua" w:hAnsi="Book Antiqua"/>
        </w:rPr>
        <w:t xml:space="preserve"> (</w:t>
      </w:r>
      <w:r w:rsidRPr="000F0CFB">
        <w:rPr>
          <w:rFonts w:ascii="Book Antiqua" w:hAnsi="Book Antiqua"/>
        </w:rPr>
        <w:t>34,5%</w:t>
      </w:r>
      <w:r w:rsidR="0029199C" w:rsidRPr="000F0CFB">
        <w:rPr>
          <w:rFonts w:ascii="Book Antiqua" w:hAnsi="Book Antiqua"/>
        </w:rPr>
        <w:t>) que les femmes (</w:t>
      </w:r>
      <w:r w:rsidRPr="000F0CFB">
        <w:rPr>
          <w:rFonts w:ascii="Book Antiqua" w:hAnsi="Book Antiqua"/>
        </w:rPr>
        <w:t>16,5%</w:t>
      </w:r>
      <w:r w:rsidR="0029199C" w:rsidRPr="000F0CFB">
        <w:rPr>
          <w:rFonts w:ascii="Book Antiqua" w:hAnsi="Book Antiqua"/>
        </w:rPr>
        <w:t>)</w:t>
      </w:r>
      <w:r w:rsidR="000048CA">
        <w:rPr>
          <w:rFonts w:ascii="Book Antiqua" w:hAnsi="Book Antiqua"/>
        </w:rPr>
        <w:t>. L</w:t>
      </w:r>
      <w:r w:rsidR="00B75E8E" w:rsidRPr="000F0CFB">
        <w:rPr>
          <w:rFonts w:ascii="Book Antiqua" w:hAnsi="Book Antiqua"/>
        </w:rPr>
        <w:t xml:space="preserve">e statut d’employeur atteint </w:t>
      </w:r>
      <w:r w:rsidR="00684AE7" w:rsidRPr="000F0CFB">
        <w:rPr>
          <w:rFonts w:ascii="Book Antiqua" w:hAnsi="Book Antiqua"/>
        </w:rPr>
        <w:t>sa valeur maximale</w:t>
      </w:r>
      <w:r w:rsidR="00B75E8E" w:rsidRPr="000F0CFB">
        <w:rPr>
          <w:rFonts w:ascii="Book Antiqua" w:hAnsi="Book Antiqua"/>
        </w:rPr>
        <w:t xml:space="preserve"> auprès des </w:t>
      </w:r>
      <w:r w:rsidR="00684AE7" w:rsidRPr="000F0CFB">
        <w:rPr>
          <w:rFonts w:ascii="Book Antiqua" w:hAnsi="Book Antiqua"/>
        </w:rPr>
        <w:t xml:space="preserve">hommes </w:t>
      </w:r>
      <w:r w:rsidR="0029199C" w:rsidRPr="000F0CFB">
        <w:rPr>
          <w:rFonts w:ascii="Book Antiqua" w:hAnsi="Book Antiqua"/>
        </w:rPr>
        <w:t>citadins</w:t>
      </w:r>
      <w:r w:rsidR="00684AE7" w:rsidRPr="000F0CFB">
        <w:rPr>
          <w:rFonts w:ascii="Book Antiqua" w:hAnsi="Book Antiqua"/>
        </w:rPr>
        <w:t xml:space="preserve"> </w:t>
      </w:r>
      <w:r w:rsidR="00B75E8E" w:rsidRPr="000F0CFB">
        <w:rPr>
          <w:rFonts w:ascii="Book Antiqua" w:hAnsi="Book Antiqua"/>
        </w:rPr>
        <w:t>(</w:t>
      </w:r>
      <w:r w:rsidR="00684AE7" w:rsidRPr="000F0CFB">
        <w:rPr>
          <w:rFonts w:ascii="Book Antiqua" w:hAnsi="Book Antiqua"/>
        </w:rPr>
        <w:t>4</w:t>
      </w:r>
      <w:r w:rsidR="00F23640" w:rsidRPr="000F0CFB">
        <w:rPr>
          <w:rFonts w:ascii="Book Antiqua" w:hAnsi="Book Antiqua"/>
        </w:rPr>
        <w:t>,1</w:t>
      </w:r>
      <w:r w:rsidR="00B75E8E" w:rsidRPr="000F0CFB">
        <w:rPr>
          <w:rFonts w:ascii="Book Antiqua" w:hAnsi="Book Antiqua"/>
        </w:rPr>
        <w:t xml:space="preserve">%) </w:t>
      </w:r>
      <w:r w:rsidR="00684AE7" w:rsidRPr="000F0CFB">
        <w:rPr>
          <w:rFonts w:ascii="Book Antiqua" w:hAnsi="Book Antiqua"/>
        </w:rPr>
        <w:t>et la situation d</w:t>
      </w:r>
      <w:r w:rsidR="0029199C" w:rsidRPr="000F0CFB">
        <w:rPr>
          <w:rFonts w:ascii="Book Antiqua" w:hAnsi="Book Antiqua"/>
        </w:rPr>
        <w:t xml:space="preserve">es </w:t>
      </w:r>
      <w:r w:rsidR="00B75E8E" w:rsidRPr="000F0CFB">
        <w:rPr>
          <w:rFonts w:ascii="Book Antiqua" w:hAnsi="Book Antiqua"/>
        </w:rPr>
        <w:t>aide</w:t>
      </w:r>
      <w:r w:rsidR="0029199C" w:rsidRPr="000F0CFB">
        <w:rPr>
          <w:rFonts w:ascii="Book Antiqua" w:hAnsi="Book Antiqua"/>
        </w:rPr>
        <w:t>s</w:t>
      </w:r>
      <w:r w:rsidR="00B75E8E" w:rsidRPr="000F0CFB">
        <w:rPr>
          <w:rFonts w:ascii="Book Antiqua" w:hAnsi="Book Antiqua"/>
        </w:rPr>
        <w:t xml:space="preserve"> familiale</w:t>
      </w:r>
      <w:r w:rsidR="0029199C" w:rsidRPr="000F0CFB">
        <w:rPr>
          <w:rFonts w:ascii="Book Antiqua" w:hAnsi="Book Antiqua"/>
        </w:rPr>
        <w:t>s</w:t>
      </w:r>
      <w:r w:rsidR="00B75E8E" w:rsidRPr="000F0CFB">
        <w:rPr>
          <w:rFonts w:ascii="Book Antiqua" w:hAnsi="Book Antiqua"/>
        </w:rPr>
        <w:t xml:space="preserve"> reste pr</w:t>
      </w:r>
      <w:r w:rsidR="00B10D28" w:rsidRPr="000F0CFB">
        <w:rPr>
          <w:rFonts w:ascii="Book Antiqua" w:hAnsi="Book Antiqua"/>
        </w:rPr>
        <w:t xml:space="preserve">épondérante parmi </w:t>
      </w:r>
      <w:r w:rsidRPr="000F0CFB">
        <w:rPr>
          <w:rFonts w:ascii="Book Antiqua" w:hAnsi="Book Antiqua"/>
        </w:rPr>
        <w:t>les femmes</w:t>
      </w:r>
      <w:r w:rsidR="004A44C0" w:rsidRPr="000F0CFB">
        <w:rPr>
          <w:rFonts w:ascii="Book Antiqua" w:hAnsi="Book Antiqua"/>
        </w:rPr>
        <w:t xml:space="preserve"> rurales (</w:t>
      </w:r>
      <w:r w:rsidRPr="000F0CFB">
        <w:rPr>
          <w:rFonts w:ascii="Book Antiqua" w:hAnsi="Book Antiqua"/>
        </w:rPr>
        <w:t>70,4%</w:t>
      </w:r>
      <w:r w:rsidR="004A44C0" w:rsidRPr="000F0CFB">
        <w:rPr>
          <w:rFonts w:ascii="Book Antiqua" w:hAnsi="Book Antiqua"/>
        </w:rPr>
        <w:t>).</w:t>
      </w:r>
    </w:p>
    <w:p w:rsidR="00B75E8E" w:rsidRPr="000F0CFB" w:rsidRDefault="00062C89" w:rsidP="007A69C0">
      <w:pPr>
        <w:spacing w:before="240" w:line="312" w:lineRule="auto"/>
        <w:jc w:val="both"/>
        <w:rPr>
          <w:rFonts w:ascii="Book Antiqua" w:hAnsi="Book Antiqua"/>
        </w:rPr>
      </w:pPr>
      <w:r w:rsidRPr="000F0CFB">
        <w:rPr>
          <w:rFonts w:ascii="Book Antiqua" w:hAnsi="Book Antiqua"/>
        </w:rPr>
        <w:t xml:space="preserve">L’emploi salarial </w:t>
      </w:r>
      <w:r w:rsidR="004A44C0" w:rsidRPr="000F0CFB">
        <w:rPr>
          <w:rFonts w:ascii="Book Antiqua" w:hAnsi="Book Antiqua"/>
        </w:rPr>
        <w:t>reste</w:t>
      </w:r>
      <w:r w:rsidRPr="000F0CFB">
        <w:rPr>
          <w:rFonts w:ascii="Book Antiqua" w:hAnsi="Book Antiqua"/>
        </w:rPr>
        <w:t xml:space="preserve"> plus présent parmi les femmes</w:t>
      </w:r>
      <w:r w:rsidR="00F23640" w:rsidRPr="000F0CFB">
        <w:rPr>
          <w:rFonts w:ascii="Book Antiqua" w:hAnsi="Book Antiqua"/>
        </w:rPr>
        <w:t xml:space="preserve"> </w:t>
      </w:r>
      <w:r w:rsidR="00AA1437" w:rsidRPr="000F0CFB">
        <w:rPr>
          <w:rFonts w:ascii="Book Antiqua" w:hAnsi="Book Antiqua"/>
        </w:rPr>
        <w:t>actives</w:t>
      </w:r>
      <w:r w:rsidRPr="000F0CFB">
        <w:rPr>
          <w:rFonts w:ascii="Book Antiqua" w:hAnsi="Book Antiqua"/>
        </w:rPr>
        <w:t xml:space="preserve"> citadines (80,8% contre 61,3</w:t>
      </w:r>
      <w:r w:rsidR="000048CA">
        <w:rPr>
          <w:rFonts w:ascii="Book Antiqua" w:hAnsi="Book Antiqua"/>
        </w:rPr>
        <w:t>%</w:t>
      </w:r>
      <w:r w:rsidRPr="000F0CFB">
        <w:rPr>
          <w:rFonts w:ascii="Book Antiqua" w:hAnsi="Book Antiqua"/>
        </w:rPr>
        <w:t xml:space="preserve"> pour les hommes).</w:t>
      </w:r>
    </w:p>
    <w:p w:rsidR="006F3790" w:rsidRDefault="006F3790" w:rsidP="00D268CD">
      <w:pPr>
        <w:spacing w:before="240" w:line="312" w:lineRule="auto"/>
        <w:jc w:val="both"/>
        <w:rPr>
          <w:rFonts w:ascii="Book Antiqua" w:hAnsi="Book Antiqua"/>
          <w:b/>
          <w:bCs/>
          <w:color w:val="1F497D" w:themeColor="text2"/>
        </w:rPr>
      </w:pPr>
    </w:p>
    <w:p w:rsidR="00B75E8E" w:rsidRPr="000F0CFB" w:rsidRDefault="00B75E8E" w:rsidP="00D268CD">
      <w:pPr>
        <w:spacing w:before="240" w:line="312" w:lineRule="auto"/>
        <w:jc w:val="both"/>
        <w:rPr>
          <w:rFonts w:ascii="Book Antiqua" w:hAnsi="Book Antiqua"/>
          <w:b/>
          <w:bCs/>
          <w:color w:val="1F497D" w:themeColor="text2"/>
        </w:rPr>
      </w:pPr>
      <w:r w:rsidRPr="000F0CFB">
        <w:rPr>
          <w:rFonts w:ascii="Book Antiqua" w:hAnsi="Book Antiqua"/>
          <w:b/>
          <w:bCs/>
          <w:color w:val="1F497D" w:themeColor="text2"/>
        </w:rPr>
        <w:lastRenderedPageBreak/>
        <w:t xml:space="preserve">Les indépendants : une population </w:t>
      </w:r>
      <w:r w:rsidR="00583C02" w:rsidRPr="000F0CFB">
        <w:rPr>
          <w:rFonts w:ascii="Book Antiqua" w:hAnsi="Book Antiqua"/>
          <w:b/>
          <w:bCs/>
          <w:color w:val="1F497D" w:themeColor="text2"/>
        </w:rPr>
        <w:t>exerçant e</w:t>
      </w:r>
      <w:r w:rsidRPr="000F0CFB">
        <w:rPr>
          <w:rFonts w:ascii="Book Antiqua" w:hAnsi="Book Antiqua"/>
          <w:b/>
          <w:bCs/>
          <w:color w:val="1F497D" w:themeColor="text2"/>
        </w:rPr>
        <w:t xml:space="preserve">n majorité dans les secteurs des services et de l’agriculture </w:t>
      </w:r>
    </w:p>
    <w:p w:rsidR="00B75E8E" w:rsidRPr="000F0CFB" w:rsidRDefault="00B75E8E" w:rsidP="007A69C0">
      <w:pPr>
        <w:spacing w:before="240" w:line="312" w:lineRule="auto"/>
        <w:jc w:val="both"/>
        <w:rPr>
          <w:rFonts w:ascii="Book Antiqua" w:hAnsi="Book Antiqua"/>
        </w:rPr>
      </w:pPr>
      <w:r w:rsidRPr="000F0CFB">
        <w:rPr>
          <w:rFonts w:ascii="Book Antiqua" w:hAnsi="Book Antiqua"/>
        </w:rPr>
        <w:t>Avec 3.277.000 personnes, la population des travailleurs indépendants représente au niveau national 30</w:t>
      </w:r>
      <w:r w:rsidR="00062C89" w:rsidRPr="000F0CFB">
        <w:rPr>
          <w:rFonts w:ascii="Book Antiqua" w:hAnsi="Book Antiqua"/>
        </w:rPr>
        <w:t>,3</w:t>
      </w:r>
      <w:r w:rsidRPr="000F0CFB">
        <w:rPr>
          <w:rFonts w:ascii="Book Antiqua" w:hAnsi="Book Antiqua"/>
        </w:rPr>
        <w:t xml:space="preserve">% de l’ensemble des actifs occupés âgés de 15 ans et plus. Cette proportion est de 34,5% pour les hommes, 16,5% pour les femmes, 25,9% en milieu urbain et 35,7% en milieu rural. </w:t>
      </w:r>
    </w:p>
    <w:p w:rsidR="00B75E8E" w:rsidRPr="000F0CFB" w:rsidRDefault="00B75E8E" w:rsidP="000048CA">
      <w:pPr>
        <w:spacing w:before="240" w:line="312" w:lineRule="auto"/>
        <w:jc w:val="both"/>
        <w:rPr>
          <w:rFonts w:ascii="Book Antiqua" w:hAnsi="Book Antiqua"/>
        </w:rPr>
      </w:pPr>
      <w:r w:rsidRPr="000F0CFB">
        <w:rPr>
          <w:rFonts w:ascii="Book Antiqua" w:hAnsi="Book Antiqua"/>
        </w:rPr>
        <w:t xml:space="preserve">Plus de la moitié (51,2%) des indépendants </w:t>
      </w:r>
      <w:r w:rsidR="000048CA">
        <w:rPr>
          <w:rFonts w:ascii="Book Antiqua" w:hAnsi="Book Antiqua"/>
        </w:rPr>
        <w:t>sont</w:t>
      </w:r>
      <w:r w:rsidRPr="000F0CFB">
        <w:rPr>
          <w:rFonts w:ascii="Book Antiqua" w:hAnsi="Book Antiqua"/>
        </w:rPr>
        <w:t xml:space="preserve"> âgé</w:t>
      </w:r>
      <w:r w:rsidR="000048CA">
        <w:rPr>
          <w:rFonts w:ascii="Book Antiqua" w:hAnsi="Book Antiqua"/>
        </w:rPr>
        <w:t>s</w:t>
      </w:r>
      <w:r w:rsidRPr="000F0CFB">
        <w:rPr>
          <w:rFonts w:ascii="Book Antiqua" w:hAnsi="Book Antiqua"/>
        </w:rPr>
        <w:t xml:space="preserve"> de 45 ans et</w:t>
      </w:r>
      <w:r w:rsidR="00F23640" w:rsidRPr="000F0CFB">
        <w:rPr>
          <w:rFonts w:ascii="Book Antiqua" w:hAnsi="Book Antiqua"/>
        </w:rPr>
        <w:t xml:space="preserve"> plus, 45,9% de 25 à 44 ans et 2,9</w:t>
      </w:r>
      <w:r w:rsidRPr="000F0CFB">
        <w:rPr>
          <w:rFonts w:ascii="Book Antiqua" w:hAnsi="Book Antiqua"/>
        </w:rPr>
        <w:t>% de 15 à 24</w:t>
      </w:r>
      <w:r w:rsidR="004A44C0" w:rsidRPr="000F0CFB">
        <w:rPr>
          <w:rFonts w:ascii="Book Antiqua" w:hAnsi="Book Antiqua"/>
        </w:rPr>
        <w:t xml:space="preserve"> ans</w:t>
      </w:r>
      <w:r w:rsidRPr="000F0CFB">
        <w:rPr>
          <w:rFonts w:ascii="Book Antiqua" w:hAnsi="Book Antiqua"/>
        </w:rPr>
        <w:t xml:space="preserve">.  </w:t>
      </w:r>
    </w:p>
    <w:p w:rsidR="004A44C0" w:rsidRPr="000F0CFB" w:rsidRDefault="00F23640" w:rsidP="007A69C0">
      <w:pPr>
        <w:spacing w:before="240" w:line="312" w:lineRule="auto"/>
        <w:jc w:val="both"/>
        <w:rPr>
          <w:rFonts w:ascii="Book Antiqua" w:hAnsi="Book Antiqua"/>
        </w:rPr>
      </w:pPr>
      <w:r w:rsidRPr="000F0CFB">
        <w:rPr>
          <w:rFonts w:ascii="Book Antiqua" w:hAnsi="Book Antiqua"/>
        </w:rPr>
        <w:t xml:space="preserve">Les secteurs des services et </w:t>
      </w:r>
      <w:r w:rsidR="00B75E8E" w:rsidRPr="000F0CFB">
        <w:rPr>
          <w:rFonts w:ascii="Book Antiqua" w:hAnsi="Book Antiqua"/>
        </w:rPr>
        <w:t>de l’agriculture</w:t>
      </w:r>
      <w:r w:rsidR="004A44C0" w:rsidRPr="000F0CFB">
        <w:rPr>
          <w:rFonts w:ascii="Book Antiqua" w:hAnsi="Book Antiqua"/>
        </w:rPr>
        <w:t xml:space="preserve">, forêts et pêche concentrent </w:t>
      </w:r>
      <w:r w:rsidR="00B75E8E" w:rsidRPr="000F0CFB">
        <w:rPr>
          <w:rFonts w:ascii="Book Antiqua" w:hAnsi="Book Antiqua"/>
        </w:rPr>
        <w:t xml:space="preserve">85% des indépendants (43,5% et 41,5% respectivement). Près de 70% des indépendants du secteur des services travaillent dans la branche du commerce. </w:t>
      </w:r>
    </w:p>
    <w:p w:rsidR="00B75E8E" w:rsidRDefault="00B75E8E" w:rsidP="007A69C0">
      <w:pPr>
        <w:spacing w:before="240" w:line="312" w:lineRule="auto"/>
        <w:jc w:val="both"/>
        <w:rPr>
          <w:rFonts w:ascii="Book Antiqua" w:hAnsi="Book Antiqua"/>
        </w:rPr>
      </w:pPr>
      <w:r w:rsidRPr="000F0CFB">
        <w:rPr>
          <w:rFonts w:ascii="Book Antiqua" w:hAnsi="Book Antiqua"/>
        </w:rPr>
        <w:t xml:space="preserve">Les trois quarts (75%) des indépendants ruraux exercent dans le secteur de l’agriculture, forêts et pêche et 71,3% des indépendants citadins </w:t>
      </w:r>
      <w:r w:rsidR="00583C02" w:rsidRPr="000F0CFB">
        <w:rPr>
          <w:rFonts w:ascii="Book Antiqua" w:hAnsi="Book Antiqua"/>
        </w:rPr>
        <w:t>travaillent</w:t>
      </w:r>
      <w:r w:rsidRPr="000F0CFB">
        <w:rPr>
          <w:rFonts w:ascii="Book Antiqua" w:hAnsi="Book Antiqua"/>
        </w:rPr>
        <w:t xml:space="preserve"> dans le secteur des services.  </w:t>
      </w:r>
    </w:p>
    <w:p w:rsidR="003157E5" w:rsidRPr="000F0CFB" w:rsidRDefault="003157E5" w:rsidP="000048CA">
      <w:pPr>
        <w:spacing w:before="240" w:line="312" w:lineRule="auto"/>
        <w:rPr>
          <w:rFonts w:ascii="Book Antiqua" w:hAnsi="Book Antiqua"/>
          <w:b/>
          <w:bCs/>
          <w:color w:val="1F497D" w:themeColor="text2"/>
        </w:rPr>
      </w:pPr>
      <w:r>
        <w:rPr>
          <w:rFonts w:ascii="Book Antiqua" w:hAnsi="Book Antiqua"/>
          <w:b/>
          <w:bCs/>
          <w:color w:val="1F497D" w:themeColor="text2"/>
        </w:rPr>
        <w:t>P</w:t>
      </w:r>
      <w:r w:rsidRPr="000F0CFB">
        <w:rPr>
          <w:rFonts w:ascii="Book Antiqua" w:hAnsi="Book Antiqua"/>
          <w:b/>
          <w:bCs/>
          <w:color w:val="1F497D" w:themeColor="text2"/>
        </w:rPr>
        <w:t xml:space="preserve">opulation étrangère au </w:t>
      </w:r>
      <w:r>
        <w:rPr>
          <w:rFonts w:ascii="Book Antiqua" w:hAnsi="Book Antiqua"/>
          <w:b/>
          <w:bCs/>
          <w:color w:val="1F497D" w:themeColor="text2"/>
        </w:rPr>
        <w:t xml:space="preserve">Maroc: </w:t>
      </w:r>
      <w:r w:rsidRPr="000F0CFB">
        <w:rPr>
          <w:rFonts w:ascii="Book Antiqua" w:hAnsi="Book Antiqua"/>
          <w:b/>
          <w:bCs/>
          <w:color w:val="1F497D" w:themeColor="text2"/>
        </w:rPr>
        <w:t xml:space="preserve">Une personne sur </w:t>
      </w:r>
      <w:r w:rsidR="000048CA">
        <w:rPr>
          <w:rFonts w:ascii="Book Antiqua" w:hAnsi="Book Antiqua"/>
          <w:b/>
          <w:bCs/>
          <w:color w:val="1F497D" w:themeColor="text2"/>
        </w:rPr>
        <w:t>deux</w:t>
      </w:r>
      <w:r w:rsidRPr="000F0CFB">
        <w:rPr>
          <w:rFonts w:ascii="Book Antiqua" w:hAnsi="Book Antiqua"/>
          <w:b/>
          <w:bCs/>
          <w:color w:val="1F497D" w:themeColor="text2"/>
        </w:rPr>
        <w:t xml:space="preserve"> accède au marché de travail</w:t>
      </w:r>
    </w:p>
    <w:p w:rsidR="003157E5" w:rsidRPr="000F0CFB" w:rsidRDefault="003157E5" w:rsidP="006C56D0">
      <w:pPr>
        <w:pStyle w:val="Corpsdetexte2"/>
        <w:bidi w:val="0"/>
        <w:spacing w:before="240" w:line="312" w:lineRule="auto"/>
        <w:jc w:val="both"/>
        <w:rPr>
          <w:rFonts w:ascii="Book Antiqua" w:hAnsi="Book Antiqua" w:cs="Times New Roman"/>
          <w:sz w:val="24"/>
          <w:szCs w:val="24"/>
        </w:rPr>
      </w:pPr>
      <w:r w:rsidRPr="000F0CFB">
        <w:rPr>
          <w:rFonts w:ascii="Book Antiqua" w:hAnsi="Book Antiqua" w:cs="Times New Roman"/>
          <w:sz w:val="24"/>
          <w:szCs w:val="24"/>
        </w:rPr>
        <w:t xml:space="preserve">En 2018, selon les résultats de </w:t>
      </w:r>
      <w:r w:rsidRPr="00201FE8">
        <w:rPr>
          <w:rFonts w:ascii="Book Antiqua" w:hAnsi="Book Antiqua" w:cs="Times New Roman"/>
          <w:sz w:val="24"/>
          <w:szCs w:val="24"/>
        </w:rPr>
        <w:t>l'enquête nationale sur l'emploi</w:t>
      </w:r>
      <w:r w:rsidRPr="000F0CFB">
        <w:rPr>
          <w:rFonts w:ascii="Book Antiqua" w:hAnsi="Book Antiqua" w:cs="Times New Roman"/>
          <w:sz w:val="24"/>
          <w:szCs w:val="24"/>
        </w:rPr>
        <w:t xml:space="preserve">, </w:t>
      </w:r>
      <w:r>
        <w:rPr>
          <w:rFonts w:ascii="Book Antiqua" w:hAnsi="Book Antiqua" w:cs="Times New Roman"/>
          <w:sz w:val="24"/>
          <w:szCs w:val="24"/>
        </w:rPr>
        <w:t xml:space="preserve">la population étrangère au Maroc est estimée à environ </w:t>
      </w:r>
      <w:r w:rsidR="000048CA" w:rsidRPr="000048CA">
        <w:rPr>
          <w:rFonts w:ascii="Book Antiqua" w:hAnsi="Book Antiqua" w:cs="Times New Roman"/>
          <w:sz w:val="24"/>
          <w:szCs w:val="24"/>
        </w:rPr>
        <w:t>45</w:t>
      </w:r>
      <w:r w:rsidRPr="000048CA">
        <w:rPr>
          <w:rFonts w:ascii="Book Antiqua" w:hAnsi="Book Antiqua" w:cs="Times New Roman"/>
          <w:sz w:val="24"/>
          <w:szCs w:val="24"/>
        </w:rPr>
        <w:t xml:space="preserve"> 000</w:t>
      </w:r>
      <w:r>
        <w:rPr>
          <w:rFonts w:ascii="Book Antiqua" w:hAnsi="Book Antiqua" w:cs="Times New Roman"/>
          <w:sz w:val="24"/>
          <w:szCs w:val="24"/>
        </w:rPr>
        <w:t xml:space="preserve"> personnes. Cette estimation d</w:t>
      </w:r>
      <w:r w:rsidR="0068767A">
        <w:rPr>
          <w:rFonts w:ascii="Book Antiqua" w:hAnsi="Book Antiqua" w:cs="Times New Roman"/>
          <w:sz w:val="24"/>
          <w:szCs w:val="24"/>
        </w:rPr>
        <w:t xml:space="preserve">evrait </w:t>
      </w:r>
      <w:r>
        <w:rPr>
          <w:rFonts w:ascii="Book Antiqua" w:hAnsi="Book Antiqua" w:cs="Times New Roman"/>
          <w:sz w:val="24"/>
          <w:szCs w:val="24"/>
        </w:rPr>
        <w:t xml:space="preserve">prendre en considération le fait que cette </w:t>
      </w:r>
      <w:r w:rsidRPr="000F0CFB">
        <w:rPr>
          <w:rFonts w:ascii="Book Antiqua" w:hAnsi="Book Antiqua" w:cs="Times New Roman"/>
          <w:sz w:val="24"/>
          <w:szCs w:val="24"/>
        </w:rPr>
        <w:t>enquête</w:t>
      </w:r>
      <w:r w:rsidR="0068767A">
        <w:rPr>
          <w:rFonts w:ascii="Book Antiqua" w:hAnsi="Book Antiqua" w:cs="Times New Roman"/>
          <w:sz w:val="24"/>
          <w:szCs w:val="24"/>
        </w:rPr>
        <w:t xml:space="preserve">, </w:t>
      </w:r>
      <w:r w:rsidRPr="00201FE8">
        <w:rPr>
          <w:rFonts w:ascii="Book Antiqua" w:hAnsi="Book Antiqua" w:cs="Times New Roman"/>
          <w:sz w:val="24"/>
          <w:szCs w:val="24"/>
        </w:rPr>
        <w:t xml:space="preserve">représentative de l'ensemble </w:t>
      </w:r>
      <w:r>
        <w:rPr>
          <w:rFonts w:ascii="Book Antiqua" w:hAnsi="Book Antiqua" w:cs="Times New Roman"/>
          <w:sz w:val="24"/>
          <w:szCs w:val="24"/>
        </w:rPr>
        <w:t xml:space="preserve">de la population étrangère </w:t>
      </w:r>
      <w:r w:rsidR="000048CA">
        <w:rPr>
          <w:rFonts w:ascii="Book Antiqua" w:hAnsi="Book Antiqua" w:cs="Times New Roman"/>
          <w:sz w:val="24"/>
          <w:szCs w:val="24"/>
        </w:rPr>
        <w:t xml:space="preserve">résidant sur </w:t>
      </w:r>
      <w:r w:rsidR="000048CA" w:rsidRPr="00201FE8">
        <w:rPr>
          <w:rFonts w:ascii="Book Antiqua" w:hAnsi="Book Antiqua" w:cs="Times New Roman"/>
          <w:sz w:val="24"/>
          <w:szCs w:val="24"/>
        </w:rPr>
        <w:t>le territoire national</w:t>
      </w:r>
      <w:r w:rsidR="000048CA">
        <w:rPr>
          <w:rFonts w:ascii="Book Antiqua" w:hAnsi="Book Antiqua" w:cs="Times New Roman"/>
          <w:sz w:val="24"/>
          <w:szCs w:val="24"/>
        </w:rPr>
        <w:t xml:space="preserve"> </w:t>
      </w:r>
      <w:r>
        <w:rPr>
          <w:rFonts w:ascii="Book Antiqua" w:hAnsi="Book Antiqua" w:cs="Times New Roman"/>
          <w:sz w:val="24"/>
          <w:szCs w:val="24"/>
        </w:rPr>
        <w:t>constituée en ménages ordinaires</w:t>
      </w:r>
      <w:r w:rsidR="0068767A">
        <w:rPr>
          <w:rFonts w:ascii="Book Antiqua" w:hAnsi="Book Antiqua" w:cs="Times New Roman"/>
          <w:sz w:val="24"/>
          <w:szCs w:val="24"/>
        </w:rPr>
        <w:t xml:space="preserve">, </w:t>
      </w:r>
      <w:r>
        <w:rPr>
          <w:rFonts w:ascii="Book Antiqua" w:hAnsi="Book Antiqua" w:cs="Times New Roman"/>
          <w:sz w:val="24"/>
          <w:szCs w:val="24"/>
        </w:rPr>
        <w:t xml:space="preserve">n'inclut pas les étrangers </w:t>
      </w:r>
      <w:r w:rsidR="00E863F1">
        <w:rPr>
          <w:rFonts w:ascii="Book Antiqua" w:hAnsi="Book Antiqua" w:cs="Times New Roman"/>
          <w:sz w:val="24"/>
          <w:szCs w:val="24"/>
        </w:rPr>
        <w:t xml:space="preserve">regroupés </w:t>
      </w:r>
      <w:r>
        <w:rPr>
          <w:rFonts w:ascii="Book Antiqua" w:hAnsi="Book Antiqua" w:cs="Times New Roman"/>
          <w:sz w:val="24"/>
          <w:szCs w:val="24"/>
        </w:rPr>
        <w:t xml:space="preserve">dans </w:t>
      </w:r>
      <w:r w:rsidRPr="00201FE8">
        <w:rPr>
          <w:rFonts w:ascii="Book Antiqua" w:hAnsi="Book Antiqua" w:cs="Times New Roman"/>
          <w:sz w:val="24"/>
          <w:szCs w:val="24"/>
        </w:rPr>
        <w:t>des ménages collectifs (</w:t>
      </w:r>
      <w:r w:rsidR="006C56D0">
        <w:rPr>
          <w:rFonts w:ascii="Book Antiqua" w:hAnsi="Book Antiqua" w:cs="Times New Roman"/>
          <w:sz w:val="24"/>
          <w:szCs w:val="24"/>
        </w:rPr>
        <w:t>regroupements établis</w:t>
      </w:r>
      <w:r w:rsidRPr="00201FE8">
        <w:rPr>
          <w:rFonts w:ascii="Book Antiqua" w:hAnsi="Book Antiqua" w:cs="Times New Roman"/>
          <w:sz w:val="24"/>
          <w:szCs w:val="24"/>
        </w:rPr>
        <w:t xml:space="preserve"> dans certaines villes </w:t>
      </w:r>
      <w:r w:rsidR="0068767A">
        <w:rPr>
          <w:rFonts w:ascii="Book Antiqua" w:hAnsi="Book Antiqua" w:cs="Times New Roman"/>
          <w:sz w:val="24"/>
          <w:szCs w:val="24"/>
        </w:rPr>
        <w:t>ou</w:t>
      </w:r>
      <w:r w:rsidRPr="00201FE8">
        <w:rPr>
          <w:rFonts w:ascii="Book Antiqua" w:hAnsi="Book Antiqua" w:cs="Times New Roman"/>
          <w:sz w:val="24"/>
          <w:szCs w:val="24"/>
        </w:rPr>
        <w:t xml:space="preserve"> zones rurales).</w:t>
      </w:r>
    </w:p>
    <w:p w:rsidR="003157E5" w:rsidRPr="000F0CFB" w:rsidRDefault="003157E5" w:rsidP="003157E5">
      <w:pPr>
        <w:pStyle w:val="Corpsdetexte2"/>
        <w:bidi w:val="0"/>
        <w:spacing w:before="240" w:line="312" w:lineRule="auto"/>
        <w:jc w:val="both"/>
        <w:rPr>
          <w:rFonts w:ascii="Book Antiqua" w:hAnsi="Book Antiqua" w:cs="Times New Roman"/>
          <w:sz w:val="24"/>
          <w:szCs w:val="24"/>
        </w:rPr>
      </w:pPr>
      <w:r>
        <w:rPr>
          <w:rFonts w:ascii="Book Antiqua" w:hAnsi="Book Antiqua" w:cs="Times New Roman"/>
          <w:sz w:val="24"/>
          <w:szCs w:val="24"/>
        </w:rPr>
        <w:t xml:space="preserve">Parmi l'ensemble des immigrants au Maroc, </w:t>
      </w:r>
      <w:r w:rsidRPr="000F0CFB">
        <w:rPr>
          <w:rFonts w:ascii="Book Antiqua" w:hAnsi="Book Antiqua" w:cs="Times New Roman"/>
          <w:sz w:val="24"/>
          <w:szCs w:val="24"/>
        </w:rPr>
        <w:t>22,6%</w:t>
      </w:r>
      <w:r>
        <w:rPr>
          <w:rFonts w:ascii="Book Antiqua" w:hAnsi="Book Antiqua" w:cs="Times New Roman"/>
          <w:sz w:val="24"/>
          <w:szCs w:val="24"/>
        </w:rPr>
        <w:t xml:space="preserve"> sont originaires</w:t>
      </w:r>
      <w:r w:rsidRPr="000F0CFB">
        <w:rPr>
          <w:rFonts w:ascii="Book Antiqua" w:hAnsi="Book Antiqua" w:cs="Times New Roman"/>
          <w:sz w:val="24"/>
          <w:szCs w:val="24"/>
        </w:rPr>
        <w:t xml:space="preserve"> de pays arabes, 37,3% de pays européens et 33,3% de pays africains subsahariens non arabes.</w:t>
      </w:r>
      <w:r>
        <w:rPr>
          <w:rFonts w:ascii="Book Antiqua" w:hAnsi="Book Antiqua" w:cs="Times New Roman"/>
          <w:sz w:val="24"/>
          <w:szCs w:val="24"/>
        </w:rPr>
        <w:t xml:space="preserve"> </w:t>
      </w:r>
    </w:p>
    <w:p w:rsidR="003157E5" w:rsidRDefault="003157E5" w:rsidP="003540E0">
      <w:pPr>
        <w:pStyle w:val="Corpsdetexte2"/>
        <w:bidi w:val="0"/>
        <w:spacing w:before="240" w:line="312" w:lineRule="auto"/>
        <w:jc w:val="both"/>
        <w:rPr>
          <w:rFonts w:ascii="Book Antiqua" w:hAnsi="Book Antiqua" w:cs="Times New Roman"/>
          <w:sz w:val="24"/>
          <w:szCs w:val="24"/>
        </w:rPr>
      </w:pPr>
      <w:r>
        <w:rPr>
          <w:rFonts w:ascii="Book Antiqua" w:hAnsi="Book Antiqua" w:cs="Times New Roman"/>
          <w:sz w:val="24"/>
          <w:szCs w:val="24"/>
        </w:rPr>
        <w:t>P</w:t>
      </w:r>
      <w:r w:rsidRPr="000F0CFB">
        <w:rPr>
          <w:rFonts w:ascii="Book Antiqua" w:hAnsi="Book Antiqua" w:cs="Times New Roman"/>
          <w:sz w:val="24"/>
          <w:szCs w:val="24"/>
        </w:rPr>
        <w:t xml:space="preserve">rès de 6 </w:t>
      </w:r>
      <w:r>
        <w:rPr>
          <w:rFonts w:ascii="Book Antiqua" w:hAnsi="Book Antiqua" w:cs="Times New Roman"/>
          <w:sz w:val="24"/>
          <w:szCs w:val="24"/>
        </w:rPr>
        <w:t xml:space="preserve">immigrants </w:t>
      </w:r>
      <w:r w:rsidRPr="000F0CFB">
        <w:rPr>
          <w:rFonts w:ascii="Book Antiqua" w:hAnsi="Book Antiqua" w:cs="Times New Roman"/>
          <w:sz w:val="24"/>
          <w:szCs w:val="24"/>
        </w:rPr>
        <w:t>sur 10 (59,7%) sont de</w:t>
      </w:r>
      <w:r>
        <w:rPr>
          <w:rFonts w:ascii="Book Antiqua" w:hAnsi="Book Antiqua" w:cs="Times New Roman"/>
          <w:sz w:val="24"/>
          <w:szCs w:val="24"/>
        </w:rPr>
        <w:t xml:space="preserve"> sexe masculin et plus de 8 sur 10 (84,2%) ont un diplôme</w:t>
      </w:r>
      <w:r w:rsidRPr="000F0CFB">
        <w:rPr>
          <w:rFonts w:ascii="Book Antiqua" w:hAnsi="Book Antiqua" w:cs="Times New Roman"/>
          <w:sz w:val="24"/>
          <w:szCs w:val="24"/>
        </w:rPr>
        <w:t xml:space="preserve">, 64,8% un diplôme </w:t>
      </w:r>
      <w:r w:rsidR="003540E0">
        <w:rPr>
          <w:rFonts w:ascii="Book Antiqua" w:hAnsi="Book Antiqua" w:cs="Times New Roman"/>
          <w:sz w:val="24"/>
          <w:szCs w:val="24"/>
        </w:rPr>
        <w:t xml:space="preserve">de niveau </w:t>
      </w:r>
      <w:r w:rsidRPr="000F0CFB">
        <w:rPr>
          <w:rFonts w:ascii="Book Antiqua" w:hAnsi="Book Antiqua" w:cs="Times New Roman"/>
          <w:sz w:val="24"/>
          <w:szCs w:val="24"/>
        </w:rPr>
        <w:t xml:space="preserve">supérieur et 19,4% de niveau moyen. </w:t>
      </w:r>
    </w:p>
    <w:p w:rsidR="00A75AA2" w:rsidRDefault="003157E5" w:rsidP="003540E0">
      <w:pPr>
        <w:pStyle w:val="Corpsdetexte2"/>
        <w:bidi w:val="0"/>
        <w:spacing w:before="240" w:line="312" w:lineRule="auto"/>
        <w:jc w:val="both"/>
        <w:rPr>
          <w:rFonts w:ascii="Book Antiqua" w:hAnsi="Book Antiqua"/>
          <w:b/>
          <w:bCs/>
          <w:color w:val="1F497D" w:themeColor="text2"/>
          <w:highlight w:val="yellow"/>
        </w:rPr>
      </w:pPr>
      <w:r w:rsidRPr="003540E0">
        <w:rPr>
          <w:rFonts w:ascii="Book Antiqua" w:hAnsi="Book Antiqua" w:cs="Times New Roman"/>
          <w:sz w:val="24"/>
          <w:szCs w:val="24"/>
        </w:rPr>
        <w:t>Les indicateurs d'accès de la population étrangère au marché du travail sont légèrement supérieurs à ceux observés parmi l'ensemble de la population. Pour cette</w:t>
      </w:r>
      <w:r>
        <w:rPr>
          <w:rFonts w:ascii="Book Antiqua" w:hAnsi="Book Antiqua"/>
        </w:rPr>
        <w:t xml:space="preserve"> catégorie, le taux d’activité atteint </w:t>
      </w:r>
      <w:r w:rsidRPr="000F0CFB">
        <w:rPr>
          <w:rFonts w:ascii="Book Antiqua" w:hAnsi="Book Antiqua"/>
        </w:rPr>
        <w:t>51,3%</w:t>
      </w:r>
      <w:r>
        <w:rPr>
          <w:rFonts w:ascii="Book Antiqua" w:hAnsi="Book Antiqua"/>
        </w:rPr>
        <w:t xml:space="preserve"> (contre </w:t>
      </w:r>
      <w:r w:rsidRPr="000F0CFB">
        <w:rPr>
          <w:rFonts w:ascii="Book Antiqua" w:hAnsi="Book Antiqua"/>
        </w:rPr>
        <w:t>46,2%</w:t>
      </w:r>
      <w:r>
        <w:rPr>
          <w:rFonts w:ascii="Book Antiqua" w:hAnsi="Book Antiqua"/>
        </w:rPr>
        <w:t xml:space="preserve"> pour l'ensemble de la population), le taux d'emploi </w:t>
      </w:r>
      <w:r w:rsidRPr="000F0CFB">
        <w:rPr>
          <w:rFonts w:ascii="Book Antiqua" w:hAnsi="Book Antiqua"/>
        </w:rPr>
        <w:t>43,9%</w:t>
      </w:r>
      <w:r>
        <w:rPr>
          <w:rFonts w:ascii="Book Antiqua" w:hAnsi="Book Antiqua"/>
        </w:rPr>
        <w:t xml:space="preserve"> (contre </w:t>
      </w:r>
      <w:r w:rsidRPr="000F0CFB">
        <w:rPr>
          <w:rFonts w:ascii="Book Antiqua" w:hAnsi="Book Antiqua"/>
        </w:rPr>
        <w:t>41,7%</w:t>
      </w:r>
      <w:r>
        <w:rPr>
          <w:rFonts w:ascii="Book Antiqua" w:hAnsi="Book Antiqua"/>
        </w:rPr>
        <w:t xml:space="preserve">) et le taux de chômage </w:t>
      </w:r>
      <w:r w:rsidRPr="000F0CFB">
        <w:rPr>
          <w:rFonts w:ascii="Book Antiqua" w:hAnsi="Book Antiqua"/>
        </w:rPr>
        <w:t>14,4%</w:t>
      </w:r>
      <w:r>
        <w:rPr>
          <w:rFonts w:ascii="Book Antiqua" w:hAnsi="Book Antiqua"/>
        </w:rPr>
        <w:t xml:space="preserve"> (contre 9,8%).</w:t>
      </w:r>
    </w:p>
    <w:p w:rsidR="00D1753E" w:rsidRPr="000F0CFB" w:rsidRDefault="00D1753E" w:rsidP="007A69C0">
      <w:pPr>
        <w:spacing w:before="240" w:line="312" w:lineRule="auto"/>
        <w:jc w:val="both"/>
        <w:rPr>
          <w:rFonts w:ascii="Book Antiqua" w:hAnsi="Book Antiqua"/>
        </w:rPr>
      </w:pPr>
      <w:r w:rsidRPr="000F0CFB">
        <w:rPr>
          <w:rFonts w:ascii="Book Antiqua" w:hAnsi="Book Antiqua"/>
          <w:b/>
          <w:bCs/>
          <w:color w:val="1F497D" w:themeColor="text2"/>
        </w:rPr>
        <w:lastRenderedPageBreak/>
        <w:t>Faible qualification d</w:t>
      </w:r>
      <w:r w:rsidR="00244AD3" w:rsidRPr="000F0CFB">
        <w:rPr>
          <w:rFonts w:ascii="Book Antiqua" w:hAnsi="Book Antiqua"/>
          <w:b/>
          <w:bCs/>
          <w:color w:val="1F497D" w:themeColor="text2"/>
        </w:rPr>
        <w:t>es actifs occupés</w:t>
      </w:r>
    </w:p>
    <w:p w:rsidR="00D1753E" w:rsidRDefault="00244AD3" w:rsidP="003540E0">
      <w:pPr>
        <w:widowControl w:val="0"/>
        <w:shd w:val="clear" w:color="auto" w:fill="FFFFFF"/>
        <w:spacing w:before="240" w:line="312" w:lineRule="auto"/>
        <w:jc w:val="both"/>
        <w:rPr>
          <w:rFonts w:ascii="Book Antiqua" w:hAnsi="Book Antiqua"/>
        </w:rPr>
      </w:pPr>
      <w:r w:rsidRPr="000F0CFB">
        <w:rPr>
          <w:rFonts w:ascii="Book Antiqua" w:hAnsi="Book Antiqua"/>
        </w:rPr>
        <w:t xml:space="preserve">Près de 6 actifs occupés sur </w:t>
      </w:r>
      <w:r w:rsidR="003540E0">
        <w:rPr>
          <w:rFonts w:ascii="Book Antiqua" w:hAnsi="Book Antiqua"/>
        </w:rPr>
        <w:t>10</w:t>
      </w:r>
      <w:r w:rsidRPr="000F0CFB">
        <w:rPr>
          <w:rFonts w:ascii="Book Antiqua" w:hAnsi="Book Antiqua"/>
        </w:rPr>
        <w:t xml:space="preserve"> (57,8%) n’ont aucun diplôme (</w:t>
      </w:r>
      <w:r w:rsidR="00A90848" w:rsidRPr="000F0CFB">
        <w:rPr>
          <w:rFonts w:ascii="Book Antiqua" w:hAnsi="Book Antiqua"/>
        </w:rPr>
        <w:t>6.248</w:t>
      </w:r>
      <w:r w:rsidR="00D1753E" w:rsidRPr="000F0CFB">
        <w:rPr>
          <w:rFonts w:ascii="Book Antiqua" w:hAnsi="Book Antiqua"/>
        </w:rPr>
        <w:t>.000</w:t>
      </w:r>
      <w:r w:rsidRPr="000F0CFB">
        <w:rPr>
          <w:rFonts w:ascii="Book Antiqua" w:hAnsi="Book Antiqua"/>
        </w:rPr>
        <w:t xml:space="preserve"> personnes),</w:t>
      </w:r>
      <w:r w:rsidR="00D1753E" w:rsidRPr="000F0CFB">
        <w:rPr>
          <w:rFonts w:ascii="Book Antiqua" w:hAnsi="Book Antiqua"/>
        </w:rPr>
        <w:t xml:space="preserve"> </w:t>
      </w:r>
      <w:r w:rsidRPr="000F0CFB">
        <w:rPr>
          <w:rFonts w:ascii="Book Antiqua" w:hAnsi="Book Antiqua"/>
        </w:rPr>
        <w:t xml:space="preserve">28,6% </w:t>
      </w:r>
      <w:r w:rsidR="00D1753E" w:rsidRPr="000F0CFB">
        <w:rPr>
          <w:rFonts w:ascii="Book Antiqua" w:hAnsi="Book Antiqua"/>
        </w:rPr>
        <w:t>ont un diplôme de niveau moyen</w:t>
      </w:r>
      <w:r w:rsidR="00D1753E" w:rsidRPr="000F0CFB">
        <w:rPr>
          <w:rFonts w:ascii="Book Antiqua" w:hAnsi="Book Antiqua"/>
          <w:vertAlign w:val="superscript"/>
        </w:rPr>
        <w:t xml:space="preserve"> </w:t>
      </w:r>
      <w:r w:rsidR="00D1753E" w:rsidRPr="000F0CFB">
        <w:rPr>
          <w:rFonts w:ascii="Book Antiqua" w:hAnsi="Book Antiqua"/>
        </w:rPr>
        <w:t>(</w:t>
      </w:r>
      <w:r w:rsidRPr="000F0CFB">
        <w:rPr>
          <w:rFonts w:ascii="Book Antiqua" w:hAnsi="Book Antiqua"/>
        </w:rPr>
        <w:t xml:space="preserve">3.091.000) </w:t>
      </w:r>
      <w:r w:rsidR="00D1753E" w:rsidRPr="000F0CFB">
        <w:rPr>
          <w:rFonts w:ascii="Book Antiqua" w:hAnsi="Book Antiqua"/>
        </w:rPr>
        <w:t xml:space="preserve">et </w:t>
      </w:r>
      <w:r w:rsidRPr="000F0CFB">
        <w:rPr>
          <w:rFonts w:ascii="Book Antiqua" w:hAnsi="Book Antiqua"/>
        </w:rPr>
        <w:t xml:space="preserve">13,6% </w:t>
      </w:r>
      <w:r w:rsidR="00D1753E" w:rsidRPr="000F0CFB">
        <w:rPr>
          <w:rFonts w:ascii="Book Antiqua" w:hAnsi="Book Antiqua"/>
        </w:rPr>
        <w:t>d</w:t>
      </w:r>
      <w:r w:rsidR="00583C02" w:rsidRPr="000F0CFB">
        <w:rPr>
          <w:rFonts w:ascii="Book Antiqua" w:hAnsi="Book Antiqua"/>
        </w:rPr>
        <w:t>e</w:t>
      </w:r>
      <w:r w:rsidR="00D1753E" w:rsidRPr="000F0CFB">
        <w:rPr>
          <w:rFonts w:ascii="Book Antiqua" w:hAnsi="Book Antiqua"/>
        </w:rPr>
        <w:t xml:space="preserve"> niveau supérieur</w:t>
      </w:r>
      <w:r w:rsidR="00D1753E" w:rsidRPr="000F0CFB">
        <w:rPr>
          <w:rFonts w:ascii="Book Antiqua" w:hAnsi="Book Antiqua"/>
          <w:vertAlign w:val="superscript"/>
        </w:rPr>
        <w:t xml:space="preserve"> </w:t>
      </w:r>
      <w:r w:rsidR="00D1753E" w:rsidRPr="000F0CFB">
        <w:rPr>
          <w:rFonts w:ascii="Book Antiqua" w:hAnsi="Book Antiqua"/>
        </w:rPr>
        <w:t>(</w:t>
      </w:r>
      <w:r w:rsidRPr="000F0CFB">
        <w:rPr>
          <w:rFonts w:ascii="Book Antiqua" w:hAnsi="Book Antiqua"/>
        </w:rPr>
        <w:t>1.469.000).</w:t>
      </w:r>
      <w:r w:rsidR="00495892" w:rsidRPr="000F0CFB">
        <w:rPr>
          <w:rFonts w:ascii="Book Antiqua" w:hAnsi="Book Antiqua"/>
        </w:rPr>
        <w:t xml:space="preserve"> </w:t>
      </w:r>
      <w:r w:rsidR="00D1753E" w:rsidRPr="000F0CFB">
        <w:rPr>
          <w:rFonts w:ascii="Book Antiqua" w:hAnsi="Book Antiqua"/>
        </w:rPr>
        <w:t>Parmi les actifs occupés n’ayant aucun diplôme, 3.</w:t>
      </w:r>
      <w:r w:rsidR="003064F9" w:rsidRPr="000F0CFB">
        <w:rPr>
          <w:rFonts w:ascii="Book Antiqua" w:hAnsi="Book Antiqua"/>
        </w:rPr>
        <w:t>106</w:t>
      </w:r>
      <w:r w:rsidR="00D1753E" w:rsidRPr="000F0CFB">
        <w:rPr>
          <w:rFonts w:ascii="Book Antiqua" w:hAnsi="Book Antiqua"/>
        </w:rPr>
        <w:t>.000 travaillent dans le secteur de l’"agr</w:t>
      </w:r>
      <w:r w:rsidRPr="000F0CFB">
        <w:rPr>
          <w:rFonts w:ascii="Book Antiqua" w:hAnsi="Book Antiqua"/>
        </w:rPr>
        <w:t>iculture, forêt et pêche" (</w:t>
      </w:r>
      <w:r w:rsidR="00D1753E" w:rsidRPr="000F0CFB">
        <w:rPr>
          <w:rFonts w:ascii="Book Antiqua" w:hAnsi="Book Antiqua"/>
        </w:rPr>
        <w:t>82,</w:t>
      </w:r>
      <w:r w:rsidR="003064F9" w:rsidRPr="000F0CFB">
        <w:rPr>
          <w:rFonts w:ascii="Book Antiqua" w:hAnsi="Book Antiqua"/>
        </w:rPr>
        <w:t>2</w:t>
      </w:r>
      <w:r w:rsidR="00D1753E" w:rsidRPr="000F0CFB">
        <w:rPr>
          <w:rFonts w:ascii="Book Antiqua" w:hAnsi="Book Antiqua"/>
        </w:rPr>
        <w:t xml:space="preserve">% de l’emploi total de ce secteur), </w:t>
      </w:r>
      <w:r w:rsidR="003064F9" w:rsidRPr="000F0CFB">
        <w:rPr>
          <w:rFonts w:ascii="Book Antiqua" w:hAnsi="Book Antiqua"/>
        </w:rPr>
        <w:t>726</w:t>
      </w:r>
      <w:r w:rsidR="00D1753E" w:rsidRPr="000F0CFB">
        <w:rPr>
          <w:rFonts w:ascii="Book Antiqua" w:hAnsi="Book Antiqua"/>
        </w:rPr>
        <w:t>.000 dans les BTP (</w:t>
      </w:r>
      <w:r w:rsidR="003064F9" w:rsidRPr="000F0CFB">
        <w:rPr>
          <w:rFonts w:ascii="Book Antiqua" w:hAnsi="Book Antiqua"/>
        </w:rPr>
        <w:t>62,1</w:t>
      </w:r>
      <w:r w:rsidR="00D1753E" w:rsidRPr="000F0CFB">
        <w:rPr>
          <w:rFonts w:ascii="Book Antiqua" w:hAnsi="Book Antiqua"/>
        </w:rPr>
        <w:t xml:space="preserve">%), </w:t>
      </w:r>
      <w:r w:rsidR="003064F9" w:rsidRPr="000F0CFB">
        <w:rPr>
          <w:rFonts w:ascii="Book Antiqua" w:hAnsi="Book Antiqua"/>
        </w:rPr>
        <w:t>585</w:t>
      </w:r>
      <w:r w:rsidR="00254D59" w:rsidRPr="000F0CFB">
        <w:rPr>
          <w:rFonts w:ascii="Book Antiqua" w:hAnsi="Book Antiqua"/>
        </w:rPr>
        <w:t xml:space="preserve">.000 dans l'industrie y compris l’artisanat </w:t>
      </w:r>
      <w:r w:rsidR="00D1753E" w:rsidRPr="000F0CFB">
        <w:rPr>
          <w:rFonts w:ascii="Book Antiqua" w:hAnsi="Book Antiqua"/>
        </w:rPr>
        <w:t>(</w:t>
      </w:r>
      <w:r w:rsidR="003064F9" w:rsidRPr="000F0CFB">
        <w:rPr>
          <w:rFonts w:ascii="Book Antiqua" w:hAnsi="Book Antiqua"/>
        </w:rPr>
        <w:t>46,1</w:t>
      </w:r>
      <w:r w:rsidR="00D1753E" w:rsidRPr="000F0CFB">
        <w:rPr>
          <w:rFonts w:ascii="Book Antiqua" w:hAnsi="Book Antiqua"/>
        </w:rPr>
        <w:t>%) et 1.8</w:t>
      </w:r>
      <w:r w:rsidR="003064F9" w:rsidRPr="000F0CFB">
        <w:rPr>
          <w:rFonts w:ascii="Book Antiqua" w:hAnsi="Book Antiqua"/>
        </w:rPr>
        <w:t>27</w:t>
      </w:r>
      <w:r w:rsidR="00D1753E" w:rsidRPr="000F0CFB">
        <w:rPr>
          <w:rFonts w:ascii="Book Antiqua" w:hAnsi="Book Antiqua"/>
        </w:rPr>
        <w:t>.000 dans les services (</w:t>
      </w:r>
      <w:r w:rsidR="003064F9" w:rsidRPr="000F0CFB">
        <w:rPr>
          <w:rFonts w:ascii="Book Antiqua" w:hAnsi="Book Antiqua"/>
        </w:rPr>
        <w:t>39,9</w:t>
      </w:r>
      <w:r w:rsidR="00D1753E" w:rsidRPr="000F0CFB">
        <w:rPr>
          <w:rFonts w:ascii="Book Antiqua" w:hAnsi="Book Antiqua"/>
        </w:rPr>
        <w:t>%).</w:t>
      </w:r>
    </w:p>
    <w:p w:rsidR="00D268CD" w:rsidRPr="000F0CFB" w:rsidRDefault="00D268CD" w:rsidP="003540E0">
      <w:pPr>
        <w:widowControl w:val="0"/>
        <w:shd w:val="clear" w:color="auto" w:fill="FFFFFF"/>
        <w:spacing w:before="240" w:line="312" w:lineRule="auto"/>
        <w:jc w:val="both"/>
        <w:rPr>
          <w:rFonts w:ascii="Book Antiqua" w:hAnsi="Book Antiqua"/>
        </w:rPr>
      </w:pPr>
      <w:r w:rsidRPr="003540E0">
        <w:rPr>
          <w:rFonts w:ascii="Book Antiqua" w:hAnsi="Book Antiqua"/>
        </w:rPr>
        <w:t>Selon le statut professionnel</w:t>
      </w:r>
      <w:r w:rsidR="00A75AA2" w:rsidRPr="003540E0">
        <w:rPr>
          <w:rFonts w:ascii="Book Antiqua" w:hAnsi="Book Antiqua"/>
        </w:rPr>
        <w:t>,</w:t>
      </w:r>
      <w:r w:rsidR="003157E5" w:rsidRPr="003540E0">
        <w:rPr>
          <w:rFonts w:ascii="Book Antiqua" w:hAnsi="Book Antiqua"/>
        </w:rPr>
        <w:t xml:space="preserve"> p</w:t>
      </w:r>
      <w:r w:rsidRPr="003540E0">
        <w:rPr>
          <w:rFonts w:ascii="Book Antiqua" w:hAnsi="Book Antiqua"/>
        </w:rPr>
        <w:t>rès des trois quarts (72,2%) des indépendants ne disposent d’aucun diplôme, environ le quart (23,6%) ont un diplôme de niveau moyen et seulement 4,2% un diplôme de niveau supérieur.</w:t>
      </w:r>
      <w:r w:rsidRPr="000F0CFB">
        <w:rPr>
          <w:rFonts w:ascii="Book Antiqua" w:hAnsi="Book Antiqua"/>
        </w:rPr>
        <w:t xml:space="preserve">  </w:t>
      </w:r>
      <w:r w:rsidR="003540E0">
        <w:rPr>
          <w:rFonts w:ascii="Book Antiqua" w:hAnsi="Book Antiqua"/>
        </w:rPr>
        <w:t>S'agissant des salariés, ces proportions sont respectivement de 44,2%, de 32,9% et de 22,8%.</w:t>
      </w:r>
    </w:p>
    <w:p w:rsidR="0024266F" w:rsidRDefault="0024266F" w:rsidP="003157E5">
      <w:pPr>
        <w:spacing w:line="276" w:lineRule="auto"/>
        <w:jc w:val="center"/>
        <w:rPr>
          <w:rFonts w:ascii="Book Antiqua" w:hAnsi="Book Antiqua"/>
          <w:b/>
          <w:bCs/>
          <w:color w:val="1F497D" w:themeColor="text2"/>
          <w:sz w:val="22"/>
          <w:szCs w:val="22"/>
        </w:rPr>
      </w:pPr>
    </w:p>
    <w:p w:rsidR="00010827" w:rsidRPr="000F0CFB" w:rsidRDefault="00495892" w:rsidP="003157E5">
      <w:pPr>
        <w:spacing w:line="276" w:lineRule="auto"/>
        <w:jc w:val="center"/>
        <w:rPr>
          <w:rFonts w:ascii="Book Antiqua" w:hAnsi="Book Antiqua"/>
          <w:b/>
          <w:bCs/>
          <w:color w:val="1F497D" w:themeColor="text2"/>
          <w:sz w:val="22"/>
          <w:szCs w:val="22"/>
        </w:rPr>
      </w:pPr>
      <w:r w:rsidRPr="000F0CFB">
        <w:rPr>
          <w:rFonts w:ascii="Book Antiqua" w:hAnsi="Book Antiqua"/>
          <w:b/>
          <w:bCs/>
          <w:color w:val="1F497D" w:themeColor="text2"/>
          <w:sz w:val="22"/>
          <w:szCs w:val="22"/>
        </w:rPr>
        <w:t xml:space="preserve">Graphique </w:t>
      </w:r>
      <w:r w:rsidR="00D268CD">
        <w:rPr>
          <w:rFonts w:ascii="Book Antiqua" w:hAnsi="Book Antiqua"/>
          <w:b/>
          <w:bCs/>
          <w:color w:val="1F497D" w:themeColor="text2"/>
          <w:sz w:val="22"/>
          <w:szCs w:val="22"/>
        </w:rPr>
        <w:t>2</w:t>
      </w:r>
      <w:r w:rsidR="00103D9B" w:rsidRPr="000F0CFB">
        <w:rPr>
          <w:rFonts w:ascii="Book Antiqua" w:hAnsi="Book Antiqua"/>
          <w:b/>
          <w:bCs/>
          <w:color w:val="1F497D" w:themeColor="text2"/>
          <w:sz w:val="22"/>
          <w:szCs w:val="22"/>
        </w:rPr>
        <w:t xml:space="preserve">. </w:t>
      </w:r>
      <w:r w:rsidR="00010827" w:rsidRPr="000F0CFB">
        <w:rPr>
          <w:rFonts w:ascii="Book Antiqua" w:hAnsi="Book Antiqua"/>
          <w:b/>
          <w:bCs/>
          <w:color w:val="1F497D" w:themeColor="text2"/>
          <w:sz w:val="22"/>
          <w:szCs w:val="22"/>
        </w:rPr>
        <w:t>Structure de la population en âge d’activité (15ans et plus)</w:t>
      </w:r>
    </w:p>
    <w:p w:rsidR="00010827" w:rsidRPr="000F0CFB" w:rsidRDefault="00626AAE" w:rsidP="007A69C0">
      <w:pPr>
        <w:tabs>
          <w:tab w:val="left" w:pos="5556"/>
        </w:tabs>
        <w:spacing w:line="312" w:lineRule="auto"/>
        <w:jc w:val="center"/>
        <w:rPr>
          <w:rFonts w:ascii="Book Antiqua" w:hAnsi="Book Antiqua"/>
          <w:b/>
          <w:bCs/>
          <w:color w:val="1F497D" w:themeColor="text2"/>
          <w:sz w:val="22"/>
          <w:szCs w:val="22"/>
        </w:rPr>
      </w:pPr>
      <w:r>
        <w:rPr>
          <w:rFonts w:ascii="Book Antiqua" w:hAnsi="Book Antiqua"/>
          <w:b/>
          <w:bCs/>
          <w:color w:val="1F497D" w:themeColor="text2"/>
          <w:sz w:val="22"/>
          <w:szCs w:val="22"/>
        </w:rPr>
        <w:t>e</w:t>
      </w:r>
      <w:r w:rsidR="00495892" w:rsidRPr="000F0CFB">
        <w:rPr>
          <w:rFonts w:ascii="Book Antiqua" w:hAnsi="Book Antiqua"/>
          <w:b/>
          <w:bCs/>
          <w:color w:val="1F497D" w:themeColor="text2"/>
          <w:sz w:val="22"/>
          <w:szCs w:val="22"/>
        </w:rPr>
        <w:t xml:space="preserve">t de </w:t>
      </w:r>
      <w:r w:rsidR="00010827" w:rsidRPr="000F0CFB">
        <w:rPr>
          <w:rFonts w:ascii="Book Antiqua" w:hAnsi="Book Antiqua"/>
          <w:b/>
          <w:bCs/>
          <w:color w:val="1F497D" w:themeColor="text2"/>
          <w:sz w:val="22"/>
          <w:szCs w:val="22"/>
        </w:rPr>
        <w:t>la population active occupée selon le niveau de diplôme (en %)</w:t>
      </w:r>
    </w:p>
    <w:p w:rsidR="00C3393A" w:rsidRPr="000F0CFB" w:rsidRDefault="00010827" w:rsidP="007A69C0">
      <w:pPr>
        <w:spacing w:before="240" w:line="312" w:lineRule="auto"/>
        <w:jc w:val="center"/>
        <w:rPr>
          <w:rFonts w:ascii="Book Antiqua" w:hAnsi="Book Antiqua"/>
          <w:b/>
          <w:bCs/>
          <w:color w:val="1F497D" w:themeColor="text2"/>
        </w:rPr>
      </w:pPr>
      <w:r w:rsidRPr="000F0CFB">
        <w:rPr>
          <w:rFonts w:ascii="Book Antiqua" w:hAnsi="Book Antiqua"/>
          <w:b/>
          <w:bCs/>
          <w:noProof/>
          <w:color w:val="1F497D" w:themeColor="text2"/>
        </w:rPr>
        <w:drawing>
          <wp:inline distT="0" distB="0" distL="0" distR="0">
            <wp:extent cx="4198289" cy="1828800"/>
            <wp:effectExtent l="0" t="0" r="0" b="0"/>
            <wp:docPr id="1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7986" w:rsidRPr="000F0CFB" w:rsidRDefault="003E7986" w:rsidP="007A69C0">
      <w:pPr>
        <w:autoSpaceDE w:val="0"/>
        <w:autoSpaceDN w:val="0"/>
        <w:adjustRightInd w:val="0"/>
        <w:spacing w:before="240" w:line="312" w:lineRule="auto"/>
        <w:jc w:val="both"/>
        <w:rPr>
          <w:rFonts w:ascii="Book Antiqua" w:hAnsi="Book Antiqua"/>
          <w:b/>
          <w:bCs/>
          <w:color w:val="1F497D" w:themeColor="text2"/>
        </w:rPr>
      </w:pPr>
      <w:r w:rsidRPr="000F0CFB">
        <w:rPr>
          <w:rFonts w:ascii="Book Antiqua" w:hAnsi="Book Antiqua"/>
          <w:b/>
          <w:bCs/>
          <w:color w:val="1F497D" w:themeColor="text2"/>
        </w:rPr>
        <w:t>Mode précaire d’insertion dans le marché du travail</w:t>
      </w:r>
    </w:p>
    <w:p w:rsidR="009C1DC5" w:rsidRPr="000F0CFB" w:rsidRDefault="009C1DC5" w:rsidP="007A69C0">
      <w:pPr>
        <w:autoSpaceDE w:val="0"/>
        <w:autoSpaceDN w:val="0"/>
        <w:adjustRightInd w:val="0"/>
        <w:spacing w:before="240" w:line="312" w:lineRule="auto"/>
        <w:jc w:val="both"/>
        <w:rPr>
          <w:rFonts w:ascii="Book Antiqua" w:hAnsi="Book Antiqua"/>
        </w:rPr>
      </w:pPr>
      <w:r w:rsidRPr="000F0CFB">
        <w:rPr>
          <w:rFonts w:ascii="Book Antiqua" w:hAnsi="Book Antiqua"/>
        </w:rPr>
        <w:t>Près d’un actif occupé sur six (16,4%) exerce un emploi non rémunéré (33% en milieu rural et 3% en zones urbaines).</w:t>
      </w:r>
    </w:p>
    <w:p w:rsidR="000C6F0F" w:rsidRPr="000F0CFB" w:rsidRDefault="009000BA" w:rsidP="007A69C0">
      <w:pPr>
        <w:autoSpaceDE w:val="0"/>
        <w:autoSpaceDN w:val="0"/>
        <w:adjustRightInd w:val="0"/>
        <w:spacing w:before="240" w:line="312" w:lineRule="auto"/>
        <w:jc w:val="both"/>
        <w:rPr>
          <w:rFonts w:ascii="Book Antiqua" w:hAnsi="Book Antiqua"/>
        </w:rPr>
      </w:pPr>
      <w:r w:rsidRPr="000F0CFB">
        <w:rPr>
          <w:rFonts w:ascii="Book Antiqua" w:hAnsi="Book Antiqua"/>
        </w:rPr>
        <w:t>P</w:t>
      </w:r>
      <w:r w:rsidR="003E7986" w:rsidRPr="000F0CFB">
        <w:rPr>
          <w:rFonts w:ascii="Book Antiqua" w:hAnsi="Book Antiqua"/>
        </w:rPr>
        <w:t xml:space="preserve">rès de 39,3% des femmes actives occupées travaillent sans rémunération contre seulement 9,5% </w:t>
      </w:r>
      <w:r w:rsidRPr="000F0CFB">
        <w:rPr>
          <w:rFonts w:ascii="Book Antiqua" w:hAnsi="Book Antiqua"/>
        </w:rPr>
        <w:t>des</w:t>
      </w:r>
      <w:r w:rsidR="003E7986" w:rsidRPr="000F0CFB">
        <w:rPr>
          <w:rFonts w:ascii="Book Antiqua" w:hAnsi="Book Antiqua"/>
        </w:rPr>
        <w:t xml:space="preserve"> hommes. Cette part atteint 70,5% pour les femmes rurales. </w:t>
      </w:r>
    </w:p>
    <w:p w:rsidR="003E7986" w:rsidRPr="000F0CFB" w:rsidRDefault="000C6F0F" w:rsidP="003540E0">
      <w:pPr>
        <w:autoSpaceDE w:val="0"/>
        <w:autoSpaceDN w:val="0"/>
        <w:adjustRightInd w:val="0"/>
        <w:spacing w:before="240" w:line="312" w:lineRule="auto"/>
        <w:jc w:val="both"/>
        <w:rPr>
          <w:rFonts w:ascii="Book Antiqua" w:hAnsi="Book Antiqua"/>
        </w:rPr>
      </w:pPr>
      <w:r w:rsidRPr="000F0CFB">
        <w:rPr>
          <w:rFonts w:ascii="Book Antiqua" w:hAnsi="Book Antiqua"/>
        </w:rPr>
        <w:t>Avec une part de 45,5%, l</w:t>
      </w:r>
      <w:r w:rsidR="003E7986" w:rsidRPr="000F0CFB">
        <w:rPr>
          <w:rFonts w:ascii="Book Antiqua" w:hAnsi="Book Antiqua"/>
        </w:rPr>
        <w:t>es jeune</w:t>
      </w:r>
      <w:r w:rsidR="009C1DC5" w:rsidRPr="000F0CFB">
        <w:rPr>
          <w:rFonts w:ascii="Book Antiqua" w:hAnsi="Book Antiqua"/>
        </w:rPr>
        <w:t xml:space="preserve">s de moins de 25 ans sont plus </w:t>
      </w:r>
      <w:r w:rsidR="00583C02" w:rsidRPr="000F0CFB">
        <w:rPr>
          <w:rFonts w:ascii="Book Antiqua" w:hAnsi="Book Antiqua"/>
        </w:rPr>
        <w:t xml:space="preserve">touchés </w:t>
      </w:r>
      <w:r w:rsidR="009C1DC5" w:rsidRPr="000F0CFB">
        <w:rPr>
          <w:rFonts w:ascii="Book Antiqua" w:hAnsi="Book Antiqua"/>
        </w:rPr>
        <w:t>par</w:t>
      </w:r>
      <w:r w:rsidR="003E7986" w:rsidRPr="000F0CFB">
        <w:rPr>
          <w:rFonts w:ascii="Book Antiqua" w:hAnsi="Book Antiqua"/>
        </w:rPr>
        <w:t xml:space="preserve"> </w:t>
      </w:r>
      <w:r w:rsidR="009C1DC5" w:rsidRPr="000F0CFB">
        <w:rPr>
          <w:rFonts w:ascii="Book Antiqua" w:hAnsi="Book Antiqua"/>
        </w:rPr>
        <w:t xml:space="preserve">le </w:t>
      </w:r>
      <w:r w:rsidR="003E7986" w:rsidRPr="000F0CFB">
        <w:rPr>
          <w:rFonts w:ascii="Book Antiqua" w:hAnsi="Book Antiqua"/>
        </w:rPr>
        <w:t xml:space="preserve">travail non rémunéré. Cette proportion </w:t>
      </w:r>
      <w:r w:rsidR="003540E0">
        <w:rPr>
          <w:rFonts w:ascii="Book Antiqua" w:hAnsi="Book Antiqua"/>
        </w:rPr>
        <w:t>est de</w:t>
      </w:r>
      <w:r w:rsidR="003E7986" w:rsidRPr="000F0CFB">
        <w:rPr>
          <w:rFonts w:ascii="Book Antiqua" w:hAnsi="Book Antiqua"/>
        </w:rPr>
        <w:t xml:space="preserve"> 11,2% pour les adultes âgés de 45 ans et plus. </w:t>
      </w:r>
    </w:p>
    <w:p w:rsidR="003E7986" w:rsidRPr="000F0CFB" w:rsidRDefault="000C6F0F" w:rsidP="007A69C0">
      <w:pPr>
        <w:autoSpaceDE w:val="0"/>
        <w:autoSpaceDN w:val="0"/>
        <w:adjustRightInd w:val="0"/>
        <w:spacing w:before="240" w:line="312" w:lineRule="auto"/>
        <w:jc w:val="both"/>
        <w:rPr>
          <w:rFonts w:ascii="Book Antiqua" w:hAnsi="Book Antiqua" w:cs="Arial"/>
        </w:rPr>
      </w:pPr>
      <w:r w:rsidRPr="000F0CFB">
        <w:rPr>
          <w:rFonts w:ascii="Book Antiqua" w:hAnsi="Book Antiqua"/>
        </w:rPr>
        <w:t>L</w:t>
      </w:r>
      <w:r w:rsidR="003E7986" w:rsidRPr="000F0CFB">
        <w:rPr>
          <w:rFonts w:ascii="Book Antiqua" w:hAnsi="Book Antiqua"/>
        </w:rPr>
        <w:t>es non</w:t>
      </w:r>
      <w:r w:rsidRPr="000F0CFB">
        <w:rPr>
          <w:rFonts w:ascii="Book Antiqua" w:hAnsi="Book Antiqua"/>
        </w:rPr>
        <w:t xml:space="preserve"> </w:t>
      </w:r>
      <w:r w:rsidR="003E7986" w:rsidRPr="000F0CFB">
        <w:rPr>
          <w:rFonts w:ascii="Book Antiqua" w:hAnsi="Book Antiqua"/>
        </w:rPr>
        <w:t xml:space="preserve">diplômés demeurent également les plus </w:t>
      </w:r>
      <w:r w:rsidR="00583C02" w:rsidRPr="000F0CFB">
        <w:rPr>
          <w:rFonts w:ascii="Book Antiqua" w:hAnsi="Book Antiqua"/>
        </w:rPr>
        <w:t xml:space="preserve">concernés </w:t>
      </w:r>
      <w:r w:rsidR="003E7986" w:rsidRPr="000F0CFB">
        <w:rPr>
          <w:rFonts w:ascii="Book Antiqua" w:hAnsi="Book Antiqua"/>
        </w:rPr>
        <w:t xml:space="preserve">par l’emploi non rémunéré avec une part de 21,2% contre 9,9% pour les diplômés. </w:t>
      </w:r>
    </w:p>
    <w:p w:rsidR="009C0C39" w:rsidRPr="000F0CFB" w:rsidRDefault="003E7986" w:rsidP="007A69C0">
      <w:pPr>
        <w:autoSpaceDE w:val="0"/>
        <w:autoSpaceDN w:val="0"/>
        <w:adjustRightInd w:val="0"/>
        <w:spacing w:before="240" w:line="312" w:lineRule="auto"/>
        <w:jc w:val="both"/>
        <w:rPr>
          <w:rFonts w:ascii="Book Antiqua" w:hAnsi="Book Antiqua"/>
        </w:rPr>
      </w:pPr>
      <w:r w:rsidRPr="000F0CFB">
        <w:rPr>
          <w:rFonts w:ascii="Book Antiqua" w:hAnsi="Book Antiqua"/>
        </w:rPr>
        <w:lastRenderedPageBreak/>
        <w:t xml:space="preserve">Selon la régularité </w:t>
      </w:r>
      <w:r w:rsidR="00583C02" w:rsidRPr="000F0CFB">
        <w:rPr>
          <w:rFonts w:ascii="Book Antiqua" w:hAnsi="Book Antiqua"/>
        </w:rPr>
        <w:t xml:space="preserve">dans le </w:t>
      </w:r>
      <w:r w:rsidRPr="000F0CFB">
        <w:rPr>
          <w:rFonts w:ascii="Book Antiqua" w:hAnsi="Book Antiqua"/>
        </w:rPr>
        <w:t xml:space="preserve">travail, </w:t>
      </w:r>
      <w:r w:rsidR="009C1DC5" w:rsidRPr="000F0CFB">
        <w:rPr>
          <w:rFonts w:ascii="Book Antiqua" w:hAnsi="Book Antiqua"/>
        </w:rPr>
        <w:t>9,1% des</w:t>
      </w:r>
      <w:r w:rsidRPr="000F0CFB">
        <w:rPr>
          <w:rFonts w:ascii="Book Antiqua" w:hAnsi="Book Antiqua"/>
        </w:rPr>
        <w:t xml:space="preserve"> actifs occupés exercent un </w:t>
      </w:r>
      <w:r w:rsidR="00583C02" w:rsidRPr="000F0CFB">
        <w:rPr>
          <w:rFonts w:ascii="Book Antiqua" w:hAnsi="Book Antiqua"/>
        </w:rPr>
        <w:t xml:space="preserve">emploi </w:t>
      </w:r>
      <w:r w:rsidRPr="000F0CFB">
        <w:rPr>
          <w:rFonts w:ascii="Book Antiqua" w:hAnsi="Book Antiqua"/>
        </w:rPr>
        <w:t>de</w:t>
      </w:r>
      <w:r w:rsidR="009C1DC5" w:rsidRPr="000F0CFB">
        <w:rPr>
          <w:rFonts w:ascii="Book Antiqua" w:hAnsi="Book Antiqua"/>
        </w:rPr>
        <w:t xml:space="preserve"> type occasionnel ou saisonnier </w:t>
      </w:r>
      <w:r w:rsidRPr="000F0CFB">
        <w:rPr>
          <w:rFonts w:ascii="Book Antiqua" w:hAnsi="Book Antiqua"/>
        </w:rPr>
        <w:t>(11,2% dans la c</w:t>
      </w:r>
      <w:r w:rsidR="009C1DC5" w:rsidRPr="000F0CFB">
        <w:rPr>
          <w:rFonts w:ascii="Book Antiqua" w:hAnsi="Book Antiqua"/>
        </w:rPr>
        <w:t>a</w:t>
      </w:r>
      <w:r w:rsidRPr="000F0CFB">
        <w:rPr>
          <w:rFonts w:ascii="Book Antiqua" w:hAnsi="Book Antiqua"/>
        </w:rPr>
        <w:t xml:space="preserve">mpagne et 7,4% dans les villes). </w:t>
      </w:r>
    </w:p>
    <w:p w:rsidR="009000BA" w:rsidRPr="000F0CFB" w:rsidRDefault="003E7986" w:rsidP="003540E0">
      <w:pPr>
        <w:autoSpaceDE w:val="0"/>
        <w:autoSpaceDN w:val="0"/>
        <w:adjustRightInd w:val="0"/>
        <w:spacing w:before="240" w:line="312" w:lineRule="auto"/>
        <w:jc w:val="both"/>
        <w:rPr>
          <w:rFonts w:ascii="Book Antiqua" w:hAnsi="Book Antiqua"/>
        </w:rPr>
      </w:pPr>
      <w:r w:rsidRPr="000F0CFB">
        <w:rPr>
          <w:rFonts w:ascii="Book Antiqua" w:hAnsi="Book Antiqua"/>
        </w:rPr>
        <w:t>Par ailleurs, près de 6</w:t>
      </w:r>
      <w:r w:rsidR="0024266F">
        <w:rPr>
          <w:rFonts w:ascii="Book Antiqua" w:hAnsi="Book Antiqua"/>
        </w:rPr>
        <w:t>,2</w:t>
      </w:r>
      <w:r w:rsidRPr="000F0CFB">
        <w:rPr>
          <w:rFonts w:ascii="Book Antiqua" w:hAnsi="Book Antiqua"/>
        </w:rPr>
        <w:t xml:space="preserve">% des actifs occupés travaillent le jour et la nuit (8,6% </w:t>
      </w:r>
      <w:r w:rsidR="003540E0">
        <w:rPr>
          <w:rFonts w:ascii="Book Antiqua" w:hAnsi="Book Antiqua"/>
        </w:rPr>
        <w:t>en</w:t>
      </w:r>
      <w:r w:rsidRPr="000F0CFB">
        <w:rPr>
          <w:rFonts w:ascii="Book Antiqua" w:hAnsi="Book Antiqua"/>
        </w:rPr>
        <w:t xml:space="preserve"> milieu urbain </w:t>
      </w:r>
      <w:r w:rsidR="003540E0">
        <w:rPr>
          <w:rFonts w:ascii="Book Antiqua" w:hAnsi="Book Antiqua"/>
        </w:rPr>
        <w:t>et</w:t>
      </w:r>
      <w:r w:rsidRPr="000F0CFB">
        <w:rPr>
          <w:rFonts w:ascii="Book Antiqua" w:hAnsi="Book Antiqua"/>
        </w:rPr>
        <w:t xml:space="preserve"> 3,2% </w:t>
      </w:r>
      <w:r w:rsidR="003540E0">
        <w:rPr>
          <w:rFonts w:ascii="Book Antiqua" w:hAnsi="Book Antiqua"/>
        </w:rPr>
        <w:t>en</w:t>
      </w:r>
      <w:r w:rsidRPr="000F0CFB">
        <w:rPr>
          <w:rFonts w:ascii="Book Antiqua" w:hAnsi="Book Antiqua"/>
        </w:rPr>
        <w:t xml:space="preserve"> milieu rural), 2,5% alternent le jour et la nuit et 1% travaillent uniquement la nuit. </w:t>
      </w:r>
    </w:p>
    <w:p w:rsidR="0003351E" w:rsidRPr="000F0CFB" w:rsidRDefault="009000BA" w:rsidP="007A69C0">
      <w:pPr>
        <w:autoSpaceDE w:val="0"/>
        <w:autoSpaceDN w:val="0"/>
        <w:adjustRightInd w:val="0"/>
        <w:spacing w:before="240" w:line="312" w:lineRule="auto"/>
        <w:jc w:val="both"/>
        <w:rPr>
          <w:rFonts w:ascii="Book Antiqua" w:hAnsi="Book Antiqua"/>
        </w:rPr>
      </w:pPr>
      <w:r w:rsidRPr="000F0CFB">
        <w:rPr>
          <w:rFonts w:ascii="Book Antiqua" w:hAnsi="Book Antiqua"/>
        </w:rPr>
        <w:t>L</w:t>
      </w:r>
      <w:r w:rsidR="003E7986" w:rsidRPr="000F0CFB">
        <w:rPr>
          <w:rFonts w:ascii="Book Antiqua" w:hAnsi="Book Antiqua"/>
        </w:rPr>
        <w:t xml:space="preserve">a part </w:t>
      </w:r>
      <w:r w:rsidR="0003351E" w:rsidRPr="000F0CFB">
        <w:rPr>
          <w:rFonts w:ascii="Book Antiqua" w:hAnsi="Book Antiqua"/>
        </w:rPr>
        <w:t xml:space="preserve">des </w:t>
      </w:r>
      <w:r w:rsidR="003E7986" w:rsidRPr="000F0CFB">
        <w:rPr>
          <w:rFonts w:ascii="Book Antiqua" w:hAnsi="Book Antiqua"/>
        </w:rPr>
        <w:t>actifs occupés travaillant le jour et la nuit</w:t>
      </w:r>
      <w:r w:rsidR="003540E0">
        <w:rPr>
          <w:rFonts w:ascii="Book Antiqua" w:hAnsi="Book Antiqua"/>
        </w:rPr>
        <w:t>,</w:t>
      </w:r>
      <w:r w:rsidR="003E7986" w:rsidRPr="000F0CFB">
        <w:rPr>
          <w:rFonts w:ascii="Book Antiqua" w:hAnsi="Book Antiqua"/>
        </w:rPr>
        <w:t xml:space="preserve"> </w:t>
      </w:r>
      <w:r w:rsidR="009C0C39" w:rsidRPr="000F0CFB">
        <w:rPr>
          <w:rFonts w:ascii="Book Antiqua" w:hAnsi="Book Antiqua"/>
        </w:rPr>
        <w:t>parmi</w:t>
      </w:r>
      <w:r w:rsidR="003E7986" w:rsidRPr="000F0CFB">
        <w:rPr>
          <w:rFonts w:ascii="Book Antiqua" w:hAnsi="Book Antiqua"/>
        </w:rPr>
        <w:t xml:space="preserve"> les hommes</w:t>
      </w:r>
      <w:r w:rsidR="003540E0">
        <w:rPr>
          <w:rFonts w:ascii="Book Antiqua" w:hAnsi="Book Antiqua"/>
        </w:rPr>
        <w:t>,</w:t>
      </w:r>
      <w:r w:rsidR="003E7986" w:rsidRPr="000F0CFB">
        <w:rPr>
          <w:rFonts w:ascii="Book Antiqua" w:hAnsi="Book Antiqua"/>
        </w:rPr>
        <w:t xml:space="preserve"> est le double de celle enregistrée </w:t>
      </w:r>
      <w:r w:rsidR="009C0C39" w:rsidRPr="000F0CFB">
        <w:rPr>
          <w:rFonts w:ascii="Book Antiqua" w:hAnsi="Book Antiqua"/>
        </w:rPr>
        <w:t>parmi</w:t>
      </w:r>
      <w:r w:rsidR="003E7986" w:rsidRPr="000F0CFB">
        <w:rPr>
          <w:rFonts w:ascii="Book Antiqua" w:hAnsi="Book Antiqua"/>
        </w:rPr>
        <w:t xml:space="preserve"> les femmes (</w:t>
      </w:r>
      <w:r w:rsidR="00476139">
        <w:rPr>
          <w:rFonts w:ascii="Book Antiqua" w:hAnsi="Book Antiqua"/>
        </w:rPr>
        <w:t xml:space="preserve">respectivement </w:t>
      </w:r>
      <w:r w:rsidR="003E7986" w:rsidRPr="000F0CFB">
        <w:rPr>
          <w:rFonts w:ascii="Book Antiqua" w:hAnsi="Book Antiqua"/>
        </w:rPr>
        <w:t>7,1%</w:t>
      </w:r>
      <w:r w:rsidR="00476139">
        <w:rPr>
          <w:rFonts w:ascii="Book Antiqua" w:hAnsi="Book Antiqua"/>
        </w:rPr>
        <w:t xml:space="preserve"> et</w:t>
      </w:r>
      <w:r w:rsidR="003E7986" w:rsidRPr="000F0CFB">
        <w:rPr>
          <w:rFonts w:ascii="Book Antiqua" w:hAnsi="Book Antiqua"/>
        </w:rPr>
        <w:t xml:space="preserve"> 3,1</w:t>
      </w:r>
      <w:r w:rsidR="00B96A0E">
        <w:rPr>
          <w:rFonts w:ascii="Book Antiqua" w:hAnsi="Book Antiqua"/>
        </w:rPr>
        <w:t>%</w:t>
      </w:r>
      <w:r w:rsidR="000F0CFB">
        <w:rPr>
          <w:rFonts w:ascii="Book Antiqua" w:hAnsi="Book Antiqua"/>
        </w:rPr>
        <w:t>).</w:t>
      </w:r>
      <w:r w:rsidR="00E01844">
        <w:rPr>
          <w:rFonts w:ascii="Book Antiqua" w:hAnsi="Book Antiqua"/>
        </w:rPr>
        <w:t xml:space="preserve"> </w:t>
      </w:r>
      <w:r w:rsidR="00476139">
        <w:rPr>
          <w:rFonts w:ascii="Book Antiqua" w:hAnsi="Book Antiqua"/>
        </w:rPr>
        <w:t xml:space="preserve">Elle atteint son niveau le plus élevé </w:t>
      </w:r>
      <w:r w:rsidR="00735A3A" w:rsidRPr="00C14D67">
        <w:rPr>
          <w:rFonts w:ascii="Book Antiqua" w:hAnsi="Book Antiqua"/>
        </w:rPr>
        <w:t>dans le secteur des services</w:t>
      </w:r>
      <w:r w:rsidR="00C14D67" w:rsidRPr="00C14D67">
        <w:rPr>
          <w:rFonts w:ascii="Book Antiqua" w:hAnsi="Book Antiqua"/>
        </w:rPr>
        <w:t xml:space="preserve"> </w:t>
      </w:r>
      <w:r w:rsidR="00735A3A" w:rsidRPr="00C14D67">
        <w:rPr>
          <w:rFonts w:ascii="Book Antiqua" w:hAnsi="Book Antiqua"/>
        </w:rPr>
        <w:t xml:space="preserve"> </w:t>
      </w:r>
      <w:r w:rsidR="00C14D67" w:rsidRPr="00C14D67">
        <w:rPr>
          <w:rFonts w:ascii="Book Antiqua" w:hAnsi="Book Antiqua"/>
        </w:rPr>
        <w:t>(</w:t>
      </w:r>
      <w:r w:rsidR="00735A3A" w:rsidRPr="00C14D67">
        <w:rPr>
          <w:rFonts w:ascii="Book Antiqua" w:hAnsi="Book Antiqua"/>
        </w:rPr>
        <w:t>11,3%</w:t>
      </w:r>
      <w:r w:rsidR="00C14D67" w:rsidRPr="00C14D67">
        <w:rPr>
          <w:rFonts w:ascii="Book Antiqua" w:hAnsi="Book Antiqua"/>
        </w:rPr>
        <w:t>)</w:t>
      </w:r>
      <w:r w:rsidR="00735A3A" w:rsidRPr="00C14D67">
        <w:rPr>
          <w:rFonts w:ascii="Book Antiqua" w:hAnsi="Book Antiqua"/>
        </w:rPr>
        <w:t>.</w:t>
      </w:r>
    </w:p>
    <w:p w:rsidR="00A47768" w:rsidRPr="000F0CFB" w:rsidRDefault="00A47768" w:rsidP="007A69C0">
      <w:pPr>
        <w:autoSpaceDE w:val="0"/>
        <w:autoSpaceDN w:val="0"/>
        <w:adjustRightInd w:val="0"/>
        <w:spacing w:before="240" w:line="312" w:lineRule="auto"/>
        <w:jc w:val="both"/>
        <w:rPr>
          <w:rFonts w:ascii="Book Antiqua" w:hAnsi="Book Antiqua"/>
        </w:rPr>
      </w:pPr>
      <w:r w:rsidRPr="000F0CFB">
        <w:rPr>
          <w:rFonts w:ascii="Book Antiqua" w:hAnsi="Book Antiqua"/>
        </w:rPr>
        <w:t>Sur un autre plan, q</w:t>
      </w:r>
      <w:r w:rsidR="003E7986" w:rsidRPr="000F0CFB">
        <w:rPr>
          <w:rFonts w:ascii="Book Antiqua" w:hAnsi="Book Antiqua"/>
        </w:rPr>
        <w:t>uatre actifs occupés sur dix</w:t>
      </w:r>
      <w:r w:rsidRPr="000F0CFB">
        <w:rPr>
          <w:rFonts w:ascii="Book Antiqua" w:hAnsi="Book Antiqua"/>
        </w:rPr>
        <w:t xml:space="preserve"> (40,4%) </w:t>
      </w:r>
      <w:r w:rsidR="003E7986" w:rsidRPr="000F0CFB">
        <w:rPr>
          <w:rFonts w:ascii="Book Antiqua" w:hAnsi="Book Antiqua"/>
        </w:rPr>
        <w:t xml:space="preserve">travaillent plus de 48 heures par semaine </w:t>
      </w:r>
      <w:r w:rsidRPr="000F0CFB">
        <w:rPr>
          <w:rFonts w:ascii="Book Antiqua" w:hAnsi="Book Antiqua"/>
        </w:rPr>
        <w:t xml:space="preserve">(45,3% parmi les citadins </w:t>
      </w:r>
      <w:r w:rsidR="003E7986" w:rsidRPr="000F0CFB">
        <w:rPr>
          <w:rFonts w:ascii="Book Antiqua" w:hAnsi="Book Antiqua"/>
        </w:rPr>
        <w:t>et 34,4% parmi les ruraux</w:t>
      </w:r>
      <w:r w:rsidRPr="000F0CFB">
        <w:rPr>
          <w:rFonts w:ascii="Book Antiqua" w:hAnsi="Book Antiqua"/>
        </w:rPr>
        <w:t>)</w:t>
      </w:r>
    </w:p>
    <w:p w:rsidR="003E7986" w:rsidRDefault="00A47768" w:rsidP="0024266F">
      <w:pPr>
        <w:autoSpaceDE w:val="0"/>
        <w:autoSpaceDN w:val="0"/>
        <w:adjustRightInd w:val="0"/>
        <w:spacing w:before="240" w:line="312" w:lineRule="auto"/>
        <w:jc w:val="both"/>
        <w:rPr>
          <w:rFonts w:ascii="Book Antiqua" w:hAnsi="Book Antiqua"/>
        </w:rPr>
      </w:pPr>
      <w:r w:rsidRPr="000F0CFB">
        <w:rPr>
          <w:rFonts w:ascii="Book Antiqua" w:hAnsi="Book Antiqua"/>
        </w:rPr>
        <w:t>L</w:t>
      </w:r>
      <w:r w:rsidR="003E7986" w:rsidRPr="000F0CFB">
        <w:rPr>
          <w:rFonts w:ascii="Book Antiqua" w:hAnsi="Book Antiqua"/>
        </w:rPr>
        <w:t>a durée excessive</w:t>
      </w:r>
      <w:r w:rsidR="00830781" w:rsidRPr="00941AE0">
        <w:rPr>
          <w:rStyle w:val="Appelnotedebasdep"/>
          <w:rFonts w:ascii="Book Antiqua" w:hAnsi="Book Antiqua"/>
          <w:sz w:val="27"/>
          <w:szCs w:val="27"/>
        </w:rPr>
        <w:footnoteReference w:id="2"/>
      </w:r>
      <w:r w:rsidR="003E7986" w:rsidRPr="000F0CFB">
        <w:rPr>
          <w:rFonts w:ascii="Book Antiqua" w:hAnsi="Book Antiqua"/>
        </w:rPr>
        <w:t xml:space="preserve"> de travail concerne principalement les hommes (48,7%</w:t>
      </w:r>
      <w:r w:rsidR="00583C02" w:rsidRPr="000F0CFB">
        <w:rPr>
          <w:rFonts w:ascii="Book Antiqua" w:hAnsi="Book Antiqua"/>
        </w:rPr>
        <w:t>) plus que les femmes (</w:t>
      </w:r>
      <w:r w:rsidR="003E7986" w:rsidRPr="000F0CFB">
        <w:rPr>
          <w:rFonts w:ascii="Book Antiqua" w:hAnsi="Book Antiqua"/>
        </w:rPr>
        <w:t>12,8%</w:t>
      </w:r>
      <w:r w:rsidR="00583C02" w:rsidRPr="000F0CFB">
        <w:rPr>
          <w:rFonts w:ascii="Book Antiqua" w:hAnsi="Book Antiqua"/>
        </w:rPr>
        <w:t>)</w:t>
      </w:r>
      <w:r w:rsidR="003E7986" w:rsidRPr="000F0CFB">
        <w:rPr>
          <w:rFonts w:ascii="Book Antiqua" w:hAnsi="Book Antiqua"/>
        </w:rPr>
        <w:t xml:space="preserve">. Selon le secteur d’activité économique, près de la moitié des actifs </w:t>
      </w:r>
      <w:r w:rsidR="003540E0">
        <w:rPr>
          <w:rFonts w:ascii="Book Antiqua" w:hAnsi="Book Antiqua"/>
        </w:rPr>
        <w:t>exerçant</w:t>
      </w:r>
      <w:r w:rsidR="003E7986" w:rsidRPr="000F0CFB">
        <w:rPr>
          <w:rFonts w:ascii="Book Antiqua" w:hAnsi="Book Antiqua"/>
        </w:rPr>
        <w:t xml:space="preserve"> dans les </w:t>
      </w:r>
      <w:r w:rsidR="003540E0">
        <w:rPr>
          <w:rFonts w:ascii="Book Antiqua" w:hAnsi="Book Antiqua"/>
        </w:rPr>
        <w:t xml:space="preserve">secteurs des </w:t>
      </w:r>
      <w:r w:rsidR="0024266F" w:rsidRPr="000F0CFB">
        <w:rPr>
          <w:rFonts w:ascii="Book Antiqua" w:hAnsi="Book Antiqua"/>
        </w:rPr>
        <w:t xml:space="preserve">BTP </w:t>
      </w:r>
      <w:r w:rsidR="00F23640" w:rsidRPr="000F0CFB">
        <w:rPr>
          <w:rFonts w:ascii="Book Antiqua" w:hAnsi="Book Antiqua"/>
        </w:rPr>
        <w:t>(48,7%)</w:t>
      </w:r>
      <w:r w:rsidR="003E7986" w:rsidRPr="000F0CFB">
        <w:rPr>
          <w:rFonts w:ascii="Book Antiqua" w:hAnsi="Book Antiqua"/>
        </w:rPr>
        <w:t xml:space="preserve"> et </w:t>
      </w:r>
      <w:r w:rsidR="003540E0">
        <w:rPr>
          <w:rFonts w:ascii="Book Antiqua" w:hAnsi="Book Antiqua"/>
        </w:rPr>
        <w:t>d</w:t>
      </w:r>
      <w:r w:rsidR="003E7986" w:rsidRPr="000F0CFB">
        <w:rPr>
          <w:rFonts w:ascii="Book Antiqua" w:hAnsi="Book Antiqua"/>
        </w:rPr>
        <w:t xml:space="preserve">es </w:t>
      </w:r>
      <w:r w:rsidR="0024266F" w:rsidRPr="000F0CFB">
        <w:rPr>
          <w:rFonts w:ascii="Book Antiqua" w:hAnsi="Book Antiqua"/>
        </w:rPr>
        <w:t xml:space="preserve">services </w:t>
      </w:r>
      <w:r w:rsidR="00F23640" w:rsidRPr="000F0CFB">
        <w:rPr>
          <w:rFonts w:ascii="Book Antiqua" w:hAnsi="Book Antiqua"/>
        </w:rPr>
        <w:t>(47,5%)</w:t>
      </w:r>
      <w:r w:rsidR="003E7986" w:rsidRPr="000F0CFB">
        <w:rPr>
          <w:rFonts w:ascii="Book Antiqua" w:hAnsi="Book Antiqua"/>
        </w:rPr>
        <w:t xml:space="preserve"> travaillent plus que 48 heures par semaine. </w:t>
      </w:r>
    </w:p>
    <w:p w:rsidR="003E7986" w:rsidRPr="000F0CFB" w:rsidRDefault="00C74FB0" w:rsidP="007A69C0">
      <w:pPr>
        <w:autoSpaceDE w:val="0"/>
        <w:autoSpaceDN w:val="0"/>
        <w:adjustRightInd w:val="0"/>
        <w:spacing w:before="240" w:line="312" w:lineRule="auto"/>
        <w:jc w:val="both"/>
        <w:rPr>
          <w:rFonts w:ascii="Book Antiqua" w:hAnsi="Book Antiqua"/>
          <w:b/>
          <w:bCs/>
          <w:color w:val="1F497D" w:themeColor="text2"/>
        </w:rPr>
      </w:pPr>
      <w:r w:rsidRPr="000F0CFB">
        <w:rPr>
          <w:rFonts w:ascii="Book Antiqua" w:hAnsi="Book Antiqua"/>
          <w:b/>
          <w:bCs/>
          <w:color w:val="1F497D" w:themeColor="text2"/>
        </w:rPr>
        <w:t>Faible protection de l’emploi</w:t>
      </w:r>
    </w:p>
    <w:p w:rsidR="003E7986" w:rsidRPr="000F0CFB" w:rsidRDefault="007145AE" w:rsidP="007A69C0">
      <w:pPr>
        <w:autoSpaceDE w:val="0"/>
        <w:autoSpaceDN w:val="0"/>
        <w:adjustRightInd w:val="0"/>
        <w:spacing w:before="240" w:line="312" w:lineRule="auto"/>
        <w:jc w:val="both"/>
        <w:rPr>
          <w:rFonts w:ascii="Book Antiqua" w:hAnsi="Book Antiqua"/>
        </w:rPr>
      </w:pPr>
      <w:r w:rsidRPr="000F0CFB">
        <w:rPr>
          <w:rFonts w:ascii="Book Antiqua" w:hAnsi="Book Antiqua"/>
        </w:rPr>
        <w:t xml:space="preserve">Un peu plus d’un </w:t>
      </w:r>
      <w:r w:rsidR="00A47768" w:rsidRPr="000F0CFB">
        <w:rPr>
          <w:rFonts w:ascii="Book Antiqua" w:hAnsi="Book Antiqua"/>
        </w:rPr>
        <w:t>actif occupé sur 4 (</w:t>
      </w:r>
      <w:r w:rsidR="00D635C4" w:rsidRPr="000F0CFB">
        <w:rPr>
          <w:rFonts w:ascii="Book Antiqua" w:hAnsi="Book Antiqua"/>
        </w:rPr>
        <w:t>26,1</w:t>
      </w:r>
      <w:r w:rsidR="003E7986" w:rsidRPr="000F0CFB">
        <w:rPr>
          <w:rFonts w:ascii="Book Antiqua" w:hAnsi="Book Antiqua"/>
        </w:rPr>
        <w:t>%</w:t>
      </w:r>
      <w:r w:rsidR="00A47768" w:rsidRPr="000F0CFB">
        <w:rPr>
          <w:rFonts w:ascii="Book Antiqua" w:hAnsi="Book Antiqua"/>
        </w:rPr>
        <w:t>)</w:t>
      </w:r>
      <w:r w:rsidR="003E7986" w:rsidRPr="000F0CFB">
        <w:rPr>
          <w:rFonts w:ascii="Book Antiqua" w:hAnsi="Book Antiqua"/>
        </w:rPr>
        <w:t xml:space="preserve"> </w:t>
      </w:r>
      <w:r w:rsidR="00D635C4" w:rsidRPr="000F0CFB">
        <w:rPr>
          <w:rFonts w:ascii="Book Antiqua" w:hAnsi="Book Antiqua"/>
        </w:rPr>
        <w:t xml:space="preserve">bénéficie </w:t>
      </w:r>
      <w:r w:rsidR="003E7986" w:rsidRPr="000F0CFB">
        <w:rPr>
          <w:rFonts w:ascii="Book Antiqua" w:hAnsi="Book Antiqua"/>
        </w:rPr>
        <w:t>d’une couve</w:t>
      </w:r>
      <w:r w:rsidR="00A47768" w:rsidRPr="000F0CFB">
        <w:rPr>
          <w:rFonts w:ascii="Book Antiqua" w:hAnsi="Book Antiqua"/>
        </w:rPr>
        <w:t>rture médicale liée à l’emploi (</w:t>
      </w:r>
      <w:r w:rsidR="00D635C4" w:rsidRPr="000F0CFB">
        <w:rPr>
          <w:rFonts w:ascii="Book Antiqua" w:hAnsi="Book Antiqua"/>
        </w:rPr>
        <w:t>38</w:t>
      </w:r>
      <w:r w:rsidR="003E7986" w:rsidRPr="000F0CFB">
        <w:rPr>
          <w:rFonts w:ascii="Book Antiqua" w:hAnsi="Book Antiqua"/>
        </w:rPr>
        <w:t>% dans les villes et</w:t>
      </w:r>
      <w:r w:rsidR="00A47768" w:rsidRPr="000F0CFB">
        <w:rPr>
          <w:rFonts w:ascii="Book Antiqua" w:hAnsi="Book Antiqua"/>
        </w:rPr>
        <w:t xml:space="preserve"> </w:t>
      </w:r>
      <w:r w:rsidR="00D635C4" w:rsidRPr="000F0CFB">
        <w:rPr>
          <w:rFonts w:ascii="Book Antiqua" w:hAnsi="Book Antiqua"/>
        </w:rPr>
        <w:t>11,4</w:t>
      </w:r>
      <w:r w:rsidR="00A47768" w:rsidRPr="000F0CFB">
        <w:rPr>
          <w:rFonts w:ascii="Book Antiqua" w:hAnsi="Book Antiqua"/>
        </w:rPr>
        <w:t>%</w:t>
      </w:r>
      <w:r w:rsidR="003E7986" w:rsidRPr="000F0CFB">
        <w:rPr>
          <w:rFonts w:ascii="Book Antiqua" w:hAnsi="Book Antiqua"/>
        </w:rPr>
        <w:t xml:space="preserve"> dans la campagne</w:t>
      </w:r>
      <w:r w:rsidR="00A47768" w:rsidRPr="000F0CFB">
        <w:rPr>
          <w:rFonts w:ascii="Book Antiqua" w:hAnsi="Book Antiqua"/>
        </w:rPr>
        <w:t>)</w:t>
      </w:r>
      <w:r w:rsidR="003E7986" w:rsidRPr="000F0CFB">
        <w:rPr>
          <w:rFonts w:ascii="Book Antiqua" w:hAnsi="Book Antiqua"/>
        </w:rPr>
        <w:t xml:space="preserve">. </w:t>
      </w:r>
    </w:p>
    <w:p w:rsidR="0003351E" w:rsidRPr="000F0CFB" w:rsidRDefault="00D635C4" w:rsidP="003540E0">
      <w:pPr>
        <w:autoSpaceDE w:val="0"/>
        <w:autoSpaceDN w:val="0"/>
        <w:adjustRightInd w:val="0"/>
        <w:spacing w:before="240" w:line="312" w:lineRule="auto"/>
        <w:jc w:val="both"/>
        <w:rPr>
          <w:rFonts w:ascii="Book Antiqua" w:hAnsi="Book Antiqua"/>
        </w:rPr>
      </w:pPr>
      <w:r w:rsidRPr="000F0CFB">
        <w:rPr>
          <w:rFonts w:ascii="Book Antiqua" w:hAnsi="Book Antiqua"/>
        </w:rPr>
        <w:t>L</w:t>
      </w:r>
      <w:r w:rsidR="003E7986" w:rsidRPr="000F0CFB">
        <w:rPr>
          <w:rFonts w:ascii="Book Antiqua" w:hAnsi="Book Antiqua"/>
        </w:rPr>
        <w:t xml:space="preserve">a disposition d’un diplôme augmente les chances d’accéder à un emploi assurant une couverture médicale. </w:t>
      </w:r>
      <w:r w:rsidR="009721C1" w:rsidRPr="000F0CFB">
        <w:rPr>
          <w:rFonts w:ascii="Book Antiqua" w:hAnsi="Book Antiqua"/>
        </w:rPr>
        <w:t>L</w:t>
      </w:r>
      <w:r w:rsidR="003E7986" w:rsidRPr="000F0CFB">
        <w:rPr>
          <w:rFonts w:ascii="Book Antiqua" w:hAnsi="Book Antiqua"/>
        </w:rPr>
        <w:t xml:space="preserve">a part des actifs occupés affiliés à </w:t>
      </w:r>
      <w:r w:rsidR="003540E0">
        <w:rPr>
          <w:rFonts w:ascii="Book Antiqua" w:hAnsi="Book Antiqua"/>
        </w:rPr>
        <w:t>un système de</w:t>
      </w:r>
      <w:r w:rsidR="003E7986" w:rsidRPr="000F0CFB">
        <w:rPr>
          <w:rFonts w:ascii="Book Antiqua" w:hAnsi="Book Antiqua"/>
        </w:rPr>
        <w:t xml:space="preserve"> couverture </w:t>
      </w:r>
      <w:r w:rsidR="009721C1" w:rsidRPr="000F0CFB">
        <w:rPr>
          <w:rFonts w:ascii="Book Antiqua" w:hAnsi="Book Antiqua"/>
        </w:rPr>
        <w:t xml:space="preserve">médicale </w:t>
      </w:r>
      <w:r w:rsidR="003E7986" w:rsidRPr="000F0CFB">
        <w:rPr>
          <w:rFonts w:ascii="Book Antiqua" w:hAnsi="Book Antiqua"/>
        </w:rPr>
        <w:t>augmente</w:t>
      </w:r>
      <w:r w:rsidR="009721C1" w:rsidRPr="000F0CFB">
        <w:rPr>
          <w:rFonts w:ascii="Book Antiqua" w:hAnsi="Book Antiqua"/>
        </w:rPr>
        <w:t>, ainsi,</w:t>
      </w:r>
      <w:r w:rsidR="003E7986" w:rsidRPr="000F0CFB">
        <w:rPr>
          <w:rFonts w:ascii="Book Antiqua" w:hAnsi="Book Antiqua"/>
        </w:rPr>
        <w:t xml:space="preserve"> avec le niveau de diplôme, </w:t>
      </w:r>
      <w:r w:rsidR="009721C1" w:rsidRPr="000F0CFB">
        <w:rPr>
          <w:rFonts w:ascii="Book Antiqua" w:hAnsi="Book Antiqua"/>
        </w:rPr>
        <w:t xml:space="preserve">passant </w:t>
      </w:r>
      <w:r w:rsidR="003E7986" w:rsidRPr="000F0CFB">
        <w:rPr>
          <w:rFonts w:ascii="Book Antiqua" w:hAnsi="Book Antiqua"/>
        </w:rPr>
        <w:t xml:space="preserve">de 14,6 % parmi les non diplômés à 73,4% parmi les titulaires d’un diplôme de niveau supérieur. </w:t>
      </w:r>
    </w:p>
    <w:p w:rsidR="003E7986" w:rsidRPr="000F0CFB" w:rsidRDefault="009000BA" w:rsidP="007A69C0">
      <w:pPr>
        <w:autoSpaceDE w:val="0"/>
        <w:autoSpaceDN w:val="0"/>
        <w:adjustRightInd w:val="0"/>
        <w:spacing w:before="240" w:line="312" w:lineRule="auto"/>
        <w:jc w:val="both"/>
        <w:rPr>
          <w:rFonts w:ascii="Book Antiqua" w:hAnsi="Book Antiqua"/>
        </w:rPr>
      </w:pPr>
      <w:r w:rsidRPr="000F0CFB">
        <w:rPr>
          <w:rFonts w:ascii="Book Antiqua" w:hAnsi="Book Antiqua"/>
        </w:rPr>
        <w:t>L’</w:t>
      </w:r>
      <w:r w:rsidR="003E7986" w:rsidRPr="000F0CFB">
        <w:rPr>
          <w:rFonts w:ascii="Book Antiqua" w:hAnsi="Book Antiqua"/>
        </w:rPr>
        <w:t>industrie</w:t>
      </w:r>
      <w:r w:rsidRPr="000F0CFB">
        <w:rPr>
          <w:rFonts w:ascii="Book Antiqua" w:hAnsi="Book Antiqua"/>
        </w:rPr>
        <w:t xml:space="preserve"> y compris l’artisanat</w:t>
      </w:r>
      <w:r w:rsidR="003E7986" w:rsidRPr="000F0CFB">
        <w:rPr>
          <w:rFonts w:ascii="Book Antiqua" w:hAnsi="Book Antiqua"/>
        </w:rPr>
        <w:t xml:space="preserve"> </w:t>
      </w:r>
      <w:r w:rsidRPr="000F0CFB">
        <w:rPr>
          <w:rFonts w:ascii="Book Antiqua" w:hAnsi="Book Antiqua"/>
        </w:rPr>
        <w:t>enregistre le taux d’affiliation</w:t>
      </w:r>
      <w:r w:rsidR="00254D59" w:rsidRPr="000F0CFB">
        <w:rPr>
          <w:rFonts w:ascii="Book Antiqua" w:hAnsi="Book Antiqua"/>
        </w:rPr>
        <w:t xml:space="preserve"> </w:t>
      </w:r>
      <w:r w:rsidR="00F776D1" w:rsidRPr="000F0CFB">
        <w:rPr>
          <w:rFonts w:ascii="Book Antiqua" w:hAnsi="Book Antiqua"/>
        </w:rPr>
        <w:t>le plus élevé (43%), suivi des secteurs des services (37</w:t>
      </w:r>
      <w:r w:rsidR="00A47768" w:rsidRPr="000F0CFB">
        <w:rPr>
          <w:rFonts w:ascii="Book Antiqua" w:hAnsi="Book Antiqua"/>
        </w:rPr>
        <w:t>,</w:t>
      </w:r>
      <w:r w:rsidR="003E6957" w:rsidRPr="000F0CFB">
        <w:rPr>
          <w:rFonts w:ascii="Book Antiqua" w:hAnsi="Book Antiqua"/>
        </w:rPr>
        <w:t>9</w:t>
      </w:r>
      <w:r w:rsidR="00A47768" w:rsidRPr="000F0CFB">
        <w:rPr>
          <w:rFonts w:ascii="Book Antiqua" w:hAnsi="Book Antiqua"/>
        </w:rPr>
        <w:t xml:space="preserve">%), </w:t>
      </w:r>
      <w:r w:rsidR="00F776D1" w:rsidRPr="000F0CFB">
        <w:rPr>
          <w:rFonts w:ascii="Book Antiqua" w:hAnsi="Book Antiqua"/>
        </w:rPr>
        <w:t>d</w:t>
      </w:r>
      <w:r w:rsidRPr="000F0CFB">
        <w:rPr>
          <w:rFonts w:ascii="Book Antiqua" w:hAnsi="Book Antiqua"/>
        </w:rPr>
        <w:t>es</w:t>
      </w:r>
      <w:r w:rsidR="003E7986" w:rsidRPr="000F0CFB">
        <w:rPr>
          <w:rFonts w:ascii="Book Antiqua" w:hAnsi="Book Antiqua"/>
        </w:rPr>
        <w:t xml:space="preserve"> BTP </w:t>
      </w:r>
      <w:r w:rsidR="00F776D1" w:rsidRPr="000F0CFB">
        <w:rPr>
          <w:rFonts w:ascii="Book Antiqua" w:hAnsi="Book Antiqua"/>
        </w:rPr>
        <w:t>(</w:t>
      </w:r>
      <w:r w:rsidR="003E7986" w:rsidRPr="000F0CFB">
        <w:rPr>
          <w:rFonts w:ascii="Book Antiqua" w:hAnsi="Book Antiqua"/>
        </w:rPr>
        <w:t>15%</w:t>
      </w:r>
      <w:r w:rsidR="00F776D1" w:rsidRPr="000F0CFB">
        <w:rPr>
          <w:rFonts w:ascii="Book Antiqua" w:hAnsi="Book Antiqua"/>
        </w:rPr>
        <w:t>)</w:t>
      </w:r>
      <w:r w:rsidR="00A47768" w:rsidRPr="000F0CFB">
        <w:rPr>
          <w:rFonts w:ascii="Book Antiqua" w:hAnsi="Book Antiqua"/>
        </w:rPr>
        <w:t xml:space="preserve"> et </w:t>
      </w:r>
      <w:r w:rsidR="009721C1" w:rsidRPr="000F0CFB">
        <w:rPr>
          <w:rFonts w:ascii="Book Antiqua" w:hAnsi="Book Antiqua"/>
        </w:rPr>
        <w:t xml:space="preserve">de </w:t>
      </w:r>
      <w:r w:rsidR="00A47768" w:rsidRPr="000F0CFB">
        <w:rPr>
          <w:rFonts w:ascii="Book Antiqua" w:hAnsi="Book Antiqua"/>
        </w:rPr>
        <w:t>l’agriculture, forêt et pêche (9,</w:t>
      </w:r>
      <w:r w:rsidR="003E6957" w:rsidRPr="000F0CFB">
        <w:rPr>
          <w:rFonts w:ascii="Book Antiqua" w:hAnsi="Book Antiqua"/>
        </w:rPr>
        <w:t>4</w:t>
      </w:r>
      <w:r w:rsidR="00A47768" w:rsidRPr="000F0CFB">
        <w:rPr>
          <w:rFonts w:ascii="Book Antiqua" w:hAnsi="Book Antiqua"/>
        </w:rPr>
        <w:t>%).</w:t>
      </w:r>
    </w:p>
    <w:p w:rsidR="00AB38C7" w:rsidRPr="000F0CFB" w:rsidRDefault="00A52643" w:rsidP="007A69C0">
      <w:pPr>
        <w:autoSpaceDE w:val="0"/>
        <w:autoSpaceDN w:val="0"/>
        <w:adjustRightInd w:val="0"/>
        <w:spacing w:before="240" w:line="312" w:lineRule="auto"/>
        <w:jc w:val="both"/>
        <w:rPr>
          <w:rFonts w:ascii="Book Antiqua" w:hAnsi="Book Antiqua"/>
        </w:rPr>
      </w:pPr>
      <w:r w:rsidRPr="000F0CFB">
        <w:rPr>
          <w:rFonts w:ascii="Book Antiqua" w:hAnsi="Book Antiqua"/>
        </w:rPr>
        <w:t xml:space="preserve">Au niveau national, </w:t>
      </w:r>
      <w:r w:rsidR="00F776D1" w:rsidRPr="000F0CFB">
        <w:rPr>
          <w:rFonts w:ascii="Book Antiqua" w:hAnsi="Book Antiqua"/>
        </w:rPr>
        <w:t>45,4</w:t>
      </w:r>
      <w:r w:rsidR="003E7986" w:rsidRPr="000F0CFB">
        <w:rPr>
          <w:rFonts w:ascii="Book Antiqua" w:hAnsi="Book Antiqua"/>
        </w:rPr>
        <w:t>%</w:t>
      </w:r>
      <w:r w:rsidR="00A47768" w:rsidRPr="000F0CFB">
        <w:rPr>
          <w:rFonts w:ascii="Book Antiqua" w:hAnsi="Book Antiqua"/>
        </w:rPr>
        <w:t xml:space="preserve"> des salariés </w:t>
      </w:r>
      <w:r w:rsidR="003E7986" w:rsidRPr="000F0CFB">
        <w:rPr>
          <w:rFonts w:ascii="Book Antiqua" w:hAnsi="Book Antiqua"/>
        </w:rPr>
        <w:t>bénéficie</w:t>
      </w:r>
      <w:r w:rsidR="00F776D1" w:rsidRPr="000F0CFB">
        <w:rPr>
          <w:rFonts w:ascii="Book Antiqua" w:hAnsi="Book Antiqua"/>
        </w:rPr>
        <w:t>nt</w:t>
      </w:r>
      <w:r w:rsidR="003E7986" w:rsidRPr="000F0CFB">
        <w:rPr>
          <w:rFonts w:ascii="Book Antiqua" w:hAnsi="Book Antiqua"/>
        </w:rPr>
        <w:t xml:space="preserve"> d’une couverture mé</w:t>
      </w:r>
      <w:r w:rsidR="004C62CF" w:rsidRPr="000F0CFB">
        <w:rPr>
          <w:rFonts w:ascii="Book Antiqua" w:hAnsi="Book Antiqua"/>
        </w:rPr>
        <w:t xml:space="preserve">dicale assurée par l’employeur, </w:t>
      </w:r>
      <w:r w:rsidR="00F776D1" w:rsidRPr="000F0CFB">
        <w:rPr>
          <w:rFonts w:ascii="Book Antiqua" w:hAnsi="Book Antiqua"/>
        </w:rPr>
        <w:t>52,3</w:t>
      </w:r>
      <w:r w:rsidR="00A16BFD" w:rsidRPr="000F0CFB">
        <w:rPr>
          <w:rFonts w:ascii="Book Antiqua" w:hAnsi="Book Antiqua"/>
        </w:rPr>
        <w:t xml:space="preserve">% en milieu urbain et </w:t>
      </w:r>
      <w:r w:rsidR="00F776D1" w:rsidRPr="000F0CFB">
        <w:rPr>
          <w:rFonts w:ascii="Book Antiqua" w:hAnsi="Book Antiqua"/>
        </w:rPr>
        <w:t>26,3</w:t>
      </w:r>
      <w:r w:rsidR="00A47768" w:rsidRPr="000F0CFB">
        <w:rPr>
          <w:rFonts w:ascii="Book Antiqua" w:hAnsi="Book Antiqua"/>
        </w:rPr>
        <w:t>% en milieu rural</w:t>
      </w:r>
      <w:r w:rsidR="00A16BFD" w:rsidRPr="000F0CFB">
        <w:rPr>
          <w:rFonts w:ascii="Book Antiqua" w:hAnsi="Book Antiqua"/>
        </w:rPr>
        <w:t xml:space="preserve">. Parmi les femmes, cette part est de </w:t>
      </w:r>
      <w:r w:rsidR="004C62CF" w:rsidRPr="000F0CFB">
        <w:rPr>
          <w:rFonts w:ascii="Book Antiqua" w:hAnsi="Book Antiqua"/>
        </w:rPr>
        <w:t xml:space="preserve">53,6% </w:t>
      </w:r>
      <w:r w:rsidR="00A16BFD" w:rsidRPr="000F0CFB">
        <w:rPr>
          <w:rFonts w:ascii="Book Antiqua" w:hAnsi="Book Antiqua"/>
        </w:rPr>
        <w:t xml:space="preserve">contre </w:t>
      </w:r>
      <w:r w:rsidR="004C62CF" w:rsidRPr="000F0CFB">
        <w:rPr>
          <w:rFonts w:ascii="Book Antiqua" w:hAnsi="Book Antiqua"/>
        </w:rPr>
        <w:t xml:space="preserve">43,3% </w:t>
      </w:r>
      <w:r w:rsidR="009721C1" w:rsidRPr="000F0CFB">
        <w:rPr>
          <w:rFonts w:ascii="Book Antiqua" w:hAnsi="Book Antiqua"/>
        </w:rPr>
        <w:t xml:space="preserve">parmi </w:t>
      </w:r>
      <w:r w:rsidR="004C62CF" w:rsidRPr="000F0CFB">
        <w:rPr>
          <w:rFonts w:ascii="Book Antiqua" w:hAnsi="Book Antiqua"/>
        </w:rPr>
        <w:t>les hommes.</w:t>
      </w:r>
    </w:p>
    <w:p w:rsidR="00C5283B" w:rsidRPr="000F0CFB" w:rsidRDefault="00A52643" w:rsidP="007A69C0">
      <w:pPr>
        <w:spacing w:before="240" w:line="312" w:lineRule="auto"/>
        <w:jc w:val="both"/>
        <w:rPr>
          <w:rFonts w:ascii="Book Antiqua" w:hAnsi="Book Antiqua"/>
        </w:rPr>
      </w:pPr>
      <w:r w:rsidRPr="000F0CFB">
        <w:rPr>
          <w:rFonts w:ascii="Book Antiqua" w:hAnsi="Book Antiqua"/>
        </w:rPr>
        <w:lastRenderedPageBreak/>
        <w:t>Près d</w:t>
      </w:r>
      <w:r w:rsidR="00A16BFD" w:rsidRPr="000F0CFB">
        <w:rPr>
          <w:rFonts w:ascii="Book Antiqua" w:hAnsi="Book Antiqua"/>
        </w:rPr>
        <w:t xml:space="preserve">’un actif occupé sur </w:t>
      </w:r>
      <w:r w:rsidR="00C5283B" w:rsidRPr="000F0CFB">
        <w:rPr>
          <w:rFonts w:ascii="Book Antiqua" w:hAnsi="Book Antiqua"/>
        </w:rPr>
        <w:t>5</w:t>
      </w:r>
      <w:r w:rsidR="00A16BFD" w:rsidRPr="000F0CFB">
        <w:rPr>
          <w:rFonts w:ascii="Book Antiqua" w:hAnsi="Book Antiqua"/>
        </w:rPr>
        <w:t xml:space="preserve"> </w:t>
      </w:r>
      <w:r w:rsidR="00565A5D" w:rsidRPr="000F0CFB">
        <w:rPr>
          <w:rFonts w:ascii="Book Antiqua" w:hAnsi="Book Antiqua"/>
        </w:rPr>
        <w:t>(19,4%)</w:t>
      </w:r>
      <w:r w:rsidR="00C5283B" w:rsidRPr="000F0CFB">
        <w:rPr>
          <w:rFonts w:ascii="Book Antiqua" w:hAnsi="Book Antiqua"/>
        </w:rPr>
        <w:t xml:space="preserve"> est couvert par un système de retraite, 31,3% en milieu urbain et 4,8% en milieu rural. </w:t>
      </w:r>
      <w:r w:rsidR="00A16BFD" w:rsidRPr="000F0CFB">
        <w:rPr>
          <w:rFonts w:ascii="Book Antiqua" w:hAnsi="Book Antiqua"/>
        </w:rPr>
        <w:t xml:space="preserve"> </w:t>
      </w:r>
      <w:r w:rsidR="00C5283B" w:rsidRPr="000F0CFB">
        <w:rPr>
          <w:rFonts w:ascii="Book Antiqua" w:hAnsi="Book Antiqua"/>
        </w:rPr>
        <w:t xml:space="preserve">Le taux de couverture par un système de retraite est presque de même niveau aussi bien </w:t>
      </w:r>
      <w:r w:rsidR="009721C1" w:rsidRPr="000F0CFB">
        <w:rPr>
          <w:rFonts w:ascii="Book Antiqua" w:hAnsi="Book Antiqua"/>
        </w:rPr>
        <w:t xml:space="preserve">parmi </w:t>
      </w:r>
      <w:r w:rsidR="00C5283B" w:rsidRPr="000F0CFB">
        <w:rPr>
          <w:rFonts w:ascii="Book Antiqua" w:hAnsi="Book Antiqua"/>
        </w:rPr>
        <w:t>les hommes que les femmes</w:t>
      </w:r>
      <w:r w:rsidR="00A16BFD" w:rsidRPr="000F0CFB">
        <w:rPr>
          <w:rFonts w:ascii="Book Antiqua" w:hAnsi="Book Antiqua"/>
        </w:rPr>
        <w:t>,</w:t>
      </w:r>
      <w:r w:rsidR="00C5283B" w:rsidRPr="000F0CFB">
        <w:rPr>
          <w:rFonts w:ascii="Book Antiqua" w:hAnsi="Book Antiqua"/>
        </w:rPr>
        <w:t xml:space="preserve"> avec respectivement 19,1% et 20,7%. </w:t>
      </w:r>
      <w:r w:rsidR="009721C1" w:rsidRPr="000F0CFB">
        <w:rPr>
          <w:rFonts w:ascii="Book Antiqua" w:hAnsi="Book Antiqua"/>
        </w:rPr>
        <w:t xml:space="preserve">Ce taux </w:t>
      </w:r>
      <w:r w:rsidR="00C5283B" w:rsidRPr="000F0CFB">
        <w:rPr>
          <w:rFonts w:ascii="Book Antiqua" w:hAnsi="Book Antiqua"/>
        </w:rPr>
        <w:t>passe</w:t>
      </w:r>
      <w:r w:rsidR="009721C1" w:rsidRPr="000F0CFB">
        <w:rPr>
          <w:rFonts w:ascii="Book Antiqua" w:hAnsi="Book Antiqua"/>
        </w:rPr>
        <w:t xml:space="preserve"> </w:t>
      </w:r>
      <w:r w:rsidR="00C5283B" w:rsidRPr="000F0CFB">
        <w:rPr>
          <w:rFonts w:ascii="Book Antiqua" w:hAnsi="Book Antiqua"/>
        </w:rPr>
        <w:t xml:space="preserve">de </w:t>
      </w:r>
      <w:r w:rsidR="00565A5D" w:rsidRPr="000F0CFB">
        <w:rPr>
          <w:rFonts w:ascii="Book Antiqua" w:hAnsi="Book Antiqua"/>
        </w:rPr>
        <w:t>12,5</w:t>
      </w:r>
      <w:r w:rsidR="00C5283B" w:rsidRPr="000F0CFB">
        <w:rPr>
          <w:rFonts w:ascii="Book Antiqua" w:hAnsi="Book Antiqua"/>
        </w:rPr>
        <w:t xml:space="preserve">% parmi les jeunes âgés de 15 à 29 ans à </w:t>
      </w:r>
      <w:r w:rsidR="00565A5D" w:rsidRPr="000F0CFB">
        <w:rPr>
          <w:rFonts w:ascii="Book Antiqua" w:hAnsi="Book Antiqua"/>
        </w:rPr>
        <w:t>21,6</w:t>
      </w:r>
      <w:r w:rsidR="00C5283B" w:rsidRPr="000F0CFB">
        <w:rPr>
          <w:rFonts w:ascii="Book Antiqua" w:hAnsi="Book Antiqua"/>
        </w:rPr>
        <w:t xml:space="preserve">% parmi les personnes de 30 ans et plus et de </w:t>
      </w:r>
      <w:r w:rsidR="00565A5D" w:rsidRPr="000F0CFB">
        <w:rPr>
          <w:rFonts w:ascii="Book Antiqua" w:hAnsi="Book Antiqua"/>
        </w:rPr>
        <w:t>7,1</w:t>
      </w:r>
      <w:r w:rsidR="00C5283B" w:rsidRPr="000F0CFB">
        <w:rPr>
          <w:rFonts w:ascii="Book Antiqua" w:hAnsi="Book Antiqua"/>
        </w:rPr>
        <w:t xml:space="preserve">% parmi les sans diplôme à </w:t>
      </w:r>
      <w:r w:rsidR="00565A5D" w:rsidRPr="000F0CFB">
        <w:rPr>
          <w:rFonts w:ascii="Book Antiqua" w:hAnsi="Book Antiqua"/>
        </w:rPr>
        <w:t>68,7</w:t>
      </w:r>
      <w:r w:rsidR="00C5283B" w:rsidRPr="000F0CFB">
        <w:rPr>
          <w:rFonts w:ascii="Book Antiqua" w:hAnsi="Book Antiqua"/>
        </w:rPr>
        <w:t>% parmi les détenteurs d'un diplôme supérieur.</w:t>
      </w:r>
    </w:p>
    <w:p w:rsidR="00C5283B" w:rsidRPr="000F0CFB" w:rsidRDefault="00C5283B" w:rsidP="007A69C0">
      <w:pPr>
        <w:spacing w:before="240" w:line="312" w:lineRule="auto"/>
        <w:jc w:val="both"/>
        <w:rPr>
          <w:rFonts w:ascii="Book Antiqua" w:hAnsi="Book Antiqua"/>
        </w:rPr>
      </w:pPr>
      <w:r w:rsidRPr="000F0CFB">
        <w:rPr>
          <w:rFonts w:ascii="Book Antiqua" w:hAnsi="Book Antiqua"/>
        </w:rPr>
        <w:t xml:space="preserve">Les secteurs de l’"industrie y compris l'artisanat" et des "services" affichent les taux de couverture </w:t>
      </w:r>
      <w:r w:rsidR="009721C1" w:rsidRPr="000F0CFB">
        <w:rPr>
          <w:rFonts w:ascii="Book Antiqua" w:hAnsi="Book Antiqua"/>
        </w:rPr>
        <w:t xml:space="preserve">de retraite </w:t>
      </w:r>
      <w:r w:rsidRPr="000F0CFB">
        <w:rPr>
          <w:rFonts w:ascii="Book Antiqua" w:hAnsi="Book Antiqua"/>
        </w:rPr>
        <w:t xml:space="preserve">les plus élevés avec respectivement </w:t>
      </w:r>
      <w:r w:rsidR="00565A5D" w:rsidRPr="000F0CFB">
        <w:rPr>
          <w:rFonts w:ascii="Book Antiqua" w:hAnsi="Book Antiqua"/>
        </w:rPr>
        <w:t>36</w:t>
      </w:r>
      <w:r w:rsidRPr="000F0CFB">
        <w:rPr>
          <w:rFonts w:ascii="Book Antiqua" w:hAnsi="Book Antiqua"/>
        </w:rPr>
        <w:t xml:space="preserve">% et </w:t>
      </w:r>
      <w:r w:rsidR="00565A5D" w:rsidRPr="000F0CFB">
        <w:rPr>
          <w:rFonts w:ascii="Book Antiqua" w:hAnsi="Book Antiqua"/>
        </w:rPr>
        <w:t>30,9</w:t>
      </w:r>
      <w:r w:rsidRPr="000F0CFB">
        <w:rPr>
          <w:rFonts w:ascii="Book Antiqua" w:hAnsi="Book Antiqua"/>
        </w:rPr>
        <w:t xml:space="preserve">% alors que </w:t>
      </w:r>
      <w:r w:rsidR="009721C1" w:rsidRPr="000F0CFB">
        <w:rPr>
          <w:rFonts w:ascii="Book Antiqua" w:hAnsi="Book Antiqua"/>
        </w:rPr>
        <w:t>celui d</w:t>
      </w:r>
      <w:r w:rsidRPr="000F0CFB">
        <w:rPr>
          <w:rFonts w:ascii="Book Antiqua" w:hAnsi="Book Antiqua"/>
        </w:rPr>
        <w:t xml:space="preserve">es "BTP" et </w:t>
      </w:r>
      <w:r w:rsidR="009721C1" w:rsidRPr="000F0CFB">
        <w:rPr>
          <w:rFonts w:ascii="Book Antiqua" w:hAnsi="Book Antiqua"/>
        </w:rPr>
        <w:t xml:space="preserve">de </w:t>
      </w:r>
      <w:r w:rsidRPr="000F0CFB">
        <w:rPr>
          <w:rFonts w:ascii="Book Antiqua" w:hAnsi="Book Antiqua"/>
        </w:rPr>
        <w:t xml:space="preserve">l’"Agriculture, forêt et pêche" enregistrent les taux les plus bas avec respectivement </w:t>
      </w:r>
      <w:r w:rsidR="00565A5D" w:rsidRPr="000F0CFB">
        <w:rPr>
          <w:rFonts w:ascii="Book Antiqua" w:hAnsi="Book Antiqua"/>
        </w:rPr>
        <w:t>7,5% et 3,6</w:t>
      </w:r>
      <w:r w:rsidRPr="000F0CFB">
        <w:rPr>
          <w:rFonts w:ascii="Book Antiqua" w:hAnsi="Book Antiqua"/>
        </w:rPr>
        <w:t>%.</w:t>
      </w:r>
    </w:p>
    <w:p w:rsidR="00C5283B" w:rsidRPr="000F0CFB" w:rsidRDefault="00C5283B" w:rsidP="007A69C0">
      <w:pPr>
        <w:spacing w:before="240" w:line="312" w:lineRule="auto"/>
        <w:jc w:val="both"/>
        <w:rPr>
          <w:rFonts w:ascii="Book Antiqua" w:hAnsi="Book Antiqua"/>
        </w:rPr>
      </w:pPr>
      <w:r w:rsidRPr="000F0CFB">
        <w:rPr>
          <w:rFonts w:ascii="Book Antiqua" w:hAnsi="Book Antiqua"/>
        </w:rPr>
        <w:t>Selon le statut professionnel, près de 4 salariés sur 10 (</w:t>
      </w:r>
      <w:r w:rsidR="00565A5D" w:rsidRPr="000F0CFB">
        <w:rPr>
          <w:rFonts w:ascii="Book Antiqua" w:hAnsi="Book Antiqua"/>
        </w:rPr>
        <w:t>37,9</w:t>
      </w:r>
      <w:r w:rsidRPr="000F0CFB">
        <w:rPr>
          <w:rFonts w:ascii="Book Antiqua" w:hAnsi="Book Antiqua"/>
        </w:rPr>
        <w:t xml:space="preserve">%) et </w:t>
      </w:r>
      <w:r w:rsidR="009721C1" w:rsidRPr="000F0CFB">
        <w:rPr>
          <w:rFonts w:ascii="Book Antiqua" w:hAnsi="Book Antiqua"/>
        </w:rPr>
        <w:t xml:space="preserve">un </w:t>
      </w:r>
      <w:r w:rsidRPr="000F0CFB">
        <w:rPr>
          <w:rFonts w:ascii="Book Antiqua" w:hAnsi="Book Antiqua"/>
        </w:rPr>
        <w:t>employeur sur 5 (</w:t>
      </w:r>
      <w:r w:rsidR="00565A5D" w:rsidRPr="000F0CFB">
        <w:rPr>
          <w:rFonts w:ascii="Book Antiqua" w:hAnsi="Book Antiqua"/>
        </w:rPr>
        <w:t>19,8</w:t>
      </w:r>
      <w:r w:rsidRPr="000F0CFB">
        <w:rPr>
          <w:rFonts w:ascii="Book Antiqua" w:hAnsi="Book Antiqua"/>
        </w:rPr>
        <w:t xml:space="preserve">%)  sont affiliés à un système de retraite. </w:t>
      </w:r>
    </w:p>
    <w:p w:rsidR="003E7986" w:rsidRPr="000F0CFB" w:rsidRDefault="00A16BFD" w:rsidP="007A69C0">
      <w:pPr>
        <w:spacing w:before="240" w:line="312" w:lineRule="auto"/>
        <w:rPr>
          <w:rFonts w:ascii="Book Antiqua" w:hAnsi="Book Antiqua"/>
          <w:b/>
          <w:bCs/>
          <w:color w:val="1F497D" w:themeColor="text2"/>
        </w:rPr>
      </w:pPr>
      <w:r w:rsidRPr="000F0CFB">
        <w:rPr>
          <w:rFonts w:ascii="Book Antiqua" w:hAnsi="Book Antiqua"/>
          <w:b/>
          <w:bCs/>
          <w:color w:val="1F497D" w:themeColor="text2"/>
        </w:rPr>
        <w:t>Un monde de</w:t>
      </w:r>
      <w:r w:rsidR="003E7986" w:rsidRPr="000F0CFB">
        <w:rPr>
          <w:rFonts w:ascii="Book Antiqua" w:hAnsi="Book Antiqua"/>
          <w:b/>
          <w:bCs/>
          <w:color w:val="1F497D" w:themeColor="text2"/>
        </w:rPr>
        <w:t xml:space="preserve"> travail peu organisé et faiblement protégé</w:t>
      </w:r>
    </w:p>
    <w:p w:rsidR="003E7986" w:rsidRPr="000F0CFB" w:rsidRDefault="003E7986" w:rsidP="007A69C0">
      <w:pPr>
        <w:shd w:val="clear" w:color="auto" w:fill="FFFFFF"/>
        <w:spacing w:before="240" w:line="312" w:lineRule="auto"/>
        <w:jc w:val="both"/>
        <w:rPr>
          <w:rFonts w:ascii="Book Antiqua" w:hAnsi="Book Antiqua"/>
        </w:rPr>
      </w:pPr>
      <w:r w:rsidRPr="000F0CFB">
        <w:rPr>
          <w:rFonts w:ascii="Book Antiqua" w:hAnsi="Book Antiqua"/>
        </w:rPr>
        <w:t xml:space="preserve">Près </w:t>
      </w:r>
      <w:r w:rsidR="00EB5F17" w:rsidRPr="000F0CFB">
        <w:rPr>
          <w:rFonts w:ascii="Book Antiqua" w:hAnsi="Book Antiqua"/>
        </w:rPr>
        <w:t>de</w:t>
      </w:r>
      <w:r w:rsidR="00171B0F" w:rsidRPr="000F0CFB">
        <w:rPr>
          <w:rFonts w:ascii="Book Antiqua" w:hAnsi="Book Antiqua"/>
        </w:rPr>
        <w:t xml:space="preserve"> 6 </w:t>
      </w:r>
      <w:r w:rsidRPr="000F0CFB">
        <w:rPr>
          <w:rFonts w:ascii="Book Antiqua" w:hAnsi="Book Antiqua"/>
        </w:rPr>
        <w:t>salariés</w:t>
      </w:r>
      <w:r w:rsidR="00EB5F17" w:rsidRPr="000F0CFB">
        <w:rPr>
          <w:rFonts w:ascii="Book Antiqua" w:hAnsi="Book Antiqua"/>
        </w:rPr>
        <w:t xml:space="preserve"> sur </w:t>
      </w:r>
      <w:r w:rsidR="00171B0F" w:rsidRPr="000F0CFB">
        <w:rPr>
          <w:rFonts w:ascii="Book Antiqua" w:hAnsi="Book Antiqua"/>
        </w:rPr>
        <w:t>10</w:t>
      </w:r>
      <w:r w:rsidR="00A16BFD" w:rsidRPr="000F0CFB">
        <w:rPr>
          <w:rFonts w:ascii="Book Antiqua" w:hAnsi="Book Antiqua"/>
        </w:rPr>
        <w:t xml:space="preserve"> </w:t>
      </w:r>
      <w:r w:rsidR="00F23640" w:rsidRPr="000F0CFB">
        <w:rPr>
          <w:rFonts w:ascii="Book Antiqua" w:hAnsi="Book Antiqua"/>
        </w:rPr>
        <w:t xml:space="preserve">(59,4%) </w:t>
      </w:r>
      <w:r w:rsidRPr="000F0CFB">
        <w:rPr>
          <w:rFonts w:ascii="Book Antiqua" w:hAnsi="Book Antiqua"/>
        </w:rPr>
        <w:t xml:space="preserve">ne disposent pas de contrat qui formalise leur relation avec </w:t>
      </w:r>
      <w:r w:rsidR="009721C1" w:rsidRPr="000F0CFB">
        <w:rPr>
          <w:rFonts w:ascii="Book Antiqua" w:hAnsi="Book Antiqua"/>
        </w:rPr>
        <w:t>l'</w:t>
      </w:r>
      <w:r w:rsidRPr="000F0CFB">
        <w:rPr>
          <w:rFonts w:ascii="Book Antiqua" w:hAnsi="Book Antiqua"/>
        </w:rPr>
        <w:t>employeur</w:t>
      </w:r>
      <w:r w:rsidR="00EB5F17" w:rsidRPr="000F0CFB">
        <w:rPr>
          <w:rFonts w:ascii="Book Antiqua" w:hAnsi="Book Antiqua"/>
        </w:rPr>
        <w:t>.</w:t>
      </w:r>
      <w:r w:rsidRPr="000F0CFB">
        <w:rPr>
          <w:rFonts w:ascii="Book Antiqua" w:hAnsi="Book Antiqua"/>
        </w:rPr>
        <w:t xml:space="preserve"> S</w:t>
      </w:r>
      <w:r w:rsidR="00D72C28" w:rsidRPr="000F0CFB">
        <w:rPr>
          <w:rFonts w:ascii="Book Antiqua" w:hAnsi="Book Antiqua"/>
        </w:rPr>
        <w:t>eul</w:t>
      </w:r>
      <w:r w:rsidR="00A16BFD" w:rsidRPr="000F0CFB">
        <w:rPr>
          <w:rFonts w:ascii="Book Antiqua" w:hAnsi="Book Antiqua"/>
        </w:rPr>
        <w:t>s</w:t>
      </w:r>
      <w:r w:rsidR="00F23640" w:rsidRPr="000F0CFB">
        <w:rPr>
          <w:rFonts w:ascii="Book Antiqua" w:hAnsi="Book Antiqua"/>
        </w:rPr>
        <w:t xml:space="preserve"> 7,1</w:t>
      </w:r>
      <w:r w:rsidRPr="000F0CFB">
        <w:rPr>
          <w:rFonts w:ascii="Book Antiqua" w:hAnsi="Book Antiqua"/>
        </w:rPr>
        <w:t xml:space="preserve">% </w:t>
      </w:r>
      <w:r w:rsidR="009721C1" w:rsidRPr="000F0CFB">
        <w:rPr>
          <w:rFonts w:ascii="Book Antiqua" w:hAnsi="Book Antiqua"/>
        </w:rPr>
        <w:t xml:space="preserve">des salariés </w:t>
      </w:r>
      <w:r w:rsidRPr="000F0CFB">
        <w:rPr>
          <w:rFonts w:ascii="Book Antiqua" w:hAnsi="Book Antiqua"/>
        </w:rPr>
        <w:t>d</w:t>
      </w:r>
      <w:r w:rsidR="00EB5F17" w:rsidRPr="000F0CFB">
        <w:rPr>
          <w:rFonts w:ascii="Book Antiqua" w:hAnsi="Book Antiqua"/>
        </w:rPr>
        <w:t>ispose</w:t>
      </w:r>
      <w:r w:rsidR="00A16BFD" w:rsidRPr="000F0CFB">
        <w:rPr>
          <w:rFonts w:ascii="Book Antiqua" w:hAnsi="Book Antiqua"/>
        </w:rPr>
        <w:t>nt</w:t>
      </w:r>
      <w:r w:rsidR="00EB5F17" w:rsidRPr="000F0CFB">
        <w:rPr>
          <w:rFonts w:ascii="Book Antiqua" w:hAnsi="Book Antiqua"/>
        </w:rPr>
        <w:t xml:space="preserve"> d’un contrat verbal, 8</w:t>
      </w:r>
      <w:r w:rsidRPr="000F0CFB">
        <w:rPr>
          <w:rFonts w:ascii="Book Antiqua" w:hAnsi="Book Antiqua"/>
        </w:rPr>
        <w:t xml:space="preserve">% </w:t>
      </w:r>
      <w:r w:rsidR="009721C1" w:rsidRPr="000F0CFB">
        <w:rPr>
          <w:rFonts w:ascii="Book Antiqua" w:hAnsi="Book Antiqua"/>
        </w:rPr>
        <w:t>d'</w:t>
      </w:r>
      <w:r w:rsidRPr="000F0CFB">
        <w:rPr>
          <w:rFonts w:ascii="Book Antiqua" w:hAnsi="Book Antiqua"/>
        </w:rPr>
        <w:t>un c</w:t>
      </w:r>
      <w:r w:rsidR="00EB5F17" w:rsidRPr="000F0CFB">
        <w:rPr>
          <w:rFonts w:ascii="Book Antiqua" w:hAnsi="Book Antiqua"/>
        </w:rPr>
        <w:t>ontrat à durée déterminé et 24</w:t>
      </w:r>
      <w:r w:rsidRPr="000F0CFB">
        <w:rPr>
          <w:rFonts w:ascii="Book Antiqua" w:hAnsi="Book Antiqua"/>
        </w:rPr>
        <w:t xml:space="preserve">% </w:t>
      </w:r>
      <w:r w:rsidR="009721C1" w:rsidRPr="000F0CFB">
        <w:rPr>
          <w:rFonts w:ascii="Book Antiqua" w:hAnsi="Book Antiqua"/>
        </w:rPr>
        <w:t>d'</w:t>
      </w:r>
      <w:r w:rsidRPr="000F0CFB">
        <w:rPr>
          <w:rFonts w:ascii="Book Antiqua" w:hAnsi="Book Antiqua"/>
        </w:rPr>
        <w:t>un contrat à durée indéterminée.</w:t>
      </w:r>
    </w:p>
    <w:p w:rsidR="003E7986" w:rsidRPr="000F0CFB" w:rsidRDefault="003F75B0" w:rsidP="007A69C0">
      <w:pPr>
        <w:shd w:val="clear" w:color="auto" w:fill="FFFFFF"/>
        <w:spacing w:before="240" w:line="312" w:lineRule="auto"/>
        <w:jc w:val="both"/>
        <w:rPr>
          <w:rFonts w:ascii="Book Antiqua" w:hAnsi="Book Antiqua"/>
        </w:rPr>
      </w:pPr>
      <w:r w:rsidRPr="000F0CFB">
        <w:rPr>
          <w:rFonts w:ascii="Book Antiqua" w:hAnsi="Book Antiqua"/>
        </w:rPr>
        <w:t>L</w:t>
      </w:r>
      <w:r w:rsidR="003E7986" w:rsidRPr="000F0CFB">
        <w:rPr>
          <w:rFonts w:ascii="Book Antiqua" w:hAnsi="Book Antiqua"/>
        </w:rPr>
        <w:t xml:space="preserve">a part des salariés ne disposant pas </w:t>
      </w:r>
      <w:r w:rsidR="009721C1" w:rsidRPr="000F0CFB">
        <w:rPr>
          <w:rFonts w:ascii="Book Antiqua" w:hAnsi="Book Antiqua"/>
        </w:rPr>
        <w:t xml:space="preserve">de </w:t>
      </w:r>
      <w:r w:rsidR="003E7986" w:rsidRPr="000F0CFB">
        <w:rPr>
          <w:rFonts w:ascii="Book Antiqua" w:hAnsi="Book Antiqua"/>
        </w:rPr>
        <w:t>contrat s’</w:t>
      </w:r>
      <w:r w:rsidR="00AB38C7" w:rsidRPr="000F0CFB">
        <w:rPr>
          <w:rFonts w:ascii="Book Antiqua" w:hAnsi="Book Antiqua"/>
        </w:rPr>
        <w:t>élève</w:t>
      </w:r>
      <w:r w:rsidR="003E7986" w:rsidRPr="000F0CFB">
        <w:rPr>
          <w:rFonts w:ascii="Book Antiqua" w:hAnsi="Book Antiqua"/>
        </w:rPr>
        <w:t xml:space="preserve"> à 79,7% </w:t>
      </w:r>
      <w:r w:rsidRPr="000F0CFB">
        <w:rPr>
          <w:rFonts w:ascii="Book Antiqua" w:hAnsi="Book Antiqua"/>
        </w:rPr>
        <w:t xml:space="preserve">en milieu rural </w:t>
      </w:r>
      <w:r w:rsidR="003E7986" w:rsidRPr="000F0CFB">
        <w:rPr>
          <w:rFonts w:ascii="Book Antiqua" w:hAnsi="Book Antiqua"/>
        </w:rPr>
        <w:t>contre 52,1% en milieu urbain</w:t>
      </w:r>
      <w:r w:rsidR="009721C1" w:rsidRPr="000F0CFB">
        <w:rPr>
          <w:rFonts w:ascii="Book Antiqua" w:hAnsi="Book Antiqua"/>
        </w:rPr>
        <w:t xml:space="preserve">. </w:t>
      </w:r>
      <w:r w:rsidR="00B315A9" w:rsidRPr="000F0CFB">
        <w:rPr>
          <w:rFonts w:ascii="Book Antiqua" w:hAnsi="Book Antiqua"/>
        </w:rPr>
        <w:t>Cette</w:t>
      </w:r>
      <w:r w:rsidR="009721C1" w:rsidRPr="000F0CFB">
        <w:rPr>
          <w:rFonts w:ascii="Book Antiqua" w:hAnsi="Book Antiqua"/>
        </w:rPr>
        <w:t xml:space="preserve"> part </w:t>
      </w:r>
      <w:r w:rsidR="003E7986" w:rsidRPr="000F0CFB">
        <w:rPr>
          <w:rFonts w:ascii="Book Antiqua" w:hAnsi="Book Antiqua"/>
        </w:rPr>
        <w:t xml:space="preserve">passe de 48,8% parmi les femmes à 62,1% </w:t>
      </w:r>
      <w:r w:rsidR="009721C1" w:rsidRPr="000F0CFB">
        <w:rPr>
          <w:rFonts w:ascii="Book Antiqua" w:hAnsi="Book Antiqua"/>
        </w:rPr>
        <w:t xml:space="preserve">parmi </w:t>
      </w:r>
      <w:r w:rsidR="003E7986" w:rsidRPr="000F0CFB">
        <w:rPr>
          <w:rFonts w:ascii="Book Antiqua" w:hAnsi="Book Antiqua"/>
        </w:rPr>
        <w:t xml:space="preserve">les hommes. </w:t>
      </w:r>
    </w:p>
    <w:p w:rsidR="003F75B0" w:rsidRPr="000F0CFB" w:rsidRDefault="003E7986" w:rsidP="007A69C0">
      <w:pPr>
        <w:spacing w:before="240" w:line="312" w:lineRule="auto"/>
        <w:jc w:val="both"/>
        <w:rPr>
          <w:rFonts w:ascii="Book Antiqua" w:hAnsi="Book Antiqua"/>
        </w:rPr>
      </w:pPr>
      <w:r w:rsidRPr="000F0CFB">
        <w:rPr>
          <w:rFonts w:ascii="Book Antiqua" w:hAnsi="Book Antiqua"/>
        </w:rPr>
        <w:t>Les jeunes et les non diplômés restent les catégories les plus touchées par la précarité de l’emploi. En effet, les jeunes de moins de 2</w:t>
      </w:r>
      <w:r w:rsidR="003F75B0" w:rsidRPr="000F0CFB">
        <w:rPr>
          <w:rFonts w:ascii="Book Antiqua" w:hAnsi="Book Antiqua"/>
        </w:rPr>
        <w:t>5</w:t>
      </w:r>
      <w:r w:rsidRPr="000F0CFB">
        <w:rPr>
          <w:rFonts w:ascii="Book Antiqua" w:hAnsi="Book Antiqua"/>
        </w:rPr>
        <w:t xml:space="preserve"> ans sont </w:t>
      </w:r>
      <w:r w:rsidR="003F75B0" w:rsidRPr="000F0CFB">
        <w:rPr>
          <w:rFonts w:ascii="Book Antiqua" w:hAnsi="Book Antiqua"/>
        </w:rPr>
        <w:t xml:space="preserve">les </w:t>
      </w:r>
      <w:r w:rsidRPr="000F0CFB">
        <w:rPr>
          <w:rFonts w:ascii="Book Antiqua" w:hAnsi="Book Antiqua"/>
        </w:rPr>
        <w:t xml:space="preserve">plus </w:t>
      </w:r>
      <w:r w:rsidR="003F75B0" w:rsidRPr="000F0CFB">
        <w:rPr>
          <w:rFonts w:ascii="Book Antiqua" w:hAnsi="Book Antiqua"/>
        </w:rPr>
        <w:t>concernés</w:t>
      </w:r>
      <w:r w:rsidRPr="000F0CFB">
        <w:rPr>
          <w:rFonts w:ascii="Book Antiqua" w:hAnsi="Book Antiqua"/>
        </w:rPr>
        <w:t xml:space="preserve"> </w:t>
      </w:r>
      <w:r w:rsidR="003F75B0" w:rsidRPr="000F0CFB">
        <w:rPr>
          <w:rFonts w:ascii="Book Antiqua" w:hAnsi="Book Antiqua"/>
        </w:rPr>
        <w:t xml:space="preserve">par le </w:t>
      </w:r>
      <w:r w:rsidRPr="000F0CFB">
        <w:rPr>
          <w:rFonts w:ascii="Book Antiqua" w:hAnsi="Book Antiqua"/>
        </w:rPr>
        <w:t xml:space="preserve">travail sans contrat, </w:t>
      </w:r>
      <w:r w:rsidR="003F75B0" w:rsidRPr="000F0CFB">
        <w:rPr>
          <w:rFonts w:ascii="Book Antiqua" w:hAnsi="Book Antiqua"/>
        </w:rPr>
        <w:t>avec  un taux de contractualisation de</w:t>
      </w:r>
      <w:r w:rsidRPr="000F0CFB">
        <w:rPr>
          <w:rFonts w:ascii="Book Antiqua" w:hAnsi="Book Antiqua"/>
        </w:rPr>
        <w:t xml:space="preserve"> 21,2%. </w:t>
      </w:r>
      <w:r w:rsidR="003F75B0" w:rsidRPr="000F0CFB">
        <w:rPr>
          <w:rFonts w:ascii="Book Antiqua" w:hAnsi="Book Antiqua"/>
        </w:rPr>
        <w:t>Ce taux</w:t>
      </w:r>
      <w:r w:rsidRPr="000F0CFB">
        <w:rPr>
          <w:rFonts w:ascii="Book Antiqua" w:hAnsi="Book Antiqua"/>
        </w:rPr>
        <w:t xml:space="preserve"> croit avec l’âge pour atteindre 45,7% </w:t>
      </w:r>
      <w:r w:rsidR="003F75B0" w:rsidRPr="000F0CFB">
        <w:rPr>
          <w:rFonts w:ascii="Book Antiqua" w:hAnsi="Book Antiqua"/>
        </w:rPr>
        <w:t>parmi les</w:t>
      </w:r>
      <w:r w:rsidRPr="000F0CFB">
        <w:rPr>
          <w:rFonts w:ascii="Book Antiqua" w:hAnsi="Book Antiqua"/>
        </w:rPr>
        <w:t xml:space="preserve"> âgés de 45 ans et plus. </w:t>
      </w:r>
    </w:p>
    <w:p w:rsidR="003E7986" w:rsidRPr="000F0CFB" w:rsidRDefault="003E7986" w:rsidP="007A69C0">
      <w:pPr>
        <w:spacing w:before="240" w:line="312" w:lineRule="auto"/>
        <w:jc w:val="both"/>
        <w:rPr>
          <w:rFonts w:ascii="Book Antiqua" w:hAnsi="Book Antiqua"/>
        </w:rPr>
      </w:pPr>
      <w:r w:rsidRPr="000F0CFB">
        <w:rPr>
          <w:rFonts w:ascii="Book Antiqua" w:hAnsi="Book Antiqua"/>
        </w:rPr>
        <w:t xml:space="preserve">Les non diplômés enregistrent un taux de contractualisation faible (20,8%) par rapport aux diplômés et surtout les diplômés de niveau supérieur pour lesquels cette proportion atteint 77,2%. </w:t>
      </w:r>
    </w:p>
    <w:p w:rsidR="003E7986" w:rsidRPr="000F0CFB" w:rsidRDefault="003E7986" w:rsidP="003540E0">
      <w:pPr>
        <w:shd w:val="clear" w:color="auto" w:fill="FFFFFF"/>
        <w:spacing w:before="240" w:line="312" w:lineRule="auto"/>
        <w:jc w:val="both"/>
        <w:rPr>
          <w:rFonts w:ascii="Book Antiqua" w:hAnsi="Book Antiqua"/>
          <w:b/>
          <w:bCs/>
          <w:color w:val="1F497D" w:themeColor="text2"/>
        </w:rPr>
      </w:pPr>
      <w:r w:rsidRPr="000F0CFB">
        <w:rPr>
          <w:rFonts w:ascii="Book Antiqua" w:hAnsi="Book Antiqua"/>
          <w:b/>
          <w:bCs/>
          <w:color w:val="1F497D" w:themeColor="text2"/>
        </w:rPr>
        <w:t>Affiliation</w:t>
      </w:r>
      <w:r w:rsidR="003540E0">
        <w:rPr>
          <w:rFonts w:ascii="Book Antiqua" w:hAnsi="Book Antiqua"/>
          <w:b/>
          <w:bCs/>
          <w:color w:val="1F497D" w:themeColor="text2"/>
        </w:rPr>
        <w:t>s</w:t>
      </w:r>
      <w:r w:rsidRPr="000F0CFB">
        <w:rPr>
          <w:rFonts w:ascii="Book Antiqua" w:hAnsi="Book Antiqua"/>
          <w:b/>
          <w:bCs/>
          <w:color w:val="1F497D" w:themeColor="text2"/>
        </w:rPr>
        <w:t xml:space="preserve"> syndicale</w:t>
      </w:r>
      <w:r w:rsidR="003540E0">
        <w:rPr>
          <w:rFonts w:ascii="Book Antiqua" w:hAnsi="Book Antiqua"/>
          <w:b/>
          <w:bCs/>
          <w:color w:val="1F497D" w:themeColor="text2"/>
        </w:rPr>
        <w:t>s</w:t>
      </w:r>
      <w:r w:rsidRPr="000F0CFB">
        <w:rPr>
          <w:rFonts w:ascii="Book Antiqua" w:hAnsi="Book Antiqua"/>
          <w:b/>
          <w:bCs/>
          <w:color w:val="1F497D" w:themeColor="text2"/>
        </w:rPr>
        <w:t xml:space="preserve"> ou professionnelle</w:t>
      </w:r>
      <w:r w:rsidR="003540E0">
        <w:rPr>
          <w:rFonts w:ascii="Book Antiqua" w:hAnsi="Book Antiqua"/>
          <w:b/>
          <w:bCs/>
          <w:color w:val="1F497D" w:themeColor="text2"/>
        </w:rPr>
        <w:t>s</w:t>
      </w:r>
    </w:p>
    <w:p w:rsidR="001D0BC7" w:rsidRPr="000F0CFB" w:rsidRDefault="003E7986" w:rsidP="003540E0">
      <w:pPr>
        <w:shd w:val="clear" w:color="auto" w:fill="FFFFFF"/>
        <w:spacing w:before="240" w:line="312" w:lineRule="auto"/>
        <w:jc w:val="both"/>
        <w:rPr>
          <w:rFonts w:ascii="Book Antiqua" w:hAnsi="Book Antiqua"/>
        </w:rPr>
      </w:pPr>
      <w:r w:rsidRPr="000F0CFB">
        <w:rPr>
          <w:rFonts w:ascii="Book Antiqua" w:hAnsi="Book Antiqua"/>
        </w:rPr>
        <w:t xml:space="preserve">La majorité des actifs occupés (95,7%) ne sont affiliés à </w:t>
      </w:r>
      <w:r w:rsidR="009721C1" w:rsidRPr="000F0CFB">
        <w:rPr>
          <w:rFonts w:ascii="Book Antiqua" w:hAnsi="Book Antiqua"/>
        </w:rPr>
        <w:t xml:space="preserve">aucune </w:t>
      </w:r>
      <w:r w:rsidRPr="000F0CFB">
        <w:rPr>
          <w:rFonts w:ascii="Book Antiqua" w:hAnsi="Book Antiqua"/>
        </w:rPr>
        <w:t>organisation syndicale ou professionnelle, 92,9% en milieu urbain et 99,2% en milieu rural</w:t>
      </w:r>
      <w:r w:rsidR="003540E0">
        <w:rPr>
          <w:rFonts w:ascii="Book Antiqua" w:hAnsi="Book Antiqua"/>
        </w:rPr>
        <w:t>;</w:t>
      </w:r>
      <w:r w:rsidRPr="000F0CFB">
        <w:rPr>
          <w:rFonts w:ascii="Book Antiqua" w:hAnsi="Book Antiqua"/>
        </w:rPr>
        <w:t xml:space="preserve"> 95,7% parmi les hommes et 95,9% parmi les femmes.  </w:t>
      </w:r>
    </w:p>
    <w:p w:rsidR="003E7986" w:rsidRDefault="003E7986" w:rsidP="007A69C0">
      <w:pPr>
        <w:shd w:val="clear" w:color="auto" w:fill="FFFFFF"/>
        <w:spacing w:before="240" w:line="312" w:lineRule="auto"/>
        <w:jc w:val="both"/>
        <w:rPr>
          <w:rFonts w:ascii="Book Antiqua" w:hAnsi="Book Antiqua"/>
        </w:rPr>
      </w:pPr>
      <w:r w:rsidRPr="000F0CFB">
        <w:rPr>
          <w:rFonts w:ascii="Book Antiqua" w:hAnsi="Book Antiqua"/>
        </w:rPr>
        <w:lastRenderedPageBreak/>
        <w:t>Parmi l</w:t>
      </w:r>
      <w:r w:rsidR="009721C1" w:rsidRPr="000F0CFB">
        <w:rPr>
          <w:rFonts w:ascii="Book Antiqua" w:hAnsi="Book Antiqua"/>
        </w:rPr>
        <w:t>'ensemble d</w:t>
      </w:r>
      <w:r w:rsidRPr="000F0CFB">
        <w:rPr>
          <w:rFonts w:ascii="Book Antiqua" w:hAnsi="Book Antiqua"/>
        </w:rPr>
        <w:t xml:space="preserve">es salariés, </w:t>
      </w:r>
      <w:r w:rsidR="0001414A" w:rsidRPr="000F0CFB">
        <w:rPr>
          <w:rFonts w:ascii="Book Antiqua" w:hAnsi="Book Antiqua"/>
        </w:rPr>
        <w:t>92,8</w:t>
      </w:r>
      <w:r w:rsidR="006E579F" w:rsidRPr="000F0CFB">
        <w:rPr>
          <w:rFonts w:ascii="Book Antiqua" w:hAnsi="Book Antiqua"/>
        </w:rPr>
        <w:t xml:space="preserve">% </w:t>
      </w:r>
      <w:r w:rsidR="009721C1" w:rsidRPr="000F0CFB">
        <w:rPr>
          <w:rFonts w:ascii="Book Antiqua" w:hAnsi="Book Antiqua"/>
        </w:rPr>
        <w:t>ne sont affiliés à aucune organisation syndicale ou professionnelle</w:t>
      </w:r>
      <w:r w:rsidR="0001414A" w:rsidRPr="000F0CFB">
        <w:rPr>
          <w:rFonts w:ascii="Book Antiqua" w:hAnsi="Book Antiqua"/>
        </w:rPr>
        <w:t>, 91%  en milieu urbain</w:t>
      </w:r>
      <w:r w:rsidR="006E579F" w:rsidRPr="000F0CFB">
        <w:rPr>
          <w:rFonts w:ascii="Book Antiqua" w:hAnsi="Book Antiqua"/>
        </w:rPr>
        <w:t xml:space="preserve"> et 98,2% en milieu rural.</w:t>
      </w:r>
    </w:p>
    <w:p w:rsidR="00024212" w:rsidRDefault="00024212" w:rsidP="00024212">
      <w:pPr>
        <w:spacing w:line="312" w:lineRule="auto"/>
        <w:contextualSpacing/>
        <w:jc w:val="both"/>
        <w:rPr>
          <w:rFonts w:ascii="Book Antiqua" w:hAnsi="Book Antiqua"/>
          <w:b/>
          <w:bCs/>
          <w:color w:val="1F497D" w:themeColor="text2"/>
        </w:rPr>
      </w:pPr>
    </w:p>
    <w:p w:rsidR="00024212" w:rsidRPr="000F0CFB" w:rsidRDefault="00024212" w:rsidP="00024212">
      <w:pPr>
        <w:spacing w:line="312" w:lineRule="auto"/>
        <w:contextualSpacing/>
        <w:jc w:val="both"/>
        <w:rPr>
          <w:rFonts w:ascii="Book Antiqua" w:hAnsi="Book Antiqua"/>
          <w:b/>
          <w:bCs/>
          <w:color w:val="1F497D" w:themeColor="text2"/>
        </w:rPr>
      </w:pPr>
      <w:r w:rsidRPr="000F0CFB">
        <w:rPr>
          <w:rFonts w:ascii="Book Antiqua" w:hAnsi="Book Antiqua"/>
          <w:b/>
          <w:bCs/>
          <w:color w:val="1F497D" w:themeColor="text2"/>
        </w:rPr>
        <w:t>Le sous-emploi : un phénomène</w:t>
      </w:r>
      <w:r>
        <w:rPr>
          <w:rFonts w:ascii="Book Antiqua" w:hAnsi="Book Antiqua"/>
          <w:b/>
          <w:bCs/>
          <w:color w:val="1F497D" w:themeColor="text2"/>
        </w:rPr>
        <w:t xml:space="preserve"> </w:t>
      </w:r>
      <w:r w:rsidRPr="000F0CFB">
        <w:rPr>
          <w:rFonts w:ascii="Book Antiqua" w:hAnsi="Book Antiqua"/>
          <w:b/>
          <w:bCs/>
          <w:color w:val="1F497D" w:themeColor="text2"/>
        </w:rPr>
        <w:t xml:space="preserve">touchant </w:t>
      </w:r>
      <w:r>
        <w:rPr>
          <w:rFonts w:ascii="Book Antiqua" w:hAnsi="Book Antiqua"/>
          <w:b/>
          <w:bCs/>
          <w:color w:val="1F497D" w:themeColor="text2"/>
        </w:rPr>
        <w:t xml:space="preserve">en particulier les actifs occupés hommes, ceux n’ayant aucun diplôme et ceux </w:t>
      </w:r>
      <w:r w:rsidRPr="000F0CFB">
        <w:rPr>
          <w:rFonts w:ascii="Book Antiqua" w:hAnsi="Book Antiqua"/>
          <w:b/>
          <w:bCs/>
          <w:color w:val="1F497D" w:themeColor="text2"/>
        </w:rPr>
        <w:t>exerçant dans le secteur des BTP</w:t>
      </w:r>
    </w:p>
    <w:p w:rsidR="00D268CD" w:rsidRPr="000F0CFB" w:rsidRDefault="008C2807" w:rsidP="008C2807">
      <w:pPr>
        <w:autoSpaceDE w:val="0"/>
        <w:autoSpaceDN w:val="0"/>
        <w:adjustRightInd w:val="0"/>
        <w:spacing w:before="240" w:line="312" w:lineRule="auto"/>
        <w:jc w:val="both"/>
        <w:rPr>
          <w:rFonts w:ascii="Book Antiqua" w:hAnsi="Book Antiqua"/>
        </w:rPr>
      </w:pPr>
      <w:r>
        <w:rPr>
          <w:rFonts w:ascii="Book Antiqua" w:hAnsi="Book Antiqua"/>
        </w:rPr>
        <w:t>L</w:t>
      </w:r>
      <w:r w:rsidR="00D268CD" w:rsidRPr="000F0CFB">
        <w:rPr>
          <w:rFonts w:ascii="Book Antiqua" w:hAnsi="Book Antiqua"/>
        </w:rPr>
        <w:t xml:space="preserve">e sous-emploi, tel qu’il est </w:t>
      </w:r>
      <w:r>
        <w:rPr>
          <w:rFonts w:ascii="Book Antiqua" w:hAnsi="Book Antiqua"/>
        </w:rPr>
        <w:t>observé</w:t>
      </w:r>
      <w:r w:rsidR="00D268CD" w:rsidRPr="000F0CFB">
        <w:rPr>
          <w:rFonts w:ascii="Book Antiqua" w:hAnsi="Book Antiqua"/>
        </w:rPr>
        <w:t xml:space="preserve"> </w:t>
      </w:r>
      <w:r>
        <w:rPr>
          <w:rFonts w:ascii="Book Antiqua" w:hAnsi="Book Antiqua"/>
        </w:rPr>
        <w:t>par</w:t>
      </w:r>
      <w:r w:rsidR="00D268CD" w:rsidRPr="000F0CFB">
        <w:rPr>
          <w:rFonts w:ascii="Book Antiqua" w:hAnsi="Book Antiqua"/>
        </w:rPr>
        <w:t xml:space="preserve"> l’Enquête Nationale sur l’Emploi et recommandé par le Bureau International du Travail, est constitué de deux composantes ; la première est liée au nombre d’heures travaillées et la deuxième aux autres formes d’emplois inadéquats notamment, l’insuffisance du revenu du travail et l’inadéquation entre la formation et l’emploi.</w:t>
      </w:r>
    </w:p>
    <w:p w:rsidR="00D268CD" w:rsidRPr="000F0CFB" w:rsidRDefault="00D268CD" w:rsidP="00D268CD">
      <w:pPr>
        <w:autoSpaceDE w:val="0"/>
        <w:autoSpaceDN w:val="0"/>
        <w:adjustRightInd w:val="0"/>
        <w:spacing w:before="240" w:line="312" w:lineRule="auto"/>
        <w:jc w:val="both"/>
        <w:rPr>
          <w:rFonts w:ascii="Book Antiqua" w:hAnsi="Book Antiqua"/>
        </w:rPr>
      </w:pPr>
      <w:r w:rsidRPr="000F0CFB">
        <w:rPr>
          <w:rFonts w:ascii="Book Antiqua" w:hAnsi="Book Antiqua"/>
        </w:rPr>
        <w:t xml:space="preserve">En ce qui concerne la première composante, la population active occupée en situation de sous-emploi liée au nombre d’heures travaillées est passée, entre 2017 et 2018, de 336.000 à 349.000 personnes au niveau national, de 172.000 à 175.000 en milieu urbain et de 164.000 à 174.000 en milieu rural. Les taux correspondants sont ainsi devenus au niveau national 3,2% au lieu de 3,1%, en milieu rural 3,6% au lieu de 3,4% et ayant stagné à 2,9% en milieu urbain.  </w:t>
      </w:r>
    </w:p>
    <w:p w:rsidR="00D268CD" w:rsidRPr="000F0CFB" w:rsidRDefault="00D268CD" w:rsidP="00D268CD">
      <w:pPr>
        <w:autoSpaceDE w:val="0"/>
        <w:autoSpaceDN w:val="0"/>
        <w:adjustRightInd w:val="0"/>
        <w:spacing w:before="240" w:line="312" w:lineRule="auto"/>
        <w:jc w:val="both"/>
        <w:rPr>
          <w:rFonts w:ascii="Book Antiqua" w:hAnsi="Book Antiqua"/>
        </w:rPr>
      </w:pPr>
      <w:r w:rsidRPr="000F0CFB">
        <w:rPr>
          <w:rFonts w:ascii="Book Antiqua" w:hAnsi="Book Antiqua"/>
        </w:rPr>
        <w:t>Quant à la deuxième composante, la population active occupée en situation de sous-emploi liée aux autres formes d’emplois inadéquats, est passée, durant la même période, de 708.000 à 684.000 personnes au niveau national, de 349.000 à 342.000 en milieu urbain et de 359.000 à 342.000 en milieu rural. L’incidence de cette forme de sous- emploi est passée, entre les deux années, de 6,6% à 6,3% au niveau national, de 5,9% à 5,7% en milieu urbain et de 7,4% à 7,1% en milieu rural.</w:t>
      </w:r>
    </w:p>
    <w:p w:rsidR="00D268CD" w:rsidRPr="000F0CFB" w:rsidRDefault="00D268CD" w:rsidP="00D268CD">
      <w:pPr>
        <w:autoSpaceDE w:val="0"/>
        <w:autoSpaceDN w:val="0"/>
        <w:adjustRightInd w:val="0"/>
        <w:spacing w:before="240" w:after="240" w:line="312" w:lineRule="auto"/>
        <w:jc w:val="both"/>
        <w:rPr>
          <w:rFonts w:ascii="Book Antiqua" w:hAnsi="Book Antiqua"/>
        </w:rPr>
      </w:pPr>
      <w:r w:rsidRPr="000F0CFB">
        <w:rPr>
          <w:rFonts w:ascii="Book Antiqua" w:hAnsi="Book Antiqua"/>
        </w:rPr>
        <w:t>En somme, si on regroupe le sous-emploi dans ses deux dimensions, il représenterait 1.033.000 personnes au niveau national, contre 1.044.000 une année auparavant, enregistrant une baisse de 11.000 personnes. Entre les deux années, l’effectif global de la population en situation de sous-emploi a également baissé aussi bien dans les villes (de 521.000 à 517.000 personnes) que dans la campagne (de 523.000 à 516.000). Le taux de sous-emploi est ainsi passé de 9,8% à 9,6% au niveau national, de 8,9% à 8,7% en milieu urbain et de 10,8% à 10,6% en milieu rural.</w:t>
      </w:r>
    </w:p>
    <w:p w:rsidR="00D268CD" w:rsidRPr="000F0CFB" w:rsidRDefault="00D268CD" w:rsidP="00D268CD">
      <w:pPr>
        <w:autoSpaceDE w:val="0"/>
        <w:autoSpaceDN w:val="0"/>
        <w:adjustRightInd w:val="0"/>
        <w:spacing w:before="240" w:line="312" w:lineRule="auto"/>
        <w:jc w:val="both"/>
        <w:rPr>
          <w:rFonts w:ascii="Book Antiqua" w:hAnsi="Book Antiqua"/>
        </w:rPr>
      </w:pPr>
      <w:r w:rsidRPr="000F0CFB">
        <w:rPr>
          <w:rFonts w:ascii="Book Antiqua" w:hAnsi="Book Antiqua"/>
        </w:rPr>
        <w:t>Plus de 8 actifs occupés en situation de sous-emploi sur 10 (86,6%) sont des hommes. L’incidence du sous-emploi parmi les masculins (10,8%) représente le double de celle des féminins (5,5%).</w:t>
      </w:r>
    </w:p>
    <w:p w:rsidR="00D268CD" w:rsidRPr="000F0CFB" w:rsidRDefault="00D268CD" w:rsidP="00D268CD">
      <w:pPr>
        <w:autoSpaceDE w:val="0"/>
        <w:autoSpaceDN w:val="0"/>
        <w:adjustRightInd w:val="0"/>
        <w:spacing w:before="240" w:line="312" w:lineRule="auto"/>
        <w:jc w:val="both"/>
        <w:rPr>
          <w:rFonts w:ascii="Book Antiqua" w:hAnsi="Book Antiqua"/>
        </w:rPr>
      </w:pPr>
      <w:r w:rsidRPr="000F0CFB">
        <w:rPr>
          <w:rFonts w:ascii="Book Antiqua" w:hAnsi="Book Antiqua"/>
        </w:rPr>
        <w:lastRenderedPageBreak/>
        <w:t>Le taux de sous-emploi le plus élevé est enregistré parmi les jeunes hommes âgés de 15 à 24 ans (15,9%). Ce taux atteint 5,1% pour les adultes âgés de 45 ans et plus.</w:t>
      </w:r>
    </w:p>
    <w:p w:rsidR="00675710" w:rsidRDefault="00D268CD" w:rsidP="00D268CD">
      <w:pPr>
        <w:autoSpaceDE w:val="0"/>
        <w:autoSpaceDN w:val="0"/>
        <w:adjustRightInd w:val="0"/>
        <w:spacing w:before="240" w:line="312" w:lineRule="auto"/>
        <w:jc w:val="both"/>
        <w:rPr>
          <w:rFonts w:ascii="Book Antiqua" w:hAnsi="Book Antiqua"/>
          <w:rtl/>
        </w:rPr>
      </w:pPr>
      <w:r w:rsidRPr="000F0CFB">
        <w:rPr>
          <w:rFonts w:ascii="Book Antiqua" w:hAnsi="Book Antiqua"/>
        </w:rPr>
        <w:t xml:space="preserve">La majorité (83,6%) des sous employés sont soit sans diplôme (54,6%) ou disposent d’un diplôme dont le niveau ne dépasse pas le certificat de l’enseignement fondamental (29%). </w:t>
      </w:r>
    </w:p>
    <w:p w:rsidR="00D268CD" w:rsidRPr="000F0CFB" w:rsidRDefault="00D268CD" w:rsidP="00D268CD">
      <w:pPr>
        <w:autoSpaceDE w:val="0"/>
        <w:autoSpaceDN w:val="0"/>
        <w:adjustRightInd w:val="0"/>
        <w:spacing w:before="240" w:line="312" w:lineRule="auto"/>
        <w:jc w:val="both"/>
        <w:rPr>
          <w:rFonts w:ascii="Book Antiqua" w:hAnsi="Book Antiqua"/>
        </w:rPr>
      </w:pPr>
      <w:r w:rsidRPr="000F0CFB">
        <w:rPr>
          <w:rFonts w:ascii="Book Antiqua" w:hAnsi="Book Antiqua"/>
        </w:rPr>
        <w:t>Parmi les actifs occupés diplômés, la probabilité d’être en situation de sous-emploi la plus la forte est enregistrée pour les titulaires de certificats en spécialisation professionnelle (16,4%),  la plus faible parmi les titulaires de diplômes supérieurs délivrés par les facultés (10,0%).</w:t>
      </w:r>
    </w:p>
    <w:p w:rsidR="00D268CD" w:rsidRPr="000F0CFB" w:rsidRDefault="00D268CD" w:rsidP="00D268CD">
      <w:pPr>
        <w:autoSpaceDE w:val="0"/>
        <w:autoSpaceDN w:val="0"/>
        <w:adjustRightInd w:val="0"/>
        <w:spacing w:before="240" w:line="312" w:lineRule="auto"/>
        <w:jc w:val="both"/>
        <w:rPr>
          <w:rFonts w:ascii="Book Antiqua" w:hAnsi="Book Antiqua"/>
        </w:rPr>
      </w:pPr>
      <w:r w:rsidRPr="000F0CFB">
        <w:rPr>
          <w:rFonts w:ascii="Book Antiqua" w:hAnsi="Book Antiqua"/>
        </w:rPr>
        <w:t>Le secteur des BTP reste le plus touché par le phénomène du sous-emploi avec un taux de 15,1% au niveau national. Le secteur de l’"agriculture, forêt et pêche" enregistre un taux de 10%, suivi par le secteur des "services" avec 8,6%. Le secteur de l’"industrie y compris l’artisanat" est, quant à lui, le secteur le moins touché par le phénomène du sous-emploi avec un taux de 6,8%.</w:t>
      </w:r>
    </w:p>
    <w:p w:rsidR="00D268CD" w:rsidRPr="000F0CFB" w:rsidRDefault="00D268CD" w:rsidP="00D268CD">
      <w:pPr>
        <w:spacing w:before="240" w:line="312" w:lineRule="auto"/>
        <w:jc w:val="both"/>
        <w:rPr>
          <w:rFonts w:ascii="Book Antiqua" w:hAnsi="Book Antiqua"/>
        </w:rPr>
      </w:pPr>
      <w:bookmarkStart w:id="0" w:name="_GoBack"/>
      <w:bookmarkEnd w:id="0"/>
      <w:r w:rsidRPr="000F0CFB">
        <w:rPr>
          <w:rFonts w:ascii="Book Antiqua" w:hAnsi="Book Antiqua"/>
        </w:rPr>
        <w:t>La répartition régionale de cette population révèle que près des trois quarts (73%) des sous-employés sont concentrés dans cinq régions : Fès-Meknès vient en première position avec 17,5% des sous-employés, suivie de Tanger-Tétouan-Al Hoceima (16,3%), de Casablanca-Settat (14,7%), de Rabat-Salé-Kénitra (12,8%) et de Béni Mellal-Khénifra (11,3%).</w:t>
      </w:r>
    </w:p>
    <w:p w:rsidR="00D268CD" w:rsidRPr="000F0CFB" w:rsidRDefault="00D268CD" w:rsidP="00D268CD">
      <w:pPr>
        <w:spacing w:before="240" w:line="312" w:lineRule="auto"/>
        <w:jc w:val="both"/>
        <w:rPr>
          <w:rFonts w:ascii="Book Antiqua" w:hAnsi="Book Antiqua"/>
        </w:rPr>
      </w:pPr>
      <w:r w:rsidRPr="000F0CFB">
        <w:rPr>
          <w:rFonts w:ascii="Book Antiqua" w:hAnsi="Book Antiqua"/>
        </w:rPr>
        <w:t xml:space="preserve">Les taux de sous-emploi les plus élevés sont observés dans les régions de Béni Mellal-Khénifra (15,1%), Fès-Meknès (14,5%) et Tanger-Tétouan-Al Hoceima (14%). En revanche, les régions de Drâa-Tafilalet et Guelmim-Oued Noun enregistrent les taux les plus bas avec respectivement 4% et 3,1%. </w:t>
      </w:r>
    </w:p>
    <w:sectPr w:rsidR="00D268CD" w:rsidRPr="000F0CFB" w:rsidSect="00ED23BC">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D59" w:rsidRDefault="008C5D59" w:rsidP="001722D0">
      <w:r>
        <w:separator/>
      </w:r>
    </w:p>
  </w:endnote>
  <w:endnote w:type="continuationSeparator" w:id="1">
    <w:p w:rsidR="008C5D59" w:rsidRDefault="008C5D59" w:rsidP="00172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Univers">
    <w:altName w:val="Arial"/>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448"/>
      <w:docPartObj>
        <w:docPartGallery w:val="Page Numbers (Bottom of Page)"/>
        <w:docPartUnique/>
      </w:docPartObj>
    </w:sdtPr>
    <w:sdtContent>
      <w:p w:rsidR="00583C02" w:rsidRDefault="008A4373">
        <w:pPr>
          <w:pStyle w:val="Pieddepage"/>
          <w:jc w:val="center"/>
        </w:pPr>
        <w:fldSimple w:instr=" PAGE   \* MERGEFORMAT ">
          <w:r w:rsidR="00CC7CB4">
            <w:rPr>
              <w:noProof/>
            </w:rPr>
            <w:t>2</w:t>
          </w:r>
        </w:fldSimple>
      </w:p>
    </w:sdtContent>
  </w:sdt>
  <w:p w:rsidR="00583C02" w:rsidRDefault="00583C0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D59" w:rsidRDefault="008C5D59" w:rsidP="001722D0">
      <w:r>
        <w:separator/>
      </w:r>
    </w:p>
  </w:footnote>
  <w:footnote w:type="continuationSeparator" w:id="1">
    <w:p w:rsidR="008C5D59" w:rsidRDefault="008C5D59" w:rsidP="001722D0">
      <w:r>
        <w:continuationSeparator/>
      </w:r>
    </w:p>
  </w:footnote>
  <w:footnote w:id="2">
    <w:p w:rsidR="00830781" w:rsidRPr="003540E0" w:rsidRDefault="00830781" w:rsidP="003540E0">
      <w:pPr>
        <w:shd w:val="clear" w:color="auto" w:fill="FFFFFF"/>
        <w:jc w:val="both"/>
        <w:rPr>
          <w:rFonts w:ascii="Book Antiqua" w:hAnsi="Book Antiqua"/>
          <w:sz w:val="20"/>
          <w:szCs w:val="20"/>
        </w:rPr>
      </w:pPr>
      <w:r w:rsidRPr="003540E0">
        <w:rPr>
          <w:b/>
          <w:bCs/>
          <w:color w:val="222222"/>
          <w:sz w:val="18"/>
          <w:szCs w:val="18"/>
          <w:shd w:val="clear" w:color="auto" w:fill="FFFFFF"/>
        </w:rPr>
        <w:footnoteRef/>
      </w:r>
      <w:r w:rsidRPr="003540E0">
        <w:rPr>
          <w:rFonts w:ascii="Book Antiqua" w:hAnsi="Book Antiqua"/>
          <w:color w:val="222222"/>
          <w:sz w:val="20"/>
          <w:szCs w:val="20"/>
          <w:shd w:val="clear" w:color="auto" w:fill="FFFFFF"/>
        </w:rPr>
        <w:t xml:space="preserve">La notion de durée </w:t>
      </w:r>
      <w:r w:rsidR="003540E0" w:rsidRPr="003540E0">
        <w:rPr>
          <w:rFonts w:ascii="Book Antiqua" w:hAnsi="Book Antiqua"/>
          <w:color w:val="222222"/>
          <w:sz w:val="20"/>
          <w:szCs w:val="20"/>
          <w:shd w:val="clear" w:color="auto" w:fill="FFFFFF"/>
        </w:rPr>
        <w:t xml:space="preserve">excessive </w:t>
      </w:r>
      <w:r w:rsidRPr="003540E0">
        <w:rPr>
          <w:rFonts w:ascii="Book Antiqua" w:hAnsi="Book Antiqua"/>
          <w:color w:val="222222"/>
          <w:sz w:val="20"/>
          <w:szCs w:val="20"/>
          <w:shd w:val="clear" w:color="auto" w:fill="FFFFFF"/>
        </w:rPr>
        <w:t>de travail, telle que définie par le Bureau International du Travail (BIT), se réfère à la proportion de population occupée dont les horaires effectifs de travail dans tous les emplois dépassent 48 heures par semaine.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36B"/>
    <w:multiLevelType w:val="hybridMultilevel"/>
    <w:tmpl w:val="0C5EEC32"/>
    <w:lvl w:ilvl="0" w:tplc="95A8D0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9F142D"/>
    <w:multiLevelType w:val="hybridMultilevel"/>
    <w:tmpl w:val="709206F6"/>
    <w:lvl w:ilvl="0" w:tplc="CABADE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D17E1D"/>
    <w:multiLevelType w:val="hybridMultilevel"/>
    <w:tmpl w:val="42F419D4"/>
    <w:lvl w:ilvl="0" w:tplc="5AB2BD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677849"/>
    <w:multiLevelType w:val="hybridMultilevel"/>
    <w:tmpl w:val="B02AD4F2"/>
    <w:lvl w:ilvl="0" w:tplc="8E2CC024">
      <w:start w:val="1"/>
      <w:numFmt w:val="upperRoman"/>
      <w:lvlText w:val="%1."/>
      <w:lvlJc w:val="left"/>
      <w:pPr>
        <w:ind w:left="436" w:hanging="720"/>
      </w:pPr>
      <w:rPr>
        <w:rFonts w:hint="default"/>
        <w:color w:val="auto"/>
        <w:sz w:val="28"/>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4">
    <w:nsid w:val="43AE3741"/>
    <w:multiLevelType w:val="hybridMultilevel"/>
    <w:tmpl w:val="84B232DA"/>
    <w:lvl w:ilvl="0" w:tplc="3474CA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E9069B"/>
    <w:multiLevelType w:val="hybridMultilevel"/>
    <w:tmpl w:val="19624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DC632E"/>
    <w:multiLevelType w:val="multilevel"/>
    <w:tmpl w:val="203AB1AC"/>
    <w:lvl w:ilvl="0">
      <w:start w:val="1"/>
      <w:numFmt w:val="decimal"/>
      <w:pStyle w:val="MMTopic1"/>
      <w:suff w:val="space"/>
      <w:lvlText w:val="%1-"/>
      <w:lvlJc w:val="left"/>
      <w:pPr>
        <w:ind w:left="0" w:firstLine="0"/>
      </w:pPr>
      <w:rPr>
        <w:rFonts w:asciiTheme="majorHAnsi" w:eastAsiaTheme="majorEastAsia" w:hAnsiTheme="majorHAnsi" w:cstheme="majorBidi"/>
      </w:rPr>
    </w:lvl>
    <w:lvl w:ilvl="1">
      <w:start w:val="1"/>
      <w:numFmt w:val="decimal"/>
      <w:pStyle w:val="MMTopic2"/>
      <w:suff w:val="space"/>
      <w:lvlText w:val="%1.%2"/>
      <w:lvlJc w:val="left"/>
      <w:pPr>
        <w:ind w:left="284" w:firstLine="0"/>
      </w:pPr>
    </w:lvl>
    <w:lvl w:ilvl="2">
      <w:start w:val="1"/>
      <w:numFmt w:val="decimal"/>
      <w:pStyle w:val="MMTopic3"/>
      <w:suff w:val="space"/>
      <w:lvlText w:val="%1.%2.%3"/>
      <w:lvlJc w:val="left"/>
      <w:pPr>
        <w:ind w:left="284"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1722D0"/>
    <w:rsid w:val="000048CA"/>
    <w:rsid w:val="00010827"/>
    <w:rsid w:val="0001414A"/>
    <w:rsid w:val="00024212"/>
    <w:rsid w:val="0003351E"/>
    <w:rsid w:val="00045352"/>
    <w:rsid w:val="00054E76"/>
    <w:rsid w:val="00062C89"/>
    <w:rsid w:val="000A7186"/>
    <w:rsid w:val="000A7C07"/>
    <w:rsid w:val="000C3494"/>
    <w:rsid w:val="000C6F0F"/>
    <w:rsid w:val="000E4F52"/>
    <w:rsid w:val="000F0CFB"/>
    <w:rsid w:val="00103D9B"/>
    <w:rsid w:val="00130D55"/>
    <w:rsid w:val="00140534"/>
    <w:rsid w:val="00171B0F"/>
    <w:rsid w:val="00171CC3"/>
    <w:rsid w:val="001722D0"/>
    <w:rsid w:val="001B0FC0"/>
    <w:rsid w:val="001B7739"/>
    <w:rsid w:val="001C7D83"/>
    <w:rsid w:val="001D0BC7"/>
    <w:rsid w:val="001D0BE0"/>
    <w:rsid w:val="001D5BCF"/>
    <w:rsid w:val="001E4A28"/>
    <w:rsid w:val="0024266F"/>
    <w:rsid w:val="00244AD3"/>
    <w:rsid w:val="002527D3"/>
    <w:rsid w:val="00254D59"/>
    <w:rsid w:val="00276AF2"/>
    <w:rsid w:val="00286523"/>
    <w:rsid w:val="0029199C"/>
    <w:rsid w:val="002B3B31"/>
    <w:rsid w:val="00304E5A"/>
    <w:rsid w:val="003064F9"/>
    <w:rsid w:val="00313423"/>
    <w:rsid w:val="003157E5"/>
    <w:rsid w:val="00323DCD"/>
    <w:rsid w:val="00327FC8"/>
    <w:rsid w:val="00346DB2"/>
    <w:rsid w:val="003540E0"/>
    <w:rsid w:val="00362627"/>
    <w:rsid w:val="003669ED"/>
    <w:rsid w:val="003801EE"/>
    <w:rsid w:val="003C3160"/>
    <w:rsid w:val="003E6957"/>
    <w:rsid w:val="003E7986"/>
    <w:rsid w:val="003F75B0"/>
    <w:rsid w:val="0041180F"/>
    <w:rsid w:val="00412880"/>
    <w:rsid w:val="00425054"/>
    <w:rsid w:val="0045552D"/>
    <w:rsid w:val="00476139"/>
    <w:rsid w:val="00483F7A"/>
    <w:rsid w:val="00495892"/>
    <w:rsid w:val="004A44C0"/>
    <w:rsid w:val="004B40A3"/>
    <w:rsid w:val="004B49D7"/>
    <w:rsid w:val="004B5247"/>
    <w:rsid w:val="004C22D6"/>
    <w:rsid w:val="004C62CF"/>
    <w:rsid w:val="004D43E5"/>
    <w:rsid w:val="00505625"/>
    <w:rsid w:val="00506ABB"/>
    <w:rsid w:val="005314D7"/>
    <w:rsid w:val="005349B6"/>
    <w:rsid w:val="00540AFC"/>
    <w:rsid w:val="005437B4"/>
    <w:rsid w:val="0054459A"/>
    <w:rsid w:val="00565A5D"/>
    <w:rsid w:val="00583C02"/>
    <w:rsid w:val="00592DE1"/>
    <w:rsid w:val="005A0159"/>
    <w:rsid w:val="00626AAE"/>
    <w:rsid w:val="006272EC"/>
    <w:rsid w:val="00664FAB"/>
    <w:rsid w:val="00666631"/>
    <w:rsid w:val="00675710"/>
    <w:rsid w:val="00684AE7"/>
    <w:rsid w:val="0068767A"/>
    <w:rsid w:val="00695B76"/>
    <w:rsid w:val="00697E12"/>
    <w:rsid w:val="006A1D9D"/>
    <w:rsid w:val="006C56D0"/>
    <w:rsid w:val="006E579F"/>
    <w:rsid w:val="006F3790"/>
    <w:rsid w:val="007145AE"/>
    <w:rsid w:val="00735A3A"/>
    <w:rsid w:val="00760A0D"/>
    <w:rsid w:val="007708CD"/>
    <w:rsid w:val="007A132D"/>
    <w:rsid w:val="007A17A0"/>
    <w:rsid w:val="007A512A"/>
    <w:rsid w:val="007A69C0"/>
    <w:rsid w:val="007B4716"/>
    <w:rsid w:val="007D1335"/>
    <w:rsid w:val="007D217A"/>
    <w:rsid w:val="00812737"/>
    <w:rsid w:val="008271E9"/>
    <w:rsid w:val="00830781"/>
    <w:rsid w:val="00832E48"/>
    <w:rsid w:val="008373BA"/>
    <w:rsid w:val="008437CD"/>
    <w:rsid w:val="00890916"/>
    <w:rsid w:val="008A1549"/>
    <w:rsid w:val="008A4373"/>
    <w:rsid w:val="008A5A6C"/>
    <w:rsid w:val="008C2807"/>
    <w:rsid w:val="008C5D59"/>
    <w:rsid w:val="008D57A5"/>
    <w:rsid w:val="008F2086"/>
    <w:rsid w:val="008F6291"/>
    <w:rsid w:val="009000BA"/>
    <w:rsid w:val="009353D2"/>
    <w:rsid w:val="00957DC9"/>
    <w:rsid w:val="009612DF"/>
    <w:rsid w:val="009721C1"/>
    <w:rsid w:val="00990E19"/>
    <w:rsid w:val="009A304C"/>
    <w:rsid w:val="009B15A2"/>
    <w:rsid w:val="009C0C39"/>
    <w:rsid w:val="009C1DC5"/>
    <w:rsid w:val="009D1CE9"/>
    <w:rsid w:val="009E2907"/>
    <w:rsid w:val="009F3F7C"/>
    <w:rsid w:val="009F4264"/>
    <w:rsid w:val="00A06037"/>
    <w:rsid w:val="00A15950"/>
    <w:rsid w:val="00A16BFD"/>
    <w:rsid w:val="00A47768"/>
    <w:rsid w:val="00A52643"/>
    <w:rsid w:val="00A75AA2"/>
    <w:rsid w:val="00A812F4"/>
    <w:rsid w:val="00A90848"/>
    <w:rsid w:val="00A93BCB"/>
    <w:rsid w:val="00AA1437"/>
    <w:rsid w:val="00AB27ED"/>
    <w:rsid w:val="00AB38C7"/>
    <w:rsid w:val="00AB7AE2"/>
    <w:rsid w:val="00AC05FF"/>
    <w:rsid w:val="00B10D28"/>
    <w:rsid w:val="00B23B4F"/>
    <w:rsid w:val="00B315A9"/>
    <w:rsid w:val="00B37818"/>
    <w:rsid w:val="00B55115"/>
    <w:rsid w:val="00B658B7"/>
    <w:rsid w:val="00B66155"/>
    <w:rsid w:val="00B66E05"/>
    <w:rsid w:val="00B73040"/>
    <w:rsid w:val="00B75E8E"/>
    <w:rsid w:val="00B96A0E"/>
    <w:rsid w:val="00BC0076"/>
    <w:rsid w:val="00BC0A86"/>
    <w:rsid w:val="00BE5807"/>
    <w:rsid w:val="00BE6563"/>
    <w:rsid w:val="00BE7920"/>
    <w:rsid w:val="00BF18FA"/>
    <w:rsid w:val="00BF507C"/>
    <w:rsid w:val="00C116D5"/>
    <w:rsid w:val="00C14D67"/>
    <w:rsid w:val="00C247C0"/>
    <w:rsid w:val="00C3393A"/>
    <w:rsid w:val="00C41CE1"/>
    <w:rsid w:val="00C5283B"/>
    <w:rsid w:val="00C72924"/>
    <w:rsid w:val="00C74FB0"/>
    <w:rsid w:val="00C7543E"/>
    <w:rsid w:val="00C86861"/>
    <w:rsid w:val="00CC7CB4"/>
    <w:rsid w:val="00CF4F8F"/>
    <w:rsid w:val="00D1753E"/>
    <w:rsid w:val="00D268CD"/>
    <w:rsid w:val="00D31567"/>
    <w:rsid w:val="00D635C4"/>
    <w:rsid w:val="00D72C28"/>
    <w:rsid w:val="00D9163D"/>
    <w:rsid w:val="00D94DC8"/>
    <w:rsid w:val="00DD2831"/>
    <w:rsid w:val="00DF0D19"/>
    <w:rsid w:val="00DF7DC7"/>
    <w:rsid w:val="00E01844"/>
    <w:rsid w:val="00E07040"/>
    <w:rsid w:val="00E44D85"/>
    <w:rsid w:val="00E522D2"/>
    <w:rsid w:val="00E61928"/>
    <w:rsid w:val="00E73AE6"/>
    <w:rsid w:val="00E7526A"/>
    <w:rsid w:val="00E7799B"/>
    <w:rsid w:val="00E863F1"/>
    <w:rsid w:val="00E92FB7"/>
    <w:rsid w:val="00EA1A8E"/>
    <w:rsid w:val="00EB5F17"/>
    <w:rsid w:val="00ED23BC"/>
    <w:rsid w:val="00EE2CB9"/>
    <w:rsid w:val="00EF27BF"/>
    <w:rsid w:val="00EF5593"/>
    <w:rsid w:val="00F02B09"/>
    <w:rsid w:val="00F12DB4"/>
    <w:rsid w:val="00F20C1D"/>
    <w:rsid w:val="00F20DE5"/>
    <w:rsid w:val="00F23640"/>
    <w:rsid w:val="00F248C1"/>
    <w:rsid w:val="00F428E6"/>
    <w:rsid w:val="00F67C75"/>
    <w:rsid w:val="00F776D1"/>
    <w:rsid w:val="00F85316"/>
    <w:rsid w:val="00F871B6"/>
    <w:rsid w:val="00FB15D1"/>
    <w:rsid w:val="00FD72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2D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7A51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A51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512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1722D0"/>
    <w:pPr>
      <w:overflowPunct w:val="0"/>
      <w:autoSpaceDE w:val="0"/>
      <w:autoSpaceDN w:val="0"/>
      <w:adjustRightInd w:val="0"/>
      <w:jc w:val="right"/>
      <w:textAlignment w:val="baseline"/>
    </w:pPr>
    <w:rPr>
      <w:sz w:val="20"/>
      <w:szCs w:val="20"/>
    </w:rPr>
  </w:style>
  <w:style w:type="character" w:customStyle="1" w:styleId="NotedebasdepageCar">
    <w:name w:val="Note de bas de page Car"/>
    <w:basedOn w:val="Policepardfaut"/>
    <w:link w:val="Notedebasdepage"/>
    <w:uiPriority w:val="99"/>
    <w:semiHidden/>
    <w:rsid w:val="001722D0"/>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1722D0"/>
    <w:rPr>
      <w:vertAlign w:val="superscript"/>
    </w:rPr>
  </w:style>
  <w:style w:type="table" w:styleId="Grillemoyenne3-Accent6">
    <w:name w:val="Medium Grid 3 Accent 6"/>
    <w:basedOn w:val="TableauNormal"/>
    <w:uiPriority w:val="69"/>
    <w:rsid w:val="001722D0"/>
    <w:pPr>
      <w:spacing w:after="0" w:line="240" w:lineRule="auto"/>
    </w:pPr>
    <w:rPr>
      <w:rFonts w:ascii="Times New Roman" w:eastAsia="Times New Roman" w:hAnsi="Times New Roman" w:cs="Times New Roman"/>
      <w:sz w:val="20"/>
      <w:szCs w:val="20"/>
      <w:lang w:eastAsia="fr-F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Textedebulles">
    <w:name w:val="Balloon Text"/>
    <w:basedOn w:val="Normal"/>
    <w:link w:val="TextedebullesCar"/>
    <w:uiPriority w:val="99"/>
    <w:semiHidden/>
    <w:unhideWhenUsed/>
    <w:rsid w:val="004D43E5"/>
    <w:rPr>
      <w:rFonts w:ascii="Tahoma" w:hAnsi="Tahoma" w:cs="Tahoma"/>
      <w:sz w:val="16"/>
      <w:szCs w:val="16"/>
    </w:rPr>
  </w:style>
  <w:style w:type="character" w:customStyle="1" w:styleId="TextedebullesCar">
    <w:name w:val="Texte de bulles Car"/>
    <w:basedOn w:val="Policepardfaut"/>
    <w:link w:val="Textedebulles"/>
    <w:uiPriority w:val="99"/>
    <w:semiHidden/>
    <w:rsid w:val="004D43E5"/>
    <w:rPr>
      <w:rFonts w:ascii="Tahoma" w:eastAsia="Times New Roman" w:hAnsi="Tahoma" w:cs="Tahoma"/>
      <w:sz w:val="16"/>
      <w:szCs w:val="16"/>
      <w:lang w:eastAsia="fr-FR"/>
    </w:rPr>
  </w:style>
  <w:style w:type="paragraph" w:styleId="Paragraphedeliste">
    <w:name w:val="List Paragraph"/>
    <w:basedOn w:val="Normal"/>
    <w:uiPriority w:val="34"/>
    <w:qFormat/>
    <w:rsid w:val="00BF18FA"/>
    <w:pPr>
      <w:ind w:left="720"/>
      <w:contextualSpacing/>
    </w:pPr>
  </w:style>
  <w:style w:type="character" w:styleId="Marquedecommentaire">
    <w:name w:val="annotation reference"/>
    <w:basedOn w:val="Policepardfaut"/>
    <w:uiPriority w:val="99"/>
    <w:semiHidden/>
    <w:unhideWhenUsed/>
    <w:rsid w:val="003E7986"/>
    <w:rPr>
      <w:sz w:val="16"/>
      <w:szCs w:val="16"/>
    </w:rPr>
  </w:style>
  <w:style w:type="paragraph" w:styleId="Commentaire">
    <w:name w:val="annotation text"/>
    <w:basedOn w:val="Normal"/>
    <w:link w:val="CommentaireCar"/>
    <w:uiPriority w:val="99"/>
    <w:semiHidden/>
    <w:unhideWhenUsed/>
    <w:rsid w:val="003E7986"/>
    <w:pPr>
      <w:bidi/>
    </w:pPr>
    <w:rPr>
      <w:rFonts w:cs="Traditional Arabic"/>
      <w:noProof/>
      <w:sz w:val="20"/>
      <w:szCs w:val="20"/>
    </w:rPr>
  </w:style>
  <w:style w:type="character" w:customStyle="1" w:styleId="CommentaireCar">
    <w:name w:val="Commentaire Car"/>
    <w:basedOn w:val="Policepardfaut"/>
    <w:link w:val="Commentaire"/>
    <w:uiPriority w:val="99"/>
    <w:semiHidden/>
    <w:rsid w:val="003E7986"/>
    <w:rPr>
      <w:rFonts w:ascii="Times New Roman" w:eastAsia="Times New Roman" w:hAnsi="Times New Roman" w:cs="Traditional Arabic"/>
      <w:noProof/>
      <w:sz w:val="20"/>
      <w:szCs w:val="20"/>
      <w:lang w:eastAsia="fr-FR"/>
    </w:rPr>
  </w:style>
  <w:style w:type="paragraph" w:styleId="Corpsdetexte2">
    <w:name w:val="Body Text 2"/>
    <w:basedOn w:val="Normal"/>
    <w:link w:val="Corpsdetexte2Car"/>
    <w:uiPriority w:val="99"/>
    <w:rsid w:val="003E7986"/>
    <w:pPr>
      <w:bidi/>
      <w:jc w:val="center"/>
    </w:pPr>
    <w:rPr>
      <w:rFonts w:ascii="Univers" w:hAnsi="Univers" w:cs="Simplified Arabic"/>
      <w:sz w:val="22"/>
      <w:szCs w:val="20"/>
    </w:rPr>
  </w:style>
  <w:style w:type="character" w:customStyle="1" w:styleId="Corpsdetexte2Car">
    <w:name w:val="Corps de texte 2 Car"/>
    <w:basedOn w:val="Policepardfaut"/>
    <w:link w:val="Corpsdetexte2"/>
    <w:uiPriority w:val="99"/>
    <w:rsid w:val="003E7986"/>
    <w:rPr>
      <w:rFonts w:ascii="Univers" w:eastAsia="Times New Roman" w:hAnsi="Univers" w:cs="Simplified Arabic"/>
      <w:szCs w:val="20"/>
      <w:lang w:eastAsia="fr-FR"/>
    </w:rPr>
  </w:style>
  <w:style w:type="paragraph" w:styleId="En-tte">
    <w:name w:val="header"/>
    <w:basedOn w:val="Normal"/>
    <w:link w:val="En-tteCar"/>
    <w:uiPriority w:val="99"/>
    <w:unhideWhenUsed/>
    <w:rsid w:val="0003351E"/>
    <w:pPr>
      <w:tabs>
        <w:tab w:val="center" w:pos="4536"/>
        <w:tab w:val="right" w:pos="9072"/>
      </w:tabs>
    </w:pPr>
  </w:style>
  <w:style w:type="character" w:customStyle="1" w:styleId="En-tteCar">
    <w:name w:val="En-tête Car"/>
    <w:basedOn w:val="Policepardfaut"/>
    <w:link w:val="En-tte"/>
    <w:uiPriority w:val="99"/>
    <w:rsid w:val="000335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3351E"/>
    <w:pPr>
      <w:tabs>
        <w:tab w:val="center" w:pos="4536"/>
        <w:tab w:val="right" w:pos="9072"/>
      </w:tabs>
    </w:pPr>
  </w:style>
  <w:style w:type="character" w:customStyle="1" w:styleId="PieddepageCar">
    <w:name w:val="Pied de page Car"/>
    <w:basedOn w:val="Policepardfaut"/>
    <w:link w:val="Pieddepage"/>
    <w:uiPriority w:val="99"/>
    <w:rsid w:val="0003351E"/>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540AFC"/>
    <w:pPr>
      <w:bidi/>
      <w:spacing w:after="120"/>
    </w:pPr>
    <w:rPr>
      <w:rFonts w:cs="Traditional Arabic"/>
      <w:noProof/>
      <w:sz w:val="20"/>
      <w:szCs w:val="20"/>
    </w:rPr>
  </w:style>
  <w:style w:type="character" w:customStyle="1" w:styleId="CorpsdetexteCar">
    <w:name w:val="Corps de texte Car"/>
    <w:basedOn w:val="Policepardfaut"/>
    <w:link w:val="Corpsdetexte"/>
    <w:uiPriority w:val="99"/>
    <w:rsid w:val="00540AFC"/>
    <w:rPr>
      <w:rFonts w:ascii="Times New Roman" w:eastAsia="Times New Roman" w:hAnsi="Times New Roman" w:cs="Traditional Arabic"/>
      <w:noProof/>
      <w:sz w:val="20"/>
      <w:szCs w:val="20"/>
      <w:lang w:eastAsia="fr-FR"/>
    </w:rPr>
  </w:style>
  <w:style w:type="paragraph" w:styleId="Corpsdetexte3">
    <w:name w:val="Body Text 3"/>
    <w:basedOn w:val="Normal"/>
    <w:link w:val="Corpsdetexte3Car"/>
    <w:uiPriority w:val="99"/>
    <w:unhideWhenUsed/>
    <w:rsid w:val="00054E76"/>
    <w:pPr>
      <w:spacing w:after="120"/>
    </w:pPr>
    <w:rPr>
      <w:sz w:val="16"/>
      <w:szCs w:val="16"/>
    </w:rPr>
  </w:style>
  <w:style w:type="character" w:customStyle="1" w:styleId="Corpsdetexte3Car">
    <w:name w:val="Corps de texte 3 Car"/>
    <w:basedOn w:val="Policepardfaut"/>
    <w:link w:val="Corpsdetexte3"/>
    <w:uiPriority w:val="99"/>
    <w:rsid w:val="00054E76"/>
    <w:rPr>
      <w:rFonts w:ascii="Times New Roman" w:eastAsia="Times New Roman" w:hAnsi="Times New Roman" w:cs="Times New Roman"/>
      <w:sz w:val="16"/>
      <w:szCs w:val="16"/>
      <w:lang w:eastAsia="fr-FR"/>
    </w:rPr>
  </w:style>
  <w:style w:type="paragraph" w:customStyle="1" w:styleId="MMTopic1">
    <w:name w:val="MM Topic 1"/>
    <w:basedOn w:val="Titre1"/>
    <w:rsid w:val="007A512A"/>
    <w:pPr>
      <w:numPr>
        <w:numId w:val="7"/>
      </w:numPr>
      <w:tabs>
        <w:tab w:val="num" w:pos="360"/>
      </w:tabs>
      <w:spacing w:line="276" w:lineRule="auto"/>
    </w:pPr>
    <w:rPr>
      <w:lang w:eastAsia="en-US"/>
    </w:rPr>
  </w:style>
  <w:style w:type="paragraph" w:customStyle="1" w:styleId="MMTopic2">
    <w:name w:val="MM Topic 2"/>
    <w:basedOn w:val="Titre2"/>
    <w:link w:val="MMTopic2Car"/>
    <w:rsid w:val="007A512A"/>
    <w:pPr>
      <w:numPr>
        <w:ilvl w:val="1"/>
        <w:numId w:val="7"/>
      </w:numPr>
      <w:spacing w:line="276" w:lineRule="auto"/>
    </w:pPr>
  </w:style>
  <w:style w:type="character" w:customStyle="1" w:styleId="MMTopic2Car">
    <w:name w:val="MM Topic 2 Car"/>
    <w:basedOn w:val="Titre2Car"/>
    <w:link w:val="MMTopic2"/>
    <w:rsid w:val="007A512A"/>
    <w:rPr>
      <w:b/>
      <w:bCs/>
    </w:rPr>
  </w:style>
  <w:style w:type="paragraph" w:customStyle="1" w:styleId="MMTopic3">
    <w:name w:val="MM Topic 3"/>
    <w:basedOn w:val="Titre3"/>
    <w:rsid w:val="007A512A"/>
    <w:pPr>
      <w:numPr>
        <w:ilvl w:val="2"/>
        <w:numId w:val="7"/>
      </w:numPr>
      <w:tabs>
        <w:tab w:val="num" w:pos="360"/>
      </w:tabs>
      <w:spacing w:line="276" w:lineRule="auto"/>
      <w:ind w:left="0"/>
    </w:pPr>
    <w:rPr>
      <w:sz w:val="22"/>
      <w:szCs w:val="22"/>
      <w:lang w:eastAsia="en-US"/>
    </w:rPr>
  </w:style>
  <w:style w:type="paragraph" w:styleId="NormalWeb">
    <w:name w:val="Normal (Web)"/>
    <w:basedOn w:val="Normal"/>
    <w:uiPriority w:val="99"/>
    <w:semiHidden/>
    <w:unhideWhenUsed/>
    <w:rsid w:val="007A512A"/>
    <w:pPr>
      <w:spacing w:before="100" w:beforeAutospacing="1" w:after="100" w:afterAutospacing="1"/>
    </w:pPr>
  </w:style>
  <w:style w:type="character" w:customStyle="1" w:styleId="Titre1Car">
    <w:name w:val="Titre 1 Car"/>
    <w:basedOn w:val="Policepardfaut"/>
    <w:link w:val="Titre1"/>
    <w:uiPriority w:val="9"/>
    <w:rsid w:val="007A512A"/>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semiHidden/>
    <w:rsid w:val="007A512A"/>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7A512A"/>
    <w:rPr>
      <w:rFonts w:asciiTheme="majorHAnsi" w:eastAsiaTheme="majorEastAsia" w:hAnsiTheme="majorHAnsi" w:cstheme="majorBidi"/>
      <w:b/>
      <w:bCs/>
      <w:color w:val="4F81BD" w:themeColor="accent1"/>
      <w:sz w:val="24"/>
      <w:szCs w:val="24"/>
      <w:lang w:eastAsia="fr-FR"/>
    </w:rPr>
  </w:style>
</w:styles>
</file>

<file path=word/webSettings.xml><?xml version="1.0" encoding="utf-8"?>
<w:webSettings xmlns:r="http://schemas.openxmlformats.org/officeDocument/2006/relationships" xmlns:w="http://schemas.openxmlformats.org/wordprocessingml/2006/main">
  <w:divs>
    <w:div w:id="133622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naima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3"/>
  <c:chart>
    <c:autoTitleDeleted val="1"/>
    <c:plotArea>
      <c:layout/>
      <c:barChart>
        <c:barDir val="col"/>
        <c:grouping val="clustered"/>
        <c:ser>
          <c:idx val="0"/>
          <c:order val="0"/>
          <c:tx>
            <c:strRef>
              <c:f>Feuil1!$H$116</c:f>
              <c:strCache>
                <c:ptCount val="1"/>
                <c:pt idx="0">
                  <c:v>Urbain</c:v>
                </c:pt>
              </c:strCache>
            </c:strRef>
          </c:tx>
          <c:dLbls>
            <c:showVal val="1"/>
          </c:dLbls>
          <c:cat>
            <c:strRef>
              <c:f>Feuil1!$G$117:$G$120</c:f>
              <c:strCache>
                <c:ptCount val="4"/>
                <c:pt idx="0">
                  <c:v>. 15 - 24 ans</c:v>
                </c:pt>
                <c:pt idx="1">
                  <c:v>. 25 - 34 ans</c:v>
                </c:pt>
                <c:pt idx="2">
                  <c:v>. 35 - 44 ans</c:v>
                </c:pt>
                <c:pt idx="3">
                  <c:v>. 45 ans et plus</c:v>
                </c:pt>
              </c:strCache>
            </c:strRef>
          </c:cat>
          <c:val>
            <c:numRef>
              <c:f>Feuil1!$H$117:$H$120</c:f>
              <c:numCache>
                <c:formatCode>###0.0</c:formatCode>
                <c:ptCount val="4"/>
                <c:pt idx="0">
                  <c:v>12.347410138347374</c:v>
                </c:pt>
                <c:pt idx="1">
                  <c:v>46.050020891194244</c:v>
                </c:pt>
                <c:pt idx="2">
                  <c:v>53.370078357598985</c:v>
                </c:pt>
                <c:pt idx="3">
                  <c:v>34.214235089326728</c:v>
                </c:pt>
              </c:numCache>
            </c:numRef>
          </c:val>
        </c:ser>
        <c:ser>
          <c:idx val="1"/>
          <c:order val="1"/>
          <c:tx>
            <c:strRef>
              <c:f>Feuil1!$I$116</c:f>
              <c:strCache>
                <c:ptCount val="1"/>
                <c:pt idx="0">
                  <c:v>Rural</c:v>
                </c:pt>
              </c:strCache>
            </c:strRef>
          </c:tx>
          <c:dLbls>
            <c:showVal val="1"/>
          </c:dLbls>
          <c:cat>
            <c:strRef>
              <c:f>Feuil1!$G$117:$G$120</c:f>
              <c:strCache>
                <c:ptCount val="4"/>
                <c:pt idx="0">
                  <c:v>. 15 - 24 ans</c:v>
                </c:pt>
                <c:pt idx="1">
                  <c:v>. 25 - 34 ans</c:v>
                </c:pt>
                <c:pt idx="2">
                  <c:v>. 35 - 44 ans</c:v>
                </c:pt>
                <c:pt idx="3">
                  <c:v>. 45 ans et plus</c:v>
                </c:pt>
              </c:strCache>
            </c:strRef>
          </c:cat>
          <c:val>
            <c:numRef>
              <c:f>Feuil1!$I$117:$I$120</c:f>
              <c:numCache>
                <c:formatCode>###0.0</c:formatCode>
                <c:ptCount val="4"/>
                <c:pt idx="0">
                  <c:v>31.848772787001629</c:v>
                </c:pt>
                <c:pt idx="1">
                  <c:v>60.359244837521125</c:v>
                </c:pt>
                <c:pt idx="2">
                  <c:v>66.437863644893469</c:v>
                </c:pt>
                <c:pt idx="3">
                  <c:v>54.535513988885604</c:v>
                </c:pt>
              </c:numCache>
            </c:numRef>
          </c:val>
        </c:ser>
        <c:ser>
          <c:idx val="2"/>
          <c:order val="2"/>
          <c:tx>
            <c:strRef>
              <c:f>Feuil1!$J$116</c:f>
              <c:strCache>
                <c:ptCount val="1"/>
                <c:pt idx="0">
                  <c:v>Les deux milieux</c:v>
                </c:pt>
              </c:strCache>
            </c:strRef>
          </c:tx>
          <c:dLbls>
            <c:showVal val="1"/>
          </c:dLbls>
          <c:cat>
            <c:strRef>
              <c:f>Feuil1!$G$117:$G$120</c:f>
              <c:strCache>
                <c:ptCount val="4"/>
                <c:pt idx="0">
                  <c:v>. 15 - 24 ans</c:v>
                </c:pt>
                <c:pt idx="1">
                  <c:v>. 25 - 34 ans</c:v>
                </c:pt>
                <c:pt idx="2">
                  <c:v>. 35 - 44 ans</c:v>
                </c:pt>
                <c:pt idx="3">
                  <c:v>. 45 ans et plus</c:v>
                </c:pt>
              </c:strCache>
            </c:strRef>
          </c:cat>
          <c:val>
            <c:numRef>
              <c:f>Feuil1!$J$117:$J$120</c:f>
              <c:numCache>
                <c:formatCode>###0.0</c:formatCode>
                <c:ptCount val="4"/>
                <c:pt idx="0">
                  <c:v>20.219039146999886</c:v>
                </c:pt>
                <c:pt idx="1">
                  <c:v>50.993013328229509</c:v>
                </c:pt>
                <c:pt idx="2">
                  <c:v>57.834818740220001</c:v>
                </c:pt>
                <c:pt idx="3">
                  <c:v>41.293090741458613</c:v>
                </c:pt>
              </c:numCache>
            </c:numRef>
          </c:val>
        </c:ser>
        <c:gapWidth val="75"/>
        <c:overlap val="-25"/>
        <c:axId val="98009088"/>
        <c:axId val="98010624"/>
      </c:barChart>
      <c:catAx>
        <c:axId val="98009088"/>
        <c:scaling>
          <c:orientation val="minMax"/>
        </c:scaling>
        <c:axPos val="b"/>
        <c:majorTickMark val="none"/>
        <c:tickLblPos val="nextTo"/>
        <c:crossAx val="98010624"/>
        <c:crosses val="autoZero"/>
        <c:auto val="1"/>
        <c:lblAlgn val="ctr"/>
        <c:lblOffset val="100"/>
      </c:catAx>
      <c:valAx>
        <c:axId val="98010624"/>
        <c:scaling>
          <c:orientation val="minMax"/>
        </c:scaling>
        <c:delete val="1"/>
        <c:axPos val="l"/>
        <c:numFmt formatCode="###0.0" sourceLinked="1"/>
        <c:majorTickMark val="none"/>
        <c:tickLblPos val="none"/>
        <c:crossAx val="98009088"/>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stacked"/>
        <c:ser>
          <c:idx val="0"/>
          <c:order val="0"/>
          <c:tx>
            <c:strRef>
              <c:f>Feuil2!$A$6</c:f>
              <c:strCache>
                <c:ptCount val="1"/>
                <c:pt idx="0">
                  <c:v>Sans diplôme</c:v>
                </c:pt>
              </c:strCache>
            </c:strRef>
          </c:tx>
          <c:spPr>
            <a:solidFill>
              <a:schemeClr val="tx2"/>
            </a:solidFill>
          </c:spPr>
          <c:dLbls>
            <c:dLbl>
              <c:idx val="0"/>
              <c:spPr/>
              <c:txPr>
                <a:bodyPr/>
                <a:lstStyle/>
                <a:p>
                  <a:pPr>
                    <a:defRPr b="1">
                      <a:solidFill>
                        <a:schemeClr val="bg1"/>
                      </a:solidFill>
                    </a:defRPr>
                  </a:pPr>
                  <a:endParaRPr lang="fr-FR"/>
                </a:p>
              </c:txPr>
            </c:dLbl>
            <c:dLbl>
              <c:idx val="1"/>
              <c:spPr/>
              <c:txPr>
                <a:bodyPr/>
                <a:lstStyle/>
                <a:p>
                  <a:pPr>
                    <a:defRPr b="1">
                      <a:solidFill>
                        <a:schemeClr val="bg1"/>
                      </a:solidFill>
                    </a:defRPr>
                  </a:pPr>
                  <a:endParaRPr lang="fr-FR"/>
                </a:p>
              </c:txPr>
            </c:dLbl>
            <c:txPr>
              <a:bodyPr/>
              <a:lstStyle/>
              <a:p>
                <a:pPr>
                  <a:defRPr>
                    <a:solidFill>
                      <a:schemeClr val="bg1"/>
                    </a:solidFill>
                  </a:defRPr>
                </a:pPr>
                <a:endParaRPr lang="fr-FR"/>
              </a:p>
            </c:txPr>
            <c:showVal val="1"/>
          </c:dLbls>
          <c:cat>
            <c:strRef>
              <c:f>Feuil2!$B$5:$C$5</c:f>
              <c:strCache>
                <c:ptCount val="2"/>
                <c:pt idx="0">
                  <c:v>Population en âge d'activité</c:v>
                </c:pt>
                <c:pt idx="1">
                  <c:v>Population active occupée</c:v>
                </c:pt>
              </c:strCache>
            </c:strRef>
          </c:cat>
          <c:val>
            <c:numRef>
              <c:f>Feuil2!$B$6:$C$6</c:f>
              <c:numCache>
                <c:formatCode>#,##0.0</c:formatCode>
                <c:ptCount val="2"/>
                <c:pt idx="0">
                  <c:v>54.550835786654751</c:v>
                </c:pt>
                <c:pt idx="1">
                  <c:v>57.792207414405262</c:v>
                </c:pt>
              </c:numCache>
            </c:numRef>
          </c:val>
        </c:ser>
        <c:ser>
          <c:idx val="1"/>
          <c:order val="1"/>
          <c:tx>
            <c:strRef>
              <c:f>Feuil2!$A$7</c:f>
              <c:strCache>
                <c:ptCount val="1"/>
                <c:pt idx="0">
                  <c:v>Niveau moyen</c:v>
                </c:pt>
              </c:strCache>
            </c:strRef>
          </c:tx>
          <c:spPr>
            <a:solidFill>
              <a:schemeClr val="tx2">
                <a:lumMod val="60000"/>
                <a:lumOff val="40000"/>
              </a:schemeClr>
            </a:solidFill>
          </c:spPr>
          <c:dLbls>
            <c:txPr>
              <a:bodyPr/>
              <a:lstStyle/>
              <a:p>
                <a:pPr>
                  <a:defRPr b="1"/>
                </a:pPr>
                <a:endParaRPr lang="fr-FR"/>
              </a:p>
            </c:txPr>
            <c:showVal val="1"/>
          </c:dLbls>
          <c:cat>
            <c:strRef>
              <c:f>Feuil2!$B$5:$C$5</c:f>
              <c:strCache>
                <c:ptCount val="2"/>
                <c:pt idx="0">
                  <c:v>Population en âge d'activité</c:v>
                </c:pt>
                <c:pt idx="1">
                  <c:v>Population active occupée</c:v>
                </c:pt>
              </c:strCache>
            </c:strRef>
          </c:cat>
          <c:val>
            <c:numRef>
              <c:f>Feuil2!$B$7:$C$7</c:f>
              <c:numCache>
                <c:formatCode>#,##0.0</c:formatCode>
                <c:ptCount val="2"/>
                <c:pt idx="0">
                  <c:v>32.268049268418913</c:v>
                </c:pt>
                <c:pt idx="1">
                  <c:v>28.585668285768225</c:v>
                </c:pt>
              </c:numCache>
            </c:numRef>
          </c:val>
        </c:ser>
        <c:ser>
          <c:idx val="2"/>
          <c:order val="2"/>
          <c:tx>
            <c:strRef>
              <c:f>Feuil2!$A$8</c:f>
              <c:strCache>
                <c:ptCount val="1"/>
                <c:pt idx="0">
                  <c:v>Niveau supérieur</c:v>
                </c:pt>
              </c:strCache>
            </c:strRef>
          </c:tx>
          <c:spPr>
            <a:solidFill>
              <a:schemeClr val="tx2">
                <a:lumMod val="20000"/>
                <a:lumOff val="80000"/>
              </a:schemeClr>
            </a:solidFill>
          </c:spPr>
          <c:dLbls>
            <c:txPr>
              <a:bodyPr/>
              <a:lstStyle/>
              <a:p>
                <a:pPr>
                  <a:defRPr b="1"/>
                </a:pPr>
                <a:endParaRPr lang="fr-FR"/>
              </a:p>
            </c:txPr>
            <c:showVal val="1"/>
          </c:dLbls>
          <c:cat>
            <c:strRef>
              <c:f>Feuil2!$B$5:$C$5</c:f>
              <c:strCache>
                <c:ptCount val="2"/>
                <c:pt idx="0">
                  <c:v>Population en âge d'activité</c:v>
                </c:pt>
                <c:pt idx="1">
                  <c:v>Population active occupée</c:v>
                </c:pt>
              </c:strCache>
            </c:strRef>
          </c:cat>
          <c:val>
            <c:numRef>
              <c:f>Feuil2!$B$8:$C$8</c:f>
              <c:numCache>
                <c:formatCode>#,##0.0</c:formatCode>
                <c:ptCount val="2"/>
                <c:pt idx="0">
                  <c:v>13.145231941417768</c:v>
                </c:pt>
                <c:pt idx="1">
                  <c:v>13.586337869118006</c:v>
                </c:pt>
              </c:numCache>
            </c:numRef>
          </c:val>
        </c:ser>
        <c:overlap val="100"/>
        <c:axId val="98223616"/>
        <c:axId val="98225152"/>
      </c:barChart>
      <c:catAx>
        <c:axId val="98223616"/>
        <c:scaling>
          <c:orientation val="minMax"/>
        </c:scaling>
        <c:axPos val="b"/>
        <c:tickLblPos val="nextTo"/>
        <c:txPr>
          <a:bodyPr/>
          <a:lstStyle/>
          <a:p>
            <a:pPr>
              <a:defRPr b="1"/>
            </a:pPr>
            <a:endParaRPr lang="fr-FR"/>
          </a:p>
        </c:txPr>
        <c:crossAx val="98225152"/>
        <c:crosses val="autoZero"/>
        <c:auto val="1"/>
        <c:lblAlgn val="ctr"/>
        <c:lblOffset val="100"/>
      </c:catAx>
      <c:valAx>
        <c:axId val="98225152"/>
        <c:scaling>
          <c:orientation val="minMax"/>
        </c:scaling>
        <c:delete val="1"/>
        <c:axPos val="l"/>
        <c:numFmt formatCode="#,##0.0" sourceLinked="1"/>
        <c:tickLblPos val="none"/>
        <c:crossAx val="98223616"/>
        <c:crosses val="autoZero"/>
        <c:crossBetween val="between"/>
      </c:valAx>
    </c:plotArea>
    <c:legend>
      <c:legendPos val="r"/>
    </c:legend>
    <c:plotVisOnly val="1"/>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392AB-F8B3-4D0F-BA7F-FF10C352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2360</Words>
  <Characters>12980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hcp</cp:lastModifiedBy>
  <cp:revision>2</cp:revision>
  <cp:lastPrinted>2019-02-20T15:50:00Z</cp:lastPrinted>
  <dcterms:created xsi:type="dcterms:W3CDTF">2019-02-28T11:19:00Z</dcterms:created>
  <dcterms:modified xsi:type="dcterms:W3CDTF">2019-02-28T11:19:00Z</dcterms:modified>
</cp:coreProperties>
</file>