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5C" w:rsidRPr="003F42E2" w:rsidRDefault="00212945" w:rsidP="001F3E5C">
      <w:pPr>
        <w:autoSpaceDE w:val="0"/>
        <w:autoSpaceDN w:val="0"/>
        <w:bidi w:val="0"/>
        <w:adjustRightInd w:val="0"/>
        <w:jc w:val="center"/>
        <w:rPr>
          <w:rFonts w:ascii="Book Antiqua" w:hAnsi="Book Antiqua" w:cs="Times New Roman"/>
          <w:b/>
          <w:bCs/>
          <w:noProof w:val="0"/>
          <w:color w:val="008000"/>
          <w:sz w:val="28"/>
          <w:szCs w:val="28"/>
        </w:rPr>
      </w:pPr>
      <w:r>
        <w:rPr>
          <w:rFonts w:ascii="Book Antiqua" w:hAnsi="Book Antiqua" w:cs="Times New Roman"/>
          <w:b/>
          <w:bCs/>
          <w:noProof w:val="0"/>
          <w:color w:val="008000"/>
          <w:sz w:val="28"/>
          <w:szCs w:val="28"/>
        </w:rPr>
        <w:t xml:space="preserve">            </w:t>
      </w:r>
      <w:r w:rsidR="001F3E5C" w:rsidRPr="003F42E2">
        <w:rPr>
          <w:rFonts w:ascii="Book Antiqua" w:hAnsi="Book Antiqua" w:cs="Times New Roman"/>
          <w:b/>
          <w:bCs/>
          <w:noProof w:val="0"/>
          <w:color w:val="008000"/>
          <w:sz w:val="28"/>
          <w:szCs w:val="28"/>
        </w:rPr>
        <w:t xml:space="preserve">                </w:t>
      </w:r>
    </w:p>
    <w:p w:rsidR="001F3E5C" w:rsidRPr="003F42E2" w:rsidRDefault="001F3E5C" w:rsidP="001F3E5C">
      <w:pPr>
        <w:autoSpaceDE w:val="0"/>
        <w:autoSpaceDN w:val="0"/>
        <w:bidi w:val="0"/>
        <w:adjustRightInd w:val="0"/>
        <w:jc w:val="center"/>
        <w:rPr>
          <w:rFonts w:ascii="Book Antiqua" w:hAnsi="Book Antiqua" w:cs="Browallia New"/>
          <w:b/>
          <w:bCs/>
          <w:noProof w:val="0"/>
          <w:color w:val="008000"/>
          <w:sz w:val="28"/>
          <w:szCs w:val="28"/>
        </w:rPr>
      </w:pPr>
    </w:p>
    <w:p w:rsidR="001F3E5C" w:rsidRPr="003F42E2" w:rsidRDefault="001F3E5C" w:rsidP="001F3E5C">
      <w:pPr>
        <w:autoSpaceDE w:val="0"/>
        <w:autoSpaceDN w:val="0"/>
        <w:bidi w:val="0"/>
        <w:adjustRightInd w:val="0"/>
        <w:jc w:val="center"/>
        <w:rPr>
          <w:rFonts w:ascii="Book Antiqua" w:hAnsi="Book Antiqua" w:cs="Browallia New"/>
          <w:b/>
          <w:bCs/>
          <w:noProof w:val="0"/>
          <w:color w:val="008000"/>
          <w:sz w:val="28"/>
          <w:szCs w:val="28"/>
        </w:rPr>
      </w:pPr>
    </w:p>
    <w:p w:rsidR="001F3E5C" w:rsidRPr="003F42E2" w:rsidRDefault="001F3E5C" w:rsidP="001F3E5C">
      <w:pPr>
        <w:autoSpaceDE w:val="0"/>
        <w:autoSpaceDN w:val="0"/>
        <w:bidi w:val="0"/>
        <w:adjustRightInd w:val="0"/>
        <w:jc w:val="center"/>
        <w:rPr>
          <w:rFonts w:ascii="Book Antiqua" w:hAnsi="Book Antiqua" w:cs="Browallia New"/>
          <w:b/>
          <w:bCs/>
          <w:noProof w:val="0"/>
          <w:color w:val="008000"/>
          <w:sz w:val="28"/>
          <w:szCs w:val="28"/>
        </w:rPr>
      </w:pPr>
    </w:p>
    <w:p w:rsidR="001F3E5C" w:rsidRPr="003F42E2" w:rsidRDefault="001F3E5C" w:rsidP="001F3E5C">
      <w:pPr>
        <w:autoSpaceDE w:val="0"/>
        <w:autoSpaceDN w:val="0"/>
        <w:bidi w:val="0"/>
        <w:adjustRightInd w:val="0"/>
        <w:jc w:val="center"/>
        <w:rPr>
          <w:rFonts w:ascii="Book Antiqua" w:hAnsi="Book Antiqua" w:cs="Browallia New"/>
          <w:b/>
          <w:bCs/>
          <w:noProof w:val="0"/>
          <w:color w:val="008000"/>
          <w:sz w:val="28"/>
          <w:szCs w:val="28"/>
          <w:rtl/>
        </w:rPr>
      </w:pPr>
    </w:p>
    <w:p w:rsidR="001F3E5C" w:rsidRPr="003F42E2" w:rsidRDefault="001F3E5C" w:rsidP="001F3E5C">
      <w:pPr>
        <w:bidi w:val="0"/>
        <w:jc w:val="center"/>
        <w:rPr>
          <w:rFonts w:ascii="Book Antiqua" w:hAnsi="Book Antiqua" w:cs="Browallia New"/>
          <w:b/>
          <w:bCs/>
          <w:noProof w:val="0"/>
          <w:color w:val="943634"/>
          <w:sz w:val="28"/>
          <w:szCs w:val="28"/>
        </w:rPr>
      </w:pPr>
      <w:r w:rsidRPr="003F42E2">
        <w:rPr>
          <w:rFonts w:ascii="Book Antiqua" w:hAnsi="Book Antiqua" w:cs="Browallia New"/>
          <w:b/>
          <w:bCs/>
          <w:noProof w:val="0"/>
          <w:color w:val="943634"/>
          <w:sz w:val="28"/>
          <w:szCs w:val="28"/>
        </w:rPr>
        <w:t>NOTE D’INFORMATION DU HAUT-COMMISSARIAT AU PLAN RELATIVE A LA SITUATION DU MARCHE DU TRAVAIL EN 2019</w:t>
      </w:r>
    </w:p>
    <w:p w:rsidR="001F3E5C" w:rsidRPr="003F42E2" w:rsidRDefault="001F3E5C" w:rsidP="001F3E5C">
      <w:pPr>
        <w:bidi w:val="0"/>
        <w:jc w:val="center"/>
        <w:rPr>
          <w:rFonts w:ascii="Book Antiqua" w:hAnsi="Book Antiqua" w:cs="Browallia New"/>
          <w:b/>
          <w:bCs/>
          <w:noProof w:val="0"/>
          <w:color w:val="943634"/>
          <w:sz w:val="28"/>
          <w:szCs w:val="28"/>
        </w:rPr>
      </w:pPr>
    </w:p>
    <w:p w:rsidR="001F3E5C" w:rsidRPr="003F42E2" w:rsidRDefault="000D0FD1" w:rsidP="00E2789F">
      <w:pPr>
        <w:autoSpaceDE w:val="0"/>
        <w:autoSpaceDN w:val="0"/>
        <w:bidi w:val="0"/>
        <w:adjustRightInd w:val="0"/>
        <w:spacing w:before="120" w:after="120" w:line="276" w:lineRule="auto"/>
        <w:jc w:val="both"/>
        <w:rPr>
          <w:rFonts w:ascii="Book Antiqua" w:hAnsi="Book Antiqua" w:cs="Browallia New"/>
          <w:b/>
          <w:bCs/>
          <w:color w:val="002060"/>
          <w:sz w:val="28"/>
          <w:szCs w:val="28"/>
        </w:rPr>
      </w:pPr>
      <w:r>
        <w:rPr>
          <w:rFonts w:ascii="Book Antiqua" w:hAnsi="Book Antiqua" w:cs="Browallia New"/>
          <w:b/>
          <w:bCs/>
          <w:color w:val="002060"/>
          <w:sz w:val="28"/>
          <w:szCs w:val="28"/>
        </w:rPr>
        <w:t xml:space="preserve">En </w:t>
      </w:r>
      <w:r w:rsidR="001F3E5C" w:rsidRPr="003F42E2">
        <w:rPr>
          <w:rFonts w:ascii="Book Antiqua" w:hAnsi="Book Antiqua" w:cs="Browallia New"/>
          <w:b/>
          <w:bCs/>
          <w:color w:val="002060"/>
          <w:sz w:val="28"/>
          <w:szCs w:val="28"/>
        </w:rPr>
        <w:t>2019,  l’économie marocaine a créé 165.000 postes d’emploi</w:t>
      </w:r>
      <w:r w:rsidR="00C4352C">
        <w:rPr>
          <w:rFonts w:ascii="Book Antiqua" w:hAnsi="Book Antiqua" w:cs="Browallia New"/>
          <w:b/>
          <w:bCs/>
          <w:color w:val="002060"/>
          <w:sz w:val="28"/>
          <w:szCs w:val="28"/>
        </w:rPr>
        <w:t xml:space="preserve"> (+1,5%)</w:t>
      </w:r>
      <w:r w:rsidR="00E2789F">
        <w:rPr>
          <w:rFonts w:ascii="Book Antiqua" w:hAnsi="Book Antiqua" w:cs="Browallia New"/>
          <w:b/>
          <w:bCs/>
          <w:color w:val="002060"/>
          <w:sz w:val="28"/>
          <w:szCs w:val="28"/>
        </w:rPr>
        <w:t xml:space="preserve">, </w:t>
      </w:r>
      <w:r w:rsidR="001F3E5C" w:rsidRPr="003F42E2">
        <w:rPr>
          <w:rFonts w:ascii="Book Antiqua" w:hAnsi="Book Antiqua" w:cs="Browallia New"/>
          <w:b/>
          <w:bCs/>
          <w:color w:val="002060"/>
          <w:sz w:val="28"/>
          <w:szCs w:val="28"/>
        </w:rPr>
        <w:t>résultant d’une création de 250.000 postes en milieu urbain et une perte de 85.000 en milieu rural, contre une création de 111.000 une année auparavant.</w:t>
      </w:r>
    </w:p>
    <w:p w:rsidR="001F3E5C" w:rsidRPr="003F42E2" w:rsidRDefault="0044402C" w:rsidP="00732FB1">
      <w:pPr>
        <w:autoSpaceDE w:val="0"/>
        <w:autoSpaceDN w:val="0"/>
        <w:bidi w:val="0"/>
        <w:adjustRightInd w:val="0"/>
        <w:spacing w:before="120" w:after="120" w:line="276" w:lineRule="auto"/>
        <w:jc w:val="both"/>
        <w:rPr>
          <w:rFonts w:ascii="Book Antiqua" w:hAnsi="Book Antiqua" w:cs="Browallia New"/>
          <w:b/>
          <w:bCs/>
          <w:color w:val="002060"/>
          <w:sz w:val="28"/>
          <w:szCs w:val="28"/>
        </w:rPr>
      </w:pPr>
      <w:r>
        <w:rPr>
          <w:rFonts w:ascii="Book Antiqua" w:hAnsi="Book Antiqua" w:cs="Browallia New"/>
          <w:b/>
          <w:bCs/>
          <w:color w:val="002060"/>
          <w:sz w:val="28"/>
          <w:szCs w:val="28"/>
        </w:rPr>
        <w:t>Le secteur des</w:t>
      </w:r>
      <w:r w:rsidR="001F3E5C" w:rsidRPr="003F42E2">
        <w:rPr>
          <w:rFonts w:ascii="Book Antiqua" w:hAnsi="Book Antiqua" w:cs="Browallia New"/>
          <w:b/>
          <w:bCs/>
          <w:color w:val="002060"/>
          <w:sz w:val="28"/>
          <w:szCs w:val="28"/>
        </w:rPr>
        <w:t xml:space="preserve"> "services</w:t>
      </w:r>
      <w:r w:rsidR="00636764" w:rsidRPr="003F42E2">
        <w:rPr>
          <w:rFonts w:ascii="Book Antiqua" w:hAnsi="Book Antiqua" w:cs="Browallia New"/>
          <w:b/>
          <w:bCs/>
          <w:color w:val="002060"/>
          <w:sz w:val="28"/>
          <w:szCs w:val="28"/>
        </w:rPr>
        <w:t>"</w:t>
      </w:r>
      <w:r w:rsidR="001F3E5C" w:rsidRPr="003F42E2">
        <w:rPr>
          <w:rFonts w:ascii="Book Antiqua" w:hAnsi="Book Antiqua" w:cs="Browallia New"/>
          <w:b/>
          <w:bCs/>
          <w:color w:val="002060"/>
          <w:sz w:val="28"/>
          <w:szCs w:val="28"/>
        </w:rPr>
        <w:t xml:space="preserve"> </w:t>
      </w:r>
      <w:r>
        <w:rPr>
          <w:rFonts w:ascii="Book Antiqua" w:hAnsi="Book Antiqua" w:cs="Browallia New"/>
          <w:b/>
          <w:bCs/>
          <w:color w:val="002060"/>
          <w:sz w:val="28"/>
          <w:szCs w:val="28"/>
        </w:rPr>
        <w:t>a</w:t>
      </w:r>
      <w:r w:rsidR="001F3E5C" w:rsidRPr="003F42E2">
        <w:rPr>
          <w:rFonts w:ascii="Book Antiqua" w:hAnsi="Book Antiqua" w:cs="Browallia New"/>
          <w:b/>
          <w:bCs/>
          <w:color w:val="002060"/>
          <w:sz w:val="28"/>
          <w:szCs w:val="28"/>
        </w:rPr>
        <w:t xml:space="preserve"> créé 267.000 emplois, </w:t>
      </w:r>
      <w:r>
        <w:rPr>
          <w:rFonts w:ascii="Book Antiqua" w:hAnsi="Book Antiqua" w:cs="Browallia New"/>
          <w:b/>
          <w:bCs/>
          <w:color w:val="002060"/>
          <w:sz w:val="28"/>
          <w:szCs w:val="28"/>
        </w:rPr>
        <w:t xml:space="preserve">celui des </w:t>
      </w:r>
      <w:r w:rsidR="001F3E5C" w:rsidRPr="003F42E2">
        <w:rPr>
          <w:rFonts w:ascii="Book Antiqua" w:hAnsi="Book Antiqua" w:cs="Browallia New"/>
          <w:b/>
          <w:bCs/>
          <w:color w:val="002060"/>
          <w:sz w:val="28"/>
          <w:szCs w:val="28"/>
        </w:rPr>
        <w:t xml:space="preserve"> </w:t>
      </w:r>
      <w:r w:rsidR="000E2340" w:rsidRPr="003F42E2">
        <w:rPr>
          <w:rFonts w:ascii="Book Antiqua" w:hAnsi="Book Antiqua" w:cs="Browallia New"/>
          <w:b/>
          <w:bCs/>
          <w:color w:val="002060"/>
          <w:sz w:val="28"/>
          <w:szCs w:val="28"/>
        </w:rPr>
        <w:t xml:space="preserve">" </w:t>
      </w:r>
      <w:r w:rsidR="001F3E5C" w:rsidRPr="003F42E2">
        <w:rPr>
          <w:rFonts w:ascii="Book Antiqua" w:hAnsi="Book Antiqua" w:cs="Browallia New"/>
          <w:b/>
          <w:bCs/>
          <w:color w:val="002060"/>
          <w:sz w:val="28"/>
          <w:szCs w:val="28"/>
        </w:rPr>
        <w:t>BTP</w:t>
      </w:r>
      <w:r w:rsidR="000E2340" w:rsidRPr="003F42E2">
        <w:rPr>
          <w:rFonts w:ascii="Book Antiqua" w:hAnsi="Book Antiqua" w:cs="Browallia New"/>
          <w:b/>
          <w:bCs/>
          <w:color w:val="002060"/>
          <w:sz w:val="28"/>
          <w:szCs w:val="28"/>
        </w:rPr>
        <w:t xml:space="preserve">" </w:t>
      </w:r>
      <w:r w:rsidR="001F3E5C" w:rsidRPr="003F42E2">
        <w:rPr>
          <w:rFonts w:ascii="Book Antiqua" w:hAnsi="Book Antiqua" w:cs="Browallia New"/>
          <w:b/>
          <w:bCs/>
          <w:color w:val="002060"/>
          <w:sz w:val="28"/>
          <w:szCs w:val="28"/>
        </w:rPr>
        <w:t xml:space="preserve"> 24.000 et l’"industrie y compris l'artisanat" </w:t>
      </w:r>
      <w:r w:rsidR="00E91F85" w:rsidRPr="003F42E2">
        <w:rPr>
          <w:rFonts w:ascii="Book Antiqua" w:hAnsi="Book Antiqua" w:cs="Browallia New"/>
          <w:b/>
          <w:bCs/>
          <w:color w:val="002060"/>
          <w:sz w:val="28"/>
          <w:szCs w:val="28"/>
        </w:rPr>
        <w:t>17.000, alors que le secteur de</w:t>
      </w:r>
      <w:r w:rsidR="001F3E5C" w:rsidRPr="003F42E2">
        <w:rPr>
          <w:rFonts w:ascii="Book Antiqua" w:hAnsi="Book Antiqua" w:cs="Browallia New"/>
          <w:b/>
          <w:bCs/>
          <w:color w:val="002060"/>
          <w:sz w:val="28"/>
          <w:szCs w:val="28"/>
        </w:rPr>
        <w:t xml:space="preserve"> l’"agriculture, forêt et pêche" a perdu 146.000 emplois. </w:t>
      </w:r>
    </w:p>
    <w:p w:rsidR="001F3E5C" w:rsidRPr="003F42E2" w:rsidRDefault="0044402C" w:rsidP="000D0FD1">
      <w:pPr>
        <w:autoSpaceDE w:val="0"/>
        <w:autoSpaceDN w:val="0"/>
        <w:bidi w:val="0"/>
        <w:adjustRightInd w:val="0"/>
        <w:spacing w:before="120" w:after="120" w:line="276" w:lineRule="auto"/>
        <w:jc w:val="both"/>
        <w:rPr>
          <w:rFonts w:ascii="Book Antiqua" w:hAnsi="Book Antiqua" w:cs="Browallia New"/>
          <w:b/>
          <w:bCs/>
          <w:color w:val="002060"/>
          <w:sz w:val="28"/>
          <w:szCs w:val="28"/>
        </w:rPr>
      </w:pPr>
      <w:r>
        <w:rPr>
          <w:rFonts w:ascii="Book Antiqua" w:hAnsi="Book Antiqua" w:cs="Browallia New"/>
          <w:b/>
          <w:bCs/>
          <w:color w:val="002060"/>
          <w:sz w:val="28"/>
          <w:szCs w:val="28"/>
        </w:rPr>
        <w:t xml:space="preserve">Dans ce contexte, </w:t>
      </w:r>
      <w:r w:rsidR="001F3E5C" w:rsidRPr="003F42E2">
        <w:rPr>
          <w:rFonts w:ascii="Book Antiqua" w:hAnsi="Book Antiqua" w:cs="Browallia New"/>
          <w:b/>
          <w:bCs/>
          <w:color w:val="002060"/>
          <w:sz w:val="28"/>
          <w:szCs w:val="28"/>
        </w:rPr>
        <w:t xml:space="preserve">avec une baisse de 33.000 personnes en milieu urbain et une hausse de 3.000 en milieu rural, le nombre total de chômeurs a </w:t>
      </w:r>
      <w:r w:rsidR="000D0FD1">
        <w:rPr>
          <w:rFonts w:ascii="Book Antiqua" w:hAnsi="Book Antiqua" w:cs="Browallia New"/>
          <w:b/>
          <w:bCs/>
          <w:color w:val="002060"/>
          <w:sz w:val="28"/>
          <w:szCs w:val="28"/>
        </w:rPr>
        <w:t>baissé</w:t>
      </w:r>
      <w:r w:rsidR="001F3E5C" w:rsidRPr="003F42E2">
        <w:rPr>
          <w:rFonts w:ascii="Book Antiqua" w:hAnsi="Book Antiqua" w:cs="Browallia New"/>
          <w:b/>
          <w:bCs/>
          <w:color w:val="002060"/>
          <w:sz w:val="28"/>
          <w:szCs w:val="28"/>
        </w:rPr>
        <w:t xml:space="preserve"> de 30.000 personnes au niveau national</w:t>
      </w:r>
      <w:r w:rsidR="000D0FD1">
        <w:rPr>
          <w:rFonts w:ascii="Book Antiqua" w:hAnsi="Book Antiqua" w:cs="Browallia New"/>
          <w:b/>
          <w:bCs/>
          <w:color w:val="002060"/>
          <w:sz w:val="28"/>
          <w:szCs w:val="28"/>
        </w:rPr>
        <w:t xml:space="preserve">, </w:t>
      </w:r>
      <w:r w:rsidR="001F3E5C" w:rsidRPr="003F42E2">
        <w:rPr>
          <w:rFonts w:ascii="Book Antiqua" w:hAnsi="Book Antiqua" w:cs="Browallia New"/>
          <w:b/>
          <w:bCs/>
          <w:color w:val="002060"/>
          <w:sz w:val="28"/>
          <w:szCs w:val="28"/>
        </w:rPr>
        <w:t>s’établissant à 1.107.000 chômeurs.</w:t>
      </w:r>
    </w:p>
    <w:p w:rsidR="0044402C" w:rsidRDefault="001F3E5C" w:rsidP="006F74F3">
      <w:pPr>
        <w:pStyle w:val="FirstParagraph"/>
        <w:spacing w:line="276" w:lineRule="auto"/>
        <w:jc w:val="both"/>
        <w:rPr>
          <w:rFonts w:ascii="Book Antiqua" w:eastAsia="Times New Roman" w:hAnsi="Book Antiqua" w:cs="Browallia New"/>
          <w:b/>
          <w:bCs/>
          <w:noProof/>
          <w:color w:val="002060"/>
          <w:sz w:val="28"/>
          <w:szCs w:val="28"/>
          <w:lang w:val="fr-FR" w:eastAsia="fr-FR"/>
        </w:rPr>
      </w:pPr>
      <w:r w:rsidRPr="003F42E2">
        <w:rPr>
          <w:rFonts w:ascii="Book Antiqua" w:eastAsia="Times New Roman" w:hAnsi="Book Antiqua" w:cs="Browallia New"/>
          <w:b/>
          <w:bCs/>
          <w:noProof/>
          <w:color w:val="002060"/>
          <w:sz w:val="28"/>
          <w:szCs w:val="28"/>
          <w:lang w:val="fr-FR" w:eastAsia="fr-FR"/>
        </w:rPr>
        <w:t>Le t</w:t>
      </w:r>
      <w:r w:rsidR="0044402C">
        <w:rPr>
          <w:rFonts w:ascii="Book Antiqua" w:eastAsia="Times New Roman" w:hAnsi="Book Antiqua" w:cs="Browallia New"/>
          <w:b/>
          <w:bCs/>
          <w:noProof/>
          <w:color w:val="002060"/>
          <w:sz w:val="28"/>
          <w:szCs w:val="28"/>
          <w:lang w:val="fr-FR" w:eastAsia="fr-FR"/>
        </w:rPr>
        <w:t xml:space="preserve">aux de chômage est ainsi passé </w:t>
      </w:r>
      <w:r w:rsidRPr="003F42E2">
        <w:rPr>
          <w:rFonts w:ascii="Book Antiqua" w:eastAsia="Times New Roman" w:hAnsi="Book Antiqua" w:cs="Browallia New"/>
          <w:b/>
          <w:bCs/>
          <w:noProof/>
          <w:color w:val="002060"/>
          <w:sz w:val="28"/>
          <w:szCs w:val="28"/>
          <w:lang w:val="fr-FR" w:eastAsia="fr-FR"/>
        </w:rPr>
        <w:t xml:space="preserve">de 9,5% à 9,2% au niveau national ; de 13,8% à 12,9% en milieu urbain et de 3,6% à 3,7% en milieu rural. Les taux de chômage les plus élevés </w:t>
      </w:r>
      <w:r w:rsidR="006F74F3">
        <w:rPr>
          <w:rFonts w:ascii="Book Antiqua" w:eastAsia="Times New Roman" w:hAnsi="Book Antiqua" w:cs="Browallia New"/>
          <w:b/>
          <w:bCs/>
          <w:noProof/>
          <w:color w:val="002060"/>
          <w:sz w:val="28"/>
          <w:szCs w:val="28"/>
          <w:lang w:val="fr-FR" w:eastAsia="fr-FR"/>
        </w:rPr>
        <w:t>affectent avec 13,5%</w:t>
      </w:r>
      <w:r w:rsidRPr="003F42E2">
        <w:rPr>
          <w:rFonts w:ascii="Book Antiqua" w:eastAsia="Times New Roman" w:hAnsi="Book Antiqua" w:cs="Browallia New"/>
          <w:b/>
          <w:bCs/>
          <w:noProof/>
          <w:color w:val="002060"/>
          <w:sz w:val="28"/>
          <w:szCs w:val="28"/>
          <w:lang w:val="fr-FR" w:eastAsia="fr-FR"/>
        </w:rPr>
        <w:t xml:space="preserve"> </w:t>
      </w:r>
      <w:r w:rsidR="006F74F3">
        <w:rPr>
          <w:rFonts w:ascii="Book Antiqua" w:eastAsia="Times New Roman" w:hAnsi="Book Antiqua" w:cs="Browallia New"/>
          <w:b/>
          <w:bCs/>
          <w:noProof/>
          <w:color w:val="002060"/>
          <w:sz w:val="28"/>
          <w:szCs w:val="28"/>
          <w:lang w:val="fr-FR" w:eastAsia="fr-FR"/>
        </w:rPr>
        <w:t xml:space="preserve">les </w:t>
      </w:r>
      <w:r w:rsidRPr="003F42E2">
        <w:rPr>
          <w:rFonts w:ascii="Book Antiqua" w:eastAsia="Times New Roman" w:hAnsi="Book Antiqua" w:cs="Browallia New"/>
          <w:b/>
          <w:bCs/>
          <w:noProof/>
          <w:color w:val="002060"/>
          <w:sz w:val="28"/>
          <w:szCs w:val="28"/>
          <w:lang w:val="fr-FR" w:eastAsia="fr-FR"/>
        </w:rPr>
        <w:t>femmes</w:t>
      </w:r>
      <w:r w:rsidR="006F74F3">
        <w:rPr>
          <w:rFonts w:ascii="Book Antiqua" w:eastAsia="Times New Roman" w:hAnsi="Book Antiqua" w:cs="Browallia New"/>
          <w:b/>
          <w:bCs/>
          <w:noProof/>
          <w:color w:val="002060"/>
          <w:sz w:val="28"/>
          <w:szCs w:val="28"/>
          <w:lang w:val="fr-FR" w:eastAsia="fr-FR"/>
        </w:rPr>
        <w:t xml:space="preserve">, </w:t>
      </w:r>
      <w:r w:rsidR="006F74F3" w:rsidRPr="003F42E2">
        <w:rPr>
          <w:rFonts w:ascii="Book Antiqua" w:eastAsia="Times New Roman" w:hAnsi="Book Antiqua" w:cs="Browallia New"/>
          <w:b/>
          <w:bCs/>
          <w:noProof/>
          <w:color w:val="002060"/>
          <w:sz w:val="28"/>
          <w:szCs w:val="28"/>
          <w:lang w:val="fr-FR" w:eastAsia="fr-FR"/>
        </w:rPr>
        <w:t>15,7%</w:t>
      </w:r>
      <w:r w:rsidR="006F74F3">
        <w:rPr>
          <w:rFonts w:ascii="Book Antiqua" w:eastAsia="Times New Roman" w:hAnsi="Book Antiqua" w:cs="Browallia New"/>
          <w:b/>
          <w:bCs/>
          <w:noProof/>
          <w:color w:val="002060"/>
          <w:sz w:val="28"/>
          <w:szCs w:val="28"/>
          <w:lang w:val="fr-FR" w:eastAsia="fr-FR"/>
        </w:rPr>
        <w:t xml:space="preserve"> </w:t>
      </w:r>
      <w:r w:rsidRPr="003F42E2">
        <w:rPr>
          <w:rFonts w:ascii="Book Antiqua" w:eastAsia="Times New Roman" w:hAnsi="Book Antiqua" w:cs="Browallia New"/>
          <w:b/>
          <w:bCs/>
          <w:noProof/>
          <w:color w:val="002060"/>
          <w:sz w:val="28"/>
          <w:szCs w:val="28"/>
          <w:lang w:val="fr-FR" w:eastAsia="fr-FR"/>
        </w:rPr>
        <w:t xml:space="preserve"> </w:t>
      </w:r>
      <w:r w:rsidR="006F74F3">
        <w:rPr>
          <w:rFonts w:ascii="Book Antiqua" w:eastAsia="Times New Roman" w:hAnsi="Book Antiqua" w:cs="Browallia New"/>
          <w:b/>
          <w:bCs/>
          <w:noProof/>
          <w:color w:val="002060"/>
          <w:sz w:val="28"/>
          <w:szCs w:val="28"/>
          <w:lang w:val="fr-FR" w:eastAsia="fr-FR"/>
        </w:rPr>
        <w:t xml:space="preserve">les diplômés et </w:t>
      </w:r>
      <w:r w:rsidR="006F74F3" w:rsidRPr="003F42E2">
        <w:rPr>
          <w:rFonts w:ascii="Book Antiqua" w:eastAsia="Times New Roman" w:hAnsi="Book Antiqua" w:cs="Browallia New"/>
          <w:b/>
          <w:bCs/>
          <w:noProof/>
          <w:color w:val="002060"/>
          <w:sz w:val="28"/>
          <w:szCs w:val="28"/>
          <w:lang w:val="fr-FR" w:eastAsia="fr-FR"/>
        </w:rPr>
        <w:t>24,9%</w:t>
      </w:r>
      <w:r w:rsidR="006F74F3">
        <w:rPr>
          <w:rFonts w:ascii="Book Antiqua" w:eastAsia="Times New Roman" w:hAnsi="Book Antiqua" w:cs="Browallia New"/>
          <w:b/>
          <w:bCs/>
          <w:noProof/>
          <w:color w:val="002060"/>
          <w:sz w:val="28"/>
          <w:szCs w:val="28"/>
          <w:lang w:val="fr-FR" w:eastAsia="fr-FR"/>
        </w:rPr>
        <w:t xml:space="preserve"> </w:t>
      </w:r>
      <w:r w:rsidRPr="003F42E2">
        <w:rPr>
          <w:rFonts w:ascii="Book Antiqua" w:eastAsia="Times New Roman" w:hAnsi="Book Antiqua" w:cs="Browallia New"/>
          <w:b/>
          <w:bCs/>
          <w:noProof/>
          <w:color w:val="002060"/>
          <w:sz w:val="28"/>
          <w:szCs w:val="28"/>
          <w:lang w:val="fr-FR" w:eastAsia="fr-FR"/>
        </w:rPr>
        <w:t>les jeunes</w:t>
      </w:r>
      <w:r w:rsidR="006F74F3">
        <w:rPr>
          <w:rFonts w:ascii="Book Antiqua" w:eastAsia="Times New Roman" w:hAnsi="Book Antiqua" w:cs="Browallia New"/>
          <w:b/>
          <w:bCs/>
          <w:noProof/>
          <w:color w:val="002060"/>
          <w:sz w:val="28"/>
          <w:szCs w:val="28"/>
          <w:lang w:val="fr-FR" w:eastAsia="fr-FR"/>
        </w:rPr>
        <w:t xml:space="preserve"> âgés de 15 à 24 ans.</w:t>
      </w:r>
    </w:p>
    <w:p w:rsidR="00E2789F" w:rsidRPr="00E2789F" w:rsidRDefault="00E2789F" w:rsidP="006F74F3">
      <w:pPr>
        <w:autoSpaceDE w:val="0"/>
        <w:autoSpaceDN w:val="0"/>
        <w:bidi w:val="0"/>
        <w:adjustRightInd w:val="0"/>
        <w:spacing w:before="240" w:line="312" w:lineRule="auto"/>
        <w:jc w:val="both"/>
        <w:rPr>
          <w:rFonts w:ascii="Book Antiqua" w:hAnsi="Book Antiqua" w:cs="Browallia New"/>
          <w:b/>
          <w:bCs/>
          <w:color w:val="002060"/>
          <w:sz w:val="28"/>
          <w:szCs w:val="28"/>
        </w:rPr>
      </w:pPr>
      <w:r w:rsidRPr="00E2789F">
        <w:rPr>
          <w:rFonts w:ascii="Book Antiqua" w:hAnsi="Book Antiqua" w:cs="Browallia New"/>
          <w:b/>
          <w:bCs/>
          <w:color w:val="002060"/>
          <w:sz w:val="28"/>
          <w:szCs w:val="28"/>
        </w:rPr>
        <w:t xml:space="preserve">La population active occupée en situation de sous-emploi lié au nombre d’heures travaillées a atteint 385.000 personnes au niveau national, avec un taux de 3,5%. La population en situation de sous-emploi lié à l’insuffisance du revenu ou à l’inadéquation entre la formation et l’emploi exercé est de 616.000 personnes (5,7%).  </w:t>
      </w:r>
      <w:r w:rsidR="000D0FD1">
        <w:rPr>
          <w:rFonts w:ascii="Book Antiqua" w:hAnsi="Book Antiqua" w:cs="Browallia New"/>
          <w:b/>
          <w:bCs/>
          <w:color w:val="002060"/>
          <w:sz w:val="28"/>
          <w:szCs w:val="28"/>
        </w:rPr>
        <w:t>Au</w:t>
      </w:r>
      <w:r w:rsidRPr="00E2789F">
        <w:rPr>
          <w:rFonts w:ascii="Book Antiqua" w:hAnsi="Book Antiqua" w:cs="Browallia New"/>
          <w:b/>
          <w:bCs/>
          <w:color w:val="002060"/>
          <w:sz w:val="28"/>
          <w:szCs w:val="28"/>
        </w:rPr>
        <w:t xml:space="preserve"> </w:t>
      </w:r>
      <w:r w:rsidR="000D0FD1">
        <w:rPr>
          <w:rFonts w:ascii="Book Antiqua" w:hAnsi="Book Antiqua" w:cs="Browallia New"/>
          <w:b/>
          <w:bCs/>
          <w:color w:val="002060"/>
          <w:sz w:val="28"/>
          <w:szCs w:val="28"/>
        </w:rPr>
        <w:t>total</w:t>
      </w:r>
      <w:r w:rsidRPr="00E2789F">
        <w:rPr>
          <w:rFonts w:ascii="Book Antiqua" w:hAnsi="Book Antiqua" w:cs="Browallia New"/>
          <w:b/>
          <w:bCs/>
          <w:color w:val="002060"/>
          <w:sz w:val="28"/>
          <w:szCs w:val="28"/>
        </w:rPr>
        <w:t>,</w:t>
      </w:r>
      <w:r w:rsidR="006F74F3">
        <w:rPr>
          <w:rFonts w:ascii="Book Antiqua" w:hAnsi="Book Antiqua" w:cs="Browallia New"/>
          <w:b/>
          <w:bCs/>
          <w:color w:val="002060"/>
          <w:sz w:val="28"/>
          <w:szCs w:val="28"/>
        </w:rPr>
        <w:t xml:space="preserve"> </w:t>
      </w:r>
      <w:r w:rsidR="006F74F3" w:rsidRPr="00E2789F">
        <w:rPr>
          <w:rFonts w:ascii="Book Antiqua" w:hAnsi="Book Antiqua" w:cs="Browallia New"/>
          <w:b/>
          <w:bCs/>
          <w:color w:val="002060"/>
          <w:sz w:val="28"/>
          <w:szCs w:val="28"/>
        </w:rPr>
        <w:t>1.001.000 personnes</w:t>
      </w:r>
      <w:r w:rsidR="006F74F3">
        <w:rPr>
          <w:rFonts w:ascii="Book Antiqua" w:hAnsi="Book Antiqua" w:cs="Browallia New"/>
          <w:b/>
          <w:bCs/>
          <w:color w:val="002060"/>
          <w:sz w:val="28"/>
          <w:szCs w:val="28"/>
        </w:rPr>
        <w:t xml:space="preserve"> souffrent de </w:t>
      </w:r>
      <w:r w:rsidR="000D0FD1">
        <w:rPr>
          <w:rFonts w:ascii="Book Antiqua" w:hAnsi="Book Antiqua" w:cs="Browallia New"/>
          <w:b/>
          <w:bCs/>
          <w:color w:val="002060"/>
          <w:sz w:val="28"/>
          <w:szCs w:val="28"/>
        </w:rPr>
        <w:t>sous-emploi aux normes du BIT</w:t>
      </w:r>
      <w:r w:rsidR="006F74F3">
        <w:rPr>
          <w:rFonts w:ascii="Book Antiqua" w:hAnsi="Book Antiqua" w:cs="Browallia New"/>
          <w:b/>
          <w:bCs/>
          <w:color w:val="002060"/>
          <w:sz w:val="28"/>
          <w:szCs w:val="28"/>
        </w:rPr>
        <w:t>.</w:t>
      </w:r>
      <w:r w:rsidRPr="00E2789F">
        <w:rPr>
          <w:rFonts w:ascii="Book Antiqua" w:hAnsi="Book Antiqua" w:cs="Browallia New"/>
          <w:b/>
          <w:bCs/>
          <w:color w:val="002060"/>
          <w:sz w:val="28"/>
          <w:szCs w:val="28"/>
        </w:rPr>
        <w:t xml:space="preserve"> Le taux global de sous-emploi est</w:t>
      </w:r>
      <w:r w:rsidR="000D0FD1">
        <w:rPr>
          <w:rFonts w:ascii="Book Antiqua" w:hAnsi="Book Antiqua" w:cs="Browallia New"/>
          <w:b/>
          <w:bCs/>
          <w:color w:val="002060"/>
          <w:sz w:val="28"/>
          <w:szCs w:val="28"/>
        </w:rPr>
        <w:t xml:space="preserve"> ainsi</w:t>
      </w:r>
      <w:r w:rsidRPr="00E2789F">
        <w:rPr>
          <w:rFonts w:ascii="Book Antiqua" w:hAnsi="Book Antiqua" w:cs="Browallia New"/>
          <w:b/>
          <w:bCs/>
          <w:color w:val="002060"/>
          <w:sz w:val="28"/>
          <w:szCs w:val="28"/>
        </w:rPr>
        <w:t xml:space="preserve"> passé de 9,3% à 9,2%, au niveau national, de 8,4% à 8,3% en milieu urbain et de 10,6% à 10,4% en milieu rural.</w:t>
      </w:r>
    </w:p>
    <w:p w:rsidR="006F74F3" w:rsidRDefault="006F74F3">
      <w:pPr>
        <w:bidi w:val="0"/>
        <w:spacing w:after="160" w:line="259" w:lineRule="auto"/>
        <w:rPr>
          <w:rFonts w:ascii="Book Antiqua" w:hAnsi="Book Antiqua" w:cs="Browallia New"/>
          <w:b/>
          <w:bCs/>
          <w:noProof w:val="0"/>
          <w:color w:val="002060"/>
          <w:sz w:val="28"/>
          <w:szCs w:val="28"/>
        </w:rPr>
      </w:pPr>
      <w:r>
        <w:rPr>
          <w:rFonts w:ascii="Book Antiqua" w:hAnsi="Book Antiqua" w:cs="Browallia New"/>
          <w:b/>
          <w:bCs/>
          <w:noProof w:val="0"/>
          <w:color w:val="002060"/>
          <w:sz w:val="28"/>
          <w:szCs w:val="28"/>
        </w:rPr>
        <w:br w:type="page"/>
      </w:r>
    </w:p>
    <w:p w:rsidR="001F3E5C" w:rsidRDefault="001F3E5C" w:rsidP="007A5D93">
      <w:pPr>
        <w:bidi w:val="0"/>
        <w:spacing w:after="160" w:line="259" w:lineRule="auto"/>
        <w:jc w:val="both"/>
        <w:rPr>
          <w:rFonts w:ascii="Book Antiqua" w:hAnsi="Book Antiqua" w:cs="Browallia New"/>
          <w:b/>
          <w:bCs/>
          <w:noProof w:val="0"/>
          <w:color w:val="002060"/>
          <w:sz w:val="28"/>
          <w:szCs w:val="28"/>
        </w:rPr>
      </w:pPr>
      <w:r w:rsidRPr="003F42E2">
        <w:rPr>
          <w:rFonts w:ascii="Book Antiqua" w:hAnsi="Book Antiqua" w:cs="Browallia New"/>
          <w:b/>
          <w:bCs/>
          <w:noProof w:val="0"/>
          <w:color w:val="002060"/>
          <w:sz w:val="28"/>
          <w:szCs w:val="28"/>
        </w:rPr>
        <w:lastRenderedPageBreak/>
        <w:t xml:space="preserve">Création nette d’emplois et </w:t>
      </w:r>
      <w:r w:rsidR="007C376F" w:rsidRPr="003F42E2">
        <w:rPr>
          <w:rFonts w:ascii="Book Antiqua" w:hAnsi="Book Antiqua" w:cs="Browallia New"/>
          <w:b/>
          <w:bCs/>
          <w:noProof w:val="0"/>
          <w:color w:val="002060"/>
          <w:sz w:val="28"/>
          <w:szCs w:val="28"/>
        </w:rPr>
        <w:t>une légère baisse des taux d’activité et d’emploi</w:t>
      </w:r>
    </w:p>
    <w:p w:rsidR="001F3E5C" w:rsidRPr="003F42E2" w:rsidRDefault="001F3E5C" w:rsidP="000D0FD1">
      <w:pPr>
        <w:autoSpaceDE w:val="0"/>
        <w:autoSpaceDN w:val="0"/>
        <w:bidi w:val="0"/>
        <w:adjustRightInd w:val="0"/>
        <w:spacing w:after="120" w:line="276" w:lineRule="auto"/>
        <w:jc w:val="both"/>
        <w:rPr>
          <w:rFonts w:ascii="Book Antiqua" w:hAnsi="Book Antiqua" w:cs="Browallia New"/>
          <w:sz w:val="24"/>
          <w:szCs w:val="24"/>
        </w:rPr>
      </w:pPr>
      <w:r w:rsidRPr="003F42E2">
        <w:rPr>
          <w:rFonts w:ascii="Book Antiqua" w:hAnsi="Book Antiqua" w:cs="Browallia New"/>
          <w:sz w:val="24"/>
          <w:szCs w:val="24"/>
        </w:rPr>
        <w:t xml:space="preserve">En 2019, la situation du marché de travail a été marquée par la persistance </w:t>
      </w:r>
      <w:r w:rsidR="000D0FD1">
        <w:rPr>
          <w:rFonts w:ascii="Book Antiqua" w:hAnsi="Book Antiqua" w:cs="Browallia New"/>
          <w:sz w:val="24"/>
          <w:szCs w:val="24"/>
        </w:rPr>
        <w:t>de</w:t>
      </w:r>
      <w:r w:rsidRPr="003F42E2">
        <w:rPr>
          <w:rFonts w:ascii="Book Antiqua" w:hAnsi="Book Antiqua" w:cs="Browallia New"/>
          <w:sz w:val="24"/>
          <w:szCs w:val="24"/>
        </w:rPr>
        <w:t xml:space="preserve"> la baisse des taux d'activité et d'emploi. </w:t>
      </w:r>
      <w:r w:rsidRPr="00C4352C">
        <w:rPr>
          <w:rFonts w:ascii="Book Antiqua" w:hAnsi="Book Antiqua" w:cs="Browallia New"/>
          <w:sz w:val="24"/>
          <w:szCs w:val="24"/>
        </w:rPr>
        <w:t>La population en âge d'activité (15 ans et plus) s'est accrue, par rapport à 2018</w:t>
      </w:r>
      <w:r w:rsidR="00781754" w:rsidRPr="00C4352C">
        <w:rPr>
          <w:rFonts w:ascii="Book Antiqua" w:hAnsi="Book Antiqua" w:cs="Browallia New"/>
          <w:sz w:val="24"/>
          <w:szCs w:val="24"/>
        </w:rPr>
        <w:t>, à un rythme plus important (+1,6</w:t>
      </w:r>
      <w:r w:rsidRPr="00C4352C">
        <w:rPr>
          <w:rFonts w:ascii="Book Antiqua" w:hAnsi="Book Antiqua" w:cs="Browallia New"/>
          <w:sz w:val="24"/>
          <w:szCs w:val="24"/>
        </w:rPr>
        <w:t>%) que celui de la population acti</w:t>
      </w:r>
      <w:r w:rsidR="00781754" w:rsidRPr="00C4352C">
        <w:rPr>
          <w:rFonts w:ascii="Book Antiqua" w:hAnsi="Book Antiqua" w:cs="Browallia New"/>
          <w:sz w:val="24"/>
          <w:szCs w:val="24"/>
        </w:rPr>
        <w:t>ve (+1,1</w:t>
      </w:r>
      <w:r w:rsidRPr="00C4352C">
        <w:rPr>
          <w:rFonts w:ascii="Book Antiqua" w:hAnsi="Book Antiqua" w:cs="Browallia New"/>
          <w:sz w:val="24"/>
          <w:szCs w:val="24"/>
        </w:rPr>
        <w:t>%).</w:t>
      </w:r>
      <w:r w:rsidRPr="003F42E2">
        <w:rPr>
          <w:rFonts w:ascii="Book Antiqua" w:hAnsi="Book Antiqua" w:cs="Browallia New"/>
          <w:sz w:val="24"/>
          <w:szCs w:val="24"/>
        </w:rPr>
        <w:t xml:space="preserve"> Le taux d'activité a, ainsi, reculé de 46% à 45,8% (-0,2 point) entre 2018 et 2019. Il a augmenté de 42% à 42,3% en milieu urbain (+ 0,3 point) et </w:t>
      </w:r>
      <w:r w:rsidR="00781754" w:rsidRPr="003F42E2">
        <w:rPr>
          <w:rFonts w:ascii="Book Antiqua" w:hAnsi="Book Antiqua" w:cs="Browallia New"/>
          <w:sz w:val="24"/>
          <w:szCs w:val="24"/>
        </w:rPr>
        <w:t xml:space="preserve">a baissé </w:t>
      </w:r>
      <w:r w:rsidRPr="003F42E2">
        <w:rPr>
          <w:rFonts w:ascii="Book Antiqua" w:hAnsi="Book Antiqua" w:cs="Browallia New"/>
          <w:sz w:val="24"/>
          <w:szCs w:val="24"/>
        </w:rPr>
        <w:t>de 53,2% à 52,2% en milieu rural (-1 point). Entre hommes et femmes, l'écart des taux d'activité est de 49,5 points (respectivement 71% et 21,5%).</w:t>
      </w:r>
    </w:p>
    <w:p w:rsidR="001F3E5C" w:rsidRPr="003F42E2" w:rsidRDefault="00E2789F" w:rsidP="00E2789F">
      <w:pPr>
        <w:autoSpaceDE w:val="0"/>
        <w:autoSpaceDN w:val="0"/>
        <w:bidi w:val="0"/>
        <w:adjustRightInd w:val="0"/>
        <w:spacing w:after="120" w:line="276" w:lineRule="auto"/>
        <w:jc w:val="both"/>
        <w:rPr>
          <w:rFonts w:ascii="Book Antiqua" w:hAnsi="Book Antiqua" w:cs="Browallia New"/>
          <w:sz w:val="24"/>
          <w:szCs w:val="24"/>
        </w:rPr>
      </w:pPr>
      <w:r>
        <w:rPr>
          <w:rFonts w:ascii="Book Antiqua" w:hAnsi="Book Antiqua" w:cs="Browallia New"/>
          <w:sz w:val="24"/>
          <w:szCs w:val="24"/>
        </w:rPr>
        <w:t>Avec un accroissement de 1,5%, l</w:t>
      </w:r>
      <w:r w:rsidR="001F3E5C" w:rsidRPr="003F42E2">
        <w:rPr>
          <w:rFonts w:ascii="Book Antiqua" w:hAnsi="Book Antiqua" w:cs="Browallia New"/>
          <w:sz w:val="24"/>
          <w:szCs w:val="24"/>
        </w:rPr>
        <w:t>e volume de l'emploi s'est accru de 165</w:t>
      </w:r>
      <w:r w:rsidR="00A0301A" w:rsidRPr="003F42E2">
        <w:rPr>
          <w:rFonts w:ascii="Book Antiqua" w:hAnsi="Book Antiqua" w:cs="Browallia New"/>
          <w:sz w:val="24"/>
          <w:szCs w:val="24"/>
        </w:rPr>
        <w:t>.</w:t>
      </w:r>
      <w:r w:rsidR="00C32BFC">
        <w:rPr>
          <w:rFonts w:ascii="Book Antiqua" w:hAnsi="Book Antiqua" w:cs="Browallia New"/>
          <w:sz w:val="24"/>
          <w:szCs w:val="24"/>
        </w:rPr>
        <w:t>000 postes, résultat d’une hausse</w:t>
      </w:r>
      <w:r w:rsidR="00781754" w:rsidRPr="003F42E2">
        <w:rPr>
          <w:rFonts w:ascii="Book Antiqua" w:hAnsi="Book Antiqua" w:cs="Browallia New"/>
          <w:sz w:val="24"/>
          <w:szCs w:val="24"/>
        </w:rPr>
        <w:t xml:space="preserve"> de </w:t>
      </w:r>
      <w:r w:rsidR="001F3E5C" w:rsidRPr="003F42E2">
        <w:rPr>
          <w:rFonts w:ascii="Book Antiqua" w:hAnsi="Book Antiqua" w:cs="Browallia New"/>
          <w:sz w:val="24"/>
          <w:szCs w:val="24"/>
        </w:rPr>
        <w:t>25</w:t>
      </w:r>
      <w:r w:rsidR="00A0301A" w:rsidRPr="003F42E2">
        <w:rPr>
          <w:rFonts w:ascii="Book Antiqua" w:hAnsi="Book Antiqua" w:cs="Browallia New"/>
          <w:sz w:val="24"/>
          <w:szCs w:val="24"/>
        </w:rPr>
        <w:t>0.</w:t>
      </w:r>
      <w:r w:rsidR="001F3E5C" w:rsidRPr="003F42E2">
        <w:rPr>
          <w:rFonts w:ascii="Book Antiqua" w:hAnsi="Book Antiqua" w:cs="Browallia New"/>
          <w:sz w:val="24"/>
          <w:szCs w:val="24"/>
        </w:rPr>
        <w:t xml:space="preserve">000 en milieu urbain et </w:t>
      </w:r>
      <w:r w:rsidR="00C32BFC">
        <w:rPr>
          <w:rFonts w:ascii="Book Antiqua" w:hAnsi="Book Antiqua" w:cs="Browallia New"/>
          <w:sz w:val="24"/>
          <w:szCs w:val="24"/>
        </w:rPr>
        <w:t xml:space="preserve">d’une </w:t>
      </w:r>
      <w:r w:rsidR="00781754" w:rsidRPr="003F42E2">
        <w:rPr>
          <w:rFonts w:ascii="Book Antiqua" w:hAnsi="Book Antiqua" w:cs="Browallia New"/>
          <w:sz w:val="24"/>
          <w:szCs w:val="24"/>
        </w:rPr>
        <w:t xml:space="preserve">baisse de </w:t>
      </w:r>
      <w:r w:rsidR="001F3E5C" w:rsidRPr="003F42E2">
        <w:rPr>
          <w:rFonts w:ascii="Book Antiqua" w:hAnsi="Book Antiqua" w:cs="Browallia New"/>
          <w:sz w:val="24"/>
          <w:szCs w:val="24"/>
        </w:rPr>
        <w:t>8</w:t>
      </w:r>
      <w:r w:rsidR="00A0301A" w:rsidRPr="003F42E2">
        <w:rPr>
          <w:rFonts w:ascii="Book Antiqua" w:hAnsi="Book Antiqua" w:cs="Browallia New"/>
          <w:sz w:val="24"/>
          <w:szCs w:val="24"/>
        </w:rPr>
        <w:t>5</w:t>
      </w:r>
      <w:r w:rsidR="009C7C27">
        <w:rPr>
          <w:rFonts w:ascii="Book Antiqua" w:hAnsi="Book Antiqua" w:cs="Browallia New"/>
          <w:sz w:val="24"/>
          <w:szCs w:val="24"/>
        </w:rPr>
        <w:t>.</w:t>
      </w:r>
      <w:r w:rsidR="001F3E5C" w:rsidRPr="003F42E2">
        <w:rPr>
          <w:rFonts w:ascii="Book Antiqua" w:hAnsi="Book Antiqua" w:cs="Browallia New"/>
          <w:sz w:val="24"/>
          <w:szCs w:val="24"/>
        </w:rPr>
        <w:t>000 en milieu rural, contre une création nette de 111</w:t>
      </w:r>
      <w:r w:rsidR="009C7956" w:rsidRPr="003F42E2">
        <w:rPr>
          <w:rFonts w:ascii="Book Antiqua" w:hAnsi="Book Antiqua" w:cs="Browallia New"/>
          <w:sz w:val="24"/>
          <w:szCs w:val="24"/>
        </w:rPr>
        <w:t>.</w:t>
      </w:r>
      <w:r w:rsidR="001F3E5C" w:rsidRPr="003F42E2">
        <w:rPr>
          <w:rFonts w:ascii="Book Antiqua" w:hAnsi="Book Antiqua" w:cs="Browallia New"/>
          <w:sz w:val="24"/>
          <w:szCs w:val="24"/>
        </w:rPr>
        <w:t xml:space="preserve">000 postes une année auparavant. </w:t>
      </w:r>
    </w:p>
    <w:p w:rsidR="001F3E5C" w:rsidRPr="003F42E2" w:rsidRDefault="001F3E5C" w:rsidP="000D0FD1">
      <w:pPr>
        <w:autoSpaceDE w:val="0"/>
        <w:autoSpaceDN w:val="0"/>
        <w:bidi w:val="0"/>
        <w:adjustRightInd w:val="0"/>
        <w:spacing w:after="120" w:line="276" w:lineRule="auto"/>
        <w:jc w:val="both"/>
        <w:rPr>
          <w:rFonts w:ascii="Book Antiqua" w:hAnsi="Book Antiqua" w:cs="Browallia New"/>
          <w:sz w:val="24"/>
          <w:szCs w:val="24"/>
        </w:rPr>
      </w:pPr>
      <w:r w:rsidRPr="003F42E2">
        <w:rPr>
          <w:rFonts w:ascii="Book Antiqua" w:hAnsi="Book Antiqua" w:cs="Browallia New"/>
          <w:sz w:val="24"/>
          <w:szCs w:val="24"/>
        </w:rPr>
        <w:t>Selon le statut d'emploi, 234</w:t>
      </w:r>
      <w:r w:rsidR="00A0301A" w:rsidRPr="003F42E2">
        <w:rPr>
          <w:rFonts w:ascii="Book Antiqua" w:hAnsi="Book Antiqua" w:cs="Browallia New"/>
          <w:sz w:val="24"/>
          <w:szCs w:val="24"/>
        </w:rPr>
        <w:t>.</w:t>
      </w:r>
      <w:r w:rsidRPr="003F42E2">
        <w:rPr>
          <w:rFonts w:ascii="Book Antiqua" w:hAnsi="Book Antiqua" w:cs="Browallia New"/>
          <w:sz w:val="24"/>
          <w:szCs w:val="24"/>
        </w:rPr>
        <w:t xml:space="preserve">000 postes d'emploi rémunéré ont été créés </w:t>
      </w:r>
      <w:r w:rsidR="00C32BFC">
        <w:rPr>
          <w:rFonts w:ascii="Book Antiqua" w:hAnsi="Book Antiqua" w:cs="Browallia New"/>
          <w:sz w:val="24"/>
          <w:szCs w:val="24"/>
        </w:rPr>
        <w:t>entre 2018 et 2019</w:t>
      </w:r>
      <w:r w:rsidRPr="003F42E2">
        <w:rPr>
          <w:rFonts w:ascii="Book Antiqua" w:hAnsi="Book Antiqua" w:cs="Browallia New"/>
          <w:sz w:val="24"/>
          <w:szCs w:val="24"/>
        </w:rPr>
        <w:t>, 233</w:t>
      </w:r>
      <w:r w:rsidR="00A0301A" w:rsidRPr="003F42E2">
        <w:rPr>
          <w:rFonts w:ascii="Book Antiqua" w:hAnsi="Book Antiqua" w:cs="Browallia New"/>
          <w:sz w:val="24"/>
          <w:szCs w:val="24"/>
        </w:rPr>
        <w:t>.</w:t>
      </w:r>
      <w:r w:rsidRPr="003F42E2">
        <w:rPr>
          <w:rFonts w:ascii="Book Antiqua" w:hAnsi="Book Antiqua" w:cs="Browallia New"/>
          <w:sz w:val="24"/>
          <w:szCs w:val="24"/>
        </w:rPr>
        <w:t>000 en milieu urbain et 1</w:t>
      </w:r>
      <w:r w:rsidR="00A0301A" w:rsidRPr="003F42E2">
        <w:rPr>
          <w:rFonts w:ascii="Book Antiqua" w:hAnsi="Book Antiqua" w:cs="Browallia New"/>
          <w:sz w:val="24"/>
          <w:szCs w:val="24"/>
        </w:rPr>
        <w:t>.</w:t>
      </w:r>
      <w:r w:rsidRPr="003F42E2">
        <w:rPr>
          <w:rFonts w:ascii="Book Antiqua" w:hAnsi="Book Antiqua" w:cs="Browallia New"/>
          <w:sz w:val="24"/>
          <w:szCs w:val="24"/>
        </w:rPr>
        <w:t>000 en milieu rural</w:t>
      </w:r>
      <w:r w:rsidR="003B6E53">
        <w:rPr>
          <w:rFonts w:ascii="Book Antiqua" w:hAnsi="Book Antiqua" w:cs="Browallia New"/>
          <w:sz w:val="24"/>
          <w:szCs w:val="24"/>
        </w:rPr>
        <w:t xml:space="preserve">, </w:t>
      </w:r>
      <w:r w:rsidR="003B6E53" w:rsidRPr="003B6E53">
        <w:rPr>
          <w:rFonts w:ascii="Book Antiqua" w:hAnsi="Book Antiqua" w:cs="Browallia New"/>
          <w:sz w:val="24"/>
          <w:szCs w:val="24"/>
        </w:rPr>
        <w:t>contre une création 173.000 entre 2017 et 2018</w:t>
      </w:r>
      <w:r w:rsidRPr="003F42E2">
        <w:rPr>
          <w:rFonts w:ascii="Book Antiqua" w:hAnsi="Book Antiqua" w:cs="Browallia New"/>
          <w:sz w:val="24"/>
          <w:szCs w:val="24"/>
        </w:rPr>
        <w:t xml:space="preserve">. L'emploi non rémunéré, </w:t>
      </w:r>
      <w:r w:rsidR="00C32BFC">
        <w:rPr>
          <w:rFonts w:ascii="Book Antiqua" w:hAnsi="Book Antiqua" w:cs="Browallia New"/>
          <w:sz w:val="24"/>
          <w:szCs w:val="24"/>
        </w:rPr>
        <w:t>constitué de</w:t>
      </w:r>
      <w:r w:rsidRPr="003F42E2">
        <w:rPr>
          <w:rFonts w:ascii="Book Antiqua" w:hAnsi="Book Antiqua" w:cs="Browallia New"/>
          <w:sz w:val="24"/>
          <w:szCs w:val="24"/>
        </w:rPr>
        <w:t xml:space="preserve"> 98% d'aides familiales, a en revanche enregistré une baisse de </w:t>
      </w:r>
      <w:r w:rsidR="00781754" w:rsidRPr="003F42E2">
        <w:rPr>
          <w:rFonts w:ascii="Book Antiqua" w:hAnsi="Book Antiqua" w:cs="Browallia New"/>
          <w:sz w:val="24"/>
          <w:szCs w:val="24"/>
        </w:rPr>
        <w:t>69</w:t>
      </w:r>
      <w:r w:rsidR="00A0301A" w:rsidRPr="003F42E2">
        <w:rPr>
          <w:rFonts w:ascii="Book Antiqua" w:hAnsi="Book Antiqua" w:cs="Browallia New"/>
          <w:sz w:val="24"/>
          <w:szCs w:val="24"/>
        </w:rPr>
        <w:t>.</w:t>
      </w:r>
      <w:r w:rsidRPr="003F42E2">
        <w:rPr>
          <w:rFonts w:ascii="Book Antiqua" w:hAnsi="Book Antiqua" w:cs="Browallia New"/>
          <w:sz w:val="24"/>
          <w:szCs w:val="24"/>
        </w:rPr>
        <w:t>000 postes, résultant d'une création de 17</w:t>
      </w:r>
      <w:r w:rsidR="00A0301A" w:rsidRPr="003F42E2">
        <w:rPr>
          <w:rFonts w:ascii="Book Antiqua" w:hAnsi="Book Antiqua" w:cs="Browallia New"/>
          <w:sz w:val="24"/>
          <w:szCs w:val="24"/>
        </w:rPr>
        <w:t>.</w:t>
      </w:r>
      <w:r w:rsidRPr="003F42E2">
        <w:rPr>
          <w:rFonts w:ascii="Book Antiqua" w:hAnsi="Book Antiqua" w:cs="Browallia New"/>
          <w:sz w:val="24"/>
          <w:szCs w:val="24"/>
        </w:rPr>
        <w:t>000 en zones urbaines et d'une perte de 86</w:t>
      </w:r>
      <w:r w:rsidR="00A0301A" w:rsidRPr="003F42E2">
        <w:rPr>
          <w:rFonts w:ascii="Book Antiqua" w:hAnsi="Book Antiqua" w:cs="Browallia New"/>
          <w:sz w:val="24"/>
          <w:szCs w:val="24"/>
        </w:rPr>
        <w:t>.</w:t>
      </w:r>
      <w:r w:rsidR="003B6E53">
        <w:rPr>
          <w:rFonts w:ascii="Book Antiqua" w:hAnsi="Book Antiqua" w:cs="Browallia New"/>
          <w:sz w:val="24"/>
          <w:szCs w:val="24"/>
        </w:rPr>
        <w:t xml:space="preserve">000 en zones rurales, </w:t>
      </w:r>
      <w:r w:rsidR="000D0FD1">
        <w:rPr>
          <w:rFonts w:ascii="Book Antiqua" w:hAnsi="Book Antiqua" w:cs="Browallia New"/>
          <w:sz w:val="24"/>
          <w:szCs w:val="24"/>
        </w:rPr>
        <w:t>où elle était de</w:t>
      </w:r>
      <w:r w:rsidR="003B6E53" w:rsidRPr="003B6E53">
        <w:rPr>
          <w:rFonts w:ascii="Book Antiqua" w:hAnsi="Book Antiqua" w:cs="Browallia New"/>
          <w:sz w:val="24"/>
          <w:szCs w:val="24"/>
        </w:rPr>
        <w:t xml:space="preserve"> 63.000 une année auparvant.</w:t>
      </w:r>
    </w:p>
    <w:p w:rsidR="003F42E2" w:rsidRPr="003F42E2" w:rsidRDefault="00C32BFC" w:rsidP="003B6E53">
      <w:pPr>
        <w:autoSpaceDE w:val="0"/>
        <w:autoSpaceDN w:val="0"/>
        <w:bidi w:val="0"/>
        <w:adjustRightInd w:val="0"/>
        <w:spacing w:after="120" w:line="276" w:lineRule="auto"/>
        <w:jc w:val="both"/>
        <w:rPr>
          <w:rFonts w:ascii="Book Antiqua" w:hAnsi="Book Antiqua" w:cs="Browallia New"/>
          <w:sz w:val="24"/>
          <w:szCs w:val="24"/>
        </w:rPr>
      </w:pPr>
      <w:r>
        <w:rPr>
          <w:rFonts w:ascii="Book Antiqua" w:hAnsi="Book Antiqua" w:cs="Browallia New"/>
          <w:sz w:val="24"/>
          <w:szCs w:val="24"/>
        </w:rPr>
        <w:t>L</w:t>
      </w:r>
      <w:r w:rsidR="001F3E5C" w:rsidRPr="003F42E2">
        <w:rPr>
          <w:rFonts w:ascii="Book Antiqua" w:hAnsi="Book Antiqua" w:cs="Browallia New"/>
          <w:sz w:val="24"/>
          <w:szCs w:val="24"/>
        </w:rPr>
        <w:t xml:space="preserve">e taux d'emploi a baissé de 41,7% à 41,6% (-0,1 point). </w:t>
      </w:r>
      <w:r>
        <w:rPr>
          <w:rFonts w:ascii="Book Antiqua" w:hAnsi="Book Antiqua" w:cs="Browallia New"/>
          <w:sz w:val="24"/>
          <w:szCs w:val="24"/>
        </w:rPr>
        <w:t xml:space="preserve">Il </w:t>
      </w:r>
      <w:r w:rsidR="001F3E5C" w:rsidRPr="003F42E2">
        <w:rPr>
          <w:rFonts w:ascii="Book Antiqua" w:hAnsi="Book Antiqua" w:cs="Browallia New"/>
          <w:sz w:val="24"/>
          <w:szCs w:val="24"/>
        </w:rPr>
        <w:t xml:space="preserve">a </w:t>
      </w:r>
      <w:r>
        <w:rPr>
          <w:rFonts w:ascii="Book Antiqua" w:hAnsi="Book Antiqua" w:cs="Browallia New"/>
          <w:sz w:val="24"/>
          <w:szCs w:val="24"/>
        </w:rPr>
        <w:t>connu une augmentation</w:t>
      </w:r>
      <w:r w:rsidR="001F3E5C" w:rsidRPr="003F42E2">
        <w:rPr>
          <w:rFonts w:ascii="Book Antiqua" w:hAnsi="Book Antiqua" w:cs="Browallia New"/>
          <w:sz w:val="24"/>
          <w:szCs w:val="24"/>
        </w:rPr>
        <w:t xml:space="preserve"> de 0,7 point en milieu urbain et </w:t>
      </w:r>
      <w:r>
        <w:rPr>
          <w:rFonts w:ascii="Book Antiqua" w:hAnsi="Book Antiqua" w:cs="Browallia New"/>
          <w:sz w:val="24"/>
          <w:szCs w:val="24"/>
        </w:rPr>
        <w:t xml:space="preserve">une </w:t>
      </w:r>
      <w:r w:rsidR="00781754" w:rsidRPr="003F42E2">
        <w:rPr>
          <w:rFonts w:ascii="Book Antiqua" w:hAnsi="Book Antiqua" w:cs="Browallia New"/>
          <w:sz w:val="24"/>
          <w:szCs w:val="24"/>
        </w:rPr>
        <w:t>baiss</w:t>
      </w:r>
      <w:r>
        <w:rPr>
          <w:rFonts w:ascii="Book Antiqua" w:hAnsi="Book Antiqua" w:cs="Browallia New"/>
          <w:sz w:val="24"/>
          <w:szCs w:val="24"/>
        </w:rPr>
        <w:t>e</w:t>
      </w:r>
      <w:r w:rsidR="00781754" w:rsidRPr="003F42E2">
        <w:rPr>
          <w:rFonts w:ascii="Book Antiqua" w:hAnsi="Book Antiqua" w:cs="Browallia New"/>
          <w:sz w:val="24"/>
          <w:szCs w:val="24"/>
        </w:rPr>
        <w:t xml:space="preserve"> </w:t>
      </w:r>
      <w:r w:rsidR="001F3E5C" w:rsidRPr="003F42E2">
        <w:rPr>
          <w:rFonts w:ascii="Book Antiqua" w:hAnsi="Book Antiqua" w:cs="Browallia New"/>
          <w:sz w:val="24"/>
          <w:szCs w:val="24"/>
        </w:rPr>
        <w:t>de 1 point en milieu rural. Entre hommes et femmes, l'écart des taux d'emploi est de 46,9</w:t>
      </w:r>
      <w:bookmarkStart w:id="0" w:name="_GoBack"/>
      <w:bookmarkEnd w:id="0"/>
      <w:r w:rsidR="001F3E5C" w:rsidRPr="003F42E2">
        <w:rPr>
          <w:rFonts w:ascii="Book Antiqua" w:hAnsi="Book Antiqua" w:cs="Browallia New"/>
          <w:sz w:val="24"/>
          <w:szCs w:val="24"/>
        </w:rPr>
        <w:t xml:space="preserve"> points (respectivement 65,5% et 18,6%).</w:t>
      </w:r>
    </w:p>
    <w:p w:rsidR="001F3E5C" w:rsidRPr="003F42E2" w:rsidRDefault="001F3E5C" w:rsidP="003F42E2">
      <w:pPr>
        <w:autoSpaceDE w:val="0"/>
        <w:autoSpaceDN w:val="0"/>
        <w:bidi w:val="0"/>
        <w:adjustRightInd w:val="0"/>
        <w:jc w:val="center"/>
        <w:rPr>
          <w:rFonts w:ascii="Book Antiqua" w:hAnsi="Book Antiqua" w:cs="Browallia New"/>
          <w:b/>
          <w:bCs/>
          <w:noProof w:val="0"/>
          <w:color w:val="525252" w:themeColor="accent3" w:themeShade="80"/>
          <w:sz w:val="24"/>
          <w:szCs w:val="24"/>
        </w:rPr>
      </w:pPr>
      <w:r w:rsidRPr="003F42E2">
        <w:rPr>
          <w:rFonts w:ascii="Book Antiqua" w:hAnsi="Book Antiqua" w:cs="Browallia New"/>
          <w:b/>
          <w:bCs/>
          <w:noProof w:val="0"/>
          <w:color w:val="525252" w:themeColor="accent3" w:themeShade="80"/>
          <w:sz w:val="24"/>
          <w:szCs w:val="24"/>
        </w:rPr>
        <w:t>Figure 1 : Création nette d’emplois entre 2018 et 2019 selon le type d’emploi et le milieu de résidence</w:t>
      </w:r>
    </w:p>
    <w:p w:rsidR="00A0301A" w:rsidRPr="003F42E2" w:rsidRDefault="00A0301A" w:rsidP="003F42E2">
      <w:pPr>
        <w:autoSpaceDE w:val="0"/>
        <w:autoSpaceDN w:val="0"/>
        <w:bidi w:val="0"/>
        <w:adjustRightInd w:val="0"/>
        <w:jc w:val="center"/>
        <w:rPr>
          <w:rFonts w:ascii="Book Antiqua" w:hAnsi="Book Antiqua" w:cs="Browallia New"/>
          <w:b/>
          <w:bCs/>
          <w:noProof w:val="0"/>
          <w:color w:val="525252" w:themeColor="accent3" w:themeShade="80"/>
          <w:sz w:val="24"/>
          <w:szCs w:val="24"/>
        </w:rPr>
      </w:pPr>
    </w:p>
    <w:p w:rsidR="001F3E5C" w:rsidRPr="003F42E2" w:rsidRDefault="001F3E5C" w:rsidP="001F3E5C">
      <w:pPr>
        <w:autoSpaceDE w:val="0"/>
        <w:autoSpaceDN w:val="0"/>
        <w:bidi w:val="0"/>
        <w:adjustRightInd w:val="0"/>
        <w:jc w:val="center"/>
        <w:rPr>
          <w:rFonts w:ascii="Book Antiqua" w:hAnsi="Book Antiqua" w:cs="Browallia New"/>
          <w:noProof w:val="0"/>
          <w:sz w:val="28"/>
          <w:szCs w:val="28"/>
        </w:rPr>
      </w:pPr>
      <w:r w:rsidRPr="003F42E2">
        <w:rPr>
          <w:rFonts w:ascii="Book Antiqua" w:hAnsi="Book Antiqua" w:cs="Browallia New"/>
          <w:sz w:val="28"/>
          <w:szCs w:val="28"/>
        </w:rPr>
        <w:drawing>
          <wp:inline distT="0" distB="0" distL="0" distR="0">
            <wp:extent cx="5140800" cy="2246400"/>
            <wp:effectExtent l="0" t="0" r="0"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0301A" w:rsidRPr="003F42E2" w:rsidRDefault="00A0301A" w:rsidP="00151A1D">
      <w:pPr>
        <w:autoSpaceDE w:val="0"/>
        <w:autoSpaceDN w:val="0"/>
        <w:bidi w:val="0"/>
        <w:adjustRightInd w:val="0"/>
        <w:spacing w:before="120" w:after="120" w:line="216" w:lineRule="auto"/>
        <w:jc w:val="both"/>
        <w:rPr>
          <w:rFonts w:ascii="Book Antiqua" w:hAnsi="Book Antiqua" w:cs="Browallia New"/>
          <w:b/>
          <w:bCs/>
          <w:noProof w:val="0"/>
          <w:color w:val="002060"/>
          <w:sz w:val="28"/>
          <w:szCs w:val="28"/>
        </w:rPr>
      </w:pPr>
    </w:p>
    <w:p w:rsidR="003B6E53" w:rsidRDefault="003B6E53">
      <w:pPr>
        <w:bidi w:val="0"/>
        <w:spacing w:after="160" w:line="259" w:lineRule="auto"/>
        <w:rPr>
          <w:rFonts w:ascii="Book Antiqua" w:hAnsi="Book Antiqua" w:cs="Browallia New"/>
          <w:b/>
          <w:bCs/>
          <w:noProof w:val="0"/>
          <w:color w:val="002060"/>
          <w:sz w:val="28"/>
          <w:szCs w:val="28"/>
        </w:rPr>
      </w:pPr>
      <w:r>
        <w:rPr>
          <w:rFonts w:ascii="Book Antiqua" w:hAnsi="Book Antiqua" w:cs="Browallia New"/>
          <w:b/>
          <w:bCs/>
          <w:noProof w:val="0"/>
          <w:color w:val="002060"/>
          <w:sz w:val="28"/>
          <w:szCs w:val="28"/>
        </w:rPr>
        <w:br w:type="page"/>
      </w:r>
    </w:p>
    <w:p w:rsidR="001F3E5C" w:rsidRDefault="00151A1D" w:rsidP="00A0301A">
      <w:pPr>
        <w:autoSpaceDE w:val="0"/>
        <w:autoSpaceDN w:val="0"/>
        <w:bidi w:val="0"/>
        <w:adjustRightInd w:val="0"/>
        <w:spacing w:before="120" w:after="120" w:line="216" w:lineRule="auto"/>
        <w:jc w:val="both"/>
        <w:rPr>
          <w:rFonts w:ascii="Book Antiqua" w:hAnsi="Book Antiqua" w:cs="Browallia New"/>
          <w:b/>
          <w:bCs/>
          <w:noProof w:val="0"/>
          <w:color w:val="002060"/>
          <w:sz w:val="28"/>
          <w:szCs w:val="28"/>
        </w:rPr>
      </w:pPr>
      <w:r w:rsidRPr="003F42E2">
        <w:rPr>
          <w:rFonts w:ascii="Book Antiqua" w:hAnsi="Book Antiqua" w:cs="Browallia New"/>
          <w:b/>
          <w:bCs/>
          <w:noProof w:val="0"/>
          <w:color w:val="002060"/>
          <w:sz w:val="28"/>
          <w:szCs w:val="28"/>
        </w:rPr>
        <w:lastRenderedPageBreak/>
        <w:t xml:space="preserve">A l’exception de l’"agriculture forêt et pêche", </w:t>
      </w:r>
      <w:r w:rsidR="001F3E5C" w:rsidRPr="003F42E2">
        <w:rPr>
          <w:rFonts w:ascii="Book Antiqua" w:hAnsi="Book Antiqua" w:cs="Browallia New"/>
          <w:b/>
          <w:bCs/>
          <w:noProof w:val="0"/>
          <w:color w:val="002060"/>
          <w:sz w:val="28"/>
          <w:szCs w:val="28"/>
        </w:rPr>
        <w:t>tous les</w:t>
      </w:r>
      <w:r w:rsidRPr="003F42E2">
        <w:rPr>
          <w:rFonts w:ascii="Book Antiqua" w:hAnsi="Book Antiqua" w:cs="Browallia New"/>
          <w:b/>
          <w:bCs/>
          <w:noProof w:val="0"/>
          <w:color w:val="002060"/>
          <w:sz w:val="28"/>
          <w:szCs w:val="28"/>
        </w:rPr>
        <w:t xml:space="preserve"> autres</w:t>
      </w:r>
      <w:r w:rsidR="001F3E5C" w:rsidRPr="003F42E2">
        <w:rPr>
          <w:rFonts w:ascii="Book Antiqua" w:hAnsi="Book Antiqua" w:cs="Browallia New"/>
          <w:b/>
          <w:bCs/>
          <w:noProof w:val="0"/>
          <w:color w:val="002060"/>
          <w:sz w:val="28"/>
          <w:szCs w:val="28"/>
        </w:rPr>
        <w:t xml:space="preserve"> secteurs d’activité économique </w:t>
      </w:r>
      <w:r w:rsidRPr="003F42E2">
        <w:rPr>
          <w:rFonts w:ascii="Book Antiqua" w:hAnsi="Book Antiqua" w:cs="Browallia New"/>
          <w:b/>
          <w:bCs/>
          <w:noProof w:val="0"/>
          <w:color w:val="002060"/>
          <w:sz w:val="28"/>
          <w:szCs w:val="28"/>
        </w:rPr>
        <w:t xml:space="preserve">ont contribué à </w:t>
      </w:r>
      <w:r w:rsidR="001F3E5C" w:rsidRPr="003F42E2">
        <w:rPr>
          <w:rFonts w:ascii="Book Antiqua" w:hAnsi="Book Antiqua" w:cs="Browallia New"/>
          <w:b/>
          <w:bCs/>
          <w:noProof w:val="0"/>
          <w:color w:val="002060"/>
          <w:sz w:val="28"/>
          <w:szCs w:val="28"/>
        </w:rPr>
        <w:t xml:space="preserve">la création </w:t>
      </w:r>
      <w:r w:rsidRPr="003F42E2">
        <w:rPr>
          <w:rFonts w:ascii="Book Antiqua" w:hAnsi="Book Antiqua" w:cs="Browallia New"/>
          <w:b/>
          <w:bCs/>
          <w:noProof w:val="0"/>
          <w:color w:val="002060"/>
          <w:sz w:val="28"/>
          <w:szCs w:val="28"/>
        </w:rPr>
        <w:t>d’emploi</w:t>
      </w:r>
    </w:p>
    <w:p w:rsidR="003F42E2" w:rsidRPr="003F42E2" w:rsidRDefault="003F42E2" w:rsidP="003F42E2">
      <w:pPr>
        <w:autoSpaceDE w:val="0"/>
        <w:autoSpaceDN w:val="0"/>
        <w:bidi w:val="0"/>
        <w:adjustRightInd w:val="0"/>
        <w:spacing w:before="120" w:after="120" w:line="216" w:lineRule="auto"/>
        <w:jc w:val="both"/>
        <w:rPr>
          <w:rFonts w:ascii="Book Antiqua" w:hAnsi="Book Antiqua" w:cs="Browallia New"/>
          <w:b/>
          <w:bCs/>
          <w:noProof w:val="0"/>
          <w:color w:val="002060"/>
          <w:sz w:val="28"/>
          <w:szCs w:val="28"/>
        </w:rPr>
      </w:pPr>
    </w:p>
    <w:p w:rsidR="001F3E5C" w:rsidRPr="003F42E2" w:rsidRDefault="000D0FD1" w:rsidP="00FD4C50">
      <w:pPr>
        <w:bidi w:val="0"/>
        <w:spacing w:line="276" w:lineRule="auto"/>
        <w:jc w:val="both"/>
        <w:rPr>
          <w:rFonts w:ascii="Book Antiqua" w:hAnsi="Book Antiqua" w:cs="Browallia New"/>
          <w:noProof w:val="0"/>
          <w:color w:val="000000"/>
          <w:sz w:val="24"/>
          <w:szCs w:val="24"/>
        </w:rPr>
      </w:pPr>
      <w:r>
        <w:rPr>
          <w:rFonts w:ascii="Book Antiqua" w:hAnsi="Book Antiqua" w:cs="Browallia New"/>
          <w:noProof w:val="0"/>
          <w:sz w:val="24"/>
          <w:szCs w:val="24"/>
        </w:rPr>
        <w:t>En tête,</w:t>
      </w:r>
      <w:r w:rsidR="001F3E5C" w:rsidRPr="003F42E2">
        <w:rPr>
          <w:rFonts w:ascii="Book Antiqua" w:hAnsi="Book Antiqua" w:cs="Browallia New"/>
          <w:noProof w:val="0"/>
          <w:sz w:val="24"/>
          <w:szCs w:val="24"/>
        </w:rPr>
        <w:t xml:space="preserve"> le secteur des </w:t>
      </w:r>
      <w:r w:rsidR="001F3E5C" w:rsidRPr="000E2340">
        <w:rPr>
          <w:rFonts w:ascii="Book Antiqua" w:hAnsi="Book Antiqua" w:cs="Browallia New"/>
          <w:b/>
          <w:bCs/>
          <w:noProof w:val="0"/>
          <w:sz w:val="24"/>
          <w:szCs w:val="24"/>
        </w:rPr>
        <w:t>"services"</w:t>
      </w:r>
      <w:r w:rsidR="001F3E5C" w:rsidRPr="003F42E2">
        <w:rPr>
          <w:rFonts w:ascii="Book Antiqua" w:hAnsi="Book Antiqua" w:cs="Browallia New"/>
          <w:noProof w:val="0"/>
          <w:sz w:val="24"/>
          <w:szCs w:val="24"/>
        </w:rPr>
        <w:t xml:space="preserve">, a enregistré une création nette de 267.000 postes, 223.000 en milieu urbain et 44.000 en milieu rural, ce qui correspond à une hausse de 5,7% du volume d’emploi dans ce secteur, contre une création de 142.000 emplois enregistrée une année auparavant. </w:t>
      </w:r>
    </w:p>
    <w:p w:rsidR="001F3E5C" w:rsidRPr="003F42E2" w:rsidRDefault="001F3E5C" w:rsidP="003114D4">
      <w:pPr>
        <w:autoSpaceDE w:val="0"/>
        <w:autoSpaceDN w:val="0"/>
        <w:bidi w:val="0"/>
        <w:adjustRightInd w:val="0"/>
        <w:spacing w:before="120" w:after="120" w:line="276" w:lineRule="auto"/>
        <w:jc w:val="both"/>
        <w:rPr>
          <w:rFonts w:ascii="Book Antiqua" w:hAnsi="Book Antiqua" w:cs="Browallia New"/>
          <w:noProof w:val="0"/>
          <w:sz w:val="24"/>
          <w:szCs w:val="24"/>
        </w:rPr>
      </w:pPr>
      <w:r w:rsidRPr="003F42E2">
        <w:rPr>
          <w:rFonts w:ascii="Book Antiqua" w:hAnsi="Book Antiqua" w:cs="Browallia New"/>
          <w:noProof w:val="0"/>
          <w:sz w:val="24"/>
          <w:szCs w:val="24"/>
        </w:rPr>
        <w:t xml:space="preserve">De son côté, le secteur des </w:t>
      </w:r>
      <w:r w:rsidR="000E2340" w:rsidRPr="000E2340">
        <w:rPr>
          <w:rFonts w:ascii="Book Antiqua" w:hAnsi="Book Antiqua" w:cs="Browallia New"/>
          <w:b/>
          <w:bCs/>
          <w:noProof w:val="0"/>
          <w:sz w:val="24"/>
          <w:szCs w:val="24"/>
        </w:rPr>
        <w:t>"</w:t>
      </w:r>
      <w:r w:rsidRPr="000E2340">
        <w:rPr>
          <w:rFonts w:ascii="Book Antiqua" w:hAnsi="Book Antiqua" w:cs="Browallia New"/>
          <w:b/>
          <w:bCs/>
          <w:noProof w:val="0"/>
          <w:sz w:val="24"/>
          <w:szCs w:val="24"/>
        </w:rPr>
        <w:t>BTP</w:t>
      </w:r>
      <w:r w:rsidR="000E2340" w:rsidRPr="000E2340">
        <w:rPr>
          <w:rFonts w:ascii="Book Antiqua" w:hAnsi="Book Antiqua" w:cs="Browallia New"/>
          <w:b/>
          <w:bCs/>
          <w:noProof w:val="0"/>
          <w:sz w:val="24"/>
          <w:szCs w:val="24"/>
        </w:rPr>
        <w:t>"</w:t>
      </w:r>
      <w:r w:rsidRPr="003F42E2">
        <w:rPr>
          <w:rFonts w:ascii="Book Antiqua" w:hAnsi="Book Antiqua" w:cs="Browallia New"/>
          <w:noProof w:val="0"/>
          <w:sz w:val="24"/>
          <w:szCs w:val="24"/>
        </w:rPr>
        <w:t xml:space="preserve"> a</w:t>
      </w:r>
      <w:r w:rsidR="00732FB1">
        <w:rPr>
          <w:rFonts w:ascii="Book Antiqua" w:hAnsi="Book Antiqua" w:cs="Browallia New"/>
          <w:noProof w:val="0"/>
          <w:sz w:val="24"/>
          <w:szCs w:val="24"/>
        </w:rPr>
        <w:t xml:space="preserve"> créé </w:t>
      </w:r>
      <w:r w:rsidRPr="003F42E2">
        <w:rPr>
          <w:rFonts w:ascii="Book Antiqua" w:hAnsi="Book Antiqua" w:cs="Browallia New"/>
          <w:noProof w:val="0"/>
          <w:sz w:val="24"/>
          <w:szCs w:val="24"/>
        </w:rPr>
        <w:t>24.000 postes d’emploi au niveau national, 6.000 en milieu urb</w:t>
      </w:r>
      <w:r w:rsidR="00151A1D" w:rsidRPr="003F42E2">
        <w:rPr>
          <w:rFonts w:ascii="Book Antiqua" w:hAnsi="Book Antiqua" w:cs="Browallia New"/>
          <w:noProof w:val="0"/>
          <w:sz w:val="24"/>
          <w:szCs w:val="24"/>
        </w:rPr>
        <w:t xml:space="preserve">ain et 18.000 en milieu rural, </w:t>
      </w:r>
      <w:r w:rsidR="003114D4">
        <w:rPr>
          <w:rFonts w:ascii="Book Antiqua" w:hAnsi="Book Antiqua" w:cs="Browallia New"/>
          <w:noProof w:val="0"/>
          <w:sz w:val="24"/>
          <w:szCs w:val="24"/>
        </w:rPr>
        <w:t>correspondant</w:t>
      </w:r>
      <w:r w:rsidR="003114D4" w:rsidRPr="003F42E2">
        <w:rPr>
          <w:rFonts w:ascii="Book Antiqua" w:hAnsi="Book Antiqua" w:cs="Browallia New"/>
          <w:noProof w:val="0"/>
          <w:sz w:val="24"/>
          <w:szCs w:val="24"/>
        </w:rPr>
        <w:t xml:space="preserve"> à une hausse </w:t>
      </w:r>
      <w:r w:rsidR="003114D4" w:rsidRPr="003114D4">
        <w:rPr>
          <w:rFonts w:ascii="Book Antiqua" w:hAnsi="Book Antiqua" w:cs="Browallia New"/>
          <w:noProof w:val="0"/>
          <w:sz w:val="24"/>
          <w:szCs w:val="24"/>
        </w:rPr>
        <w:t>de 2,1%,</w:t>
      </w:r>
      <w:r w:rsidR="003114D4">
        <w:rPr>
          <w:rFonts w:ascii="Book Antiqua" w:hAnsi="Book Antiqua" w:cs="Browallia New"/>
          <w:noProof w:val="0"/>
          <w:sz w:val="24"/>
          <w:szCs w:val="24"/>
        </w:rPr>
        <w:t xml:space="preserve"> </w:t>
      </w:r>
      <w:r w:rsidR="00C32BFC">
        <w:rPr>
          <w:rFonts w:ascii="Book Antiqua" w:hAnsi="Book Antiqua" w:cs="Browallia New"/>
          <w:noProof w:val="0"/>
          <w:sz w:val="24"/>
          <w:szCs w:val="24"/>
        </w:rPr>
        <w:t>contre</w:t>
      </w:r>
      <w:r w:rsidRPr="003F42E2">
        <w:rPr>
          <w:rFonts w:ascii="Book Antiqua" w:hAnsi="Book Antiqua" w:cs="Browallia New"/>
          <w:noProof w:val="0"/>
          <w:sz w:val="24"/>
          <w:szCs w:val="24"/>
        </w:rPr>
        <w:t xml:space="preserve"> une perte de 30.000 emplois entre 2017 et 2018.</w:t>
      </w:r>
    </w:p>
    <w:p w:rsidR="004E61B3" w:rsidRPr="003F42E2" w:rsidRDefault="001F3E5C" w:rsidP="003114D4">
      <w:pPr>
        <w:bidi w:val="0"/>
        <w:spacing w:line="276" w:lineRule="auto"/>
        <w:jc w:val="both"/>
        <w:rPr>
          <w:rFonts w:ascii="Book Antiqua" w:hAnsi="Book Antiqua" w:cs="Browallia New"/>
          <w:noProof w:val="0"/>
          <w:sz w:val="24"/>
          <w:szCs w:val="24"/>
        </w:rPr>
      </w:pPr>
      <w:r w:rsidRPr="003F42E2">
        <w:rPr>
          <w:rFonts w:ascii="Book Antiqua" w:hAnsi="Book Antiqua" w:cs="Browallia New"/>
          <w:noProof w:val="0"/>
          <w:sz w:val="24"/>
          <w:szCs w:val="24"/>
        </w:rPr>
        <w:t>Le secteur de l’</w:t>
      </w:r>
      <w:r w:rsidRPr="003F42E2">
        <w:rPr>
          <w:rFonts w:ascii="Book Antiqua" w:hAnsi="Book Antiqua" w:cs="Browallia New"/>
          <w:b/>
          <w:bCs/>
          <w:noProof w:val="0"/>
          <w:sz w:val="24"/>
          <w:szCs w:val="24"/>
        </w:rPr>
        <w:t xml:space="preserve">"industrie y compris l’artisanat" </w:t>
      </w:r>
      <w:r w:rsidRPr="003F42E2">
        <w:rPr>
          <w:rFonts w:ascii="Book Antiqua" w:hAnsi="Book Antiqua" w:cs="Browallia New"/>
          <w:noProof w:val="0"/>
          <w:sz w:val="24"/>
          <w:szCs w:val="24"/>
        </w:rPr>
        <w:t xml:space="preserve">a créé, quant à lui, 17.000 emplois (4.000 en milieu urbain et 13.000 en milieu rural), </w:t>
      </w:r>
      <w:r w:rsidR="003114D4">
        <w:rPr>
          <w:rFonts w:ascii="Book Antiqua" w:hAnsi="Book Antiqua" w:cs="Browallia New"/>
          <w:noProof w:val="0"/>
          <w:sz w:val="24"/>
          <w:szCs w:val="24"/>
        </w:rPr>
        <w:t>correspondant</w:t>
      </w:r>
      <w:r w:rsidR="003114D4" w:rsidRPr="003F42E2">
        <w:rPr>
          <w:rFonts w:ascii="Book Antiqua" w:hAnsi="Book Antiqua" w:cs="Browallia New"/>
          <w:noProof w:val="0"/>
          <w:sz w:val="24"/>
          <w:szCs w:val="24"/>
        </w:rPr>
        <w:t xml:space="preserve"> à une hausse </w:t>
      </w:r>
      <w:r w:rsidR="003114D4" w:rsidRPr="003114D4">
        <w:rPr>
          <w:rFonts w:ascii="Book Antiqua" w:hAnsi="Book Antiqua" w:cs="Browallia New"/>
          <w:noProof w:val="0"/>
          <w:sz w:val="24"/>
          <w:szCs w:val="24"/>
        </w:rPr>
        <w:t>de 1,3%,</w:t>
      </w:r>
      <w:r w:rsidR="003114D4">
        <w:rPr>
          <w:rFonts w:ascii="Book Antiqua" w:hAnsi="Book Antiqua" w:cs="Browallia New"/>
          <w:noProof w:val="0"/>
          <w:sz w:val="24"/>
          <w:szCs w:val="24"/>
        </w:rPr>
        <w:t xml:space="preserve"> </w:t>
      </w:r>
      <w:r w:rsidRPr="003F42E2">
        <w:rPr>
          <w:rFonts w:ascii="Book Antiqua" w:hAnsi="Book Antiqua" w:cs="Browallia New"/>
          <w:noProof w:val="0"/>
          <w:sz w:val="24"/>
          <w:szCs w:val="24"/>
        </w:rPr>
        <w:t xml:space="preserve">contre une création de 44.000 une année auparavant. </w:t>
      </w:r>
    </w:p>
    <w:p w:rsidR="004E61B3" w:rsidRPr="003F42E2" w:rsidRDefault="001F3E5C" w:rsidP="003114D4">
      <w:pPr>
        <w:autoSpaceDE w:val="0"/>
        <w:autoSpaceDN w:val="0"/>
        <w:bidi w:val="0"/>
        <w:adjustRightInd w:val="0"/>
        <w:spacing w:before="120" w:line="276" w:lineRule="auto"/>
        <w:jc w:val="both"/>
        <w:rPr>
          <w:rFonts w:ascii="Book Antiqua" w:hAnsi="Book Antiqua" w:cs="Browallia New"/>
          <w:noProof w:val="0"/>
          <w:sz w:val="24"/>
          <w:szCs w:val="24"/>
        </w:rPr>
      </w:pPr>
      <w:r w:rsidRPr="003F42E2">
        <w:rPr>
          <w:rFonts w:ascii="Book Antiqua" w:hAnsi="Book Antiqua" w:cs="Browallia New"/>
          <w:noProof w:val="0"/>
          <w:sz w:val="24"/>
          <w:szCs w:val="24"/>
        </w:rPr>
        <w:t>Le secteur de l’</w:t>
      </w:r>
      <w:r w:rsidRPr="003F42E2">
        <w:rPr>
          <w:rFonts w:ascii="Book Antiqua" w:hAnsi="Book Antiqua" w:cs="Browallia New"/>
          <w:b/>
          <w:bCs/>
          <w:noProof w:val="0"/>
          <w:sz w:val="24"/>
          <w:szCs w:val="24"/>
        </w:rPr>
        <w:t>"agriculture forêt et pêche</w:t>
      </w:r>
      <w:r w:rsidR="004E61B3" w:rsidRPr="003F42E2">
        <w:rPr>
          <w:rFonts w:ascii="Book Antiqua" w:hAnsi="Book Antiqua" w:cs="Browallia New"/>
          <w:b/>
          <w:bCs/>
          <w:noProof w:val="0"/>
          <w:sz w:val="24"/>
          <w:szCs w:val="24"/>
        </w:rPr>
        <w:t>"</w:t>
      </w:r>
      <w:r w:rsidR="00B63E1F">
        <w:rPr>
          <w:rFonts w:ascii="Book Antiqua" w:hAnsi="Book Antiqua" w:cs="Browallia New"/>
          <w:noProof w:val="0"/>
          <w:sz w:val="24"/>
          <w:szCs w:val="24"/>
        </w:rPr>
        <w:t xml:space="preserve"> </w:t>
      </w:r>
      <w:r w:rsidRPr="003F42E2">
        <w:rPr>
          <w:rFonts w:ascii="Book Antiqua" w:hAnsi="Book Antiqua" w:cs="Browallia New"/>
          <w:noProof w:val="0"/>
          <w:sz w:val="24"/>
          <w:szCs w:val="24"/>
        </w:rPr>
        <w:t>a</w:t>
      </w:r>
      <w:r w:rsidR="00B63E1F">
        <w:rPr>
          <w:rFonts w:ascii="Book Antiqua" w:hAnsi="Book Antiqua" w:cs="Browallia New"/>
          <w:noProof w:val="0"/>
          <w:sz w:val="24"/>
          <w:szCs w:val="24"/>
        </w:rPr>
        <w:t>, en revanche,</w:t>
      </w:r>
      <w:r w:rsidRPr="003F42E2">
        <w:rPr>
          <w:rFonts w:ascii="Book Antiqua" w:hAnsi="Book Antiqua" w:cs="Browallia New"/>
          <w:noProof w:val="0"/>
          <w:sz w:val="24"/>
          <w:szCs w:val="24"/>
        </w:rPr>
        <w:t xml:space="preserve"> perdu 146.</w:t>
      </w:r>
      <w:r w:rsidR="00B63E1F">
        <w:rPr>
          <w:rFonts w:ascii="Book Antiqua" w:hAnsi="Book Antiqua" w:cs="Browallia New"/>
          <w:noProof w:val="0"/>
          <w:sz w:val="24"/>
          <w:szCs w:val="24"/>
        </w:rPr>
        <w:t>000 emplois au niveau national,</w:t>
      </w:r>
      <w:r w:rsidR="003114D4">
        <w:rPr>
          <w:rFonts w:ascii="Book Antiqua" w:hAnsi="Book Antiqua" w:cs="Browallia New"/>
          <w:noProof w:val="0"/>
          <w:sz w:val="24"/>
          <w:szCs w:val="24"/>
        </w:rPr>
        <w:t xml:space="preserve"> correspondant</w:t>
      </w:r>
      <w:r w:rsidR="003114D4" w:rsidRPr="003F42E2">
        <w:rPr>
          <w:rFonts w:ascii="Book Antiqua" w:hAnsi="Book Antiqua" w:cs="Browallia New"/>
          <w:noProof w:val="0"/>
          <w:sz w:val="24"/>
          <w:szCs w:val="24"/>
        </w:rPr>
        <w:t xml:space="preserve"> à une </w:t>
      </w:r>
      <w:r w:rsidR="003114D4">
        <w:rPr>
          <w:rFonts w:ascii="Book Antiqua" w:hAnsi="Book Antiqua" w:cs="Browallia New"/>
          <w:noProof w:val="0"/>
          <w:sz w:val="24"/>
          <w:szCs w:val="24"/>
        </w:rPr>
        <w:t>baisse</w:t>
      </w:r>
      <w:r w:rsidR="003114D4" w:rsidRPr="003F42E2">
        <w:rPr>
          <w:rFonts w:ascii="Book Antiqua" w:hAnsi="Book Antiqua" w:cs="Browallia New"/>
          <w:noProof w:val="0"/>
          <w:sz w:val="24"/>
          <w:szCs w:val="24"/>
        </w:rPr>
        <w:t xml:space="preserve"> </w:t>
      </w:r>
      <w:r w:rsidR="003114D4" w:rsidRPr="003114D4">
        <w:rPr>
          <w:rFonts w:ascii="Book Antiqua" w:hAnsi="Book Antiqua" w:cs="Browallia New"/>
          <w:noProof w:val="0"/>
          <w:sz w:val="24"/>
          <w:szCs w:val="24"/>
        </w:rPr>
        <w:t>de 3,9%,</w:t>
      </w:r>
      <w:r w:rsidR="003114D4" w:rsidRPr="003114D4">
        <w:rPr>
          <w:rFonts w:ascii="Book Antiqua" w:hAnsi="Book Antiqua" w:cs="Browallia New"/>
          <w:noProof w:val="0"/>
          <w:color w:val="FF0000"/>
          <w:sz w:val="24"/>
          <w:szCs w:val="24"/>
        </w:rPr>
        <w:t xml:space="preserve"> </w:t>
      </w:r>
      <w:r w:rsidR="00B63E1F" w:rsidRPr="003114D4">
        <w:rPr>
          <w:rFonts w:ascii="Book Antiqua" w:hAnsi="Book Antiqua" w:cs="Browallia New"/>
          <w:noProof w:val="0"/>
          <w:color w:val="FF0000"/>
          <w:sz w:val="24"/>
          <w:szCs w:val="24"/>
        </w:rPr>
        <w:t xml:space="preserve"> </w:t>
      </w:r>
      <w:r w:rsidR="00B63E1F">
        <w:rPr>
          <w:rFonts w:ascii="Book Antiqua" w:hAnsi="Book Antiqua" w:cs="Browallia New"/>
          <w:noProof w:val="0"/>
          <w:sz w:val="24"/>
          <w:szCs w:val="24"/>
        </w:rPr>
        <w:t>r</w:t>
      </w:r>
      <w:r w:rsidRPr="003F42E2">
        <w:rPr>
          <w:rFonts w:ascii="Book Antiqua" w:hAnsi="Book Antiqua" w:cs="Browallia New"/>
          <w:noProof w:val="0"/>
          <w:sz w:val="24"/>
          <w:szCs w:val="24"/>
        </w:rPr>
        <w:t xml:space="preserve">ésultat d’une perte de 160.000 emplois en milieu rural et </w:t>
      </w:r>
      <w:r w:rsidR="00151A1D" w:rsidRPr="003F42E2">
        <w:rPr>
          <w:rFonts w:ascii="Book Antiqua" w:hAnsi="Book Antiqua" w:cs="Browallia New"/>
          <w:noProof w:val="0"/>
          <w:sz w:val="24"/>
          <w:szCs w:val="24"/>
        </w:rPr>
        <w:t>d’une</w:t>
      </w:r>
      <w:r w:rsidRPr="003F42E2">
        <w:rPr>
          <w:rFonts w:ascii="Book Antiqua" w:hAnsi="Book Antiqua" w:cs="Browallia New"/>
          <w:noProof w:val="0"/>
          <w:sz w:val="24"/>
          <w:szCs w:val="24"/>
        </w:rPr>
        <w:t xml:space="preserve"> création de 14.000 en milieu urbain, contre une perte de 46.000 emploi</w:t>
      </w:r>
      <w:r w:rsidR="00151A1D" w:rsidRPr="003F42E2">
        <w:rPr>
          <w:rFonts w:ascii="Book Antiqua" w:hAnsi="Book Antiqua" w:cs="Browallia New"/>
          <w:noProof w:val="0"/>
          <w:sz w:val="24"/>
          <w:szCs w:val="24"/>
        </w:rPr>
        <w:t>s entre 2017 et 2018.</w:t>
      </w:r>
    </w:p>
    <w:p w:rsidR="001F3E5C" w:rsidRPr="003F42E2" w:rsidRDefault="001F3E5C" w:rsidP="003F42E2">
      <w:pPr>
        <w:autoSpaceDE w:val="0"/>
        <w:autoSpaceDN w:val="0"/>
        <w:bidi w:val="0"/>
        <w:adjustRightInd w:val="0"/>
        <w:spacing w:before="120" w:line="192" w:lineRule="auto"/>
        <w:jc w:val="center"/>
        <w:rPr>
          <w:rFonts w:ascii="Book Antiqua" w:hAnsi="Book Antiqua" w:cs="Browallia New"/>
          <w:noProof w:val="0"/>
          <w:sz w:val="28"/>
          <w:szCs w:val="28"/>
        </w:rPr>
      </w:pPr>
      <w:r w:rsidRPr="003F42E2">
        <w:rPr>
          <w:rFonts w:ascii="Book Antiqua" w:hAnsi="Book Antiqua" w:cs="Browallia New"/>
          <w:b/>
          <w:bCs/>
          <w:noProof w:val="0"/>
          <w:color w:val="525252" w:themeColor="accent3" w:themeShade="80"/>
          <w:sz w:val="24"/>
          <w:szCs w:val="24"/>
        </w:rPr>
        <w:t>Figure 2. Création nette d’emplois entre 2018 et 2019 par secteur d’activité économique et milieu de résidence</w:t>
      </w:r>
      <w:r w:rsidRPr="003F42E2">
        <w:rPr>
          <w:rFonts w:ascii="Book Antiqua" w:hAnsi="Book Antiqua" w:cs="Browallia New"/>
          <w:b/>
          <w:bCs/>
          <w:sz w:val="28"/>
          <w:szCs w:val="28"/>
        </w:rPr>
        <w:drawing>
          <wp:inline distT="0" distB="0" distL="0" distR="0">
            <wp:extent cx="5486400" cy="2523067"/>
            <wp:effectExtent l="0" t="0" r="0" b="0"/>
            <wp:docPr id="12"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DFDC760-746C-4DB2-828A-DD3E98AAB7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3E5C" w:rsidRPr="003F42E2" w:rsidRDefault="001F3E5C" w:rsidP="001F3E5C">
      <w:pPr>
        <w:autoSpaceDE w:val="0"/>
        <w:autoSpaceDN w:val="0"/>
        <w:bidi w:val="0"/>
        <w:adjustRightInd w:val="0"/>
        <w:jc w:val="center"/>
        <w:rPr>
          <w:rFonts w:ascii="Book Antiqua" w:hAnsi="Book Antiqua" w:cs="Browallia New"/>
          <w:b/>
          <w:bCs/>
          <w:noProof w:val="0"/>
          <w:sz w:val="28"/>
          <w:szCs w:val="28"/>
        </w:rPr>
      </w:pPr>
    </w:p>
    <w:p w:rsidR="008A58F0" w:rsidRDefault="00B63E1F" w:rsidP="00B63E1F">
      <w:pPr>
        <w:bidi w:val="0"/>
        <w:rPr>
          <w:rFonts w:ascii="Book Antiqua" w:hAnsi="Book Antiqua" w:cs="Browallia New"/>
          <w:b/>
          <w:bCs/>
          <w:noProof w:val="0"/>
          <w:color w:val="002060"/>
          <w:sz w:val="28"/>
          <w:szCs w:val="28"/>
        </w:rPr>
      </w:pPr>
      <w:r>
        <w:rPr>
          <w:rFonts w:ascii="Book Antiqua" w:hAnsi="Book Antiqua" w:cs="Browallia New"/>
          <w:b/>
          <w:bCs/>
          <w:noProof w:val="0"/>
          <w:color w:val="002060"/>
          <w:sz w:val="28"/>
          <w:szCs w:val="28"/>
        </w:rPr>
        <w:t>Leger r</w:t>
      </w:r>
      <w:r w:rsidR="008A58F0" w:rsidRPr="003F42E2">
        <w:rPr>
          <w:rFonts w:ascii="Book Antiqua" w:hAnsi="Book Antiqua" w:cs="Browallia New"/>
          <w:b/>
          <w:bCs/>
          <w:noProof w:val="0"/>
          <w:color w:val="002060"/>
          <w:sz w:val="28"/>
          <w:szCs w:val="28"/>
        </w:rPr>
        <w:t xml:space="preserve">ecul du chômage </w:t>
      </w:r>
    </w:p>
    <w:p w:rsidR="00B63E1F" w:rsidRPr="003F42E2" w:rsidRDefault="00B63E1F" w:rsidP="00B63E1F">
      <w:pPr>
        <w:bidi w:val="0"/>
        <w:rPr>
          <w:rFonts w:ascii="Book Antiqua" w:hAnsi="Book Antiqua" w:cs="Browallia New"/>
          <w:b/>
          <w:bCs/>
          <w:noProof w:val="0"/>
          <w:color w:val="002060"/>
          <w:sz w:val="28"/>
          <w:szCs w:val="28"/>
        </w:rPr>
      </w:pPr>
    </w:p>
    <w:p w:rsidR="00B63E1F" w:rsidRPr="003222CA" w:rsidRDefault="00B63E1F" w:rsidP="00B63E1F">
      <w:pPr>
        <w:autoSpaceDE w:val="0"/>
        <w:autoSpaceDN w:val="0"/>
        <w:bidi w:val="0"/>
        <w:adjustRightInd w:val="0"/>
        <w:spacing w:after="120" w:line="276" w:lineRule="auto"/>
        <w:jc w:val="both"/>
        <w:rPr>
          <w:rFonts w:ascii="Book Antiqua" w:hAnsi="Book Antiqua" w:cs="Browallia New"/>
          <w:sz w:val="24"/>
          <w:szCs w:val="24"/>
        </w:rPr>
      </w:pPr>
      <w:r>
        <w:rPr>
          <w:rFonts w:ascii="Book Antiqua" w:hAnsi="Book Antiqua" w:cs="Browallia New"/>
          <w:sz w:val="24"/>
          <w:szCs w:val="24"/>
        </w:rPr>
        <w:t>E</w:t>
      </w:r>
      <w:r w:rsidRPr="003222CA">
        <w:rPr>
          <w:rFonts w:ascii="Book Antiqua" w:hAnsi="Book Antiqua" w:cs="Browallia New"/>
          <w:sz w:val="24"/>
          <w:szCs w:val="24"/>
        </w:rPr>
        <w:t>ntre 2018 et 2019</w:t>
      </w:r>
      <w:r>
        <w:rPr>
          <w:rFonts w:ascii="Book Antiqua" w:hAnsi="Book Antiqua" w:cs="Browallia New"/>
          <w:sz w:val="24"/>
          <w:szCs w:val="24"/>
        </w:rPr>
        <w:t>, l</w:t>
      </w:r>
      <w:r w:rsidRPr="003222CA">
        <w:rPr>
          <w:rFonts w:ascii="Book Antiqua" w:hAnsi="Book Antiqua" w:cs="Browallia New"/>
          <w:sz w:val="24"/>
          <w:szCs w:val="24"/>
        </w:rPr>
        <w:t>e nombre de chômeurs est passé de 1.137.000 à 1.107.000 personnes</w:t>
      </w:r>
      <w:r>
        <w:rPr>
          <w:rFonts w:ascii="Book Antiqua" w:hAnsi="Book Antiqua" w:cs="Browallia New"/>
          <w:sz w:val="24"/>
          <w:szCs w:val="24"/>
        </w:rPr>
        <w:t xml:space="preserve">. Il a connu </w:t>
      </w:r>
      <w:r w:rsidRPr="003222CA">
        <w:rPr>
          <w:rFonts w:ascii="Book Antiqua" w:hAnsi="Book Antiqua" w:cs="Browallia New"/>
          <w:sz w:val="24"/>
          <w:szCs w:val="24"/>
        </w:rPr>
        <w:t>une baisse de 30.000 personnes</w:t>
      </w:r>
      <w:r w:rsidR="00E2789F">
        <w:rPr>
          <w:rFonts w:ascii="Book Antiqua" w:hAnsi="Book Antiqua" w:cs="Browallia New"/>
          <w:sz w:val="24"/>
          <w:szCs w:val="24"/>
        </w:rPr>
        <w:t xml:space="preserve"> (-2,6%)</w:t>
      </w:r>
      <w:r w:rsidRPr="003222CA">
        <w:rPr>
          <w:rFonts w:ascii="Book Antiqua" w:hAnsi="Book Antiqua" w:cs="Browallia New"/>
          <w:sz w:val="24"/>
          <w:szCs w:val="24"/>
        </w:rPr>
        <w:t xml:space="preserve">, </w:t>
      </w:r>
      <w:r>
        <w:rPr>
          <w:rFonts w:ascii="Book Antiqua" w:hAnsi="Book Antiqua" w:cs="Browallia New"/>
          <w:sz w:val="24"/>
          <w:szCs w:val="24"/>
        </w:rPr>
        <w:t>résultant d'</w:t>
      </w:r>
      <w:r w:rsidRPr="003222CA">
        <w:rPr>
          <w:rFonts w:ascii="Book Antiqua" w:hAnsi="Book Antiqua" w:cs="Browallia New"/>
          <w:sz w:val="24"/>
          <w:szCs w:val="24"/>
        </w:rPr>
        <w:t>une baisse de 33.000 personnes en milieu urbain et d’une hausse de 3.000 personnes en milieu rural</w:t>
      </w:r>
      <w:r>
        <w:rPr>
          <w:rFonts w:ascii="Book Antiqua" w:hAnsi="Book Antiqua" w:cs="Browallia New"/>
          <w:sz w:val="24"/>
          <w:szCs w:val="24"/>
        </w:rPr>
        <w:t xml:space="preserve">. </w:t>
      </w:r>
      <w:r w:rsidRPr="003222CA">
        <w:rPr>
          <w:rFonts w:ascii="Book Antiqua" w:hAnsi="Book Antiqua" w:cs="Browallia New"/>
          <w:sz w:val="24"/>
          <w:szCs w:val="24"/>
        </w:rPr>
        <w:t>Le taux de chômage est</w:t>
      </w:r>
      <w:r>
        <w:rPr>
          <w:rFonts w:ascii="Book Antiqua" w:hAnsi="Book Antiqua" w:cs="Browallia New"/>
          <w:sz w:val="24"/>
          <w:szCs w:val="24"/>
        </w:rPr>
        <w:t xml:space="preserve"> </w:t>
      </w:r>
      <w:r w:rsidRPr="003222CA">
        <w:rPr>
          <w:rFonts w:ascii="Book Antiqua" w:hAnsi="Book Antiqua" w:cs="Browallia New"/>
          <w:sz w:val="24"/>
          <w:szCs w:val="24"/>
        </w:rPr>
        <w:t xml:space="preserve">passé de 9,5% à 9,2% au niveau national, de 13,8% à 12,9% en milieu urbain et de 3,6% à 3,7% en milieu rural. </w:t>
      </w:r>
    </w:p>
    <w:p w:rsidR="008A58F0" w:rsidRPr="003F42E2" w:rsidRDefault="008A58F0" w:rsidP="003F42E2">
      <w:pPr>
        <w:autoSpaceDE w:val="0"/>
        <w:autoSpaceDN w:val="0"/>
        <w:bidi w:val="0"/>
        <w:adjustRightInd w:val="0"/>
        <w:spacing w:before="240" w:line="192" w:lineRule="auto"/>
        <w:jc w:val="center"/>
        <w:rPr>
          <w:rFonts w:ascii="Book Antiqua" w:hAnsi="Book Antiqua" w:cs="Browallia New"/>
          <w:b/>
          <w:bCs/>
          <w:noProof w:val="0"/>
          <w:color w:val="525252" w:themeColor="accent3" w:themeShade="80"/>
          <w:sz w:val="24"/>
          <w:szCs w:val="24"/>
        </w:rPr>
      </w:pPr>
      <w:r w:rsidRPr="003F42E2">
        <w:rPr>
          <w:rFonts w:ascii="Book Antiqua" w:hAnsi="Book Antiqua" w:cs="Browallia New"/>
          <w:b/>
          <w:bCs/>
          <w:noProof w:val="0"/>
          <w:color w:val="525252" w:themeColor="accent3" w:themeShade="80"/>
          <w:sz w:val="24"/>
          <w:szCs w:val="24"/>
        </w:rPr>
        <w:lastRenderedPageBreak/>
        <w:t xml:space="preserve">Figure 3 : </w:t>
      </w:r>
      <w:r w:rsidR="00151A1D" w:rsidRPr="003F42E2">
        <w:rPr>
          <w:rFonts w:ascii="Book Antiqua" w:hAnsi="Book Antiqua" w:cs="Browallia New"/>
          <w:b/>
          <w:bCs/>
          <w:noProof w:val="0"/>
          <w:color w:val="525252" w:themeColor="accent3" w:themeShade="80"/>
          <w:sz w:val="24"/>
          <w:szCs w:val="24"/>
        </w:rPr>
        <w:t>Évolution</w:t>
      </w:r>
      <w:r w:rsidRPr="003F42E2">
        <w:rPr>
          <w:rFonts w:ascii="Book Antiqua" w:hAnsi="Book Antiqua" w:cs="Browallia New"/>
          <w:b/>
          <w:bCs/>
          <w:noProof w:val="0"/>
          <w:color w:val="525252" w:themeColor="accent3" w:themeShade="80"/>
          <w:sz w:val="24"/>
          <w:szCs w:val="24"/>
        </w:rPr>
        <w:t xml:space="preserve"> du taux de chômage entre </w:t>
      </w:r>
      <w:r w:rsidR="00943C52" w:rsidRPr="003F42E2">
        <w:rPr>
          <w:rFonts w:ascii="Book Antiqua" w:hAnsi="Book Antiqua" w:cs="Browallia New"/>
          <w:b/>
          <w:bCs/>
          <w:noProof w:val="0"/>
          <w:color w:val="525252" w:themeColor="accent3" w:themeShade="80"/>
          <w:sz w:val="24"/>
          <w:szCs w:val="24"/>
        </w:rPr>
        <w:t>2018</w:t>
      </w:r>
      <w:r w:rsidRPr="003F42E2">
        <w:rPr>
          <w:rFonts w:ascii="Book Antiqua" w:hAnsi="Book Antiqua" w:cs="Browallia New"/>
          <w:b/>
          <w:bCs/>
          <w:noProof w:val="0"/>
          <w:color w:val="525252" w:themeColor="accent3" w:themeShade="80"/>
          <w:sz w:val="24"/>
          <w:szCs w:val="24"/>
        </w:rPr>
        <w:t xml:space="preserve"> et </w:t>
      </w:r>
      <w:r w:rsidR="00943C52" w:rsidRPr="003F42E2">
        <w:rPr>
          <w:rFonts w:ascii="Book Antiqua" w:hAnsi="Book Antiqua" w:cs="Browallia New"/>
          <w:b/>
          <w:bCs/>
          <w:noProof w:val="0"/>
          <w:color w:val="525252" w:themeColor="accent3" w:themeShade="80"/>
          <w:sz w:val="24"/>
          <w:szCs w:val="24"/>
        </w:rPr>
        <w:t>2019</w:t>
      </w:r>
      <w:r w:rsidRPr="003F42E2">
        <w:rPr>
          <w:rFonts w:ascii="Book Antiqua" w:hAnsi="Book Antiqua" w:cs="Browallia New"/>
          <w:b/>
          <w:bCs/>
          <w:noProof w:val="0"/>
          <w:color w:val="525252" w:themeColor="accent3" w:themeShade="80"/>
          <w:sz w:val="24"/>
          <w:szCs w:val="24"/>
        </w:rPr>
        <w:t xml:space="preserve"> parmi certaines catégories</w:t>
      </w:r>
      <w:r w:rsidR="00732FB1">
        <w:rPr>
          <w:rFonts w:ascii="Book Antiqua" w:hAnsi="Book Antiqua" w:cs="Browallia New"/>
          <w:b/>
          <w:bCs/>
          <w:noProof w:val="0"/>
          <w:color w:val="525252" w:themeColor="accent3" w:themeShade="80"/>
          <w:sz w:val="24"/>
          <w:szCs w:val="24"/>
        </w:rPr>
        <w:t xml:space="preserve"> de la population active (en %)</w:t>
      </w:r>
    </w:p>
    <w:p w:rsidR="00FB02F8" w:rsidRPr="003F42E2" w:rsidRDefault="00FB02F8" w:rsidP="00FB02F8">
      <w:pPr>
        <w:autoSpaceDE w:val="0"/>
        <w:autoSpaceDN w:val="0"/>
        <w:bidi w:val="0"/>
        <w:adjustRightInd w:val="0"/>
        <w:rPr>
          <w:rFonts w:ascii="Book Antiqua" w:hAnsi="Book Antiqua" w:cs="Browallia New"/>
          <w:b/>
          <w:bCs/>
          <w:noProof w:val="0"/>
          <w:sz w:val="28"/>
          <w:szCs w:val="28"/>
        </w:rPr>
      </w:pPr>
      <w:r w:rsidRPr="003F42E2">
        <w:rPr>
          <w:rFonts w:ascii="Book Antiqua" w:hAnsi="Book Antiqua" w:cs="Browallia New"/>
          <w:b/>
          <w:bCs/>
          <w:sz w:val="28"/>
          <w:szCs w:val="28"/>
        </w:rPr>
        <w:drawing>
          <wp:inline distT="0" distB="0" distL="0" distR="0">
            <wp:extent cx="5774266" cy="2472267"/>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A2D39" w:rsidRPr="003F42E2" w:rsidRDefault="00DA2D39" w:rsidP="000472F6">
      <w:pPr>
        <w:autoSpaceDE w:val="0"/>
        <w:autoSpaceDN w:val="0"/>
        <w:bidi w:val="0"/>
        <w:adjustRightInd w:val="0"/>
        <w:spacing w:before="240" w:after="120" w:line="276" w:lineRule="auto"/>
        <w:jc w:val="both"/>
        <w:rPr>
          <w:rFonts w:ascii="Book Antiqua" w:hAnsi="Book Antiqua" w:cs="Browallia New"/>
          <w:sz w:val="28"/>
          <w:szCs w:val="28"/>
        </w:rPr>
      </w:pPr>
      <w:r w:rsidRPr="003F42E2">
        <w:rPr>
          <w:rFonts w:ascii="Book Antiqua" w:hAnsi="Book Antiqua" w:cs="Browallia New"/>
          <w:b/>
          <w:bCs/>
          <w:noProof w:val="0"/>
          <w:color w:val="002060"/>
          <w:sz w:val="28"/>
          <w:szCs w:val="28"/>
        </w:rPr>
        <w:t>Persistance d’un chômage élevé parmi les jeunes, les femmes et les diplômés</w:t>
      </w:r>
      <w:r w:rsidRPr="003F42E2">
        <w:rPr>
          <w:rFonts w:ascii="Book Antiqua" w:hAnsi="Book Antiqua" w:cs="Browallia New"/>
          <w:sz w:val="28"/>
          <w:szCs w:val="28"/>
        </w:rPr>
        <w:t xml:space="preserve"> </w:t>
      </w:r>
    </w:p>
    <w:p w:rsidR="00DA2D39" w:rsidRPr="003F42E2" w:rsidRDefault="00DA2D39" w:rsidP="00DA2D39">
      <w:pPr>
        <w:autoSpaceDE w:val="0"/>
        <w:autoSpaceDN w:val="0"/>
        <w:bidi w:val="0"/>
        <w:adjustRightInd w:val="0"/>
        <w:spacing w:after="120" w:line="276" w:lineRule="auto"/>
        <w:jc w:val="both"/>
        <w:rPr>
          <w:rFonts w:ascii="Book Antiqua" w:hAnsi="Book Antiqua" w:cs="Browallia New"/>
          <w:sz w:val="24"/>
          <w:szCs w:val="24"/>
        </w:rPr>
      </w:pPr>
      <w:r w:rsidRPr="003F42E2">
        <w:rPr>
          <w:rFonts w:ascii="Book Antiqua" w:hAnsi="Book Antiqua" w:cs="Browallia New"/>
          <w:sz w:val="24"/>
          <w:szCs w:val="24"/>
        </w:rPr>
        <w:t>Les taux de chômage les plus élevés sont relevés, en particulier, parmi les jeunes âgés de 15 à 24 ans (24,9% contre 7,0% parmi les personnes âgées de 25 ans et plus), les détenteurs d’un diplôme (15,7% contre 3,1% parmi les personnes n’ayant aucun diplôme) et les femmes (13,5% contre 7,8% parmi les hommes).</w:t>
      </w:r>
    </w:p>
    <w:p w:rsidR="00DA2D39" w:rsidRPr="003F42E2" w:rsidRDefault="00732FB1" w:rsidP="00823269">
      <w:pPr>
        <w:bidi w:val="0"/>
        <w:spacing w:before="240"/>
        <w:jc w:val="both"/>
        <w:rPr>
          <w:rFonts w:ascii="Book Antiqua" w:hAnsi="Book Antiqua" w:cs="Browallia New"/>
          <w:sz w:val="24"/>
          <w:szCs w:val="24"/>
        </w:rPr>
      </w:pPr>
      <w:r>
        <w:rPr>
          <w:rFonts w:ascii="Book Antiqua" w:hAnsi="Book Antiqua" w:cs="Browallia New"/>
          <w:sz w:val="24"/>
          <w:szCs w:val="24"/>
        </w:rPr>
        <w:t>L</w:t>
      </w:r>
      <w:r w:rsidR="00DA2D39" w:rsidRPr="003F42E2">
        <w:rPr>
          <w:rFonts w:ascii="Book Antiqua" w:hAnsi="Book Antiqua" w:cs="Browallia New"/>
          <w:sz w:val="24"/>
          <w:szCs w:val="24"/>
        </w:rPr>
        <w:t xml:space="preserve">e taux de chômage des détenteurs d'un diplôme de formation professionnelle </w:t>
      </w:r>
      <w:r>
        <w:rPr>
          <w:rFonts w:ascii="Book Antiqua" w:hAnsi="Book Antiqua" w:cs="Browallia New"/>
          <w:sz w:val="24"/>
          <w:szCs w:val="24"/>
        </w:rPr>
        <w:t>est de 22,0%</w:t>
      </w:r>
      <w:r w:rsidR="00B61699">
        <w:rPr>
          <w:rFonts w:ascii="Book Antiqua" w:hAnsi="Book Antiqua" w:cs="Browallia New"/>
          <w:sz w:val="24"/>
          <w:szCs w:val="24"/>
        </w:rPr>
        <w:t xml:space="preserve">.  </w:t>
      </w:r>
      <w:r w:rsidR="00DA2D39" w:rsidRPr="003F42E2">
        <w:rPr>
          <w:rFonts w:ascii="Book Antiqua" w:hAnsi="Book Antiqua" w:cs="Browallia New"/>
          <w:sz w:val="24"/>
          <w:szCs w:val="24"/>
        </w:rPr>
        <w:t xml:space="preserve">Il est nettement plus élevé parmi les femmes (33,1%) et les jeunes âgés de 15 à 29 ans (35,4%). </w:t>
      </w:r>
    </w:p>
    <w:p w:rsidR="008A58F0" w:rsidRPr="003F42E2" w:rsidRDefault="008A58F0" w:rsidP="00823269">
      <w:pPr>
        <w:bidi w:val="0"/>
        <w:spacing w:before="240"/>
        <w:rPr>
          <w:rFonts w:ascii="Book Antiqua" w:hAnsi="Book Antiqua" w:cs="Browallia New"/>
          <w:b/>
          <w:bCs/>
          <w:noProof w:val="0"/>
          <w:color w:val="002060"/>
          <w:sz w:val="28"/>
          <w:szCs w:val="28"/>
        </w:rPr>
      </w:pPr>
      <w:r w:rsidRPr="003F42E2">
        <w:rPr>
          <w:rFonts w:ascii="Book Antiqua" w:hAnsi="Book Antiqua" w:cs="Browallia New"/>
          <w:b/>
          <w:bCs/>
          <w:noProof w:val="0"/>
          <w:color w:val="002060"/>
          <w:sz w:val="28"/>
          <w:szCs w:val="28"/>
        </w:rPr>
        <w:t>Un chômage de longue durée et de première insertion</w:t>
      </w:r>
    </w:p>
    <w:p w:rsidR="008A58F0" w:rsidRPr="003F42E2" w:rsidRDefault="008A58F0" w:rsidP="00823269">
      <w:pPr>
        <w:autoSpaceDE w:val="0"/>
        <w:autoSpaceDN w:val="0"/>
        <w:bidi w:val="0"/>
        <w:adjustRightInd w:val="0"/>
        <w:spacing w:before="240" w:after="120" w:line="276" w:lineRule="auto"/>
        <w:jc w:val="both"/>
        <w:rPr>
          <w:rFonts w:ascii="Book Antiqua" w:hAnsi="Book Antiqua" w:cs="Browallia New"/>
          <w:sz w:val="24"/>
          <w:szCs w:val="24"/>
        </w:rPr>
      </w:pPr>
      <w:r w:rsidRPr="003F42E2">
        <w:rPr>
          <w:rFonts w:ascii="Book Antiqua" w:hAnsi="Book Antiqua" w:cs="Browallia New"/>
          <w:sz w:val="24"/>
          <w:szCs w:val="24"/>
        </w:rPr>
        <w:t xml:space="preserve">Près de </w:t>
      </w:r>
      <w:r w:rsidR="00B63E1F">
        <w:rPr>
          <w:rFonts w:ascii="Book Antiqua" w:hAnsi="Book Antiqua" w:cs="Browallia New"/>
          <w:sz w:val="24"/>
          <w:szCs w:val="24"/>
        </w:rPr>
        <w:t>6</w:t>
      </w:r>
      <w:r w:rsidRPr="003F42E2">
        <w:rPr>
          <w:rFonts w:ascii="Book Antiqua" w:hAnsi="Book Antiqua" w:cs="Browallia New"/>
          <w:sz w:val="24"/>
          <w:szCs w:val="24"/>
        </w:rPr>
        <w:t xml:space="preserve"> chômeurs sur </w:t>
      </w:r>
      <w:r w:rsidR="00B63E1F">
        <w:rPr>
          <w:rFonts w:ascii="Book Antiqua" w:hAnsi="Book Antiqua" w:cs="Browallia New"/>
          <w:sz w:val="24"/>
          <w:szCs w:val="24"/>
        </w:rPr>
        <w:t>10</w:t>
      </w:r>
      <w:r w:rsidRPr="003F42E2">
        <w:rPr>
          <w:rFonts w:ascii="Book Antiqua" w:hAnsi="Book Antiqua" w:cs="Browallia New"/>
          <w:sz w:val="24"/>
          <w:szCs w:val="24"/>
        </w:rPr>
        <w:t xml:space="preserve"> (57,</w:t>
      </w:r>
      <w:r w:rsidR="00BA6C4F" w:rsidRPr="003F42E2">
        <w:rPr>
          <w:rFonts w:ascii="Book Antiqua" w:hAnsi="Book Antiqua" w:cs="Browallia New"/>
          <w:sz w:val="24"/>
          <w:szCs w:val="24"/>
        </w:rPr>
        <w:t>2</w:t>
      </w:r>
      <w:r w:rsidRPr="003F42E2">
        <w:rPr>
          <w:rFonts w:ascii="Book Antiqua" w:hAnsi="Book Antiqua" w:cs="Browallia New"/>
          <w:sz w:val="24"/>
          <w:szCs w:val="24"/>
        </w:rPr>
        <w:t>%) sont à la recherche de leur premier emploi (</w:t>
      </w:r>
      <w:r w:rsidR="00BA6C4F" w:rsidRPr="003F42E2">
        <w:rPr>
          <w:rFonts w:ascii="Book Antiqua" w:hAnsi="Book Antiqua" w:cs="Browallia New"/>
          <w:sz w:val="24"/>
          <w:szCs w:val="24"/>
        </w:rPr>
        <w:t>50,9</w:t>
      </w:r>
      <w:r w:rsidRPr="003F42E2">
        <w:rPr>
          <w:rFonts w:ascii="Book Antiqua" w:hAnsi="Book Antiqua" w:cs="Browallia New"/>
          <w:sz w:val="24"/>
          <w:szCs w:val="24"/>
        </w:rPr>
        <w:t>% parmi les hommes et 69,</w:t>
      </w:r>
      <w:r w:rsidR="00BA6C4F" w:rsidRPr="003F42E2">
        <w:rPr>
          <w:rFonts w:ascii="Book Antiqua" w:hAnsi="Book Antiqua" w:cs="Browallia New"/>
          <w:sz w:val="24"/>
          <w:szCs w:val="24"/>
        </w:rPr>
        <w:t>0</w:t>
      </w:r>
      <w:r w:rsidR="00B63E1F">
        <w:rPr>
          <w:rFonts w:ascii="Book Antiqua" w:hAnsi="Book Antiqua" w:cs="Browallia New"/>
          <w:sz w:val="24"/>
          <w:szCs w:val="24"/>
        </w:rPr>
        <w:t xml:space="preserve">% parmi les femmes). Plus de 2 </w:t>
      </w:r>
      <w:r w:rsidRPr="003F42E2">
        <w:rPr>
          <w:rFonts w:ascii="Book Antiqua" w:hAnsi="Book Antiqua" w:cs="Browallia New"/>
          <w:sz w:val="24"/>
          <w:szCs w:val="24"/>
        </w:rPr>
        <w:t>chômeurs</w:t>
      </w:r>
      <w:r w:rsidR="00B63E1F">
        <w:rPr>
          <w:rFonts w:ascii="Book Antiqua" w:hAnsi="Book Antiqua" w:cs="Browallia New"/>
          <w:sz w:val="24"/>
          <w:szCs w:val="24"/>
        </w:rPr>
        <w:t xml:space="preserve"> sur 3</w:t>
      </w:r>
      <w:r w:rsidRPr="003F42E2">
        <w:rPr>
          <w:rFonts w:ascii="Book Antiqua" w:hAnsi="Book Antiqua" w:cs="Browallia New"/>
          <w:sz w:val="24"/>
          <w:szCs w:val="24"/>
        </w:rPr>
        <w:t xml:space="preserve"> (</w:t>
      </w:r>
      <w:r w:rsidR="00BA6C4F" w:rsidRPr="003F42E2">
        <w:rPr>
          <w:rFonts w:ascii="Book Antiqua" w:hAnsi="Book Antiqua" w:cs="Browallia New"/>
          <w:sz w:val="24"/>
          <w:szCs w:val="24"/>
        </w:rPr>
        <w:t>68,2</w:t>
      </w:r>
      <w:r w:rsidRPr="003F42E2">
        <w:rPr>
          <w:rFonts w:ascii="Book Antiqua" w:hAnsi="Book Antiqua" w:cs="Browallia New"/>
          <w:sz w:val="24"/>
          <w:szCs w:val="24"/>
        </w:rPr>
        <w:t xml:space="preserve">%) </w:t>
      </w:r>
      <w:r w:rsidR="00B63E1F">
        <w:rPr>
          <w:rFonts w:ascii="Book Antiqua" w:hAnsi="Book Antiqua" w:cs="Browallia New"/>
          <w:sz w:val="24"/>
          <w:szCs w:val="24"/>
        </w:rPr>
        <w:t>sont à la recherche d’un emploi</w:t>
      </w:r>
      <w:r w:rsidRPr="003F42E2">
        <w:rPr>
          <w:rFonts w:ascii="Book Antiqua" w:hAnsi="Book Antiqua" w:cs="Browallia New"/>
          <w:sz w:val="24"/>
          <w:szCs w:val="24"/>
        </w:rPr>
        <w:t xml:space="preserve"> depuis une année ou plus (63,</w:t>
      </w:r>
      <w:r w:rsidR="00BA6C4F" w:rsidRPr="003F42E2">
        <w:rPr>
          <w:rFonts w:ascii="Book Antiqua" w:hAnsi="Book Antiqua" w:cs="Browallia New"/>
          <w:sz w:val="24"/>
          <w:szCs w:val="24"/>
        </w:rPr>
        <w:t>8</w:t>
      </w:r>
      <w:r w:rsidRPr="003F42E2">
        <w:rPr>
          <w:rFonts w:ascii="Book Antiqua" w:hAnsi="Book Antiqua" w:cs="Browallia New"/>
          <w:sz w:val="24"/>
          <w:szCs w:val="24"/>
        </w:rPr>
        <w:t xml:space="preserve">% parmi les hommes et </w:t>
      </w:r>
      <w:r w:rsidR="00BA6C4F" w:rsidRPr="003F42E2">
        <w:rPr>
          <w:rFonts w:ascii="Book Antiqua" w:hAnsi="Book Antiqua" w:cs="Browallia New"/>
          <w:sz w:val="24"/>
          <w:szCs w:val="24"/>
        </w:rPr>
        <w:t>76,3</w:t>
      </w:r>
      <w:r w:rsidRPr="003F42E2">
        <w:rPr>
          <w:rFonts w:ascii="Book Antiqua" w:hAnsi="Book Antiqua" w:cs="Browallia New"/>
          <w:sz w:val="24"/>
          <w:szCs w:val="24"/>
        </w:rPr>
        <w:t xml:space="preserve">% parmi les femmes). D’un autre côté, </w:t>
      </w:r>
      <w:r w:rsidR="00665285" w:rsidRPr="003F42E2">
        <w:rPr>
          <w:rFonts w:ascii="Book Antiqua" w:hAnsi="Book Antiqua" w:cs="Browallia New"/>
          <w:sz w:val="24"/>
          <w:szCs w:val="24"/>
        </w:rPr>
        <w:t>36,2% d</w:t>
      </w:r>
      <w:r w:rsidR="000B31B4" w:rsidRPr="003F42E2">
        <w:rPr>
          <w:rFonts w:ascii="Book Antiqua" w:hAnsi="Book Antiqua" w:cs="Browallia New"/>
          <w:sz w:val="24"/>
          <w:szCs w:val="24"/>
        </w:rPr>
        <w:t xml:space="preserve">es chômeurs se sont retrouvés dans </w:t>
      </w:r>
      <w:r w:rsidR="005231E2" w:rsidRPr="003F42E2">
        <w:rPr>
          <w:rFonts w:ascii="Book Antiqua" w:hAnsi="Book Antiqua" w:cs="Browallia New"/>
          <w:sz w:val="24"/>
          <w:szCs w:val="24"/>
        </w:rPr>
        <w:t xml:space="preserve">cette situation suite </w:t>
      </w:r>
      <w:r w:rsidR="00732FB1">
        <w:rPr>
          <w:rFonts w:ascii="Book Antiqua" w:hAnsi="Book Antiqua" w:cs="Browallia New"/>
          <w:sz w:val="24"/>
          <w:szCs w:val="24"/>
        </w:rPr>
        <w:t>au licenciement</w:t>
      </w:r>
      <w:r w:rsidR="005231E2" w:rsidRPr="003F42E2">
        <w:rPr>
          <w:rFonts w:ascii="Book Antiqua" w:hAnsi="Book Antiqua" w:cs="Browallia New"/>
          <w:sz w:val="24"/>
          <w:szCs w:val="24"/>
        </w:rPr>
        <w:t xml:space="preserve"> ou à </w:t>
      </w:r>
      <w:r w:rsidR="000B31B4" w:rsidRPr="003F42E2">
        <w:rPr>
          <w:rFonts w:ascii="Book Antiqua" w:hAnsi="Book Antiqua" w:cs="Browallia New"/>
          <w:sz w:val="24"/>
          <w:szCs w:val="24"/>
        </w:rPr>
        <w:t xml:space="preserve">l’arrêt de l’activité de l’établissement employeur.  </w:t>
      </w:r>
    </w:p>
    <w:p w:rsidR="00D146F5" w:rsidRPr="003F42E2" w:rsidRDefault="007245E9" w:rsidP="003F42E2">
      <w:pPr>
        <w:bidi w:val="0"/>
        <w:spacing w:before="240" w:line="276" w:lineRule="auto"/>
        <w:rPr>
          <w:rFonts w:ascii="Book Antiqua" w:hAnsi="Book Antiqua" w:cs="Browallia New"/>
          <w:b/>
          <w:bCs/>
          <w:noProof w:val="0"/>
          <w:color w:val="002060"/>
          <w:sz w:val="28"/>
          <w:szCs w:val="28"/>
        </w:rPr>
      </w:pPr>
      <w:r w:rsidRPr="003F42E2">
        <w:rPr>
          <w:rFonts w:ascii="Book Antiqua" w:hAnsi="Book Antiqua" w:cs="Browallia New"/>
          <w:b/>
          <w:bCs/>
          <w:noProof w:val="0"/>
          <w:color w:val="002060"/>
          <w:sz w:val="28"/>
          <w:szCs w:val="28"/>
        </w:rPr>
        <w:t xml:space="preserve">Baisse </w:t>
      </w:r>
      <w:r w:rsidR="000D0FD1">
        <w:rPr>
          <w:rFonts w:ascii="Book Antiqua" w:hAnsi="Book Antiqua" w:cs="Browallia New"/>
          <w:b/>
          <w:bCs/>
          <w:noProof w:val="0"/>
          <w:color w:val="002060"/>
          <w:sz w:val="28"/>
          <w:szCs w:val="28"/>
        </w:rPr>
        <w:t xml:space="preserve">relative </w:t>
      </w:r>
      <w:r w:rsidRPr="003F42E2">
        <w:rPr>
          <w:rFonts w:ascii="Book Antiqua" w:hAnsi="Book Antiqua" w:cs="Browallia New"/>
          <w:b/>
          <w:bCs/>
          <w:noProof w:val="0"/>
          <w:color w:val="002060"/>
          <w:sz w:val="28"/>
          <w:szCs w:val="28"/>
        </w:rPr>
        <w:t>du s</w:t>
      </w:r>
      <w:r w:rsidR="00642A7B" w:rsidRPr="003F42E2">
        <w:rPr>
          <w:rFonts w:ascii="Book Antiqua" w:hAnsi="Book Antiqua" w:cs="Browallia New"/>
          <w:b/>
          <w:bCs/>
          <w:noProof w:val="0"/>
          <w:color w:val="002060"/>
          <w:sz w:val="28"/>
          <w:szCs w:val="28"/>
        </w:rPr>
        <w:t>ous-emploi</w:t>
      </w:r>
      <w:r w:rsidR="00D146F5" w:rsidRPr="003F42E2">
        <w:rPr>
          <w:rFonts w:ascii="Book Antiqua" w:hAnsi="Book Antiqua" w:cs="Browallia New"/>
          <w:b/>
          <w:bCs/>
          <w:noProof w:val="0"/>
          <w:color w:val="002060"/>
          <w:sz w:val="28"/>
          <w:szCs w:val="28"/>
        </w:rPr>
        <w:t xml:space="preserve"> </w:t>
      </w:r>
    </w:p>
    <w:p w:rsidR="007A5D93" w:rsidRPr="003B6E53" w:rsidRDefault="007A5D93" w:rsidP="003B6E53">
      <w:pPr>
        <w:autoSpaceDE w:val="0"/>
        <w:autoSpaceDN w:val="0"/>
        <w:bidi w:val="0"/>
        <w:adjustRightInd w:val="0"/>
        <w:spacing w:before="120" w:line="276" w:lineRule="auto"/>
        <w:jc w:val="both"/>
        <w:rPr>
          <w:rFonts w:ascii="Book Antiqua" w:hAnsi="Book Antiqua" w:cs="Browallia New"/>
          <w:sz w:val="24"/>
          <w:szCs w:val="24"/>
        </w:rPr>
      </w:pPr>
      <w:r w:rsidRPr="003B6E53">
        <w:rPr>
          <w:rFonts w:ascii="Book Antiqua" w:hAnsi="Book Antiqua" w:cs="Browallia New"/>
          <w:sz w:val="24"/>
          <w:szCs w:val="24"/>
        </w:rPr>
        <w:t xml:space="preserve">Conformément aux recommandations du BIT, le sous-emploi est constitué, selon l’approche de l’Enquête nationale sur l’emploi,  de deux composantes, la première liée au nombre d’heures travaillées et la deuxième à l’insuffisance du revenu ou à l’inadéquation entre la formation et l’emploi exercé. </w:t>
      </w:r>
    </w:p>
    <w:p w:rsidR="007A5D93" w:rsidRPr="003B6E53" w:rsidRDefault="007A5D93" w:rsidP="000D0FD1">
      <w:pPr>
        <w:autoSpaceDE w:val="0"/>
        <w:autoSpaceDN w:val="0"/>
        <w:bidi w:val="0"/>
        <w:adjustRightInd w:val="0"/>
        <w:spacing w:before="120" w:line="312" w:lineRule="auto"/>
        <w:jc w:val="both"/>
        <w:rPr>
          <w:rFonts w:ascii="Book Antiqua" w:hAnsi="Book Antiqua" w:cs="Browallia New"/>
          <w:sz w:val="24"/>
          <w:szCs w:val="24"/>
        </w:rPr>
      </w:pPr>
      <w:r w:rsidRPr="003B6E53">
        <w:rPr>
          <w:rFonts w:ascii="Book Antiqua" w:hAnsi="Book Antiqua" w:cs="Browallia New"/>
          <w:sz w:val="24"/>
          <w:szCs w:val="24"/>
        </w:rPr>
        <w:t xml:space="preserve">S’agissant de la première composante, la population active occupée en situation de sous-emploi lié au nombre d’heures travaillées a atteint 385.000 personnes au niveau </w:t>
      </w:r>
      <w:r w:rsidRPr="003B6E53">
        <w:rPr>
          <w:rFonts w:ascii="Book Antiqua" w:hAnsi="Book Antiqua" w:cs="Browallia New"/>
          <w:sz w:val="24"/>
          <w:szCs w:val="24"/>
        </w:rPr>
        <w:lastRenderedPageBreak/>
        <w:t xml:space="preserve">national, avec un taux de 3,5%. La population en situation de sous-emploi lié à l’insuffisance du revenu ou à l’inadéquation entre la formation et l’emploi exercé est de 616.000 personnes </w:t>
      </w:r>
      <w:r w:rsidR="000D0FD1">
        <w:rPr>
          <w:rFonts w:ascii="Book Antiqua" w:hAnsi="Book Antiqua" w:cs="Browallia New"/>
          <w:sz w:val="24"/>
          <w:szCs w:val="24"/>
        </w:rPr>
        <w:t>(5,7%). Au total</w:t>
      </w:r>
      <w:r w:rsidRPr="003B6E53">
        <w:rPr>
          <w:rFonts w:ascii="Book Antiqua" w:hAnsi="Book Antiqua" w:cs="Browallia New"/>
          <w:sz w:val="24"/>
          <w:szCs w:val="24"/>
        </w:rPr>
        <w:t xml:space="preserve">, le volume du sous-emploi, dans ses deux composantes, est de 1.001.000 personnes au lieu de </w:t>
      </w:r>
      <w:r w:rsidR="008A58F0" w:rsidRPr="003B6E53">
        <w:rPr>
          <w:rFonts w:ascii="Book Antiqua" w:hAnsi="Book Antiqua" w:cs="Browallia New"/>
          <w:sz w:val="24"/>
          <w:szCs w:val="24"/>
        </w:rPr>
        <w:t>1.01</w:t>
      </w:r>
      <w:r w:rsidR="00894250" w:rsidRPr="003B6E53">
        <w:rPr>
          <w:rFonts w:ascii="Book Antiqua" w:hAnsi="Book Antiqua" w:cs="Browallia New"/>
          <w:sz w:val="24"/>
          <w:szCs w:val="24"/>
        </w:rPr>
        <w:t>0</w:t>
      </w:r>
      <w:r w:rsidR="008A58F0" w:rsidRPr="003B6E53">
        <w:rPr>
          <w:rFonts w:ascii="Book Antiqua" w:hAnsi="Book Antiqua" w:cs="Browallia New"/>
          <w:sz w:val="24"/>
          <w:szCs w:val="24"/>
        </w:rPr>
        <w:t xml:space="preserve">.000 </w:t>
      </w:r>
      <w:r w:rsidRPr="003B6E53">
        <w:rPr>
          <w:rFonts w:ascii="Book Antiqua" w:hAnsi="Book Antiqua" w:cs="Browallia New"/>
          <w:sz w:val="24"/>
          <w:szCs w:val="24"/>
        </w:rPr>
        <w:t>personnes une  année auparavant au niveau national</w:t>
      </w:r>
      <w:r w:rsidR="008A58F0" w:rsidRPr="003B6E53">
        <w:rPr>
          <w:rFonts w:ascii="Book Antiqua" w:hAnsi="Book Antiqua" w:cs="Browallia New"/>
          <w:sz w:val="24"/>
          <w:szCs w:val="24"/>
        </w:rPr>
        <w:t xml:space="preserve">. </w:t>
      </w:r>
    </w:p>
    <w:p w:rsidR="008A58F0" w:rsidRPr="003B6E53" w:rsidRDefault="008A58F0" w:rsidP="003B6E53">
      <w:pPr>
        <w:autoSpaceDE w:val="0"/>
        <w:autoSpaceDN w:val="0"/>
        <w:bidi w:val="0"/>
        <w:adjustRightInd w:val="0"/>
        <w:spacing w:before="120" w:line="312" w:lineRule="auto"/>
        <w:jc w:val="both"/>
        <w:rPr>
          <w:rFonts w:ascii="Book Antiqua" w:hAnsi="Book Antiqua" w:cs="Browallia New"/>
          <w:sz w:val="24"/>
          <w:szCs w:val="24"/>
        </w:rPr>
      </w:pPr>
      <w:r w:rsidRPr="003B6E53">
        <w:rPr>
          <w:rFonts w:ascii="Book Antiqua" w:hAnsi="Book Antiqua" w:cs="Browallia New"/>
          <w:sz w:val="24"/>
          <w:szCs w:val="24"/>
        </w:rPr>
        <w:t>Le taux de sous-emploi est</w:t>
      </w:r>
      <w:r w:rsidR="007A5D93" w:rsidRPr="003B6E53">
        <w:rPr>
          <w:rFonts w:ascii="Book Antiqua" w:hAnsi="Book Antiqua" w:cs="Browallia New"/>
          <w:sz w:val="24"/>
          <w:szCs w:val="24"/>
        </w:rPr>
        <w:t xml:space="preserve">, quant à lui, </w:t>
      </w:r>
      <w:r w:rsidRPr="003B6E53">
        <w:rPr>
          <w:rFonts w:ascii="Book Antiqua" w:hAnsi="Book Antiqua" w:cs="Browallia New"/>
          <w:sz w:val="24"/>
          <w:szCs w:val="24"/>
        </w:rPr>
        <w:t>passé de 9,</w:t>
      </w:r>
      <w:r w:rsidR="00894250" w:rsidRPr="003B6E53">
        <w:rPr>
          <w:rFonts w:ascii="Book Antiqua" w:hAnsi="Book Antiqua" w:cs="Browallia New"/>
          <w:sz w:val="24"/>
          <w:szCs w:val="24"/>
        </w:rPr>
        <w:t>3</w:t>
      </w:r>
      <w:r w:rsidRPr="003B6E53">
        <w:rPr>
          <w:rFonts w:ascii="Book Antiqua" w:hAnsi="Book Antiqua" w:cs="Browallia New"/>
          <w:sz w:val="24"/>
          <w:szCs w:val="24"/>
        </w:rPr>
        <w:t>% à 9,</w:t>
      </w:r>
      <w:r w:rsidR="003D718B" w:rsidRPr="003B6E53">
        <w:rPr>
          <w:rFonts w:ascii="Book Antiqua" w:hAnsi="Book Antiqua" w:cs="Browallia New"/>
          <w:sz w:val="24"/>
          <w:szCs w:val="24"/>
        </w:rPr>
        <w:t>2</w:t>
      </w:r>
      <w:r w:rsidRPr="003B6E53">
        <w:rPr>
          <w:rFonts w:ascii="Book Antiqua" w:hAnsi="Book Antiqua" w:cs="Browallia New"/>
          <w:sz w:val="24"/>
          <w:szCs w:val="24"/>
        </w:rPr>
        <w:t>% au niveau national, de 8,</w:t>
      </w:r>
      <w:r w:rsidR="00894250" w:rsidRPr="003B6E53">
        <w:rPr>
          <w:rFonts w:ascii="Book Antiqua" w:hAnsi="Book Antiqua" w:cs="Browallia New"/>
          <w:sz w:val="24"/>
          <w:szCs w:val="24"/>
        </w:rPr>
        <w:t>4</w:t>
      </w:r>
      <w:r w:rsidRPr="003B6E53">
        <w:rPr>
          <w:rFonts w:ascii="Book Antiqua" w:hAnsi="Book Antiqua" w:cs="Browallia New"/>
          <w:sz w:val="24"/>
          <w:szCs w:val="24"/>
        </w:rPr>
        <w:t>% à 8,</w:t>
      </w:r>
      <w:r w:rsidR="003D718B" w:rsidRPr="003B6E53">
        <w:rPr>
          <w:rFonts w:ascii="Book Antiqua" w:hAnsi="Book Antiqua" w:cs="Browallia New"/>
          <w:sz w:val="24"/>
          <w:szCs w:val="24"/>
        </w:rPr>
        <w:t>3</w:t>
      </w:r>
      <w:r w:rsidRPr="003B6E53">
        <w:rPr>
          <w:rFonts w:ascii="Book Antiqua" w:hAnsi="Book Antiqua" w:cs="Browallia New"/>
          <w:sz w:val="24"/>
          <w:szCs w:val="24"/>
        </w:rPr>
        <w:t>% en milieu urbain et de 10,</w:t>
      </w:r>
      <w:r w:rsidR="00894250" w:rsidRPr="003B6E53">
        <w:rPr>
          <w:rFonts w:ascii="Book Antiqua" w:hAnsi="Book Antiqua" w:cs="Browallia New"/>
          <w:sz w:val="24"/>
          <w:szCs w:val="24"/>
        </w:rPr>
        <w:t>6</w:t>
      </w:r>
      <w:r w:rsidRPr="003B6E53">
        <w:rPr>
          <w:rFonts w:ascii="Book Antiqua" w:hAnsi="Book Antiqua" w:cs="Browallia New"/>
          <w:sz w:val="24"/>
          <w:szCs w:val="24"/>
        </w:rPr>
        <w:t>% à 10,</w:t>
      </w:r>
      <w:r w:rsidR="003D718B" w:rsidRPr="003B6E53">
        <w:rPr>
          <w:rFonts w:ascii="Book Antiqua" w:hAnsi="Book Antiqua" w:cs="Browallia New"/>
          <w:sz w:val="24"/>
          <w:szCs w:val="24"/>
        </w:rPr>
        <w:t>4</w:t>
      </w:r>
      <w:r w:rsidRPr="003B6E53">
        <w:rPr>
          <w:rFonts w:ascii="Book Antiqua" w:hAnsi="Book Antiqua" w:cs="Browallia New"/>
          <w:sz w:val="24"/>
          <w:szCs w:val="24"/>
        </w:rPr>
        <w:t>% en milieu rural.</w:t>
      </w:r>
    </w:p>
    <w:p w:rsidR="008A58F0" w:rsidRPr="003F42E2" w:rsidRDefault="008A58F0" w:rsidP="003F42E2">
      <w:pPr>
        <w:autoSpaceDE w:val="0"/>
        <w:autoSpaceDN w:val="0"/>
        <w:bidi w:val="0"/>
        <w:adjustRightInd w:val="0"/>
        <w:spacing w:before="240" w:line="192" w:lineRule="auto"/>
        <w:jc w:val="center"/>
        <w:rPr>
          <w:rFonts w:ascii="Book Antiqua" w:hAnsi="Book Antiqua" w:cs="Browallia New"/>
          <w:b/>
          <w:bCs/>
          <w:noProof w:val="0"/>
          <w:color w:val="525252" w:themeColor="accent3" w:themeShade="80"/>
          <w:sz w:val="24"/>
          <w:szCs w:val="24"/>
        </w:rPr>
      </w:pPr>
      <w:r w:rsidRPr="003F42E2">
        <w:rPr>
          <w:rFonts w:ascii="Book Antiqua" w:hAnsi="Book Antiqua" w:cs="Browallia New"/>
          <w:b/>
          <w:bCs/>
          <w:noProof w:val="0"/>
          <w:color w:val="525252" w:themeColor="accent3" w:themeShade="80"/>
          <w:sz w:val="24"/>
          <w:szCs w:val="24"/>
        </w:rPr>
        <w:t xml:space="preserve">Figure 4 : </w:t>
      </w:r>
      <w:r w:rsidR="005231E2" w:rsidRPr="003F42E2">
        <w:rPr>
          <w:rFonts w:ascii="Book Antiqua" w:hAnsi="Book Antiqua" w:cs="Browallia New"/>
          <w:b/>
          <w:bCs/>
          <w:noProof w:val="0"/>
          <w:color w:val="525252" w:themeColor="accent3" w:themeShade="80"/>
          <w:sz w:val="24"/>
          <w:szCs w:val="24"/>
        </w:rPr>
        <w:t>Évolution</w:t>
      </w:r>
      <w:r w:rsidRPr="003F42E2">
        <w:rPr>
          <w:rFonts w:ascii="Book Antiqua" w:hAnsi="Book Antiqua" w:cs="Browallia New"/>
          <w:b/>
          <w:bCs/>
          <w:noProof w:val="0"/>
          <w:color w:val="525252" w:themeColor="accent3" w:themeShade="80"/>
          <w:sz w:val="24"/>
          <w:szCs w:val="24"/>
        </w:rPr>
        <w:t xml:space="preserve"> du taux de sous-emploi de certaines catégories de la population active</w:t>
      </w:r>
      <w:r w:rsidR="00D96037" w:rsidRPr="003F42E2">
        <w:rPr>
          <w:rFonts w:ascii="Book Antiqua" w:hAnsi="Book Antiqua" w:cs="Browallia New"/>
          <w:b/>
          <w:bCs/>
          <w:noProof w:val="0"/>
          <w:color w:val="525252" w:themeColor="accent3" w:themeShade="80"/>
          <w:sz w:val="24"/>
          <w:szCs w:val="24"/>
        </w:rPr>
        <w:t xml:space="preserve"> </w:t>
      </w:r>
      <w:r w:rsidRPr="003F42E2">
        <w:rPr>
          <w:rFonts w:ascii="Book Antiqua" w:hAnsi="Book Antiqua" w:cs="Browallia New"/>
          <w:b/>
          <w:bCs/>
          <w:noProof w:val="0"/>
          <w:color w:val="525252" w:themeColor="accent3" w:themeShade="80"/>
          <w:sz w:val="24"/>
          <w:szCs w:val="24"/>
        </w:rPr>
        <w:t xml:space="preserve">occupée entre </w:t>
      </w:r>
      <w:r w:rsidR="00D96037" w:rsidRPr="003F42E2">
        <w:rPr>
          <w:rFonts w:ascii="Book Antiqua" w:hAnsi="Book Antiqua" w:cs="Browallia New"/>
          <w:b/>
          <w:bCs/>
          <w:noProof w:val="0"/>
          <w:color w:val="525252" w:themeColor="accent3" w:themeShade="80"/>
          <w:sz w:val="24"/>
          <w:szCs w:val="24"/>
        </w:rPr>
        <w:t>2018</w:t>
      </w:r>
      <w:r w:rsidRPr="003F42E2">
        <w:rPr>
          <w:rFonts w:ascii="Book Antiqua" w:hAnsi="Book Antiqua" w:cs="Browallia New"/>
          <w:b/>
          <w:bCs/>
          <w:noProof w:val="0"/>
          <w:color w:val="525252" w:themeColor="accent3" w:themeShade="80"/>
          <w:sz w:val="24"/>
          <w:szCs w:val="24"/>
        </w:rPr>
        <w:t xml:space="preserve"> et </w:t>
      </w:r>
      <w:r w:rsidR="00D96037" w:rsidRPr="003F42E2">
        <w:rPr>
          <w:rFonts w:ascii="Book Antiqua" w:hAnsi="Book Antiqua" w:cs="Browallia New"/>
          <w:b/>
          <w:bCs/>
          <w:noProof w:val="0"/>
          <w:color w:val="525252" w:themeColor="accent3" w:themeShade="80"/>
          <w:sz w:val="24"/>
          <w:szCs w:val="24"/>
        </w:rPr>
        <w:t>2019</w:t>
      </w:r>
      <w:r w:rsidRPr="003F42E2">
        <w:rPr>
          <w:rFonts w:ascii="Book Antiqua" w:hAnsi="Book Antiqua" w:cs="Browallia New"/>
          <w:b/>
          <w:bCs/>
          <w:noProof w:val="0"/>
          <w:color w:val="525252" w:themeColor="accent3" w:themeShade="80"/>
          <w:sz w:val="24"/>
          <w:szCs w:val="24"/>
        </w:rPr>
        <w:t xml:space="preserve"> (en %).</w:t>
      </w:r>
    </w:p>
    <w:p w:rsidR="008A58F0" w:rsidRPr="003F42E2" w:rsidRDefault="003A0AF4" w:rsidP="008A58F0">
      <w:pPr>
        <w:autoSpaceDE w:val="0"/>
        <w:autoSpaceDN w:val="0"/>
        <w:bidi w:val="0"/>
        <w:adjustRightInd w:val="0"/>
        <w:jc w:val="center"/>
        <w:rPr>
          <w:rFonts w:ascii="Book Antiqua" w:hAnsi="Book Antiqua" w:cs="Browallia New"/>
          <w:noProof w:val="0"/>
          <w:sz w:val="28"/>
          <w:szCs w:val="28"/>
        </w:rPr>
      </w:pPr>
      <w:r w:rsidRPr="003F42E2">
        <w:rPr>
          <w:rFonts w:ascii="Book Antiqua" w:hAnsi="Book Antiqua" w:cs="Browallia New"/>
          <w:sz w:val="28"/>
          <w:szCs w:val="28"/>
        </w:rPr>
        <w:drawing>
          <wp:inline distT="0" distB="0" distL="0" distR="0">
            <wp:extent cx="4783667" cy="2370666"/>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5E27" w:rsidRPr="003F42E2" w:rsidRDefault="008A58F0" w:rsidP="00823269">
      <w:pPr>
        <w:autoSpaceDE w:val="0"/>
        <w:autoSpaceDN w:val="0"/>
        <w:bidi w:val="0"/>
        <w:adjustRightInd w:val="0"/>
        <w:spacing w:before="240" w:line="276" w:lineRule="auto"/>
        <w:jc w:val="both"/>
        <w:rPr>
          <w:rFonts w:ascii="Book Antiqua" w:hAnsi="Book Antiqua" w:cs="Browallia New"/>
          <w:noProof w:val="0"/>
          <w:sz w:val="24"/>
          <w:szCs w:val="24"/>
        </w:rPr>
      </w:pPr>
      <w:r w:rsidRPr="003F42E2">
        <w:rPr>
          <w:rFonts w:ascii="Book Antiqua" w:hAnsi="Book Antiqua" w:cs="Browallia New"/>
          <w:noProof w:val="0"/>
          <w:sz w:val="24"/>
          <w:szCs w:val="24"/>
        </w:rPr>
        <w:t>Au niveau national, le taux de sous-emploi des hommes (</w:t>
      </w:r>
      <w:r w:rsidR="003D718B" w:rsidRPr="003F42E2">
        <w:rPr>
          <w:rFonts w:ascii="Book Antiqua" w:hAnsi="Book Antiqua" w:cs="Browallia New"/>
          <w:noProof w:val="0"/>
          <w:sz w:val="24"/>
          <w:szCs w:val="24"/>
        </w:rPr>
        <w:t>10,3</w:t>
      </w:r>
      <w:r w:rsidRPr="003F42E2">
        <w:rPr>
          <w:rFonts w:ascii="Book Antiqua" w:hAnsi="Book Antiqua" w:cs="Browallia New"/>
          <w:noProof w:val="0"/>
          <w:sz w:val="24"/>
          <w:szCs w:val="24"/>
        </w:rPr>
        <w:t xml:space="preserve">%) est </w:t>
      </w:r>
      <w:r w:rsidR="00B63E1F">
        <w:rPr>
          <w:rFonts w:ascii="Book Antiqua" w:hAnsi="Book Antiqua" w:cs="Browallia New"/>
          <w:noProof w:val="0"/>
          <w:sz w:val="24"/>
          <w:szCs w:val="24"/>
        </w:rPr>
        <w:t xml:space="preserve">presque le double de </w:t>
      </w:r>
      <w:r w:rsidRPr="003F42E2">
        <w:rPr>
          <w:rFonts w:ascii="Book Antiqua" w:hAnsi="Book Antiqua" w:cs="Browallia New"/>
          <w:noProof w:val="0"/>
          <w:sz w:val="24"/>
          <w:szCs w:val="24"/>
        </w:rPr>
        <w:t>celui des femmes (5,</w:t>
      </w:r>
      <w:r w:rsidR="003D718B" w:rsidRPr="003F42E2">
        <w:rPr>
          <w:rFonts w:ascii="Book Antiqua" w:hAnsi="Book Antiqua" w:cs="Browallia New"/>
          <w:noProof w:val="0"/>
          <w:sz w:val="24"/>
          <w:szCs w:val="24"/>
        </w:rPr>
        <w:t>5</w:t>
      </w:r>
      <w:r w:rsidRPr="003F42E2">
        <w:rPr>
          <w:rFonts w:ascii="Book Antiqua" w:hAnsi="Book Antiqua" w:cs="Browallia New"/>
          <w:noProof w:val="0"/>
          <w:sz w:val="24"/>
          <w:szCs w:val="24"/>
        </w:rPr>
        <w:t>%). Dans les villes</w:t>
      </w:r>
      <w:r w:rsidR="00B61699">
        <w:rPr>
          <w:rFonts w:ascii="Book Antiqua" w:hAnsi="Book Antiqua" w:cs="Browallia New"/>
          <w:noProof w:val="0"/>
          <w:sz w:val="24"/>
          <w:szCs w:val="24"/>
        </w:rPr>
        <w:t xml:space="preserve">, il </w:t>
      </w:r>
      <w:r w:rsidRPr="003F42E2">
        <w:rPr>
          <w:rFonts w:ascii="Book Antiqua" w:hAnsi="Book Antiqua" w:cs="Browallia New"/>
          <w:noProof w:val="0"/>
          <w:sz w:val="24"/>
          <w:szCs w:val="24"/>
        </w:rPr>
        <w:t xml:space="preserve">est presque </w:t>
      </w:r>
      <w:r w:rsidR="00B61699">
        <w:rPr>
          <w:rFonts w:ascii="Book Antiqua" w:hAnsi="Book Antiqua" w:cs="Browallia New"/>
          <w:noProof w:val="0"/>
          <w:sz w:val="24"/>
          <w:szCs w:val="24"/>
        </w:rPr>
        <w:t xml:space="preserve">de </w:t>
      </w:r>
      <w:r w:rsidRPr="003F42E2">
        <w:rPr>
          <w:rFonts w:ascii="Book Antiqua" w:hAnsi="Book Antiqua" w:cs="Browallia New"/>
          <w:noProof w:val="0"/>
          <w:sz w:val="24"/>
          <w:szCs w:val="24"/>
        </w:rPr>
        <w:t>même</w:t>
      </w:r>
      <w:r w:rsidR="00B61699">
        <w:rPr>
          <w:rFonts w:ascii="Book Antiqua" w:hAnsi="Book Antiqua" w:cs="Browallia New"/>
          <w:noProof w:val="0"/>
          <w:sz w:val="24"/>
          <w:szCs w:val="24"/>
        </w:rPr>
        <w:t xml:space="preserve"> niveau, </w:t>
      </w:r>
      <w:r w:rsidRPr="003F42E2">
        <w:rPr>
          <w:rFonts w:ascii="Book Antiqua" w:hAnsi="Book Antiqua" w:cs="Browallia New"/>
          <w:noProof w:val="0"/>
          <w:sz w:val="24"/>
          <w:szCs w:val="24"/>
        </w:rPr>
        <w:t>respectivement 8,</w:t>
      </w:r>
      <w:r w:rsidR="003D718B" w:rsidRPr="003F42E2">
        <w:rPr>
          <w:rFonts w:ascii="Book Antiqua" w:hAnsi="Book Antiqua" w:cs="Browallia New"/>
          <w:noProof w:val="0"/>
          <w:sz w:val="24"/>
          <w:szCs w:val="24"/>
        </w:rPr>
        <w:t>2</w:t>
      </w:r>
      <w:r w:rsidRPr="003F42E2">
        <w:rPr>
          <w:rFonts w:ascii="Book Antiqua" w:hAnsi="Book Antiqua" w:cs="Browallia New"/>
          <w:noProof w:val="0"/>
          <w:sz w:val="24"/>
          <w:szCs w:val="24"/>
        </w:rPr>
        <w:t xml:space="preserve">% et </w:t>
      </w:r>
      <w:r w:rsidR="003D718B" w:rsidRPr="003F42E2">
        <w:rPr>
          <w:rFonts w:ascii="Book Antiqua" w:hAnsi="Book Antiqua" w:cs="Browallia New"/>
          <w:noProof w:val="0"/>
          <w:sz w:val="24"/>
          <w:szCs w:val="24"/>
        </w:rPr>
        <w:t>8,5</w:t>
      </w:r>
      <w:r w:rsidRPr="003F42E2">
        <w:rPr>
          <w:rFonts w:ascii="Book Antiqua" w:hAnsi="Book Antiqua" w:cs="Browallia New"/>
          <w:noProof w:val="0"/>
          <w:sz w:val="24"/>
          <w:szCs w:val="24"/>
        </w:rPr>
        <w:t>%</w:t>
      </w:r>
      <w:r w:rsidR="00B61699">
        <w:rPr>
          <w:rFonts w:ascii="Book Antiqua" w:hAnsi="Book Antiqua" w:cs="Browallia New"/>
          <w:noProof w:val="0"/>
          <w:sz w:val="24"/>
          <w:szCs w:val="24"/>
        </w:rPr>
        <w:t xml:space="preserve">, alors </w:t>
      </w:r>
      <w:r w:rsidRPr="003F42E2">
        <w:rPr>
          <w:rFonts w:ascii="Book Antiqua" w:hAnsi="Book Antiqua" w:cs="Browallia New"/>
          <w:noProof w:val="0"/>
          <w:sz w:val="24"/>
          <w:szCs w:val="24"/>
        </w:rPr>
        <w:t xml:space="preserve">dans la campagne, il est </w:t>
      </w:r>
      <w:r w:rsidR="003D718B" w:rsidRPr="003F42E2">
        <w:rPr>
          <w:rFonts w:ascii="Book Antiqua" w:hAnsi="Book Antiqua" w:cs="Browallia New"/>
          <w:noProof w:val="0"/>
          <w:sz w:val="24"/>
          <w:szCs w:val="24"/>
        </w:rPr>
        <w:t>5</w:t>
      </w:r>
      <w:r w:rsidRPr="003F42E2">
        <w:rPr>
          <w:rFonts w:ascii="Book Antiqua" w:hAnsi="Book Antiqua" w:cs="Browallia New"/>
          <w:noProof w:val="0"/>
          <w:sz w:val="24"/>
          <w:szCs w:val="24"/>
        </w:rPr>
        <w:t xml:space="preserve"> fois plus important parmi les hommes (</w:t>
      </w:r>
      <w:r w:rsidR="003D718B" w:rsidRPr="003F42E2">
        <w:rPr>
          <w:rFonts w:ascii="Book Antiqua" w:hAnsi="Book Antiqua" w:cs="Browallia New"/>
          <w:noProof w:val="0"/>
          <w:sz w:val="24"/>
          <w:szCs w:val="24"/>
        </w:rPr>
        <w:t>13,3</w:t>
      </w:r>
      <w:r w:rsidRPr="003F42E2">
        <w:rPr>
          <w:rFonts w:ascii="Book Antiqua" w:hAnsi="Book Antiqua" w:cs="Browallia New"/>
          <w:noProof w:val="0"/>
          <w:sz w:val="24"/>
          <w:szCs w:val="24"/>
        </w:rPr>
        <w:t>%) que parmi les femmes (2,</w:t>
      </w:r>
      <w:r w:rsidR="003D718B" w:rsidRPr="003F42E2">
        <w:rPr>
          <w:rFonts w:ascii="Book Antiqua" w:hAnsi="Book Antiqua" w:cs="Browallia New"/>
          <w:noProof w:val="0"/>
          <w:sz w:val="24"/>
          <w:szCs w:val="24"/>
        </w:rPr>
        <w:t>5</w:t>
      </w:r>
      <w:r w:rsidRPr="003F42E2">
        <w:rPr>
          <w:rFonts w:ascii="Book Antiqua" w:hAnsi="Book Antiqua" w:cs="Browallia New"/>
          <w:noProof w:val="0"/>
          <w:sz w:val="24"/>
          <w:szCs w:val="24"/>
        </w:rPr>
        <w:t>%).</w:t>
      </w:r>
    </w:p>
    <w:p w:rsidR="00050ACD" w:rsidRDefault="00050ACD" w:rsidP="00823269">
      <w:pPr>
        <w:bidi w:val="0"/>
        <w:spacing w:before="240"/>
        <w:rPr>
          <w:rFonts w:ascii="Book Antiqua" w:hAnsi="Book Antiqua" w:cs="Browallia New"/>
          <w:b/>
          <w:bCs/>
          <w:noProof w:val="0"/>
          <w:color w:val="002060"/>
          <w:sz w:val="28"/>
          <w:szCs w:val="28"/>
        </w:rPr>
      </w:pPr>
      <w:r w:rsidRPr="003F42E2">
        <w:rPr>
          <w:rFonts w:ascii="Book Antiqua" w:hAnsi="Book Antiqua" w:cs="Browallia New"/>
          <w:b/>
          <w:bCs/>
          <w:noProof w:val="0"/>
          <w:color w:val="002060"/>
          <w:sz w:val="28"/>
          <w:szCs w:val="28"/>
        </w:rPr>
        <w:t>Situation régionale du marché du travail</w:t>
      </w:r>
      <w:r w:rsidRPr="003F42E2">
        <w:rPr>
          <w:rFonts w:ascii="Book Antiqua" w:hAnsi="Book Antiqua" w:cs="Browallia New"/>
          <w:color w:val="002060"/>
          <w:sz w:val="28"/>
          <w:szCs w:val="28"/>
          <w:vertAlign w:val="superscript"/>
        </w:rPr>
        <w:footnoteReference w:id="2"/>
      </w:r>
    </w:p>
    <w:p w:rsidR="00050ACD" w:rsidRPr="003F42E2" w:rsidRDefault="00050ACD" w:rsidP="00823269">
      <w:pPr>
        <w:autoSpaceDE w:val="0"/>
        <w:autoSpaceDN w:val="0"/>
        <w:bidi w:val="0"/>
        <w:adjustRightInd w:val="0"/>
        <w:spacing w:before="240" w:after="120" w:line="276" w:lineRule="auto"/>
        <w:jc w:val="both"/>
        <w:rPr>
          <w:rFonts w:ascii="Book Antiqua" w:hAnsi="Book Antiqua" w:cs="Browallia New"/>
          <w:noProof w:val="0"/>
          <w:sz w:val="24"/>
          <w:szCs w:val="24"/>
        </w:rPr>
      </w:pPr>
      <w:r w:rsidRPr="003F42E2">
        <w:rPr>
          <w:rFonts w:ascii="Book Antiqua" w:hAnsi="Book Antiqua" w:cs="Browallia New"/>
          <w:noProof w:val="0"/>
          <w:sz w:val="24"/>
          <w:szCs w:val="24"/>
        </w:rPr>
        <w:t xml:space="preserve">Cinq régions abritent </w:t>
      </w:r>
      <w:r w:rsidR="00367888" w:rsidRPr="003F42E2">
        <w:rPr>
          <w:rFonts w:ascii="Book Antiqua" w:hAnsi="Book Antiqua" w:cs="Browallia New"/>
          <w:noProof w:val="0"/>
          <w:sz w:val="24"/>
          <w:szCs w:val="24"/>
        </w:rPr>
        <w:t>71,9%</w:t>
      </w:r>
      <w:r w:rsidRPr="003F42E2">
        <w:rPr>
          <w:rFonts w:ascii="Book Antiqua" w:hAnsi="Book Antiqua" w:cs="Browallia New"/>
          <w:noProof w:val="0"/>
          <w:sz w:val="24"/>
          <w:szCs w:val="24"/>
        </w:rPr>
        <w:t xml:space="preserve"> de l’ensemble de</w:t>
      </w:r>
      <w:r w:rsidR="00B61699">
        <w:rPr>
          <w:rFonts w:ascii="Book Antiqua" w:hAnsi="Book Antiqua" w:cs="Browallia New"/>
          <w:noProof w:val="0"/>
          <w:sz w:val="24"/>
          <w:szCs w:val="24"/>
        </w:rPr>
        <w:t xml:space="preserve">s actifs âgés de 15 ans et plus. Celle </w:t>
      </w:r>
      <w:r w:rsidRPr="003F42E2">
        <w:rPr>
          <w:rFonts w:ascii="Book Antiqua" w:hAnsi="Book Antiqua" w:cs="Browallia New"/>
          <w:noProof w:val="0"/>
          <w:sz w:val="24"/>
          <w:szCs w:val="24"/>
        </w:rPr>
        <w:t>de Casablanca-Settat vient en première  position avec 22,9% d’actifs, suivie de Rabat-Salé-Kénitra (13,6%), Marrakech-Safi (13,4%), Fès-Meknès (11,5%) et Tanger-Tétouan-Al Hoceima (10,6%).</w:t>
      </w:r>
    </w:p>
    <w:p w:rsidR="00050ACD" w:rsidRPr="003F42E2" w:rsidRDefault="00050ACD" w:rsidP="00B61699">
      <w:pPr>
        <w:autoSpaceDE w:val="0"/>
        <w:autoSpaceDN w:val="0"/>
        <w:bidi w:val="0"/>
        <w:adjustRightInd w:val="0"/>
        <w:spacing w:after="120" w:line="276" w:lineRule="auto"/>
        <w:jc w:val="both"/>
        <w:rPr>
          <w:rFonts w:ascii="Book Antiqua" w:hAnsi="Book Antiqua" w:cs="Browallia New"/>
          <w:noProof w:val="0"/>
          <w:sz w:val="24"/>
          <w:szCs w:val="24"/>
        </w:rPr>
      </w:pPr>
      <w:r w:rsidRPr="003F42E2">
        <w:rPr>
          <w:rFonts w:ascii="Book Antiqua" w:hAnsi="Book Antiqua" w:cs="Browallia New"/>
          <w:noProof w:val="0"/>
          <w:sz w:val="24"/>
          <w:szCs w:val="24"/>
        </w:rPr>
        <w:t>Trois région</w:t>
      </w:r>
      <w:r w:rsidR="00732FB1">
        <w:rPr>
          <w:rFonts w:ascii="Book Antiqua" w:hAnsi="Book Antiqua" w:cs="Browallia New"/>
          <w:noProof w:val="0"/>
          <w:sz w:val="24"/>
          <w:szCs w:val="24"/>
        </w:rPr>
        <w:t>s enregistr</w:t>
      </w:r>
      <w:r w:rsidRPr="003F42E2">
        <w:rPr>
          <w:rFonts w:ascii="Book Antiqua" w:hAnsi="Book Antiqua" w:cs="Browallia New"/>
          <w:noProof w:val="0"/>
          <w:sz w:val="24"/>
          <w:szCs w:val="24"/>
        </w:rPr>
        <w:t xml:space="preserve">ent des taux d’activité </w:t>
      </w:r>
      <w:r w:rsidR="00B61699">
        <w:rPr>
          <w:rFonts w:ascii="Book Antiqua" w:hAnsi="Book Antiqua" w:cs="Browallia New"/>
          <w:noProof w:val="0"/>
          <w:sz w:val="24"/>
          <w:szCs w:val="24"/>
        </w:rPr>
        <w:t xml:space="preserve">supérieurs à  la moyenne nationale (45,8%). Il s’agit de </w:t>
      </w:r>
      <w:r w:rsidRPr="003F42E2">
        <w:rPr>
          <w:rFonts w:ascii="Book Antiqua" w:hAnsi="Book Antiqua" w:cs="Browallia New"/>
          <w:noProof w:val="0"/>
          <w:sz w:val="24"/>
          <w:szCs w:val="24"/>
        </w:rPr>
        <w:t>Casablanca-Settat (50%), Marrakech-Safi (47,4%) et Régions du Sud (46%). En revanche, les taux les plus bas sont enregistrés dans les régions de Drâa-Tafilalet (41,6%) et de Souss-Massa (42,9%).</w:t>
      </w:r>
    </w:p>
    <w:p w:rsidR="003B6E53" w:rsidRDefault="003B6E53">
      <w:pPr>
        <w:bidi w:val="0"/>
        <w:spacing w:after="160" w:line="259" w:lineRule="auto"/>
        <w:rPr>
          <w:rFonts w:ascii="Book Antiqua" w:hAnsi="Book Antiqua" w:cs="Browallia New"/>
          <w:b/>
          <w:bCs/>
          <w:noProof w:val="0"/>
          <w:color w:val="525252" w:themeColor="accent3" w:themeShade="80"/>
          <w:sz w:val="24"/>
          <w:szCs w:val="24"/>
        </w:rPr>
      </w:pPr>
      <w:r>
        <w:rPr>
          <w:rFonts w:ascii="Book Antiqua" w:hAnsi="Book Antiqua" w:cs="Browallia New"/>
          <w:b/>
          <w:bCs/>
          <w:noProof w:val="0"/>
          <w:color w:val="525252" w:themeColor="accent3" w:themeShade="80"/>
          <w:sz w:val="24"/>
          <w:szCs w:val="24"/>
        </w:rPr>
        <w:br w:type="page"/>
      </w:r>
    </w:p>
    <w:p w:rsidR="00050ACD" w:rsidRPr="003F42E2" w:rsidRDefault="00050ACD" w:rsidP="00CF4B24">
      <w:pPr>
        <w:bidi w:val="0"/>
        <w:spacing w:after="160" w:line="259" w:lineRule="auto"/>
        <w:rPr>
          <w:rFonts w:ascii="Book Antiqua" w:hAnsi="Book Antiqua" w:cs="Browallia New"/>
          <w:b/>
          <w:bCs/>
          <w:noProof w:val="0"/>
          <w:color w:val="525252" w:themeColor="accent3" w:themeShade="80"/>
          <w:sz w:val="24"/>
          <w:szCs w:val="24"/>
        </w:rPr>
      </w:pPr>
      <w:r w:rsidRPr="003F42E2">
        <w:rPr>
          <w:rFonts w:ascii="Book Antiqua" w:hAnsi="Book Antiqua" w:cs="Browallia New"/>
          <w:b/>
          <w:bCs/>
          <w:noProof w:val="0"/>
          <w:color w:val="525252" w:themeColor="accent3" w:themeShade="80"/>
          <w:sz w:val="24"/>
          <w:szCs w:val="24"/>
        </w:rPr>
        <w:lastRenderedPageBreak/>
        <w:t xml:space="preserve">Figure </w:t>
      </w:r>
      <w:r w:rsidR="00CF4B24">
        <w:rPr>
          <w:rFonts w:ascii="Book Antiqua" w:hAnsi="Book Antiqua" w:cs="Browallia New"/>
          <w:b/>
          <w:bCs/>
          <w:noProof w:val="0"/>
          <w:color w:val="525252" w:themeColor="accent3" w:themeShade="80"/>
          <w:sz w:val="24"/>
          <w:szCs w:val="24"/>
        </w:rPr>
        <w:t>5</w:t>
      </w:r>
      <w:r w:rsidRPr="003F42E2">
        <w:rPr>
          <w:rFonts w:ascii="Book Antiqua" w:hAnsi="Book Antiqua" w:cs="Browallia New"/>
          <w:b/>
          <w:bCs/>
          <w:noProof w:val="0"/>
          <w:color w:val="525252" w:themeColor="accent3" w:themeShade="80"/>
          <w:sz w:val="24"/>
          <w:szCs w:val="24"/>
        </w:rPr>
        <w:t xml:space="preserve"> : Taux d’activité selon les régions et le milieu de résidence </w:t>
      </w:r>
      <w:r w:rsidR="00F81A9D">
        <w:rPr>
          <w:rFonts w:ascii="Book Antiqua" w:hAnsi="Book Antiqua" w:cs="Arial"/>
          <w:b/>
          <w:bCs/>
          <w:noProof w:val="0"/>
          <w:color w:val="525252" w:themeColor="accent3" w:themeShade="80"/>
          <w:sz w:val="24"/>
          <w:szCs w:val="24"/>
        </w:rPr>
        <w:t xml:space="preserve">en 2019 </w:t>
      </w:r>
      <w:r w:rsidRPr="003F42E2">
        <w:rPr>
          <w:rFonts w:ascii="Book Antiqua" w:hAnsi="Book Antiqua" w:cs="Browallia New"/>
          <w:b/>
          <w:bCs/>
          <w:noProof w:val="0"/>
          <w:color w:val="525252" w:themeColor="accent3" w:themeShade="80"/>
          <w:sz w:val="24"/>
          <w:szCs w:val="24"/>
        </w:rPr>
        <w:t>(en%)</w:t>
      </w:r>
    </w:p>
    <w:p w:rsidR="00050ACD" w:rsidRPr="003F42E2" w:rsidRDefault="00367888" w:rsidP="000472F6">
      <w:pPr>
        <w:autoSpaceDE w:val="0"/>
        <w:autoSpaceDN w:val="0"/>
        <w:bidi w:val="0"/>
        <w:adjustRightInd w:val="0"/>
        <w:ind w:left="-567"/>
        <w:jc w:val="center"/>
        <w:rPr>
          <w:rFonts w:ascii="Book Antiqua" w:hAnsi="Book Antiqua" w:cs="Browallia New"/>
          <w:noProof w:val="0"/>
          <w:sz w:val="28"/>
          <w:szCs w:val="28"/>
        </w:rPr>
      </w:pPr>
      <w:r w:rsidRPr="003F42E2">
        <w:rPr>
          <w:rFonts w:ascii="Book Antiqua" w:hAnsi="Book Antiqua" w:cs="Browallia New"/>
          <w:sz w:val="28"/>
          <w:szCs w:val="28"/>
        </w:rPr>
        <w:drawing>
          <wp:inline distT="0" distB="0" distL="0" distR="0">
            <wp:extent cx="6400800" cy="3801533"/>
            <wp:effectExtent l="0" t="0" r="0" b="0"/>
            <wp:docPr id="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0ACD" w:rsidRPr="003F42E2" w:rsidRDefault="000D0FD1" w:rsidP="000D0FD1">
      <w:pPr>
        <w:autoSpaceDE w:val="0"/>
        <w:autoSpaceDN w:val="0"/>
        <w:bidi w:val="0"/>
        <w:adjustRightInd w:val="0"/>
        <w:spacing w:before="240" w:after="120" w:line="276" w:lineRule="auto"/>
        <w:jc w:val="both"/>
        <w:rPr>
          <w:rFonts w:ascii="Book Antiqua" w:hAnsi="Book Antiqua" w:cs="Browallia New"/>
          <w:noProof w:val="0"/>
          <w:sz w:val="24"/>
          <w:szCs w:val="24"/>
        </w:rPr>
      </w:pPr>
      <w:r>
        <w:rPr>
          <w:rFonts w:ascii="Book Antiqua" w:hAnsi="Book Antiqua" w:cs="Browallia New"/>
          <w:noProof w:val="0"/>
          <w:sz w:val="24"/>
          <w:szCs w:val="24"/>
        </w:rPr>
        <w:t>Par ailleurs</w:t>
      </w:r>
      <w:r w:rsidR="00050ACD" w:rsidRPr="003F42E2">
        <w:rPr>
          <w:rFonts w:ascii="Book Antiqua" w:hAnsi="Book Antiqua" w:cs="Browallia New"/>
          <w:noProof w:val="0"/>
          <w:sz w:val="24"/>
          <w:szCs w:val="24"/>
        </w:rPr>
        <w:t xml:space="preserve">, </w:t>
      </w:r>
      <w:r>
        <w:rPr>
          <w:rFonts w:ascii="Book Antiqua" w:hAnsi="Book Antiqua" w:cs="Browallia New"/>
          <w:noProof w:val="0"/>
          <w:sz w:val="24"/>
          <w:szCs w:val="24"/>
        </w:rPr>
        <w:t>cinq</w:t>
      </w:r>
      <w:r w:rsidR="00050ACD" w:rsidRPr="003F42E2">
        <w:rPr>
          <w:rFonts w:ascii="Book Antiqua" w:hAnsi="Book Antiqua" w:cs="Browallia New"/>
          <w:noProof w:val="0"/>
          <w:sz w:val="24"/>
          <w:szCs w:val="24"/>
        </w:rPr>
        <w:t xml:space="preserve"> régions concentrent près des trois quarts des chômeurs (71,6</w:t>
      </w:r>
      <w:r w:rsidR="00B23865" w:rsidRPr="003F42E2">
        <w:rPr>
          <w:rFonts w:ascii="Book Antiqua" w:hAnsi="Book Antiqua" w:cs="Browallia New"/>
          <w:noProof w:val="0"/>
          <w:sz w:val="24"/>
          <w:szCs w:val="24"/>
        </w:rPr>
        <w:t>%)</w:t>
      </w:r>
      <w:r>
        <w:rPr>
          <w:rFonts w:ascii="Book Antiqua" w:hAnsi="Book Antiqua" w:cs="Browallia New"/>
          <w:noProof w:val="0"/>
          <w:sz w:val="24"/>
          <w:szCs w:val="24"/>
        </w:rPr>
        <w:t xml:space="preserve"> au niveau national</w:t>
      </w:r>
      <w:r w:rsidR="00B23865" w:rsidRPr="003F42E2">
        <w:rPr>
          <w:rFonts w:ascii="Book Antiqua" w:hAnsi="Book Antiqua" w:cs="Browallia New"/>
          <w:noProof w:val="0"/>
          <w:sz w:val="24"/>
          <w:szCs w:val="24"/>
        </w:rPr>
        <w:t>; Casablanca-Settat vient en première position</w:t>
      </w:r>
      <w:r w:rsidR="00050ACD" w:rsidRPr="003F42E2">
        <w:rPr>
          <w:rFonts w:ascii="Book Antiqua" w:hAnsi="Book Antiqua" w:cs="Browallia New"/>
          <w:noProof w:val="0"/>
          <w:sz w:val="24"/>
          <w:szCs w:val="24"/>
        </w:rPr>
        <w:t xml:space="preserve"> avec 25%</w:t>
      </w:r>
      <w:r>
        <w:rPr>
          <w:rFonts w:ascii="Book Antiqua" w:hAnsi="Book Antiqua" w:cs="Browallia New"/>
          <w:noProof w:val="0"/>
          <w:sz w:val="24"/>
          <w:szCs w:val="24"/>
        </w:rPr>
        <w:t xml:space="preserve">, suivie de Rabat-Salé-Kénitra avec </w:t>
      </w:r>
      <w:r w:rsidR="00050ACD" w:rsidRPr="003F42E2">
        <w:rPr>
          <w:rFonts w:ascii="Book Antiqua" w:hAnsi="Book Antiqua" w:cs="Browallia New"/>
          <w:noProof w:val="0"/>
          <w:sz w:val="24"/>
          <w:szCs w:val="24"/>
        </w:rPr>
        <w:t xml:space="preserve">15,8%, Fès-Meknès </w:t>
      </w:r>
      <w:r>
        <w:rPr>
          <w:rFonts w:ascii="Book Antiqua" w:hAnsi="Book Antiqua" w:cs="Browallia New"/>
          <w:noProof w:val="0"/>
          <w:sz w:val="24"/>
          <w:szCs w:val="24"/>
        </w:rPr>
        <w:t xml:space="preserve">avec </w:t>
      </w:r>
      <w:r w:rsidR="00050ACD" w:rsidRPr="003F42E2">
        <w:rPr>
          <w:rFonts w:ascii="Book Antiqua" w:hAnsi="Book Antiqua" w:cs="Browallia New"/>
          <w:noProof w:val="0"/>
          <w:sz w:val="24"/>
          <w:szCs w:val="24"/>
        </w:rPr>
        <w:t>11%, Tanger-Tétouan-Al Hoceima</w:t>
      </w:r>
      <w:r>
        <w:rPr>
          <w:rFonts w:ascii="Book Antiqua" w:hAnsi="Book Antiqua" w:cs="Browallia New"/>
          <w:noProof w:val="0"/>
          <w:sz w:val="24"/>
          <w:szCs w:val="24"/>
        </w:rPr>
        <w:t xml:space="preserve"> avec </w:t>
      </w:r>
      <w:r w:rsidR="00050ACD" w:rsidRPr="003F42E2">
        <w:rPr>
          <w:rFonts w:ascii="Book Antiqua" w:hAnsi="Book Antiqua" w:cs="Browallia New"/>
          <w:noProof w:val="0"/>
          <w:sz w:val="24"/>
          <w:szCs w:val="24"/>
        </w:rPr>
        <w:t xml:space="preserve">9,9% et l’Oriental </w:t>
      </w:r>
      <w:r>
        <w:rPr>
          <w:rFonts w:ascii="Book Antiqua" w:hAnsi="Book Antiqua" w:cs="Browallia New"/>
          <w:noProof w:val="0"/>
          <w:sz w:val="24"/>
          <w:szCs w:val="24"/>
        </w:rPr>
        <w:t xml:space="preserve">avec </w:t>
      </w:r>
      <w:r w:rsidR="00636764">
        <w:rPr>
          <w:rFonts w:ascii="Book Antiqua" w:hAnsi="Book Antiqua" w:cs="Browallia New"/>
          <w:noProof w:val="0"/>
          <w:sz w:val="24"/>
          <w:szCs w:val="24"/>
        </w:rPr>
        <w:t>9,9%</w:t>
      </w:r>
      <w:r w:rsidR="00050ACD" w:rsidRPr="003F42E2">
        <w:rPr>
          <w:rFonts w:ascii="Book Antiqua" w:hAnsi="Book Antiqua" w:cs="Browallia New"/>
          <w:noProof w:val="0"/>
          <w:sz w:val="24"/>
          <w:szCs w:val="24"/>
        </w:rPr>
        <w:t>.</w:t>
      </w:r>
    </w:p>
    <w:p w:rsidR="00050ACD" w:rsidRPr="003F42E2" w:rsidRDefault="00050ACD" w:rsidP="00B61699">
      <w:pPr>
        <w:autoSpaceDE w:val="0"/>
        <w:autoSpaceDN w:val="0"/>
        <w:bidi w:val="0"/>
        <w:adjustRightInd w:val="0"/>
        <w:spacing w:after="120" w:line="276" w:lineRule="auto"/>
        <w:jc w:val="both"/>
        <w:rPr>
          <w:rFonts w:ascii="Book Antiqua" w:hAnsi="Book Antiqua" w:cs="Browallia New"/>
          <w:noProof w:val="0"/>
          <w:sz w:val="24"/>
          <w:szCs w:val="24"/>
        </w:rPr>
      </w:pPr>
      <w:r w:rsidRPr="003F42E2">
        <w:rPr>
          <w:rFonts w:ascii="Book Antiqua" w:hAnsi="Book Antiqua" w:cs="Browallia New"/>
          <w:noProof w:val="0"/>
          <w:sz w:val="24"/>
          <w:szCs w:val="24"/>
        </w:rPr>
        <w:t>Les taux de chômage les plus élevés sont observés dans les régions du Sud (16,3%) et de l’Oriental (13,8%). Avec</w:t>
      </w:r>
      <w:r w:rsidR="00B61699">
        <w:rPr>
          <w:rFonts w:ascii="Book Antiqua" w:hAnsi="Book Antiqua" w:cs="Browallia New"/>
          <w:noProof w:val="0"/>
          <w:sz w:val="24"/>
          <w:szCs w:val="24"/>
        </w:rPr>
        <w:t xml:space="preserve"> une </w:t>
      </w:r>
      <w:r w:rsidRPr="003F42E2">
        <w:rPr>
          <w:rFonts w:ascii="Book Antiqua" w:hAnsi="Book Antiqua" w:cs="Browallia New"/>
          <w:noProof w:val="0"/>
          <w:sz w:val="24"/>
          <w:szCs w:val="24"/>
        </w:rPr>
        <w:t>acuité</w:t>
      </w:r>
      <w:r w:rsidR="00B61699">
        <w:rPr>
          <w:rFonts w:ascii="Book Antiqua" w:hAnsi="Book Antiqua" w:cs="Browallia New"/>
          <w:noProof w:val="0"/>
          <w:sz w:val="24"/>
          <w:szCs w:val="24"/>
        </w:rPr>
        <w:t xml:space="preserve"> moindre</w:t>
      </w:r>
      <w:r w:rsidRPr="003F42E2">
        <w:rPr>
          <w:rFonts w:ascii="Book Antiqua" w:hAnsi="Book Antiqua" w:cs="Browallia New"/>
          <w:noProof w:val="0"/>
          <w:sz w:val="24"/>
          <w:szCs w:val="24"/>
        </w:rPr>
        <w:t>, trois autres régions dépassent la moyenne nationale (9,2%) à savoir Rabat-Salé-Kénitra (10,7%), Souss-Massa (10,3%) et Casablanca-Settat (10</w:t>
      </w:r>
      <w:r w:rsidR="00167B97" w:rsidRPr="003F42E2">
        <w:rPr>
          <w:rFonts w:ascii="Book Antiqua" w:hAnsi="Book Antiqua" w:cs="Browallia New"/>
          <w:noProof w:val="0"/>
          <w:sz w:val="24"/>
          <w:szCs w:val="24"/>
        </w:rPr>
        <w:t xml:space="preserve">%). </w:t>
      </w:r>
      <w:r w:rsidRPr="003F42E2">
        <w:rPr>
          <w:rFonts w:ascii="Book Antiqua" w:hAnsi="Book Antiqua" w:cs="Browallia New"/>
          <w:noProof w:val="0"/>
          <w:sz w:val="24"/>
          <w:szCs w:val="24"/>
        </w:rPr>
        <w:t xml:space="preserve">En revanche, les régions de Béni Mellal- Khénifra et de Drâa-Tafilalet enregistrent les taux les plus bas avec respectivement 5,4% et 5,6%. </w:t>
      </w:r>
    </w:p>
    <w:p w:rsidR="00050ACD" w:rsidRPr="00F81A9D" w:rsidRDefault="003F42E2" w:rsidP="00F81A9D">
      <w:pPr>
        <w:bidi w:val="0"/>
        <w:spacing w:after="160" w:line="259" w:lineRule="auto"/>
        <w:jc w:val="center"/>
        <w:rPr>
          <w:rFonts w:ascii="Book Antiqua" w:hAnsi="Book Antiqua" w:cs="Browallia New"/>
          <w:b/>
          <w:bCs/>
          <w:noProof w:val="0"/>
          <w:color w:val="525252" w:themeColor="accent3" w:themeShade="80"/>
          <w:sz w:val="28"/>
          <w:szCs w:val="28"/>
        </w:rPr>
      </w:pPr>
      <w:r>
        <w:rPr>
          <w:rFonts w:ascii="Book Antiqua" w:hAnsi="Book Antiqua" w:cs="Browallia New"/>
          <w:b/>
          <w:bCs/>
          <w:noProof w:val="0"/>
          <w:color w:val="525252" w:themeColor="accent3" w:themeShade="80"/>
          <w:sz w:val="28"/>
          <w:szCs w:val="28"/>
        </w:rPr>
        <w:br w:type="page"/>
      </w:r>
      <w:r w:rsidR="00050ACD" w:rsidRPr="00F81A9D">
        <w:rPr>
          <w:rFonts w:ascii="Book Antiqua" w:hAnsi="Book Antiqua" w:cs="Browallia New"/>
          <w:b/>
          <w:bCs/>
          <w:noProof w:val="0"/>
          <w:color w:val="525252" w:themeColor="accent3" w:themeShade="80"/>
          <w:sz w:val="24"/>
          <w:szCs w:val="24"/>
        </w:rPr>
        <w:lastRenderedPageBreak/>
        <w:t xml:space="preserve">Figure </w:t>
      </w:r>
      <w:r w:rsidR="00CF4B24" w:rsidRPr="00F81A9D">
        <w:rPr>
          <w:rFonts w:ascii="Book Antiqua" w:hAnsi="Book Antiqua" w:cs="Browallia New"/>
          <w:b/>
          <w:bCs/>
          <w:noProof w:val="0"/>
          <w:color w:val="525252" w:themeColor="accent3" w:themeShade="80"/>
          <w:sz w:val="24"/>
          <w:szCs w:val="24"/>
        </w:rPr>
        <w:t>6</w:t>
      </w:r>
      <w:r w:rsidR="00050ACD" w:rsidRPr="00F81A9D">
        <w:rPr>
          <w:rFonts w:ascii="Book Antiqua" w:hAnsi="Book Antiqua" w:cs="Browallia New"/>
          <w:b/>
          <w:bCs/>
          <w:noProof w:val="0"/>
          <w:color w:val="525252" w:themeColor="accent3" w:themeShade="80"/>
          <w:sz w:val="24"/>
          <w:szCs w:val="24"/>
        </w:rPr>
        <w:t> : Taux de chômage selon les régions et le milieu de résidence</w:t>
      </w:r>
      <w:r w:rsidR="00F81A9D" w:rsidRPr="00F81A9D">
        <w:rPr>
          <w:rFonts w:ascii="Book Antiqua" w:hAnsi="Book Antiqua" w:cs="Browallia New"/>
          <w:b/>
          <w:bCs/>
          <w:noProof w:val="0"/>
          <w:color w:val="525252" w:themeColor="accent3" w:themeShade="80"/>
          <w:sz w:val="24"/>
          <w:szCs w:val="24"/>
        </w:rPr>
        <w:t xml:space="preserve"> en 2019</w:t>
      </w:r>
      <w:r w:rsidR="00050ACD" w:rsidRPr="00F81A9D">
        <w:rPr>
          <w:rFonts w:ascii="Book Antiqua" w:hAnsi="Book Antiqua" w:cs="Browallia New"/>
          <w:b/>
          <w:bCs/>
          <w:noProof w:val="0"/>
          <w:color w:val="525252" w:themeColor="accent3" w:themeShade="80"/>
          <w:sz w:val="24"/>
          <w:szCs w:val="24"/>
        </w:rPr>
        <w:t xml:space="preserve"> (en%)</w:t>
      </w:r>
    </w:p>
    <w:p w:rsidR="00050ACD" w:rsidRPr="003F42E2" w:rsidRDefault="00050ACD" w:rsidP="005802D7">
      <w:pPr>
        <w:bidi w:val="0"/>
        <w:ind w:left="-567" w:right="76"/>
        <w:jc w:val="right"/>
        <w:rPr>
          <w:rFonts w:ascii="Book Antiqua" w:hAnsi="Book Antiqua" w:cs="Browallia New"/>
          <w:noProof w:val="0"/>
          <w:sz w:val="28"/>
          <w:szCs w:val="28"/>
        </w:rPr>
      </w:pPr>
      <w:r w:rsidRPr="003F42E2">
        <w:rPr>
          <w:rFonts w:ascii="Book Antiqua" w:hAnsi="Book Antiqua" w:cs="Browallia New"/>
          <w:sz w:val="28"/>
          <w:szCs w:val="28"/>
        </w:rPr>
        <w:drawing>
          <wp:inline distT="0" distB="0" distL="0" distR="0">
            <wp:extent cx="6602819" cy="3391786"/>
            <wp:effectExtent l="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7BC8" w:rsidRPr="003F42E2" w:rsidRDefault="00E91F85" w:rsidP="00D17BC8">
      <w:pPr>
        <w:pStyle w:val="Titre1"/>
        <w:bidi w:val="0"/>
        <w:spacing w:after="0"/>
        <w:jc w:val="center"/>
        <w:rPr>
          <w:rFonts w:ascii="Book Antiqua" w:hAnsi="Book Antiqua"/>
          <w:sz w:val="28"/>
          <w:szCs w:val="28"/>
        </w:rPr>
      </w:pPr>
      <w:r w:rsidRPr="003F42E2">
        <w:rPr>
          <w:rFonts w:ascii="Book Antiqua" w:hAnsi="Book Antiqua" w:cs="Browallia New"/>
          <w:noProof w:val="0"/>
          <w:sz w:val="28"/>
          <w:szCs w:val="28"/>
        </w:rPr>
        <w:br w:type="page"/>
      </w:r>
      <w:r w:rsidR="00D17BC8" w:rsidRPr="003F42E2">
        <w:rPr>
          <w:rFonts w:ascii="Book Antiqua" w:hAnsi="Book Antiqua" w:cs="Browallia New"/>
          <w:noProof w:val="0"/>
          <w:kern w:val="0"/>
          <w:sz w:val="28"/>
          <w:szCs w:val="28"/>
        </w:rPr>
        <w:lastRenderedPageBreak/>
        <w:t>Tableau1 : Indicateurs annuels d'activité, d’emploi et de chômage par milieu de résidence</w:t>
      </w:r>
      <w:r w:rsidR="00D17BC8" w:rsidRPr="003F42E2">
        <w:rPr>
          <w:rFonts w:ascii="Book Antiqua" w:hAnsi="Book Antiqua" w:cs="Browallia New"/>
          <w:noProof w:val="0"/>
          <w:kern w:val="0"/>
          <w:sz w:val="28"/>
          <w:szCs w:val="28"/>
          <w:vertAlign w:val="superscript"/>
        </w:rPr>
        <w:t>(1)</w:t>
      </w:r>
    </w:p>
    <w:p w:rsidR="00D17BC8" w:rsidRPr="006607E5" w:rsidRDefault="006607E5" w:rsidP="00B806C4">
      <w:pPr>
        <w:pStyle w:val="Corpsdetexte2"/>
        <w:bidi w:val="0"/>
        <w:jc w:val="right"/>
        <w:rPr>
          <w:rFonts w:ascii="Book Antiqua" w:hAnsi="Book Antiqua" w:cs="Browallia New"/>
          <w:sz w:val="24"/>
          <w:szCs w:val="24"/>
        </w:rPr>
      </w:pPr>
      <w:r>
        <w:rPr>
          <w:rFonts w:ascii="Book Antiqua" w:hAnsi="Book Antiqua" w:cs="Browallia New"/>
          <w:sz w:val="24"/>
          <w:szCs w:val="24"/>
        </w:rPr>
        <w:t xml:space="preserve">      </w:t>
      </w:r>
      <w:r w:rsidR="00D17BC8" w:rsidRPr="006607E5">
        <w:rPr>
          <w:rFonts w:ascii="Book Antiqua" w:hAnsi="Book Antiqua" w:cs="Browallia New"/>
          <w:sz w:val="24"/>
          <w:szCs w:val="24"/>
        </w:rPr>
        <w:t>(Effectifs en milliers et taux en %)</w:t>
      </w:r>
    </w:p>
    <w:tbl>
      <w:tblPr>
        <w:tblW w:w="10580" w:type="dxa"/>
        <w:tblInd w:w="-639" w:type="dxa"/>
        <w:tblCellMar>
          <w:left w:w="70" w:type="dxa"/>
          <w:right w:w="70" w:type="dxa"/>
        </w:tblCellMar>
        <w:tblLook w:val="04A0"/>
      </w:tblPr>
      <w:tblGrid>
        <w:gridCol w:w="3140"/>
        <w:gridCol w:w="1240"/>
        <w:gridCol w:w="1240"/>
        <w:gridCol w:w="1240"/>
        <w:gridCol w:w="1240"/>
        <w:gridCol w:w="1240"/>
        <w:gridCol w:w="1240"/>
      </w:tblGrid>
      <w:tr w:rsidR="00D17BC8" w:rsidRPr="003F42E2" w:rsidTr="000472F6">
        <w:trPr>
          <w:trHeight w:val="312"/>
          <w:tblHeader/>
        </w:trPr>
        <w:tc>
          <w:tcPr>
            <w:tcW w:w="31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tl/>
              </w:rPr>
              <w:t> </w:t>
            </w:r>
          </w:p>
        </w:tc>
        <w:tc>
          <w:tcPr>
            <w:tcW w:w="3720" w:type="dxa"/>
            <w:gridSpan w:val="3"/>
            <w:tcBorders>
              <w:top w:val="single" w:sz="4" w:space="0" w:color="auto"/>
              <w:left w:val="nil"/>
              <w:bottom w:val="single" w:sz="4" w:space="0" w:color="auto"/>
              <w:right w:val="single" w:sz="4" w:space="0" w:color="auto"/>
            </w:tcBorders>
            <w:shd w:val="clear" w:color="auto" w:fill="auto"/>
            <w:noWrap/>
            <w:hideMark/>
          </w:tcPr>
          <w:p w:rsidR="00D17BC8" w:rsidRPr="003F42E2" w:rsidRDefault="00D17BC8" w:rsidP="000472F6">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tl/>
              </w:rPr>
              <w:t>2018</w:t>
            </w:r>
          </w:p>
        </w:tc>
        <w:tc>
          <w:tcPr>
            <w:tcW w:w="3720" w:type="dxa"/>
            <w:gridSpan w:val="3"/>
            <w:tcBorders>
              <w:top w:val="single" w:sz="4" w:space="0" w:color="auto"/>
              <w:left w:val="nil"/>
              <w:bottom w:val="single" w:sz="4" w:space="0" w:color="auto"/>
              <w:right w:val="single" w:sz="4" w:space="0" w:color="auto"/>
            </w:tcBorders>
            <w:shd w:val="clear" w:color="auto" w:fill="auto"/>
            <w:noWrap/>
            <w:hideMark/>
          </w:tcPr>
          <w:p w:rsidR="00D17BC8" w:rsidRPr="003F42E2" w:rsidRDefault="00D17BC8" w:rsidP="000472F6">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tl/>
              </w:rPr>
              <w:t>2019</w:t>
            </w:r>
          </w:p>
        </w:tc>
      </w:tr>
      <w:tr w:rsidR="00D17BC8" w:rsidRPr="003F42E2" w:rsidTr="000472F6">
        <w:trPr>
          <w:trHeight w:val="312"/>
          <w:tblHeader/>
        </w:trPr>
        <w:tc>
          <w:tcPr>
            <w:tcW w:w="3140" w:type="dxa"/>
            <w:vMerge/>
            <w:tcBorders>
              <w:top w:val="single" w:sz="4" w:space="0" w:color="auto"/>
              <w:left w:val="single" w:sz="4" w:space="0" w:color="auto"/>
              <w:bottom w:val="single" w:sz="4" w:space="0" w:color="auto"/>
              <w:right w:val="single" w:sz="4" w:space="0" w:color="auto"/>
            </w:tcBorders>
            <w:vAlign w:val="center"/>
            <w:hideMark/>
          </w:tcPr>
          <w:p w:rsidR="00D17BC8" w:rsidRPr="003F42E2" w:rsidRDefault="00D17BC8" w:rsidP="000472F6">
            <w:pPr>
              <w:bidi w:val="0"/>
              <w:spacing w:line="14" w:lineRule="atLeast"/>
              <w:rPr>
                <w:rFonts w:ascii="Book Antiqua" w:hAnsi="Book Antiqua" w:cs="Browallia New"/>
                <w:b/>
                <w:bCs/>
                <w:noProof w:val="0"/>
                <w:color w:val="000000"/>
                <w:sz w:val="24"/>
                <w:szCs w:val="24"/>
              </w:rPr>
            </w:pPr>
          </w:p>
        </w:tc>
        <w:tc>
          <w:tcPr>
            <w:tcW w:w="1240" w:type="dxa"/>
            <w:tcBorders>
              <w:top w:val="nil"/>
              <w:left w:val="nil"/>
              <w:bottom w:val="single" w:sz="4" w:space="0" w:color="auto"/>
              <w:right w:val="single" w:sz="4" w:space="0" w:color="auto"/>
            </w:tcBorders>
            <w:shd w:val="clear" w:color="auto" w:fill="auto"/>
            <w:hideMark/>
          </w:tcPr>
          <w:p w:rsidR="00D17BC8" w:rsidRPr="003F42E2" w:rsidRDefault="00D17BC8" w:rsidP="000472F6">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Urbain</w:t>
            </w:r>
          </w:p>
        </w:tc>
        <w:tc>
          <w:tcPr>
            <w:tcW w:w="1240" w:type="dxa"/>
            <w:tcBorders>
              <w:top w:val="nil"/>
              <w:left w:val="nil"/>
              <w:bottom w:val="single" w:sz="4" w:space="0" w:color="auto"/>
              <w:right w:val="single" w:sz="4" w:space="0" w:color="auto"/>
            </w:tcBorders>
            <w:shd w:val="clear" w:color="auto" w:fill="auto"/>
            <w:hideMark/>
          </w:tcPr>
          <w:p w:rsidR="00D17BC8" w:rsidRPr="003F42E2" w:rsidRDefault="00D17BC8" w:rsidP="000472F6">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Rural</w:t>
            </w:r>
          </w:p>
        </w:tc>
        <w:tc>
          <w:tcPr>
            <w:tcW w:w="1240" w:type="dxa"/>
            <w:tcBorders>
              <w:top w:val="nil"/>
              <w:left w:val="nil"/>
              <w:bottom w:val="single" w:sz="4" w:space="0" w:color="auto"/>
              <w:right w:val="single" w:sz="4" w:space="0" w:color="auto"/>
            </w:tcBorders>
            <w:shd w:val="clear" w:color="auto" w:fill="auto"/>
            <w:hideMark/>
          </w:tcPr>
          <w:p w:rsidR="00D17BC8" w:rsidRPr="003F42E2" w:rsidRDefault="00D17BC8" w:rsidP="000472F6">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Ensemble</w:t>
            </w:r>
          </w:p>
        </w:tc>
        <w:tc>
          <w:tcPr>
            <w:tcW w:w="1240" w:type="dxa"/>
            <w:tcBorders>
              <w:top w:val="nil"/>
              <w:left w:val="nil"/>
              <w:bottom w:val="single" w:sz="4" w:space="0" w:color="auto"/>
              <w:right w:val="single" w:sz="4" w:space="0" w:color="auto"/>
            </w:tcBorders>
            <w:shd w:val="clear" w:color="auto" w:fill="auto"/>
            <w:hideMark/>
          </w:tcPr>
          <w:p w:rsidR="00D17BC8" w:rsidRPr="003F42E2" w:rsidRDefault="00D17BC8" w:rsidP="000472F6">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Urbain</w:t>
            </w:r>
          </w:p>
        </w:tc>
        <w:tc>
          <w:tcPr>
            <w:tcW w:w="1240" w:type="dxa"/>
            <w:tcBorders>
              <w:top w:val="nil"/>
              <w:left w:val="nil"/>
              <w:bottom w:val="single" w:sz="4" w:space="0" w:color="auto"/>
              <w:right w:val="single" w:sz="4" w:space="0" w:color="auto"/>
            </w:tcBorders>
            <w:shd w:val="clear" w:color="auto" w:fill="auto"/>
            <w:hideMark/>
          </w:tcPr>
          <w:p w:rsidR="00D17BC8" w:rsidRPr="003F42E2" w:rsidRDefault="00D17BC8" w:rsidP="000472F6">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Rural</w:t>
            </w:r>
          </w:p>
        </w:tc>
        <w:tc>
          <w:tcPr>
            <w:tcW w:w="1240" w:type="dxa"/>
            <w:tcBorders>
              <w:top w:val="nil"/>
              <w:left w:val="nil"/>
              <w:bottom w:val="single" w:sz="4" w:space="0" w:color="auto"/>
              <w:right w:val="single" w:sz="4" w:space="0" w:color="auto"/>
            </w:tcBorders>
            <w:shd w:val="clear" w:color="auto" w:fill="auto"/>
            <w:hideMark/>
          </w:tcPr>
          <w:p w:rsidR="00D17BC8" w:rsidRPr="003F42E2" w:rsidRDefault="00D17BC8" w:rsidP="000472F6">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Ensemble</w:t>
            </w:r>
          </w:p>
        </w:tc>
      </w:tr>
      <w:tr w:rsidR="00D17BC8" w:rsidRPr="003F42E2" w:rsidTr="000472F6">
        <w:trPr>
          <w:trHeight w:val="312"/>
        </w:trPr>
        <w:tc>
          <w:tcPr>
            <w:tcW w:w="1058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17BC8" w:rsidRPr="003F42E2" w:rsidRDefault="00D17BC8" w:rsidP="000472F6">
            <w:pPr>
              <w:bidi w:val="0"/>
              <w:spacing w:line="14" w:lineRule="atLeast"/>
              <w:rPr>
                <w:rFonts w:ascii="Book Antiqua" w:hAnsi="Book Antiqua" w:cs="Browallia New"/>
                <w:b/>
                <w:bCs/>
                <w:noProof w:val="0"/>
                <w:color w:val="1F497D"/>
                <w:sz w:val="24"/>
                <w:szCs w:val="24"/>
              </w:rPr>
            </w:pPr>
            <w:r w:rsidRPr="003F42E2">
              <w:rPr>
                <w:rFonts w:ascii="Book Antiqua" w:hAnsi="Book Antiqua" w:cs="Browallia New"/>
                <w:b/>
                <w:bCs/>
                <w:noProof w:val="0"/>
                <w:color w:val="1F497D"/>
                <w:sz w:val="24"/>
                <w:szCs w:val="24"/>
              </w:rPr>
              <w:t>Activité (des 15 ans et plus)</w:t>
            </w:r>
          </w:p>
        </w:tc>
      </w:tr>
      <w:tr w:rsidR="00D17BC8" w:rsidRPr="003F42E2" w:rsidTr="000472F6">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105"/>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Population active</w:t>
            </w:r>
          </w:p>
        </w:tc>
        <w:tc>
          <w:tcPr>
            <w:tcW w:w="1240" w:type="dxa"/>
            <w:tcBorders>
              <w:top w:val="nil"/>
              <w:left w:val="nil"/>
              <w:bottom w:val="single" w:sz="4" w:space="0" w:color="auto"/>
              <w:right w:val="single" w:sz="4" w:space="0" w:color="auto"/>
            </w:tcBorders>
            <w:shd w:val="clear" w:color="auto" w:fill="auto"/>
            <w:noWrap/>
            <w:vAlign w:val="bottom"/>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6 987</w:t>
            </w:r>
          </w:p>
        </w:tc>
        <w:tc>
          <w:tcPr>
            <w:tcW w:w="1240" w:type="dxa"/>
            <w:tcBorders>
              <w:top w:val="nil"/>
              <w:left w:val="nil"/>
              <w:bottom w:val="single" w:sz="4" w:space="0" w:color="auto"/>
              <w:right w:val="single" w:sz="4" w:space="0" w:color="auto"/>
            </w:tcBorders>
            <w:shd w:val="clear" w:color="auto" w:fill="auto"/>
            <w:noWrap/>
            <w:vAlign w:val="bottom"/>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4 960</w:t>
            </w:r>
          </w:p>
        </w:tc>
        <w:tc>
          <w:tcPr>
            <w:tcW w:w="1240" w:type="dxa"/>
            <w:tcBorders>
              <w:top w:val="nil"/>
              <w:left w:val="nil"/>
              <w:bottom w:val="single" w:sz="4" w:space="0" w:color="auto"/>
              <w:right w:val="single" w:sz="4" w:space="0" w:color="auto"/>
            </w:tcBorders>
            <w:shd w:val="clear" w:color="auto" w:fill="auto"/>
            <w:noWrap/>
            <w:vAlign w:val="bottom"/>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11 947</w:t>
            </w:r>
          </w:p>
        </w:tc>
        <w:tc>
          <w:tcPr>
            <w:tcW w:w="1240" w:type="dxa"/>
            <w:tcBorders>
              <w:top w:val="nil"/>
              <w:left w:val="nil"/>
              <w:bottom w:val="single" w:sz="4" w:space="0" w:color="auto"/>
              <w:right w:val="single" w:sz="4" w:space="0" w:color="auto"/>
            </w:tcBorders>
            <w:shd w:val="clear" w:color="auto" w:fill="auto"/>
            <w:noWrap/>
            <w:vAlign w:val="bottom"/>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7 204</w:t>
            </w:r>
          </w:p>
        </w:tc>
        <w:tc>
          <w:tcPr>
            <w:tcW w:w="1240" w:type="dxa"/>
            <w:tcBorders>
              <w:top w:val="nil"/>
              <w:left w:val="nil"/>
              <w:bottom w:val="single" w:sz="4" w:space="0" w:color="auto"/>
              <w:right w:val="single" w:sz="4" w:space="0" w:color="auto"/>
            </w:tcBorders>
            <w:shd w:val="clear" w:color="auto" w:fill="auto"/>
            <w:noWrap/>
            <w:vAlign w:val="bottom"/>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4 878</w:t>
            </w:r>
          </w:p>
        </w:tc>
        <w:tc>
          <w:tcPr>
            <w:tcW w:w="1240" w:type="dxa"/>
            <w:tcBorders>
              <w:top w:val="nil"/>
              <w:left w:val="nil"/>
              <w:bottom w:val="single" w:sz="4" w:space="0" w:color="auto"/>
              <w:right w:val="single" w:sz="4" w:space="0" w:color="auto"/>
            </w:tcBorders>
            <w:shd w:val="clear" w:color="auto" w:fill="auto"/>
            <w:noWrap/>
            <w:vAlign w:val="bottom"/>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12 082</w:t>
            </w:r>
          </w:p>
        </w:tc>
      </w:tr>
      <w:tr w:rsidR="00D17BC8" w:rsidRPr="003F42E2" w:rsidTr="00B806C4">
        <w:trPr>
          <w:trHeight w:val="624"/>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 féminisation de la population active</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22,1</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26,7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24,1</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22,5</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25,7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23,8</w:t>
            </w:r>
          </w:p>
        </w:tc>
      </w:tr>
      <w:tr w:rsidR="00D17BC8" w:rsidRPr="003F42E2" w:rsidTr="00B806C4">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d'activité</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42,0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53,2</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46,0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42,3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52,2</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45,8</w:t>
            </w:r>
          </w:p>
        </w:tc>
      </w:tr>
      <w:tr w:rsidR="00D17BC8" w:rsidRPr="003F42E2" w:rsidTr="000472F6">
        <w:trPr>
          <w:trHeight w:val="312"/>
        </w:trPr>
        <w:tc>
          <w:tcPr>
            <w:tcW w:w="1058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 Selon le sexe</w:t>
            </w:r>
          </w:p>
        </w:tc>
      </w:tr>
      <w:tr w:rsidR="00D17BC8" w:rsidRPr="003F42E2" w:rsidTr="00B806C4">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Hommes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67,3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77,5</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71,0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67,6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77,0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71,0</w:t>
            </w:r>
          </w:p>
        </w:tc>
      </w:tr>
      <w:tr w:rsidR="00D17BC8" w:rsidRPr="003F42E2" w:rsidTr="00B806C4">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Femmes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18,1</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28,6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21,8</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18,5</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27,1</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21,5</w:t>
            </w:r>
          </w:p>
        </w:tc>
      </w:tr>
      <w:tr w:rsidR="00D17BC8" w:rsidRPr="003F42E2" w:rsidTr="000472F6">
        <w:trPr>
          <w:trHeight w:val="312"/>
        </w:trPr>
        <w:tc>
          <w:tcPr>
            <w:tcW w:w="10580"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 Selon l'âge</w:t>
            </w:r>
          </w:p>
        </w:tc>
      </w:tr>
      <w:tr w:rsidR="00D17BC8" w:rsidRPr="003F42E2" w:rsidTr="00B806C4">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15-24 ans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21,6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34,6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26,8</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20,6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31,9</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25,1</w:t>
            </w:r>
          </w:p>
        </w:tc>
      </w:tr>
      <w:tr w:rsidR="00D17BC8" w:rsidRPr="003F42E2" w:rsidTr="00B806C4">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25-34 ans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58,7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62,6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60,0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59,1</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62,1</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60,1</w:t>
            </w:r>
          </w:p>
        </w:tc>
      </w:tr>
      <w:tr w:rsidR="00D17BC8" w:rsidRPr="003F42E2" w:rsidTr="00B806C4">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35-44 ans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57,6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67,0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60,8</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57,6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66,7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60,7</w:t>
            </w:r>
          </w:p>
        </w:tc>
      </w:tr>
      <w:tr w:rsidR="00D17BC8" w:rsidRPr="003F42E2" w:rsidTr="00B806C4">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45 ans et plus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35,7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54,3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42,2</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36,7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53,8</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42,6</w:t>
            </w:r>
          </w:p>
        </w:tc>
      </w:tr>
      <w:tr w:rsidR="00D17BC8" w:rsidRPr="003F42E2" w:rsidTr="000472F6">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 Selon le diplôme</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Non diplômés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36,2</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55,5</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45,5</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36,2</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54,7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45,0</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Diplômés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46,6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46,9</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46,7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47,0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46,0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46,8</w:t>
            </w:r>
          </w:p>
        </w:tc>
      </w:tr>
      <w:tr w:rsidR="00D17BC8" w:rsidRPr="003F42E2" w:rsidTr="000472F6">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17BC8" w:rsidRPr="003F42E2" w:rsidRDefault="00D17BC8" w:rsidP="000472F6">
            <w:pPr>
              <w:bidi w:val="0"/>
              <w:spacing w:line="14" w:lineRule="atLeast"/>
              <w:rPr>
                <w:rFonts w:ascii="Book Antiqua" w:hAnsi="Book Antiqua" w:cs="Browallia New"/>
                <w:b/>
                <w:bCs/>
                <w:noProof w:val="0"/>
                <w:color w:val="1F497D"/>
                <w:sz w:val="24"/>
                <w:szCs w:val="24"/>
              </w:rPr>
            </w:pPr>
            <w:r w:rsidRPr="003F42E2">
              <w:rPr>
                <w:rFonts w:ascii="Book Antiqua" w:hAnsi="Book Antiqua" w:cs="Browallia New"/>
                <w:b/>
                <w:bCs/>
                <w:noProof w:val="0"/>
                <w:color w:val="1F497D"/>
                <w:sz w:val="24"/>
                <w:szCs w:val="24"/>
              </w:rPr>
              <w:t>Emploi (des 15 ans et plus)</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105"/>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Population active occupée</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6 026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4 784</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10 810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6 277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4 698</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10 975</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d'emploi</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36,2</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51,3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41,7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36,9</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50,3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41,6</w:t>
            </w:r>
          </w:p>
        </w:tc>
      </w:tr>
      <w:tr w:rsidR="00D17BC8" w:rsidRPr="003F42E2" w:rsidTr="000472F6">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 Selon le sexe</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Hommes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60,0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74,5</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65,3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60,7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73,9</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65,5</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Femmes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13,8</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27,9</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18,7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14,5</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26,3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18,6</w:t>
            </w:r>
          </w:p>
        </w:tc>
      </w:tr>
      <w:tr w:rsidR="00D17BC8" w:rsidRPr="004A0171" w:rsidTr="000472F6">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D17BC8" w:rsidRPr="004A0171" w:rsidRDefault="00D17BC8" w:rsidP="009B3596">
            <w:pPr>
              <w:bidi w:val="0"/>
              <w:spacing w:line="14" w:lineRule="atLeast"/>
              <w:ind w:left="105"/>
              <w:rPr>
                <w:rFonts w:ascii="Book Antiqua" w:hAnsi="Book Antiqua" w:cs="Browallia New"/>
                <w:b/>
                <w:bCs/>
                <w:noProof w:val="0"/>
                <w:color w:val="000000"/>
                <w:sz w:val="24"/>
                <w:szCs w:val="24"/>
              </w:rPr>
            </w:pPr>
            <w:r w:rsidRPr="004A0171">
              <w:rPr>
                <w:rFonts w:ascii="Book Antiqua" w:hAnsi="Book Antiqua" w:cs="Browallia New"/>
                <w:b/>
                <w:bCs/>
                <w:noProof w:val="0"/>
                <w:color w:val="000000"/>
                <w:sz w:val="24"/>
                <w:szCs w:val="24"/>
              </w:rPr>
              <w:t>Structure de l'emploi selon les secteurs d'activité économique</w:t>
            </w:r>
          </w:p>
        </w:tc>
      </w:tr>
      <w:tr w:rsidR="00D17BC8" w:rsidRPr="003F42E2" w:rsidTr="00C8069A">
        <w:trPr>
          <w:trHeight w:val="63"/>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Agriculture, forêt et pêche</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4,9</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71,5</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34,4</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4,9</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69,4</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32,5</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Industrie (y compris artisanat)</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18,2</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12,0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17,5</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12,0</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BTP</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12,1</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8,3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10,4</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11,7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8,8</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10,5</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Services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64,7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15,9</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43,1</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65,7</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17,1</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44,9</w:t>
            </w:r>
          </w:p>
        </w:tc>
      </w:tr>
      <w:tr w:rsidR="00D17BC8" w:rsidRPr="003F42E2" w:rsidTr="00C8069A">
        <w:trPr>
          <w:trHeight w:val="312"/>
        </w:trPr>
        <w:tc>
          <w:tcPr>
            <w:tcW w:w="3140" w:type="dxa"/>
            <w:tcBorders>
              <w:top w:val="nil"/>
              <w:left w:val="single" w:sz="4" w:space="0" w:color="auto"/>
              <w:bottom w:val="single" w:sz="4" w:space="0" w:color="auto"/>
              <w:right w:val="single" w:sz="4" w:space="0" w:color="auto"/>
            </w:tcBorders>
            <w:shd w:val="clear" w:color="auto" w:fill="auto"/>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 xml:space="preserve">Activités </w:t>
            </w:r>
            <w:r w:rsidR="009B3596" w:rsidRPr="003F42E2">
              <w:rPr>
                <w:rFonts w:ascii="Book Antiqua" w:hAnsi="Book Antiqua" w:cs="Browallia New"/>
                <w:noProof w:val="0"/>
                <w:color w:val="000000"/>
                <w:sz w:val="24"/>
                <w:szCs w:val="24"/>
              </w:rPr>
              <w:t xml:space="preserve">mal ou </w:t>
            </w:r>
            <w:r w:rsidRPr="003F42E2">
              <w:rPr>
                <w:rFonts w:ascii="Book Antiqua" w:hAnsi="Book Antiqua" w:cs="Browallia New"/>
                <w:noProof w:val="0"/>
                <w:color w:val="000000"/>
                <w:sz w:val="24"/>
                <w:szCs w:val="24"/>
              </w:rPr>
              <w:t xml:space="preserve">non </w:t>
            </w:r>
            <w:r w:rsidR="009B3596" w:rsidRPr="003F42E2">
              <w:rPr>
                <w:rFonts w:ascii="Book Antiqua" w:hAnsi="Book Antiqua" w:cs="Browallia New"/>
                <w:noProof w:val="0"/>
                <w:color w:val="000000"/>
                <w:sz w:val="24"/>
                <w:szCs w:val="24"/>
              </w:rPr>
              <w:t>désignées</w:t>
            </w:r>
          </w:p>
        </w:tc>
        <w:tc>
          <w:tcPr>
            <w:tcW w:w="1240" w:type="dxa"/>
            <w:tcBorders>
              <w:top w:val="nil"/>
              <w:left w:val="nil"/>
              <w:bottom w:val="single" w:sz="4" w:space="0" w:color="auto"/>
              <w:right w:val="single" w:sz="4" w:space="0" w:color="auto"/>
            </w:tcBorders>
            <w:shd w:val="clear" w:color="auto" w:fill="auto"/>
            <w:noWrap/>
            <w:vAlign w:val="center"/>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0,1</w:t>
            </w:r>
          </w:p>
        </w:tc>
        <w:tc>
          <w:tcPr>
            <w:tcW w:w="1240" w:type="dxa"/>
            <w:tcBorders>
              <w:top w:val="nil"/>
              <w:left w:val="nil"/>
              <w:bottom w:val="single" w:sz="4" w:space="0" w:color="auto"/>
              <w:right w:val="single" w:sz="4" w:space="0" w:color="auto"/>
            </w:tcBorders>
            <w:shd w:val="clear" w:color="auto" w:fill="auto"/>
            <w:noWrap/>
            <w:vAlign w:val="center"/>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0,0</w:t>
            </w:r>
          </w:p>
        </w:tc>
        <w:tc>
          <w:tcPr>
            <w:tcW w:w="1240" w:type="dxa"/>
            <w:tcBorders>
              <w:top w:val="nil"/>
              <w:left w:val="nil"/>
              <w:bottom w:val="single" w:sz="4" w:space="0" w:color="auto"/>
              <w:right w:val="single" w:sz="4" w:space="0" w:color="auto"/>
            </w:tcBorders>
            <w:shd w:val="clear" w:color="auto" w:fill="auto"/>
            <w:noWrap/>
            <w:vAlign w:val="center"/>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0,1</w:t>
            </w:r>
          </w:p>
        </w:tc>
        <w:tc>
          <w:tcPr>
            <w:tcW w:w="1240" w:type="dxa"/>
            <w:tcBorders>
              <w:top w:val="nil"/>
              <w:left w:val="nil"/>
              <w:bottom w:val="single" w:sz="4" w:space="0" w:color="auto"/>
              <w:right w:val="single" w:sz="4" w:space="0" w:color="auto"/>
            </w:tcBorders>
            <w:shd w:val="clear" w:color="auto" w:fill="auto"/>
            <w:noWrap/>
            <w:vAlign w:val="center"/>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0,2</w:t>
            </w:r>
          </w:p>
        </w:tc>
        <w:tc>
          <w:tcPr>
            <w:tcW w:w="1240" w:type="dxa"/>
            <w:tcBorders>
              <w:top w:val="nil"/>
              <w:left w:val="nil"/>
              <w:bottom w:val="single" w:sz="4" w:space="0" w:color="auto"/>
              <w:right w:val="single" w:sz="4" w:space="0" w:color="auto"/>
            </w:tcBorders>
            <w:shd w:val="clear" w:color="auto" w:fill="auto"/>
            <w:noWrap/>
            <w:vAlign w:val="center"/>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0,0</w:t>
            </w:r>
          </w:p>
        </w:tc>
        <w:tc>
          <w:tcPr>
            <w:tcW w:w="1240" w:type="dxa"/>
            <w:tcBorders>
              <w:top w:val="nil"/>
              <w:left w:val="nil"/>
              <w:bottom w:val="single" w:sz="4" w:space="0" w:color="auto"/>
              <w:right w:val="single" w:sz="4" w:space="0" w:color="auto"/>
            </w:tcBorders>
            <w:shd w:val="clear" w:color="auto" w:fill="auto"/>
            <w:noWrap/>
            <w:vAlign w:val="center"/>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0,1</w:t>
            </w:r>
          </w:p>
        </w:tc>
      </w:tr>
      <w:tr w:rsidR="00D17BC8" w:rsidRPr="003F42E2" w:rsidTr="00C8069A">
        <w:trPr>
          <w:trHeight w:val="624"/>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0472F6">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Part de l'emploi rémunéré dans l'emploi total, dont :</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96,9</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67,4</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83,8</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96,8</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68,6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84,7</w:t>
            </w:r>
          </w:p>
        </w:tc>
      </w:tr>
      <w:tr w:rsidR="00D17BC8" w:rsidRPr="003F42E2" w:rsidTr="00636764">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Salariés</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67,0</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42,6</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58,3</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67,4</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43,4</w:t>
            </w:r>
          </w:p>
        </w:tc>
        <w:tc>
          <w:tcPr>
            <w:tcW w:w="1240" w:type="dxa"/>
            <w:tcBorders>
              <w:top w:val="nil"/>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59,1</w:t>
            </w:r>
          </w:p>
        </w:tc>
      </w:tr>
      <w:tr w:rsidR="00D17BC8" w:rsidRPr="003F42E2" w:rsidTr="00636764">
        <w:trPr>
          <w:trHeight w:val="312"/>
        </w:trPr>
        <w:tc>
          <w:tcPr>
            <w:tcW w:w="3140" w:type="dxa"/>
            <w:tcBorders>
              <w:top w:val="single" w:sz="4" w:space="0" w:color="auto"/>
              <w:left w:val="single" w:sz="4" w:space="0" w:color="auto"/>
              <w:bottom w:val="single" w:sz="4" w:space="0" w:color="auto"/>
              <w:right w:val="single" w:sz="4" w:space="0" w:color="auto"/>
            </w:tcBorders>
            <w:shd w:val="clear" w:color="auto" w:fill="auto"/>
            <w:hideMark/>
          </w:tcPr>
          <w:p w:rsidR="00D17BC8" w:rsidRPr="003F42E2" w:rsidRDefault="00D17BC8" w:rsidP="00C8069A">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Auto-employés</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33,0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57,4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41,7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32,6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56,6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D17BC8" w:rsidRPr="003F42E2" w:rsidRDefault="00D17BC8" w:rsidP="00C8069A">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40,9</w:t>
            </w:r>
          </w:p>
        </w:tc>
      </w:tr>
      <w:tr w:rsidR="00636764" w:rsidRPr="003F42E2" w:rsidTr="00636764">
        <w:trPr>
          <w:trHeight w:val="312"/>
        </w:trPr>
        <w:tc>
          <w:tcPr>
            <w:tcW w:w="3140" w:type="dxa"/>
            <w:tcBorders>
              <w:top w:val="single" w:sz="4" w:space="0" w:color="auto"/>
              <w:left w:val="single" w:sz="4" w:space="0" w:color="auto"/>
              <w:bottom w:val="single" w:sz="4" w:space="0" w:color="auto"/>
              <w:right w:val="single" w:sz="4" w:space="0" w:color="auto"/>
            </w:tcBorders>
            <w:shd w:val="clear" w:color="auto" w:fill="auto"/>
            <w:hideMark/>
          </w:tcPr>
          <w:p w:rsidR="00636764" w:rsidRPr="003F42E2" w:rsidRDefault="00636764" w:rsidP="00636764">
            <w:pPr>
              <w:keepNext/>
              <w:bidi w:val="0"/>
              <w:spacing w:line="14" w:lineRule="atLeast"/>
              <w:ind w:left="105"/>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Population active occupée en sous-emploi</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503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507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1 010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514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487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1 001</w:t>
            </w:r>
          </w:p>
        </w:tc>
      </w:tr>
      <w:tr w:rsidR="00636764" w:rsidRPr="003F42E2" w:rsidTr="00636764">
        <w:trPr>
          <w:trHeight w:val="312"/>
        </w:trPr>
        <w:tc>
          <w:tcPr>
            <w:tcW w:w="3140" w:type="dxa"/>
            <w:tcBorders>
              <w:top w:val="single" w:sz="4" w:space="0" w:color="auto"/>
              <w:left w:val="single" w:sz="4" w:space="0" w:color="auto"/>
              <w:bottom w:val="single" w:sz="4" w:space="0" w:color="auto"/>
              <w:right w:val="single" w:sz="4" w:space="0" w:color="auto"/>
            </w:tcBorders>
            <w:shd w:val="clear" w:color="auto" w:fill="auto"/>
            <w:hideMark/>
          </w:tcPr>
          <w:p w:rsidR="00636764" w:rsidRPr="003F42E2" w:rsidRDefault="00636764" w:rsidP="00636764">
            <w:pPr>
              <w:keepNext/>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 sous-emploi</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8,4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10,6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9,3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8,3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10,4</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36764" w:rsidRPr="003F42E2" w:rsidRDefault="00636764" w:rsidP="00636764">
            <w:pPr>
              <w:keepNext/>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9,2</w:t>
            </w:r>
          </w:p>
        </w:tc>
      </w:tr>
    </w:tbl>
    <w:p w:rsidR="006607E5" w:rsidRDefault="006607E5">
      <w:pPr>
        <w:bidi w:val="0"/>
      </w:pPr>
      <w:r>
        <w:br w:type="page"/>
      </w:r>
    </w:p>
    <w:tbl>
      <w:tblPr>
        <w:tblpPr w:leftFromText="141" w:rightFromText="141" w:vertAnchor="text" w:horzAnchor="margin" w:tblpXSpec="center" w:tblpY="-396"/>
        <w:tblW w:w="10580" w:type="dxa"/>
        <w:tblCellMar>
          <w:left w:w="70" w:type="dxa"/>
          <w:right w:w="70" w:type="dxa"/>
        </w:tblCellMar>
        <w:tblLook w:val="04A0"/>
      </w:tblPr>
      <w:tblGrid>
        <w:gridCol w:w="3140"/>
        <w:gridCol w:w="1240"/>
        <w:gridCol w:w="1240"/>
        <w:gridCol w:w="1240"/>
        <w:gridCol w:w="1240"/>
        <w:gridCol w:w="1240"/>
        <w:gridCol w:w="1240"/>
      </w:tblGrid>
      <w:tr w:rsidR="00636764" w:rsidRPr="003F42E2" w:rsidTr="00636764">
        <w:trPr>
          <w:trHeight w:val="418"/>
        </w:trPr>
        <w:tc>
          <w:tcPr>
            <w:tcW w:w="3140" w:type="dxa"/>
            <w:vMerge w:val="restart"/>
            <w:tcBorders>
              <w:top w:val="single" w:sz="4" w:space="0" w:color="auto"/>
              <w:left w:val="single" w:sz="4" w:space="0" w:color="auto"/>
              <w:right w:val="single" w:sz="4" w:space="0" w:color="auto"/>
            </w:tcBorders>
            <w:shd w:val="clear" w:color="auto" w:fill="auto"/>
            <w:hideMark/>
          </w:tcPr>
          <w:p w:rsidR="00636764" w:rsidRPr="003F42E2" w:rsidRDefault="00636764" w:rsidP="006607E5">
            <w:pPr>
              <w:keepNext/>
              <w:bidi w:val="0"/>
              <w:spacing w:line="14" w:lineRule="atLeast"/>
              <w:ind w:left="105"/>
              <w:rPr>
                <w:rFonts w:ascii="Book Antiqua" w:hAnsi="Book Antiqua" w:cs="Browallia New"/>
                <w:b/>
                <w:bCs/>
                <w:noProof w:val="0"/>
                <w:color w:val="000000"/>
                <w:sz w:val="24"/>
                <w:szCs w:val="24"/>
              </w:rPr>
            </w:pPr>
          </w:p>
        </w:tc>
        <w:tc>
          <w:tcPr>
            <w:tcW w:w="3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764" w:rsidRPr="003F42E2" w:rsidRDefault="00636764" w:rsidP="00636764">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tl/>
              </w:rPr>
              <w:t>2018</w:t>
            </w:r>
          </w:p>
        </w:tc>
        <w:tc>
          <w:tcPr>
            <w:tcW w:w="3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6764" w:rsidRPr="003F42E2" w:rsidRDefault="00636764" w:rsidP="00636764">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tl/>
              </w:rPr>
              <w:t>2019</w:t>
            </w:r>
          </w:p>
        </w:tc>
      </w:tr>
      <w:tr w:rsidR="00636764" w:rsidRPr="003F42E2" w:rsidTr="00CF4B24">
        <w:trPr>
          <w:trHeight w:val="312"/>
        </w:trPr>
        <w:tc>
          <w:tcPr>
            <w:tcW w:w="3140" w:type="dxa"/>
            <w:vMerge/>
            <w:tcBorders>
              <w:left w:val="single" w:sz="4" w:space="0" w:color="auto"/>
              <w:bottom w:val="single" w:sz="4" w:space="0" w:color="auto"/>
              <w:right w:val="single" w:sz="4" w:space="0" w:color="auto"/>
            </w:tcBorders>
            <w:shd w:val="clear" w:color="auto" w:fill="auto"/>
            <w:hideMark/>
          </w:tcPr>
          <w:p w:rsidR="00636764" w:rsidRPr="003F42E2" w:rsidRDefault="00636764" w:rsidP="00636764">
            <w:pPr>
              <w:keepNext/>
              <w:bidi w:val="0"/>
              <w:spacing w:line="14" w:lineRule="atLeast"/>
              <w:ind w:left="105"/>
              <w:rPr>
                <w:rFonts w:ascii="Book Antiqua" w:hAnsi="Book Antiqua" w:cs="Browallia New"/>
                <w:noProof w:val="0"/>
                <w:color w:val="000000"/>
                <w:sz w:val="24"/>
                <w:szCs w:val="24"/>
              </w:rPr>
            </w:pPr>
          </w:p>
        </w:tc>
        <w:tc>
          <w:tcPr>
            <w:tcW w:w="1240" w:type="dxa"/>
            <w:tcBorders>
              <w:top w:val="single" w:sz="4" w:space="0" w:color="auto"/>
              <w:left w:val="nil"/>
              <w:bottom w:val="single" w:sz="4" w:space="0" w:color="auto"/>
              <w:right w:val="single" w:sz="4" w:space="0" w:color="auto"/>
            </w:tcBorders>
            <w:shd w:val="clear" w:color="auto" w:fill="auto"/>
            <w:noWrap/>
            <w:hideMark/>
          </w:tcPr>
          <w:p w:rsidR="00636764" w:rsidRPr="003F42E2" w:rsidRDefault="00636764" w:rsidP="00636764">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Urbain</w:t>
            </w:r>
          </w:p>
        </w:tc>
        <w:tc>
          <w:tcPr>
            <w:tcW w:w="1240" w:type="dxa"/>
            <w:tcBorders>
              <w:top w:val="single" w:sz="4" w:space="0" w:color="auto"/>
              <w:left w:val="nil"/>
              <w:bottom w:val="single" w:sz="4" w:space="0" w:color="auto"/>
              <w:right w:val="single" w:sz="4" w:space="0" w:color="auto"/>
            </w:tcBorders>
            <w:shd w:val="clear" w:color="auto" w:fill="auto"/>
            <w:noWrap/>
            <w:hideMark/>
          </w:tcPr>
          <w:p w:rsidR="00636764" w:rsidRPr="003F42E2" w:rsidRDefault="00636764" w:rsidP="00636764">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Rural</w:t>
            </w:r>
          </w:p>
        </w:tc>
        <w:tc>
          <w:tcPr>
            <w:tcW w:w="1240" w:type="dxa"/>
            <w:tcBorders>
              <w:top w:val="single" w:sz="4" w:space="0" w:color="auto"/>
              <w:left w:val="nil"/>
              <w:bottom w:val="single" w:sz="4" w:space="0" w:color="auto"/>
              <w:right w:val="single" w:sz="4" w:space="0" w:color="auto"/>
            </w:tcBorders>
            <w:shd w:val="clear" w:color="auto" w:fill="auto"/>
            <w:noWrap/>
            <w:hideMark/>
          </w:tcPr>
          <w:p w:rsidR="00636764" w:rsidRPr="003F42E2" w:rsidRDefault="00636764" w:rsidP="00636764">
            <w:pPr>
              <w:bidi w:val="0"/>
              <w:spacing w:line="14" w:lineRule="atLeast"/>
              <w:jc w:val="center"/>
              <w:rPr>
                <w:rFonts w:ascii="Book Antiqua" w:hAnsi="Book Antiqua" w:cs="Browallia New"/>
                <w:b/>
                <w:bCs/>
                <w:noProof w:val="0"/>
                <w:color w:val="000000"/>
                <w:sz w:val="24"/>
                <w:szCs w:val="24"/>
              </w:rPr>
            </w:pPr>
            <w:r>
              <w:rPr>
                <w:rFonts w:ascii="Book Antiqua" w:hAnsi="Book Antiqua" w:cs="Browallia New"/>
                <w:b/>
                <w:bCs/>
                <w:noProof w:val="0"/>
                <w:color w:val="000000"/>
                <w:sz w:val="24"/>
                <w:szCs w:val="24"/>
              </w:rPr>
              <w:t>Ensemble</w:t>
            </w:r>
          </w:p>
        </w:tc>
        <w:tc>
          <w:tcPr>
            <w:tcW w:w="1240" w:type="dxa"/>
            <w:tcBorders>
              <w:top w:val="single" w:sz="4" w:space="0" w:color="auto"/>
              <w:left w:val="nil"/>
              <w:bottom w:val="single" w:sz="4" w:space="0" w:color="auto"/>
              <w:right w:val="single" w:sz="4" w:space="0" w:color="auto"/>
            </w:tcBorders>
            <w:shd w:val="clear" w:color="auto" w:fill="auto"/>
            <w:noWrap/>
            <w:hideMark/>
          </w:tcPr>
          <w:p w:rsidR="00636764" w:rsidRPr="003F42E2" w:rsidRDefault="00636764" w:rsidP="00636764">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Urbain</w:t>
            </w:r>
          </w:p>
        </w:tc>
        <w:tc>
          <w:tcPr>
            <w:tcW w:w="1240" w:type="dxa"/>
            <w:tcBorders>
              <w:top w:val="single" w:sz="4" w:space="0" w:color="auto"/>
              <w:left w:val="nil"/>
              <w:bottom w:val="single" w:sz="4" w:space="0" w:color="auto"/>
              <w:right w:val="single" w:sz="4" w:space="0" w:color="auto"/>
            </w:tcBorders>
            <w:shd w:val="clear" w:color="auto" w:fill="auto"/>
            <w:noWrap/>
            <w:hideMark/>
          </w:tcPr>
          <w:p w:rsidR="00636764" w:rsidRPr="003F42E2" w:rsidRDefault="00636764" w:rsidP="00636764">
            <w:pPr>
              <w:bidi w:val="0"/>
              <w:spacing w:line="14" w:lineRule="atLeast"/>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Rural</w:t>
            </w:r>
          </w:p>
        </w:tc>
        <w:tc>
          <w:tcPr>
            <w:tcW w:w="1240" w:type="dxa"/>
            <w:tcBorders>
              <w:top w:val="single" w:sz="4" w:space="0" w:color="auto"/>
              <w:left w:val="nil"/>
              <w:bottom w:val="single" w:sz="4" w:space="0" w:color="auto"/>
              <w:right w:val="single" w:sz="4" w:space="0" w:color="auto"/>
            </w:tcBorders>
            <w:shd w:val="clear" w:color="auto" w:fill="auto"/>
            <w:noWrap/>
            <w:hideMark/>
          </w:tcPr>
          <w:p w:rsidR="00636764" w:rsidRPr="003F42E2" w:rsidRDefault="00636764" w:rsidP="00636764">
            <w:pPr>
              <w:bidi w:val="0"/>
              <w:spacing w:line="14" w:lineRule="atLeast"/>
              <w:jc w:val="center"/>
              <w:rPr>
                <w:rFonts w:ascii="Book Antiqua" w:hAnsi="Book Antiqua" w:cs="Browallia New"/>
                <w:b/>
                <w:bCs/>
                <w:noProof w:val="0"/>
                <w:color w:val="000000"/>
                <w:sz w:val="24"/>
                <w:szCs w:val="24"/>
              </w:rPr>
            </w:pPr>
            <w:r>
              <w:rPr>
                <w:rFonts w:ascii="Book Antiqua" w:hAnsi="Book Antiqua" w:cs="Browallia New"/>
                <w:b/>
                <w:bCs/>
                <w:noProof w:val="0"/>
                <w:color w:val="000000"/>
                <w:sz w:val="24"/>
                <w:szCs w:val="24"/>
              </w:rPr>
              <w:t>Ensemble</w:t>
            </w:r>
          </w:p>
        </w:tc>
      </w:tr>
      <w:tr w:rsidR="00636764" w:rsidRPr="003F42E2" w:rsidTr="00CF4B24">
        <w:trPr>
          <w:trHeight w:val="445"/>
        </w:trPr>
        <w:tc>
          <w:tcPr>
            <w:tcW w:w="10580" w:type="dxa"/>
            <w:gridSpan w:val="7"/>
            <w:tcBorders>
              <w:top w:val="single" w:sz="4" w:space="0" w:color="auto"/>
              <w:left w:val="single" w:sz="4" w:space="0" w:color="auto"/>
              <w:bottom w:val="single" w:sz="4" w:space="0" w:color="auto"/>
              <w:right w:val="single" w:sz="4" w:space="0" w:color="auto"/>
            </w:tcBorders>
            <w:shd w:val="clear" w:color="auto" w:fill="auto"/>
            <w:hideMark/>
          </w:tcPr>
          <w:p w:rsidR="00636764" w:rsidRPr="00636764" w:rsidRDefault="00636764" w:rsidP="00636764">
            <w:pPr>
              <w:bidi w:val="0"/>
              <w:spacing w:line="14" w:lineRule="atLeast"/>
              <w:ind w:firstLineChars="100" w:firstLine="241"/>
              <w:rPr>
                <w:rFonts w:ascii="Book Antiqua" w:hAnsi="Book Antiqua" w:cs="Browallia New"/>
                <w:b/>
                <w:bCs/>
                <w:noProof w:val="0"/>
                <w:color w:val="1F497D"/>
                <w:sz w:val="24"/>
                <w:szCs w:val="24"/>
              </w:rPr>
            </w:pPr>
            <w:r w:rsidRPr="00636764">
              <w:rPr>
                <w:rFonts w:ascii="Book Antiqua" w:hAnsi="Book Antiqua" w:cs="Browallia New"/>
                <w:b/>
                <w:bCs/>
                <w:noProof w:val="0"/>
                <w:color w:val="1F497D"/>
                <w:sz w:val="24"/>
                <w:szCs w:val="24"/>
              </w:rPr>
              <w:t>Chômage</w:t>
            </w:r>
          </w:p>
        </w:tc>
      </w:tr>
      <w:tr w:rsidR="006607E5" w:rsidRPr="003F42E2" w:rsidTr="006607E5">
        <w:trPr>
          <w:trHeight w:val="109"/>
        </w:trPr>
        <w:tc>
          <w:tcPr>
            <w:tcW w:w="3140" w:type="dxa"/>
            <w:tcBorders>
              <w:top w:val="single" w:sz="4" w:space="0" w:color="auto"/>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105"/>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Population active en chômage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1"/>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961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1"/>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176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1"/>
              <w:jc w:val="center"/>
              <w:rPr>
                <w:rFonts w:ascii="Book Antiqua" w:hAnsi="Book Antiqua" w:cs="Browallia New"/>
                <w:b/>
                <w:bCs/>
                <w:noProof w:val="0"/>
                <w:color w:val="000000"/>
                <w:sz w:val="24"/>
                <w:szCs w:val="24"/>
              </w:rPr>
            </w:pPr>
            <w:r w:rsidRPr="003F42E2">
              <w:rPr>
                <w:rFonts w:ascii="Book Antiqua" w:hAnsi="Book Antiqua" w:cs="Browallia New"/>
                <w:b/>
                <w:bCs/>
                <w:noProof w:val="0"/>
                <w:color w:val="000000"/>
                <w:sz w:val="24"/>
                <w:szCs w:val="24"/>
              </w:rPr>
              <w:t>1 137</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928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179</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1"/>
              <w:jc w:val="center"/>
              <w:rPr>
                <w:rFonts w:ascii="Book Antiqua" w:hAnsi="Book Antiqua" w:cs="Browallia New"/>
                <w:b/>
                <w:bCs/>
                <w:noProof w:val="0"/>
                <w:color w:val="010205"/>
                <w:sz w:val="24"/>
                <w:szCs w:val="24"/>
              </w:rPr>
            </w:pPr>
            <w:r w:rsidRPr="003F42E2">
              <w:rPr>
                <w:rFonts w:ascii="Book Antiqua" w:hAnsi="Book Antiqua" w:cs="Browallia New"/>
                <w:b/>
                <w:bCs/>
                <w:noProof w:val="0"/>
                <w:color w:val="010205"/>
                <w:sz w:val="24"/>
                <w:szCs w:val="24"/>
              </w:rPr>
              <w:t>1 107</w:t>
            </w:r>
          </w:p>
        </w:tc>
      </w:tr>
      <w:tr w:rsidR="006607E5" w:rsidRPr="003F42E2" w:rsidTr="006607E5">
        <w:trPr>
          <w:trHeight w:val="624"/>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 féminisation de la population active en chômage</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38,4</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19,6</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35,5</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38,1</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19,2</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35,0</w:t>
            </w:r>
          </w:p>
        </w:tc>
      </w:tr>
      <w:tr w:rsidR="006607E5" w:rsidRPr="003F42E2" w:rsidTr="006607E5">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10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Taux de chômage</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13,8</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3,6</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9,5</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12,9</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3,7</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9,2</w:t>
            </w:r>
          </w:p>
        </w:tc>
      </w:tr>
      <w:tr w:rsidR="006607E5" w:rsidRPr="003F42E2" w:rsidTr="006607E5">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6607E5" w:rsidRPr="003F42E2" w:rsidRDefault="006607E5" w:rsidP="006607E5">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 Selon le sexe</w:t>
            </w:r>
          </w:p>
        </w:tc>
      </w:tr>
      <w:tr w:rsidR="006607E5" w:rsidRPr="003F42E2" w:rsidTr="006607E5">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Hommes</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10,9</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3,9</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8,1</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10,3</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4,0</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7,8</w:t>
            </w:r>
          </w:p>
        </w:tc>
      </w:tr>
      <w:tr w:rsidR="006607E5" w:rsidRPr="003F42E2" w:rsidTr="006607E5">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Femmes</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23,9</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2,6</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14,1</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21,8</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2,7</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13,5</w:t>
            </w:r>
          </w:p>
        </w:tc>
      </w:tr>
      <w:tr w:rsidR="006607E5" w:rsidRPr="003F42E2" w:rsidTr="006607E5">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6607E5" w:rsidRPr="003F42E2" w:rsidRDefault="006607E5" w:rsidP="006607E5">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 Selon l'âge</w:t>
            </w:r>
          </w:p>
        </w:tc>
      </w:tr>
      <w:tr w:rsidR="006607E5" w:rsidRPr="003F42E2" w:rsidTr="006607E5">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15-24 ans</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41,8</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10,5</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25,6</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39,2</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11,3</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24,9</w:t>
            </w:r>
          </w:p>
        </w:tc>
      </w:tr>
      <w:tr w:rsidR="006607E5" w:rsidRPr="003F42E2" w:rsidTr="006607E5">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25-34 ans</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20,9</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4,5</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15,0</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20,4</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5,1</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15,1</w:t>
            </w:r>
          </w:p>
        </w:tc>
      </w:tr>
      <w:tr w:rsidR="006607E5" w:rsidRPr="003F42E2" w:rsidTr="006607E5">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35-44 ans</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6,2</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1,6</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4,5</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6,1</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1,7</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4,5</w:t>
            </w:r>
          </w:p>
        </w:tc>
      </w:tr>
      <w:tr w:rsidR="006607E5" w:rsidRPr="003F42E2" w:rsidTr="006607E5">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45 ans et plus</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3,2</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0,9</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2,2</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3,1</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0,8</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2,1</w:t>
            </w:r>
          </w:p>
        </w:tc>
      </w:tr>
      <w:tr w:rsidR="006607E5" w:rsidRPr="003F42E2" w:rsidTr="006607E5">
        <w:trPr>
          <w:trHeight w:val="312"/>
        </w:trPr>
        <w:tc>
          <w:tcPr>
            <w:tcW w:w="10580" w:type="dxa"/>
            <w:gridSpan w:val="7"/>
            <w:tcBorders>
              <w:top w:val="single" w:sz="4" w:space="0" w:color="auto"/>
              <w:left w:val="single" w:sz="4" w:space="0" w:color="auto"/>
              <w:bottom w:val="single" w:sz="4" w:space="0" w:color="auto"/>
              <w:right w:val="single" w:sz="4" w:space="0" w:color="000000"/>
            </w:tcBorders>
            <w:shd w:val="clear" w:color="auto" w:fill="auto"/>
            <w:noWrap/>
            <w:hideMark/>
          </w:tcPr>
          <w:p w:rsidR="006607E5" w:rsidRPr="003F42E2" w:rsidRDefault="006607E5" w:rsidP="006607E5">
            <w:pPr>
              <w:bidi w:val="0"/>
              <w:spacing w:line="14" w:lineRule="atLeast"/>
              <w:ind w:left="195" w:firstLineChars="5" w:firstLine="12"/>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 Selon le diplôme</w:t>
            </w:r>
          </w:p>
        </w:tc>
      </w:tr>
      <w:tr w:rsidR="006607E5" w:rsidRPr="003F42E2" w:rsidTr="006607E5">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Non diplômés</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5,7</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1,7</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3,3</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5,2</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1,7</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3,1</w:t>
            </w:r>
          </w:p>
        </w:tc>
      </w:tr>
      <w:tr w:rsidR="006607E5" w:rsidRPr="003F42E2" w:rsidTr="006607E5">
        <w:trPr>
          <w:trHeight w:val="312"/>
        </w:trPr>
        <w:tc>
          <w:tcPr>
            <w:tcW w:w="3140" w:type="dxa"/>
            <w:tcBorders>
              <w:top w:val="nil"/>
              <w:left w:val="single" w:sz="4" w:space="0" w:color="auto"/>
              <w:bottom w:val="single" w:sz="4" w:space="0" w:color="auto"/>
              <w:right w:val="single" w:sz="4" w:space="0" w:color="auto"/>
            </w:tcBorders>
            <w:shd w:val="clear" w:color="auto" w:fill="auto"/>
            <w:hideMark/>
          </w:tcPr>
          <w:p w:rsidR="006607E5" w:rsidRPr="003F42E2" w:rsidRDefault="006607E5" w:rsidP="006607E5">
            <w:pPr>
              <w:bidi w:val="0"/>
              <w:spacing w:line="14" w:lineRule="atLeast"/>
              <w:ind w:left="555"/>
              <w:rPr>
                <w:rFonts w:ascii="Book Antiqua" w:hAnsi="Book Antiqua" w:cs="Browallia New"/>
                <w:noProof w:val="0"/>
                <w:color w:val="000000"/>
                <w:sz w:val="24"/>
                <w:szCs w:val="24"/>
              </w:rPr>
            </w:pPr>
            <w:r w:rsidRPr="003F42E2">
              <w:rPr>
                <w:rFonts w:ascii="Book Antiqua" w:hAnsi="Book Antiqua" w:cs="Browallia New"/>
                <w:noProof w:val="0"/>
                <w:color w:val="000000"/>
                <w:sz w:val="24"/>
                <w:szCs w:val="24"/>
              </w:rPr>
              <w:t>Diplômés</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18,6</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9,7</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16,7</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17,3</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9,6</w:t>
            </w:r>
          </w:p>
        </w:tc>
        <w:tc>
          <w:tcPr>
            <w:tcW w:w="1240" w:type="dxa"/>
            <w:tcBorders>
              <w:top w:val="nil"/>
              <w:left w:val="nil"/>
              <w:bottom w:val="single" w:sz="4" w:space="0" w:color="auto"/>
              <w:right w:val="single" w:sz="4" w:space="0" w:color="auto"/>
            </w:tcBorders>
            <w:shd w:val="clear" w:color="auto" w:fill="auto"/>
            <w:noWrap/>
            <w:vAlign w:val="center"/>
            <w:hideMark/>
          </w:tcPr>
          <w:p w:rsidR="006607E5" w:rsidRPr="003F42E2" w:rsidRDefault="006607E5" w:rsidP="006607E5">
            <w:pPr>
              <w:bidi w:val="0"/>
              <w:spacing w:line="14" w:lineRule="atLeast"/>
              <w:ind w:firstLineChars="100" w:firstLine="240"/>
              <w:jc w:val="center"/>
              <w:rPr>
                <w:rFonts w:ascii="Book Antiqua" w:hAnsi="Book Antiqua" w:cs="Browallia New"/>
                <w:noProof w:val="0"/>
                <w:color w:val="010205"/>
                <w:sz w:val="24"/>
                <w:szCs w:val="24"/>
              </w:rPr>
            </w:pPr>
            <w:r w:rsidRPr="003F42E2">
              <w:rPr>
                <w:rFonts w:ascii="Book Antiqua" w:hAnsi="Book Antiqua" w:cs="Browallia New"/>
                <w:noProof w:val="0"/>
                <w:color w:val="010205"/>
                <w:sz w:val="24"/>
                <w:szCs w:val="24"/>
              </w:rPr>
              <w:t>15,7</w:t>
            </w:r>
          </w:p>
        </w:tc>
      </w:tr>
    </w:tbl>
    <w:p w:rsidR="006607E5" w:rsidRDefault="006607E5" w:rsidP="006607E5">
      <w:pPr>
        <w:bidi w:val="0"/>
      </w:pPr>
    </w:p>
    <w:p w:rsidR="00D17BC8" w:rsidRPr="0044402C" w:rsidRDefault="00D17BC8" w:rsidP="00A654FA">
      <w:pPr>
        <w:pStyle w:val="Paragraphedeliste"/>
        <w:numPr>
          <w:ilvl w:val="0"/>
          <w:numId w:val="2"/>
        </w:numPr>
        <w:tabs>
          <w:tab w:val="left" w:pos="-720"/>
        </w:tabs>
        <w:suppressAutoHyphens/>
        <w:bidi w:val="0"/>
        <w:jc w:val="both"/>
        <w:rPr>
          <w:color w:val="222222"/>
          <w:shd w:val="clear" w:color="auto" w:fill="FFFFFF"/>
        </w:rPr>
      </w:pPr>
      <w:r w:rsidRPr="0044402C">
        <w:rPr>
          <w:color w:val="222222"/>
          <w:shd w:val="clear" w:color="auto" w:fill="FFFFFF"/>
        </w:rPr>
        <w:t xml:space="preserve">Source </w:t>
      </w:r>
      <w:r w:rsidR="00C8069A" w:rsidRPr="0044402C">
        <w:rPr>
          <w:color w:val="222222"/>
          <w:shd w:val="clear" w:color="auto" w:fill="FFFFFF"/>
        </w:rPr>
        <w:t>: Enquête</w:t>
      </w:r>
      <w:r w:rsidRPr="0044402C">
        <w:rPr>
          <w:color w:val="222222"/>
          <w:shd w:val="clear" w:color="auto" w:fill="FFFFFF"/>
        </w:rPr>
        <w:t xml:space="preserve"> nationale sur l'emploi, Haut Commissariat au Plan</w:t>
      </w:r>
      <w:r w:rsidR="00C8069A" w:rsidRPr="0044402C">
        <w:rPr>
          <w:color w:val="222222"/>
          <w:shd w:val="clear" w:color="auto" w:fill="FFFFFF"/>
        </w:rPr>
        <w:t xml:space="preserve"> </w:t>
      </w:r>
      <w:r w:rsidRPr="0044402C">
        <w:rPr>
          <w:color w:val="222222"/>
          <w:shd w:val="clear" w:color="auto" w:fill="FFFFFF"/>
        </w:rPr>
        <w:t>(Direction de la Statistique).</w:t>
      </w:r>
    </w:p>
    <w:p w:rsidR="00D17BC8" w:rsidRPr="0044402C" w:rsidRDefault="00D17BC8" w:rsidP="00A654FA">
      <w:pPr>
        <w:pStyle w:val="Paragraphedeliste"/>
        <w:numPr>
          <w:ilvl w:val="0"/>
          <w:numId w:val="2"/>
        </w:numPr>
        <w:tabs>
          <w:tab w:val="left" w:pos="-720"/>
        </w:tabs>
        <w:suppressAutoHyphens/>
        <w:bidi w:val="0"/>
        <w:jc w:val="both"/>
        <w:rPr>
          <w:color w:val="222222"/>
          <w:shd w:val="clear" w:color="auto" w:fill="FFFFFF"/>
        </w:rPr>
      </w:pPr>
      <w:r w:rsidRPr="0044402C">
        <w:rPr>
          <w:color w:val="222222"/>
          <w:shd w:val="clear" w:color="auto" w:fill="FFFFFF"/>
        </w:rPr>
        <w:t>Pour les définitions des concepts et indicateurs utilisés, se référer au glossaire disponible sur le site web du HCP </w:t>
      </w:r>
      <w:r w:rsidRPr="00732FB1">
        <w:rPr>
          <w:b/>
          <w:bCs/>
          <w:color w:val="222222"/>
          <w:shd w:val="clear" w:color="auto" w:fill="FFFFFF"/>
        </w:rPr>
        <w:t xml:space="preserve">: </w:t>
      </w:r>
      <w:hyperlink r:id="rId14" w:history="1">
        <w:r w:rsidRPr="00732FB1">
          <w:rPr>
            <w:b/>
            <w:bCs/>
            <w:color w:val="222222"/>
            <w:shd w:val="clear" w:color="auto" w:fill="FFFFFF"/>
          </w:rPr>
          <w:t>http://www.hcp.ma</w:t>
        </w:r>
      </w:hyperlink>
      <w:r w:rsidR="006607E5">
        <w:rPr>
          <w:color w:val="222222"/>
          <w:shd w:val="clear" w:color="auto" w:fill="FFFFFF"/>
        </w:rPr>
        <w:t>.</w:t>
      </w:r>
    </w:p>
    <w:p w:rsidR="0044402C" w:rsidRPr="0044402C" w:rsidRDefault="0044402C" w:rsidP="00A654FA">
      <w:pPr>
        <w:pStyle w:val="Paragraphedeliste"/>
        <w:numPr>
          <w:ilvl w:val="0"/>
          <w:numId w:val="2"/>
        </w:numPr>
        <w:tabs>
          <w:tab w:val="left" w:pos="-720"/>
        </w:tabs>
        <w:suppressAutoHyphens/>
        <w:bidi w:val="0"/>
        <w:jc w:val="both"/>
        <w:rPr>
          <w:color w:val="222222"/>
          <w:shd w:val="clear" w:color="auto" w:fill="FFFFFF"/>
        </w:rPr>
      </w:pPr>
      <w:r>
        <w:rPr>
          <w:color w:val="222222"/>
          <w:shd w:val="clear" w:color="auto" w:fill="FFFFFF"/>
        </w:rPr>
        <w:t>Les données chiffrées sont arrondies. Le résultat arrondi d’une combinaison de données chiffrées (qui fait intervenir leurs valeurs réelles) peut se trouver légèrement différent de celui que donnerait la combinaison de leurs valeurs arrondies.</w:t>
      </w:r>
    </w:p>
    <w:p w:rsidR="00D17BC8" w:rsidRPr="0044402C" w:rsidRDefault="00D17BC8" w:rsidP="00D17BC8">
      <w:pPr>
        <w:bidi w:val="0"/>
        <w:spacing w:after="160" w:line="259" w:lineRule="auto"/>
        <w:rPr>
          <w:color w:val="222222"/>
          <w:shd w:val="clear" w:color="auto" w:fill="FFFFFF"/>
        </w:rPr>
      </w:pPr>
      <w:r w:rsidRPr="0044402C">
        <w:rPr>
          <w:color w:val="222222"/>
          <w:shd w:val="clear" w:color="auto" w:fill="FFFFFF"/>
        </w:rPr>
        <w:br w:type="page"/>
      </w:r>
    </w:p>
    <w:p w:rsidR="00050ACD" w:rsidRPr="0011097B" w:rsidRDefault="00050ACD" w:rsidP="005D2916">
      <w:pPr>
        <w:bidi w:val="0"/>
        <w:spacing w:after="160" w:line="259" w:lineRule="auto"/>
        <w:jc w:val="center"/>
        <w:rPr>
          <w:rFonts w:ascii="Book Antiqua" w:hAnsi="Book Antiqua" w:cs="Browallia New"/>
          <w:b/>
          <w:bCs/>
          <w:noProof w:val="0"/>
          <w:sz w:val="28"/>
          <w:szCs w:val="28"/>
        </w:rPr>
      </w:pPr>
      <w:r w:rsidRPr="003F42E2">
        <w:rPr>
          <w:rFonts w:ascii="Book Antiqua" w:hAnsi="Book Antiqua" w:cs="Browallia New"/>
          <w:b/>
          <w:bCs/>
          <w:noProof w:val="0"/>
          <w:sz w:val="28"/>
          <w:szCs w:val="28"/>
        </w:rPr>
        <w:lastRenderedPageBreak/>
        <w:t>Tableau 2: Taux d'activité, d’emploi et de chômage par région et milieu de résidence (en%).</w:t>
      </w:r>
    </w:p>
    <w:tbl>
      <w:tblPr>
        <w:tblW w:w="10884" w:type="dxa"/>
        <w:jc w:val="center"/>
        <w:tblInd w:w="-6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4046"/>
        <w:gridCol w:w="1134"/>
        <w:gridCol w:w="969"/>
        <w:gridCol w:w="1333"/>
        <w:gridCol w:w="1134"/>
        <w:gridCol w:w="992"/>
        <w:gridCol w:w="1276"/>
      </w:tblGrid>
      <w:tr w:rsidR="00050ACD" w:rsidRPr="003B6E53" w:rsidTr="004A0171">
        <w:trPr>
          <w:trHeight w:val="241"/>
          <w:jc w:val="center"/>
        </w:trPr>
        <w:tc>
          <w:tcPr>
            <w:tcW w:w="4046" w:type="dxa"/>
            <w:vMerge w:val="restart"/>
          </w:tcPr>
          <w:p w:rsidR="00050ACD" w:rsidRPr="00590BB5" w:rsidRDefault="00050ACD" w:rsidP="00823269">
            <w:pPr>
              <w:bidi w:val="0"/>
              <w:spacing w:line="14" w:lineRule="atLeast"/>
              <w:ind w:firstLineChars="100" w:firstLine="241"/>
              <w:rPr>
                <w:rFonts w:ascii="Book Antiqua" w:hAnsi="Book Antiqua" w:cs="Browallia New"/>
                <w:b/>
                <w:bCs/>
                <w:noProof w:val="0"/>
                <w:color w:val="0070C0"/>
                <w:sz w:val="24"/>
                <w:szCs w:val="24"/>
              </w:rPr>
            </w:pPr>
            <w:r w:rsidRPr="00590BB5">
              <w:rPr>
                <w:rFonts w:ascii="Book Antiqua" w:hAnsi="Book Antiqua" w:cs="Browallia New"/>
                <w:b/>
                <w:bCs/>
                <w:noProof w:val="0"/>
                <w:color w:val="0070C0"/>
                <w:sz w:val="24"/>
                <w:szCs w:val="24"/>
              </w:rPr>
              <w:t>Indicateurs</w:t>
            </w:r>
          </w:p>
        </w:tc>
        <w:tc>
          <w:tcPr>
            <w:tcW w:w="3436" w:type="dxa"/>
            <w:gridSpan w:val="3"/>
          </w:tcPr>
          <w:p w:rsidR="00050ACD" w:rsidRPr="00823269" w:rsidRDefault="00050ACD" w:rsidP="00823269">
            <w:pPr>
              <w:bidi w:val="0"/>
              <w:spacing w:line="14" w:lineRule="atLeast"/>
              <w:ind w:firstLineChars="100" w:firstLine="241"/>
              <w:jc w:val="center"/>
              <w:rPr>
                <w:rFonts w:ascii="Book Antiqua" w:hAnsi="Book Antiqua" w:cs="Browallia New"/>
                <w:b/>
                <w:bCs/>
                <w:noProof w:val="0"/>
                <w:color w:val="000000"/>
                <w:sz w:val="24"/>
                <w:szCs w:val="24"/>
              </w:rPr>
            </w:pPr>
            <w:r w:rsidRPr="00823269">
              <w:rPr>
                <w:rFonts w:ascii="Book Antiqua" w:hAnsi="Book Antiqua" w:cs="Browallia New"/>
                <w:b/>
                <w:bCs/>
                <w:noProof w:val="0"/>
                <w:color w:val="000000"/>
                <w:sz w:val="24"/>
                <w:szCs w:val="24"/>
              </w:rPr>
              <w:t>2018</w:t>
            </w:r>
          </w:p>
        </w:tc>
        <w:tc>
          <w:tcPr>
            <w:tcW w:w="3402" w:type="dxa"/>
            <w:gridSpan w:val="3"/>
          </w:tcPr>
          <w:p w:rsidR="00050ACD" w:rsidRPr="00823269" w:rsidRDefault="00050ACD" w:rsidP="00823269">
            <w:pPr>
              <w:bidi w:val="0"/>
              <w:spacing w:line="14" w:lineRule="atLeast"/>
              <w:ind w:firstLineChars="100" w:firstLine="241"/>
              <w:jc w:val="center"/>
              <w:rPr>
                <w:rFonts w:ascii="Book Antiqua" w:hAnsi="Book Antiqua" w:cs="Browallia New"/>
                <w:b/>
                <w:bCs/>
                <w:noProof w:val="0"/>
                <w:color w:val="000000"/>
                <w:sz w:val="24"/>
                <w:szCs w:val="24"/>
              </w:rPr>
            </w:pPr>
            <w:r w:rsidRPr="00823269">
              <w:rPr>
                <w:rFonts w:ascii="Book Antiqua" w:hAnsi="Book Antiqua" w:cs="Browallia New"/>
                <w:b/>
                <w:bCs/>
                <w:noProof w:val="0"/>
                <w:color w:val="000000"/>
                <w:sz w:val="24"/>
                <w:szCs w:val="24"/>
              </w:rPr>
              <w:t>2019</w:t>
            </w:r>
          </w:p>
        </w:tc>
      </w:tr>
      <w:tr w:rsidR="00050ACD" w:rsidRPr="003B6E53" w:rsidTr="004A0171">
        <w:trPr>
          <w:trHeight w:val="276"/>
          <w:jc w:val="center"/>
        </w:trPr>
        <w:tc>
          <w:tcPr>
            <w:tcW w:w="4046" w:type="dxa"/>
            <w:vMerge/>
            <w:tcBorders>
              <w:bottom w:val="single" w:sz="4" w:space="0" w:color="auto"/>
            </w:tcBorders>
          </w:tcPr>
          <w:p w:rsidR="00050ACD" w:rsidRPr="00590BB5" w:rsidRDefault="00050ACD" w:rsidP="00823269">
            <w:pPr>
              <w:bidi w:val="0"/>
              <w:spacing w:line="14" w:lineRule="atLeast"/>
              <w:ind w:firstLineChars="100" w:firstLine="241"/>
              <w:rPr>
                <w:rFonts w:ascii="Book Antiqua" w:hAnsi="Book Antiqua" w:cs="Browallia New"/>
                <w:b/>
                <w:bCs/>
                <w:noProof w:val="0"/>
                <w:color w:val="0070C0"/>
                <w:sz w:val="24"/>
                <w:szCs w:val="24"/>
              </w:rPr>
            </w:pPr>
          </w:p>
        </w:tc>
        <w:tc>
          <w:tcPr>
            <w:tcW w:w="1134" w:type="dxa"/>
            <w:tcBorders>
              <w:bottom w:val="single" w:sz="4" w:space="0" w:color="auto"/>
            </w:tcBorders>
          </w:tcPr>
          <w:p w:rsidR="00050ACD" w:rsidRPr="00823269" w:rsidRDefault="00050ACD" w:rsidP="00823269">
            <w:pPr>
              <w:bidi w:val="0"/>
              <w:spacing w:line="14" w:lineRule="atLeast"/>
              <w:ind w:firstLineChars="100" w:firstLine="241"/>
              <w:jc w:val="center"/>
              <w:rPr>
                <w:rFonts w:ascii="Book Antiqua" w:hAnsi="Book Antiqua" w:cs="Browallia New"/>
                <w:b/>
                <w:bCs/>
                <w:noProof w:val="0"/>
                <w:color w:val="000000"/>
                <w:sz w:val="24"/>
                <w:szCs w:val="24"/>
              </w:rPr>
            </w:pPr>
            <w:r w:rsidRPr="00823269">
              <w:rPr>
                <w:rFonts w:ascii="Book Antiqua" w:hAnsi="Book Antiqua" w:cs="Browallia New"/>
                <w:b/>
                <w:bCs/>
                <w:noProof w:val="0"/>
                <w:color w:val="000000"/>
                <w:sz w:val="24"/>
                <w:szCs w:val="24"/>
              </w:rPr>
              <w:t>Urbain</w:t>
            </w:r>
          </w:p>
        </w:tc>
        <w:tc>
          <w:tcPr>
            <w:tcW w:w="969" w:type="dxa"/>
            <w:tcBorders>
              <w:bottom w:val="single" w:sz="4" w:space="0" w:color="auto"/>
            </w:tcBorders>
          </w:tcPr>
          <w:p w:rsidR="00050ACD" w:rsidRPr="00823269" w:rsidRDefault="00050ACD" w:rsidP="00823269">
            <w:pPr>
              <w:bidi w:val="0"/>
              <w:spacing w:line="14" w:lineRule="atLeast"/>
              <w:ind w:firstLineChars="100" w:firstLine="241"/>
              <w:jc w:val="center"/>
              <w:rPr>
                <w:rFonts w:ascii="Book Antiqua" w:hAnsi="Book Antiqua" w:cs="Browallia New"/>
                <w:b/>
                <w:bCs/>
                <w:noProof w:val="0"/>
                <w:color w:val="000000"/>
                <w:sz w:val="24"/>
                <w:szCs w:val="24"/>
              </w:rPr>
            </w:pPr>
            <w:r w:rsidRPr="00823269">
              <w:rPr>
                <w:rFonts w:ascii="Book Antiqua" w:hAnsi="Book Antiqua" w:cs="Browallia New"/>
                <w:b/>
                <w:bCs/>
                <w:noProof w:val="0"/>
                <w:color w:val="000000"/>
                <w:sz w:val="24"/>
                <w:szCs w:val="24"/>
              </w:rPr>
              <w:t>Rural</w:t>
            </w:r>
          </w:p>
        </w:tc>
        <w:tc>
          <w:tcPr>
            <w:tcW w:w="1333" w:type="dxa"/>
            <w:tcBorders>
              <w:bottom w:val="single" w:sz="4" w:space="0" w:color="auto"/>
            </w:tcBorders>
          </w:tcPr>
          <w:p w:rsidR="00050ACD" w:rsidRPr="00823269" w:rsidRDefault="00050ACD" w:rsidP="00823269">
            <w:pPr>
              <w:bidi w:val="0"/>
              <w:spacing w:line="14" w:lineRule="atLeast"/>
              <w:ind w:firstLineChars="100" w:firstLine="241"/>
              <w:jc w:val="center"/>
              <w:rPr>
                <w:rFonts w:ascii="Book Antiqua" w:hAnsi="Book Antiqua" w:cs="Browallia New"/>
                <w:b/>
                <w:bCs/>
                <w:noProof w:val="0"/>
                <w:color w:val="000000"/>
                <w:sz w:val="24"/>
                <w:szCs w:val="24"/>
              </w:rPr>
            </w:pPr>
            <w:r w:rsidRPr="00823269">
              <w:rPr>
                <w:rFonts w:ascii="Book Antiqua" w:hAnsi="Book Antiqua" w:cs="Browallia New"/>
                <w:b/>
                <w:bCs/>
                <w:noProof w:val="0"/>
                <w:color w:val="000000"/>
                <w:sz w:val="24"/>
                <w:szCs w:val="24"/>
              </w:rPr>
              <w:t>National</w:t>
            </w:r>
          </w:p>
        </w:tc>
        <w:tc>
          <w:tcPr>
            <w:tcW w:w="1134" w:type="dxa"/>
            <w:tcBorders>
              <w:bottom w:val="single" w:sz="4" w:space="0" w:color="auto"/>
            </w:tcBorders>
          </w:tcPr>
          <w:p w:rsidR="00050ACD" w:rsidRPr="00823269" w:rsidRDefault="00050ACD" w:rsidP="00823269">
            <w:pPr>
              <w:bidi w:val="0"/>
              <w:spacing w:line="14" w:lineRule="atLeast"/>
              <w:ind w:firstLineChars="100" w:firstLine="241"/>
              <w:rPr>
                <w:rFonts w:ascii="Book Antiqua" w:hAnsi="Book Antiqua" w:cs="Browallia New"/>
                <w:b/>
                <w:bCs/>
                <w:noProof w:val="0"/>
                <w:color w:val="000000"/>
                <w:sz w:val="24"/>
                <w:szCs w:val="24"/>
              </w:rPr>
            </w:pPr>
            <w:r w:rsidRPr="00823269">
              <w:rPr>
                <w:rFonts w:ascii="Book Antiqua" w:hAnsi="Book Antiqua" w:cs="Browallia New"/>
                <w:b/>
                <w:bCs/>
                <w:noProof w:val="0"/>
                <w:color w:val="000000"/>
                <w:sz w:val="24"/>
                <w:szCs w:val="24"/>
              </w:rPr>
              <w:t>Urbain</w:t>
            </w:r>
          </w:p>
        </w:tc>
        <w:tc>
          <w:tcPr>
            <w:tcW w:w="992" w:type="dxa"/>
            <w:tcBorders>
              <w:bottom w:val="single" w:sz="4" w:space="0" w:color="auto"/>
            </w:tcBorders>
          </w:tcPr>
          <w:p w:rsidR="00050ACD" w:rsidRPr="00823269" w:rsidRDefault="00050ACD" w:rsidP="00823269">
            <w:pPr>
              <w:bidi w:val="0"/>
              <w:spacing w:line="14" w:lineRule="atLeast"/>
              <w:ind w:firstLineChars="100" w:firstLine="241"/>
              <w:rPr>
                <w:rFonts w:ascii="Book Antiqua" w:hAnsi="Book Antiqua" w:cs="Browallia New"/>
                <w:b/>
                <w:bCs/>
                <w:noProof w:val="0"/>
                <w:color w:val="000000"/>
                <w:sz w:val="24"/>
                <w:szCs w:val="24"/>
              </w:rPr>
            </w:pPr>
            <w:r w:rsidRPr="00823269">
              <w:rPr>
                <w:rFonts w:ascii="Book Antiqua" w:hAnsi="Book Antiqua" w:cs="Browallia New"/>
                <w:b/>
                <w:bCs/>
                <w:noProof w:val="0"/>
                <w:color w:val="000000"/>
                <w:sz w:val="24"/>
                <w:szCs w:val="24"/>
              </w:rPr>
              <w:t>Rural</w:t>
            </w:r>
          </w:p>
        </w:tc>
        <w:tc>
          <w:tcPr>
            <w:tcW w:w="1276" w:type="dxa"/>
            <w:tcBorders>
              <w:bottom w:val="single" w:sz="4" w:space="0" w:color="auto"/>
            </w:tcBorders>
          </w:tcPr>
          <w:p w:rsidR="00050ACD" w:rsidRPr="00823269" w:rsidRDefault="00050ACD" w:rsidP="00823269">
            <w:pPr>
              <w:bidi w:val="0"/>
              <w:spacing w:line="14" w:lineRule="atLeast"/>
              <w:ind w:firstLineChars="100" w:firstLine="241"/>
              <w:rPr>
                <w:rFonts w:ascii="Book Antiqua" w:hAnsi="Book Antiqua" w:cs="Browallia New"/>
                <w:b/>
                <w:bCs/>
                <w:noProof w:val="0"/>
                <w:color w:val="000000"/>
                <w:sz w:val="24"/>
                <w:szCs w:val="24"/>
              </w:rPr>
            </w:pPr>
            <w:r w:rsidRPr="00823269">
              <w:rPr>
                <w:rFonts w:ascii="Book Antiqua" w:hAnsi="Book Antiqua" w:cs="Browallia New"/>
                <w:b/>
                <w:bCs/>
                <w:noProof w:val="0"/>
                <w:color w:val="000000"/>
                <w:sz w:val="24"/>
                <w:szCs w:val="24"/>
              </w:rPr>
              <w:t>National</w:t>
            </w:r>
          </w:p>
        </w:tc>
      </w:tr>
      <w:tr w:rsidR="00050ACD" w:rsidRPr="003B6E53" w:rsidTr="004A0171">
        <w:trPr>
          <w:trHeight w:val="347"/>
          <w:jc w:val="center"/>
        </w:trPr>
        <w:tc>
          <w:tcPr>
            <w:tcW w:w="4046" w:type="dxa"/>
            <w:tcBorders>
              <w:top w:val="single" w:sz="4" w:space="0" w:color="auto"/>
              <w:left w:val="single" w:sz="4" w:space="0" w:color="auto"/>
              <w:bottom w:val="single" w:sz="4" w:space="0" w:color="auto"/>
              <w:right w:val="single" w:sz="4" w:space="0" w:color="FFFFFF" w:themeColor="background1"/>
            </w:tcBorders>
          </w:tcPr>
          <w:p w:rsidR="00050ACD" w:rsidRPr="00590BB5" w:rsidRDefault="00792242" w:rsidP="003B6E53">
            <w:pPr>
              <w:bidi w:val="0"/>
              <w:spacing w:line="14" w:lineRule="atLeast"/>
              <w:ind w:firstLineChars="100" w:firstLine="241"/>
              <w:rPr>
                <w:rFonts w:ascii="Book Antiqua" w:hAnsi="Book Antiqua" w:cs="Browallia New"/>
                <w:b/>
                <w:bCs/>
                <w:noProof w:val="0"/>
                <w:color w:val="0070C0"/>
                <w:sz w:val="24"/>
                <w:szCs w:val="24"/>
              </w:rPr>
            </w:pPr>
            <w:r w:rsidRPr="00590BB5">
              <w:rPr>
                <w:rFonts w:ascii="Book Antiqua" w:hAnsi="Book Antiqua" w:cs="Browallia New"/>
                <w:b/>
                <w:bCs/>
                <w:noProof w:val="0"/>
                <w:color w:val="0070C0"/>
                <w:sz w:val="24"/>
                <w:szCs w:val="24"/>
              </w:rPr>
              <w:t>Taux d’activité (</w:t>
            </w:r>
            <w:r w:rsidR="00050ACD" w:rsidRPr="00590BB5">
              <w:rPr>
                <w:rFonts w:ascii="Book Antiqua" w:hAnsi="Book Antiqua" w:cs="Browallia New"/>
                <w:b/>
                <w:bCs/>
                <w:noProof w:val="0"/>
                <w:color w:val="0070C0"/>
                <w:sz w:val="24"/>
                <w:szCs w:val="24"/>
              </w:rPr>
              <w:t>15 ans et plus)</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969"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1333"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1276" w:type="dxa"/>
            <w:tcBorders>
              <w:top w:val="single" w:sz="4" w:space="0" w:color="auto"/>
              <w:left w:val="single" w:sz="4" w:space="0" w:color="FFFFFF" w:themeColor="background1"/>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r>
      <w:tr w:rsidR="00050ACD" w:rsidRPr="003B6E53" w:rsidTr="004A0171">
        <w:trPr>
          <w:trHeight w:val="245"/>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Tanger-Tétouan-Al Hoceima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42,8</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53,2</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46,7</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43,4</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49,9</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45,8</w:t>
            </w:r>
          </w:p>
        </w:tc>
      </w:tr>
      <w:tr w:rsidR="00050ACD" w:rsidRPr="003B6E53" w:rsidTr="004A0171">
        <w:trPr>
          <w:trHeight w:val="92"/>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Oriental</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41,7</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49,4</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44,0</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41,1</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47,7</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43,0</w:t>
            </w:r>
          </w:p>
        </w:tc>
      </w:tr>
      <w:tr w:rsidR="00050ACD" w:rsidRPr="003B6E53" w:rsidTr="004A0171">
        <w:trPr>
          <w:trHeight w:val="82"/>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Fès-Meknès</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37,7</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51,7</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42,7</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38,7</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50,9</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43,0</w:t>
            </w:r>
          </w:p>
        </w:tc>
      </w:tr>
      <w:tr w:rsidR="00050ACD" w:rsidRPr="003B6E53" w:rsidTr="004A0171">
        <w:trPr>
          <w:trHeight w:val="87"/>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Rabat-Salé-Kénitra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42,5</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56,9</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46,3</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42,3</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54,2</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45,5</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Béni Mellal-Khénifra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35,7</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53,4</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44,1</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36,9</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54,3</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45,1</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Casablanca-Settat</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45,2</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65,4</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49,8</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46,1</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63,8</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50,0</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Marrakech-Safi</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43,5</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52,1</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48,1</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42,1</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51,9</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47,4</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Drâa-Tafilalet</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35,1</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43,7</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40,6</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35,6</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45,0</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41,6</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Souss-Massa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41,6</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45,0</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42,9</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42,6</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43,5</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42,9</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FC04F4"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 xml:space="preserve">Régions du </w:t>
            </w:r>
            <w:r w:rsidR="00050ACD" w:rsidRPr="003B6E53">
              <w:rPr>
                <w:rFonts w:ascii="Book Antiqua" w:hAnsi="Book Antiqua" w:cs="Browallia New"/>
                <w:noProof w:val="0"/>
                <w:color w:val="000000"/>
                <w:sz w:val="24"/>
                <w:szCs w:val="24"/>
              </w:rPr>
              <w:t>Sud</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42,9</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58,7</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46,4</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42,1</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60,6</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46,0</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Total</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42,0</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53,2</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46,0</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42,3</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52,2</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45,8</w:t>
            </w:r>
          </w:p>
        </w:tc>
      </w:tr>
      <w:tr w:rsidR="00050ACD" w:rsidRPr="003B6E53" w:rsidTr="004A0171">
        <w:trPr>
          <w:trHeight w:val="162"/>
          <w:jc w:val="center"/>
        </w:trPr>
        <w:tc>
          <w:tcPr>
            <w:tcW w:w="4046" w:type="dxa"/>
            <w:tcBorders>
              <w:top w:val="single" w:sz="4" w:space="0" w:color="auto"/>
              <w:left w:val="single" w:sz="4" w:space="0" w:color="auto"/>
              <w:bottom w:val="single" w:sz="4" w:space="0" w:color="auto"/>
              <w:right w:val="single" w:sz="4" w:space="0" w:color="FFFFFF" w:themeColor="background1"/>
            </w:tcBorders>
          </w:tcPr>
          <w:p w:rsidR="00050ACD" w:rsidRPr="00590BB5" w:rsidRDefault="00792242" w:rsidP="003B6E53">
            <w:pPr>
              <w:bidi w:val="0"/>
              <w:spacing w:line="14" w:lineRule="atLeast"/>
              <w:ind w:firstLineChars="100" w:firstLine="241"/>
              <w:rPr>
                <w:rFonts w:ascii="Book Antiqua" w:hAnsi="Book Antiqua" w:cs="Browallia New"/>
                <w:b/>
                <w:bCs/>
                <w:noProof w:val="0"/>
                <w:color w:val="0070C0"/>
                <w:sz w:val="24"/>
                <w:szCs w:val="24"/>
              </w:rPr>
            </w:pPr>
            <w:r w:rsidRPr="00590BB5">
              <w:rPr>
                <w:rFonts w:ascii="Book Antiqua" w:hAnsi="Book Antiqua" w:cs="Browallia New"/>
                <w:b/>
                <w:bCs/>
                <w:noProof w:val="0"/>
                <w:color w:val="0070C0"/>
                <w:sz w:val="24"/>
                <w:szCs w:val="24"/>
              </w:rPr>
              <w:t>Taux d’emploi (</w:t>
            </w:r>
            <w:r w:rsidR="00050ACD" w:rsidRPr="00590BB5">
              <w:rPr>
                <w:rFonts w:ascii="Book Antiqua" w:hAnsi="Book Antiqua" w:cs="Browallia New"/>
                <w:b/>
                <w:bCs/>
                <w:noProof w:val="0"/>
                <w:color w:val="0070C0"/>
                <w:sz w:val="24"/>
                <w:szCs w:val="24"/>
              </w:rPr>
              <w:t>15 ans et plus)</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969"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1333"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1276" w:type="dxa"/>
            <w:tcBorders>
              <w:top w:val="single" w:sz="4" w:space="0" w:color="auto"/>
              <w:left w:val="single" w:sz="4" w:space="0" w:color="FFFFFF" w:themeColor="background1"/>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Tanger-Tétouan-Al Hoceima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38,2</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51,3</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43,2</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38,3</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48,1</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41,9</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Oriental</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33,9</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44,6</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37,1</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34,5</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43,3</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37,0</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Fès-Meknès</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32,2</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50,2</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38,7</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33,7</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49,4</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39,2</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Rabat-Salé-Kénitra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36,2</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54,5</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41,0</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36,5</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52,1</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40,6</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Béni Mellal-Khénifra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31,7</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52,4</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41,5</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33,2</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53,2</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42,7</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Casablanca-Settat</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39,1</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64,1</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44,7</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40,1</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62,1</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45,0</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Marrakech-Safi</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38,0</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50,6</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44,8</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38,0</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50,5</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44,7</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Drâa-Tafilalet</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31,2</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42,5</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38,4</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32,2</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43,3</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39,2</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Souss-Massa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36,2</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42,2</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38,6</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37,2</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40,7</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38,5</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FC04F4"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 xml:space="preserve">Régions du </w:t>
            </w:r>
            <w:r w:rsidR="00050ACD" w:rsidRPr="003B6E53">
              <w:rPr>
                <w:rFonts w:ascii="Book Antiqua" w:hAnsi="Book Antiqua" w:cs="Browallia New"/>
                <w:noProof w:val="0"/>
                <w:color w:val="000000"/>
                <w:sz w:val="24"/>
                <w:szCs w:val="24"/>
              </w:rPr>
              <w:t>Sud</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35,3</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54,8</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39,6</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33,8</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56,3</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38,5</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Total</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36,2</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51,3</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41,7</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36,9</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50,3</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41,6</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FFFFFF" w:themeColor="background1"/>
            </w:tcBorders>
          </w:tcPr>
          <w:p w:rsidR="00050ACD" w:rsidRPr="00590BB5" w:rsidRDefault="00792242" w:rsidP="003B6E53">
            <w:pPr>
              <w:bidi w:val="0"/>
              <w:spacing w:line="14" w:lineRule="atLeast"/>
              <w:ind w:firstLineChars="100" w:firstLine="241"/>
              <w:rPr>
                <w:rFonts w:ascii="Book Antiqua" w:hAnsi="Book Antiqua" w:cs="Browallia New"/>
                <w:b/>
                <w:bCs/>
                <w:noProof w:val="0"/>
                <w:color w:val="0070C0"/>
                <w:sz w:val="24"/>
                <w:szCs w:val="24"/>
              </w:rPr>
            </w:pPr>
            <w:r w:rsidRPr="00590BB5">
              <w:rPr>
                <w:rFonts w:ascii="Book Antiqua" w:hAnsi="Book Antiqua" w:cs="Browallia New"/>
                <w:b/>
                <w:bCs/>
                <w:noProof w:val="0"/>
                <w:color w:val="0070C0"/>
                <w:sz w:val="24"/>
                <w:szCs w:val="24"/>
              </w:rPr>
              <w:t>Taux de chômage</w:t>
            </w: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969"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1333"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1134"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992" w:type="dxa"/>
            <w:tcBorders>
              <w:top w:val="single" w:sz="4" w:space="0" w:color="auto"/>
              <w:left w:val="single" w:sz="4" w:space="0" w:color="FFFFFF" w:themeColor="background1"/>
              <w:bottom w:val="single" w:sz="4" w:space="0" w:color="auto"/>
              <w:right w:val="single" w:sz="4" w:space="0" w:color="FFFFFF" w:themeColor="background1"/>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c>
          <w:tcPr>
            <w:tcW w:w="1276" w:type="dxa"/>
            <w:tcBorders>
              <w:top w:val="single" w:sz="4" w:space="0" w:color="auto"/>
              <w:left w:val="single" w:sz="4" w:space="0" w:color="FFFFFF" w:themeColor="background1"/>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Tanger-Tétouan-Al Hoceima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10,6</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3,6</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11,9</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8,6</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Oriental</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18,6</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9,7</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15,6</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16,0</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9,2</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13,8</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Fès-Meknès</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14,4</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2,8</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12,9</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8,7</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Rabat-Salé-Kénitra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14,7</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4,3</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13,7</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3,9</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10,7</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Béni Mellal-Khénifra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11,2</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1,8</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5,8</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9,9</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5,4</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Casablanca-Settat</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13,6</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2,0</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13,0</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2,7</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10,0</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Marrakech-Safi</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12,5</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2,9</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6,9</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2,9</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5,7</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Drâa-Tafilalet</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11,0</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2,7</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9,6</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3,8</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5,6</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Souss-Massa</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12,9</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6,3</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10,1</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12,7</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6,5</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10,3</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FC04F4" w:rsidP="003B6E53">
            <w:pPr>
              <w:bidi w:val="0"/>
              <w:spacing w:line="14" w:lineRule="atLeast"/>
              <w:ind w:firstLineChars="100" w:firstLine="240"/>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 xml:space="preserve">Régions du </w:t>
            </w:r>
            <w:r w:rsidR="00050ACD" w:rsidRPr="003B6E53">
              <w:rPr>
                <w:rFonts w:ascii="Book Antiqua" w:hAnsi="Book Antiqua" w:cs="Browallia New"/>
                <w:noProof w:val="0"/>
                <w:color w:val="000000"/>
                <w:sz w:val="24"/>
                <w:szCs w:val="24"/>
              </w:rPr>
              <w:t>Sud</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17,8</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6,7</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14,7</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19,7</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7,1</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0"/>
              <w:jc w:val="center"/>
              <w:rPr>
                <w:rFonts w:ascii="Book Antiqua" w:hAnsi="Book Antiqua" w:cs="Browallia New"/>
                <w:noProof w:val="0"/>
                <w:color w:val="000000"/>
                <w:sz w:val="24"/>
                <w:szCs w:val="24"/>
              </w:rPr>
            </w:pPr>
            <w:r w:rsidRPr="003B6E53">
              <w:rPr>
                <w:rFonts w:ascii="Book Antiqua" w:hAnsi="Book Antiqua" w:cs="Browallia New"/>
                <w:noProof w:val="0"/>
                <w:color w:val="000000"/>
                <w:sz w:val="24"/>
                <w:szCs w:val="24"/>
              </w:rPr>
              <w:t>16,3</w:t>
            </w:r>
          </w:p>
        </w:tc>
      </w:tr>
      <w:tr w:rsidR="00050ACD" w:rsidRPr="003B6E53" w:rsidTr="004A0171">
        <w:trPr>
          <w:trHeight w:val="63"/>
          <w:jc w:val="center"/>
        </w:trPr>
        <w:tc>
          <w:tcPr>
            <w:tcW w:w="404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Total</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13,8</w:t>
            </w:r>
          </w:p>
        </w:tc>
        <w:tc>
          <w:tcPr>
            <w:tcW w:w="969"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3,6</w:t>
            </w:r>
          </w:p>
        </w:tc>
        <w:tc>
          <w:tcPr>
            <w:tcW w:w="1333"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12,9</w:t>
            </w:r>
          </w:p>
        </w:tc>
        <w:tc>
          <w:tcPr>
            <w:tcW w:w="992"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050ACD" w:rsidRPr="003B6E53" w:rsidRDefault="00050ACD" w:rsidP="003B6E53">
            <w:pPr>
              <w:bidi w:val="0"/>
              <w:spacing w:line="14" w:lineRule="atLeast"/>
              <w:ind w:firstLineChars="100" w:firstLine="241"/>
              <w:jc w:val="center"/>
              <w:rPr>
                <w:rFonts w:ascii="Book Antiqua" w:hAnsi="Book Antiqua" w:cs="Browallia New"/>
                <w:b/>
                <w:bCs/>
                <w:noProof w:val="0"/>
                <w:color w:val="000000"/>
                <w:sz w:val="24"/>
                <w:szCs w:val="24"/>
              </w:rPr>
            </w:pPr>
            <w:r w:rsidRPr="003B6E53">
              <w:rPr>
                <w:rFonts w:ascii="Book Antiqua" w:hAnsi="Book Antiqua" w:cs="Browallia New"/>
                <w:b/>
                <w:bCs/>
                <w:noProof w:val="0"/>
                <w:color w:val="000000"/>
                <w:sz w:val="24"/>
                <w:szCs w:val="24"/>
              </w:rPr>
              <w:t>9,2</w:t>
            </w:r>
          </w:p>
        </w:tc>
      </w:tr>
    </w:tbl>
    <w:p w:rsidR="00C8069A" w:rsidRPr="005D2916" w:rsidRDefault="00C8069A" w:rsidP="005D2916">
      <w:pPr>
        <w:bidi w:val="0"/>
        <w:spacing w:line="14" w:lineRule="atLeast"/>
        <w:ind w:firstLineChars="100" w:firstLine="200"/>
        <w:rPr>
          <w:rFonts w:ascii="Book Antiqua" w:hAnsi="Book Antiqua" w:cs="Browallia New"/>
          <w:noProof w:val="0"/>
          <w:color w:val="000000"/>
        </w:rPr>
      </w:pPr>
      <w:r w:rsidRPr="005D2916">
        <w:rPr>
          <w:rFonts w:ascii="Book Antiqua" w:hAnsi="Book Antiqua" w:cs="Browallia New"/>
          <w:noProof w:val="0"/>
          <w:color w:val="000000"/>
        </w:rPr>
        <w:t>Source : Enquête nationale sur l'emploi, Haut Commissariat au Plan (Direction de la Statistique).</w:t>
      </w:r>
    </w:p>
    <w:sectPr w:rsidR="00C8069A" w:rsidRPr="005D2916" w:rsidSect="00F81A9D">
      <w:footerReference w:type="default" r:id="rId15"/>
      <w:pgSz w:w="11906" w:h="16838"/>
      <w:pgMar w:top="1417" w:right="1274"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FA1" w:rsidRDefault="00BA5FA1" w:rsidP="00050ACD">
      <w:r>
        <w:separator/>
      </w:r>
    </w:p>
  </w:endnote>
  <w:endnote w:type="continuationSeparator" w:id="1">
    <w:p w:rsidR="00BA5FA1" w:rsidRDefault="00BA5FA1" w:rsidP="00050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0669391"/>
      <w:docPartObj>
        <w:docPartGallery w:val="Page Numbers (Bottom of Page)"/>
        <w:docPartUnique/>
      </w:docPartObj>
    </w:sdtPr>
    <w:sdtContent>
      <w:p w:rsidR="004D05BE" w:rsidRDefault="00FD475C">
        <w:pPr>
          <w:pStyle w:val="Pieddepage"/>
          <w:jc w:val="center"/>
        </w:pPr>
        <w:fldSimple w:instr=" PAGE   \* MERGEFORMAT ">
          <w:r w:rsidR="00A13E6C">
            <w:rPr>
              <w:rtl/>
            </w:rPr>
            <w:t>2</w:t>
          </w:r>
        </w:fldSimple>
      </w:p>
    </w:sdtContent>
  </w:sdt>
  <w:p w:rsidR="004D05BE" w:rsidRDefault="004D05B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FA1" w:rsidRDefault="00BA5FA1" w:rsidP="00050ACD">
      <w:r>
        <w:separator/>
      </w:r>
    </w:p>
  </w:footnote>
  <w:footnote w:type="continuationSeparator" w:id="1">
    <w:p w:rsidR="00BA5FA1" w:rsidRDefault="00BA5FA1" w:rsidP="00050ACD">
      <w:r>
        <w:continuationSeparator/>
      </w:r>
    </w:p>
  </w:footnote>
  <w:footnote w:id="2">
    <w:p w:rsidR="004D05BE" w:rsidRPr="00722A3E" w:rsidRDefault="004D05BE" w:rsidP="00050ACD">
      <w:pPr>
        <w:pStyle w:val="Notedebasdepage"/>
        <w:rPr>
          <w:sz w:val="18"/>
          <w:szCs w:val="18"/>
        </w:rPr>
      </w:pPr>
      <w:r w:rsidRPr="005B20AB">
        <w:rPr>
          <w:rFonts w:ascii="Browallia New" w:hAnsi="Browallia New" w:cs="Browallia New"/>
          <w:sz w:val="24"/>
          <w:szCs w:val="24"/>
        </w:rPr>
        <w:footnoteRef/>
      </w:r>
      <w:r w:rsidRPr="005B20AB">
        <w:rPr>
          <w:rFonts w:ascii="Browallia New" w:hAnsi="Browallia New" w:cs="Browallia New"/>
          <w:sz w:val="24"/>
          <w:szCs w:val="24"/>
        </w:rPr>
        <w:t xml:space="preserve"> Les principaux indicateurs sur le marché du travail au niveau régional sont disponibles dans le Tableau 2</w:t>
      </w:r>
      <w:r w:rsidRPr="00722A3E">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8A58F0"/>
    <w:rsid w:val="000472F6"/>
    <w:rsid w:val="00050ACD"/>
    <w:rsid w:val="000675C4"/>
    <w:rsid w:val="00095F5D"/>
    <w:rsid w:val="000B3001"/>
    <w:rsid w:val="000B31B4"/>
    <w:rsid w:val="000D0FD1"/>
    <w:rsid w:val="000E2340"/>
    <w:rsid w:val="000F1838"/>
    <w:rsid w:val="0011097B"/>
    <w:rsid w:val="0012079A"/>
    <w:rsid w:val="001220DF"/>
    <w:rsid w:val="00124B3C"/>
    <w:rsid w:val="00132218"/>
    <w:rsid w:val="001514FF"/>
    <w:rsid w:val="00151A1D"/>
    <w:rsid w:val="00167B97"/>
    <w:rsid w:val="001F3E5C"/>
    <w:rsid w:val="00212945"/>
    <w:rsid w:val="0025204A"/>
    <w:rsid w:val="00275320"/>
    <w:rsid w:val="0029038E"/>
    <w:rsid w:val="002C1281"/>
    <w:rsid w:val="002D32BF"/>
    <w:rsid w:val="003114D4"/>
    <w:rsid w:val="00357E43"/>
    <w:rsid w:val="00366908"/>
    <w:rsid w:val="00367888"/>
    <w:rsid w:val="00397121"/>
    <w:rsid w:val="003A0AF4"/>
    <w:rsid w:val="003B6E53"/>
    <w:rsid w:val="003C2E1B"/>
    <w:rsid w:val="003D030B"/>
    <w:rsid w:val="003D158C"/>
    <w:rsid w:val="003D718B"/>
    <w:rsid w:val="003F42E2"/>
    <w:rsid w:val="0040658C"/>
    <w:rsid w:val="00421C4A"/>
    <w:rsid w:val="00434BFB"/>
    <w:rsid w:val="0044402C"/>
    <w:rsid w:val="00473258"/>
    <w:rsid w:val="00475F00"/>
    <w:rsid w:val="004A0171"/>
    <w:rsid w:val="004D05BE"/>
    <w:rsid w:val="004E61B3"/>
    <w:rsid w:val="004F179A"/>
    <w:rsid w:val="00513B5C"/>
    <w:rsid w:val="005231E2"/>
    <w:rsid w:val="00547F5E"/>
    <w:rsid w:val="005522F1"/>
    <w:rsid w:val="005802D7"/>
    <w:rsid w:val="00590BB5"/>
    <w:rsid w:val="005A32C0"/>
    <w:rsid w:val="005B20AB"/>
    <w:rsid w:val="005B3B80"/>
    <w:rsid w:val="005C6D2F"/>
    <w:rsid w:val="005D2916"/>
    <w:rsid w:val="005F7B26"/>
    <w:rsid w:val="00602484"/>
    <w:rsid w:val="00602D95"/>
    <w:rsid w:val="00620CCA"/>
    <w:rsid w:val="00636764"/>
    <w:rsid w:val="00642A7B"/>
    <w:rsid w:val="006607E5"/>
    <w:rsid w:val="00665285"/>
    <w:rsid w:val="006B5152"/>
    <w:rsid w:val="006D242F"/>
    <w:rsid w:val="006E06DB"/>
    <w:rsid w:val="006E5551"/>
    <w:rsid w:val="006F739F"/>
    <w:rsid w:val="006F74F3"/>
    <w:rsid w:val="007245E9"/>
    <w:rsid w:val="00732FB1"/>
    <w:rsid w:val="00735093"/>
    <w:rsid w:val="0077625F"/>
    <w:rsid w:val="00781754"/>
    <w:rsid w:val="00792242"/>
    <w:rsid w:val="00797BDD"/>
    <w:rsid w:val="007A5D93"/>
    <w:rsid w:val="007C2EDA"/>
    <w:rsid w:val="007C376F"/>
    <w:rsid w:val="00811305"/>
    <w:rsid w:val="00815290"/>
    <w:rsid w:val="00823269"/>
    <w:rsid w:val="008340D4"/>
    <w:rsid w:val="00855E27"/>
    <w:rsid w:val="0087075A"/>
    <w:rsid w:val="00894250"/>
    <w:rsid w:val="00895A8A"/>
    <w:rsid w:val="008A58F0"/>
    <w:rsid w:val="008E0E46"/>
    <w:rsid w:val="009104DA"/>
    <w:rsid w:val="009112A5"/>
    <w:rsid w:val="00920571"/>
    <w:rsid w:val="00943A28"/>
    <w:rsid w:val="00943C52"/>
    <w:rsid w:val="009721E7"/>
    <w:rsid w:val="00987166"/>
    <w:rsid w:val="009A573F"/>
    <w:rsid w:val="009B23BB"/>
    <w:rsid w:val="009B3596"/>
    <w:rsid w:val="009C2EB8"/>
    <w:rsid w:val="009C7956"/>
    <w:rsid w:val="009C7C27"/>
    <w:rsid w:val="009D31F6"/>
    <w:rsid w:val="009D3F91"/>
    <w:rsid w:val="00A0301A"/>
    <w:rsid w:val="00A13E6C"/>
    <w:rsid w:val="00A52330"/>
    <w:rsid w:val="00A544B6"/>
    <w:rsid w:val="00A654FA"/>
    <w:rsid w:val="00AC00BF"/>
    <w:rsid w:val="00AC0D37"/>
    <w:rsid w:val="00AF7F7C"/>
    <w:rsid w:val="00B23865"/>
    <w:rsid w:val="00B40196"/>
    <w:rsid w:val="00B6046F"/>
    <w:rsid w:val="00B60837"/>
    <w:rsid w:val="00B61699"/>
    <w:rsid w:val="00B63E1F"/>
    <w:rsid w:val="00B74A5D"/>
    <w:rsid w:val="00B806C4"/>
    <w:rsid w:val="00BA1CE8"/>
    <w:rsid w:val="00BA5FA1"/>
    <w:rsid w:val="00BA6C4F"/>
    <w:rsid w:val="00BF54EE"/>
    <w:rsid w:val="00C3066E"/>
    <w:rsid w:val="00C32BFC"/>
    <w:rsid w:val="00C4352C"/>
    <w:rsid w:val="00C8069A"/>
    <w:rsid w:val="00CC51AC"/>
    <w:rsid w:val="00CD13BA"/>
    <w:rsid w:val="00CF4B24"/>
    <w:rsid w:val="00D146F5"/>
    <w:rsid w:val="00D17BC8"/>
    <w:rsid w:val="00D51C46"/>
    <w:rsid w:val="00D674A9"/>
    <w:rsid w:val="00D877B9"/>
    <w:rsid w:val="00D96037"/>
    <w:rsid w:val="00DA2D39"/>
    <w:rsid w:val="00DE3246"/>
    <w:rsid w:val="00E06D6C"/>
    <w:rsid w:val="00E2789F"/>
    <w:rsid w:val="00E91F85"/>
    <w:rsid w:val="00F055F2"/>
    <w:rsid w:val="00F3651E"/>
    <w:rsid w:val="00F77E49"/>
    <w:rsid w:val="00F81A9D"/>
    <w:rsid w:val="00FB02F8"/>
    <w:rsid w:val="00FB3AF7"/>
    <w:rsid w:val="00FB7AC4"/>
    <w:rsid w:val="00FC04F4"/>
    <w:rsid w:val="00FD35E6"/>
    <w:rsid w:val="00FD475C"/>
    <w:rsid w:val="00FD4AE4"/>
    <w:rsid w:val="00FD4C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F0"/>
    <w:pPr>
      <w:bidi/>
      <w:spacing w:after="0" w:line="240" w:lineRule="auto"/>
    </w:pPr>
    <w:rPr>
      <w:rFonts w:ascii="Times New Roman" w:eastAsia="Times New Roman" w:hAnsi="Times New Roman" w:cs="Traditional Arabic"/>
      <w:noProof/>
      <w:sz w:val="20"/>
      <w:szCs w:val="20"/>
      <w:lang w:eastAsia="fr-FR"/>
    </w:rPr>
  </w:style>
  <w:style w:type="paragraph" w:styleId="Titre1">
    <w:name w:val="heading 1"/>
    <w:basedOn w:val="Normal"/>
    <w:next w:val="Normal"/>
    <w:link w:val="Titre1Car"/>
    <w:uiPriority w:val="99"/>
    <w:qFormat/>
    <w:rsid w:val="001F3E5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58F0"/>
    <w:rPr>
      <w:rFonts w:ascii="Tahoma" w:hAnsi="Tahoma" w:cs="Tahoma"/>
      <w:sz w:val="16"/>
      <w:szCs w:val="16"/>
    </w:rPr>
  </w:style>
  <w:style w:type="character" w:customStyle="1" w:styleId="TextedebullesCar">
    <w:name w:val="Texte de bulles Car"/>
    <w:basedOn w:val="Policepardfaut"/>
    <w:link w:val="Textedebulles"/>
    <w:uiPriority w:val="99"/>
    <w:semiHidden/>
    <w:rsid w:val="008A58F0"/>
    <w:rPr>
      <w:rFonts w:ascii="Tahoma" w:eastAsia="Times New Roman" w:hAnsi="Tahoma" w:cs="Tahoma"/>
      <w:noProof/>
      <w:sz w:val="16"/>
      <w:szCs w:val="16"/>
      <w:lang w:eastAsia="fr-FR"/>
    </w:rPr>
  </w:style>
  <w:style w:type="paragraph" w:styleId="Corpsdetexte2">
    <w:name w:val="Body Text 2"/>
    <w:basedOn w:val="Normal"/>
    <w:link w:val="Corpsdetexte2Car"/>
    <w:uiPriority w:val="99"/>
    <w:rsid w:val="00050ACD"/>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050ACD"/>
    <w:rPr>
      <w:rFonts w:ascii="Univers" w:eastAsia="Times New Roman" w:hAnsi="Univers" w:cs="Simplified Arabic"/>
      <w:szCs w:val="20"/>
      <w:lang w:eastAsia="fr-FR"/>
    </w:rPr>
  </w:style>
  <w:style w:type="paragraph" w:styleId="Notedebasdepage">
    <w:name w:val="footnote text"/>
    <w:basedOn w:val="Normal"/>
    <w:link w:val="NotedebasdepageCar"/>
    <w:uiPriority w:val="99"/>
    <w:semiHidden/>
    <w:rsid w:val="00050ACD"/>
    <w:pPr>
      <w:bidi w:val="0"/>
    </w:pPr>
    <w:rPr>
      <w:rFonts w:cs="Times New Roman"/>
      <w:noProof w:val="0"/>
    </w:rPr>
  </w:style>
  <w:style w:type="character" w:customStyle="1" w:styleId="NotedebasdepageCar">
    <w:name w:val="Note de bas de page Car"/>
    <w:basedOn w:val="Policepardfaut"/>
    <w:link w:val="Notedebasdepage"/>
    <w:uiPriority w:val="99"/>
    <w:semiHidden/>
    <w:rsid w:val="00050AC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50ACD"/>
    <w:rPr>
      <w:vertAlign w:val="superscript"/>
    </w:rPr>
  </w:style>
  <w:style w:type="character" w:customStyle="1" w:styleId="Titre1Car">
    <w:name w:val="Titre 1 Car"/>
    <w:basedOn w:val="Policepardfaut"/>
    <w:link w:val="Titre1"/>
    <w:uiPriority w:val="99"/>
    <w:rsid w:val="001F3E5C"/>
    <w:rPr>
      <w:rFonts w:ascii="Arial" w:eastAsia="Times New Roman" w:hAnsi="Arial" w:cs="Arial"/>
      <w:b/>
      <w:bCs/>
      <w:noProof/>
      <w:kern w:val="32"/>
      <w:sz w:val="32"/>
      <w:szCs w:val="32"/>
      <w:lang w:eastAsia="fr-FR"/>
    </w:rPr>
  </w:style>
  <w:style w:type="character" w:styleId="Lienhypertexte">
    <w:name w:val="Hyperlink"/>
    <w:basedOn w:val="Policepardfaut"/>
    <w:uiPriority w:val="99"/>
    <w:rsid w:val="001F3E5C"/>
    <w:rPr>
      <w:rFonts w:cs="Times New Roman"/>
      <w:color w:val="0000FF"/>
      <w:u w:val="single"/>
    </w:rPr>
  </w:style>
  <w:style w:type="paragraph" w:customStyle="1" w:styleId="Paragraphedeliste2">
    <w:name w:val="Paragraphe de liste2"/>
    <w:basedOn w:val="Normal"/>
    <w:rsid w:val="001F3E5C"/>
    <w:pPr>
      <w:bidi w:val="0"/>
      <w:ind w:left="720"/>
    </w:pPr>
    <w:rPr>
      <w:rFonts w:cs="Times New Roman"/>
      <w:noProof w:val="0"/>
      <w:sz w:val="24"/>
      <w:szCs w:val="24"/>
    </w:rPr>
  </w:style>
  <w:style w:type="paragraph" w:customStyle="1" w:styleId="FirstParagraph">
    <w:name w:val="First Paragraph"/>
    <w:basedOn w:val="Corpsdetexte"/>
    <w:next w:val="Corpsdetexte"/>
    <w:qFormat/>
    <w:rsid w:val="001F3E5C"/>
    <w:pPr>
      <w:bidi w:val="0"/>
      <w:spacing w:before="180" w:after="180"/>
    </w:pPr>
    <w:rPr>
      <w:rFonts w:asciiTheme="minorHAnsi" w:eastAsiaTheme="minorHAnsi" w:hAnsiTheme="minorHAnsi" w:cstheme="minorBidi"/>
      <w:noProof w:val="0"/>
      <w:sz w:val="24"/>
      <w:szCs w:val="24"/>
      <w:lang w:val="en-US" w:eastAsia="en-US"/>
    </w:rPr>
  </w:style>
  <w:style w:type="paragraph" w:styleId="Corpsdetexte">
    <w:name w:val="Body Text"/>
    <w:basedOn w:val="Normal"/>
    <w:link w:val="CorpsdetexteCar"/>
    <w:uiPriority w:val="99"/>
    <w:unhideWhenUsed/>
    <w:rsid w:val="001F3E5C"/>
    <w:pPr>
      <w:spacing w:after="120"/>
    </w:pPr>
  </w:style>
  <w:style w:type="character" w:customStyle="1" w:styleId="CorpsdetexteCar">
    <w:name w:val="Corps de texte Car"/>
    <w:basedOn w:val="Policepardfaut"/>
    <w:link w:val="Corpsdetexte"/>
    <w:uiPriority w:val="99"/>
    <w:rsid w:val="001F3E5C"/>
    <w:rPr>
      <w:rFonts w:ascii="Times New Roman" w:eastAsia="Times New Roman" w:hAnsi="Times New Roman" w:cs="Traditional Arabic"/>
      <w:noProof/>
      <w:sz w:val="20"/>
      <w:szCs w:val="20"/>
      <w:lang w:eastAsia="fr-FR"/>
    </w:rPr>
  </w:style>
  <w:style w:type="paragraph" w:styleId="En-tte">
    <w:name w:val="header"/>
    <w:basedOn w:val="Normal"/>
    <w:link w:val="En-tteCar"/>
    <w:uiPriority w:val="99"/>
    <w:semiHidden/>
    <w:unhideWhenUsed/>
    <w:rsid w:val="00D17BC8"/>
    <w:pPr>
      <w:tabs>
        <w:tab w:val="center" w:pos="4536"/>
        <w:tab w:val="right" w:pos="9072"/>
      </w:tabs>
    </w:pPr>
  </w:style>
  <w:style w:type="character" w:customStyle="1" w:styleId="En-tteCar">
    <w:name w:val="En-tête Car"/>
    <w:basedOn w:val="Policepardfaut"/>
    <w:link w:val="En-tte"/>
    <w:uiPriority w:val="99"/>
    <w:semiHidden/>
    <w:rsid w:val="00D17BC8"/>
    <w:rPr>
      <w:rFonts w:ascii="Times New Roman" w:eastAsia="Times New Roman" w:hAnsi="Times New Roman" w:cs="Traditional Arabic"/>
      <w:noProof/>
      <w:sz w:val="20"/>
      <w:szCs w:val="20"/>
      <w:lang w:eastAsia="fr-FR"/>
    </w:rPr>
  </w:style>
  <w:style w:type="paragraph" w:styleId="Pieddepage">
    <w:name w:val="footer"/>
    <w:basedOn w:val="Normal"/>
    <w:link w:val="PieddepageCar"/>
    <w:uiPriority w:val="99"/>
    <w:unhideWhenUsed/>
    <w:rsid w:val="00D17BC8"/>
    <w:pPr>
      <w:tabs>
        <w:tab w:val="center" w:pos="4536"/>
        <w:tab w:val="right" w:pos="9072"/>
      </w:tabs>
    </w:pPr>
  </w:style>
  <w:style w:type="character" w:customStyle="1" w:styleId="PieddepageCar">
    <w:name w:val="Pied de page Car"/>
    <w:basedOn w:val="Policepardfaut"/>
    <w:link w:val="Pieddepage"/>
    <w:uiPriority w:val="99"/>
    <w:rsid w:val="00D17BC8"/>
    <w:rPr>
      <w:rFonts w:ascii="Times New Roman" w:eastAsia="Times New Roman" w:hAnsi="Times New Roman" w:cs="Traditional Arabic"/>
      <w:noProof/>
      <w:sz w:val="20"/>
      <w:szCs w:val="20"/>
      <w:lang w:eastAsia="fr-FR"/>
    </w:rPr>
  </w:style>
  <w:style w:type="paragraph" w:styleId="Paragraphedeliste">
    <w:name w:val="List Paragraph"/>
    <w:basedOn w:val="Normal"/>
    <w:uiPriority w:val="34"/>
    <w:qFormat/>
    <w:rsid w:val="0044402C"/>
    <w:pPr>
      <w:ind w:left="720"/>
      <w:contextualSpacing/>
    </w:pPr>
  </w:style>
</w:styles>
</file>

<file path=word/webSettings.xml><?xml version="1.0" encoding="utf-8"?>
<w:webSettings xmlns:r="http://schemas.openxmlformats.org/officeDocument/2006/relationships" xmlns:w="http://schemas.openxmlformats.org/wordprocessingml/2006/main">
  <w:divs>
    <w:div w:id="1108937090">
      <w:bodyDiv w:val="1"/>
      <w:marLeft w:val="0"/>
      <w:marRight w:val="0"/>
      <w:marTop w:val="0"/>
      <w:marBottom w:val="0"/>
      <w:divBdr>
        <w:top w:val="none" w:sz="0" w:space="0" w:color="auto"/>
        <w:left w:val="none" w:sz="0" w:space="0" w:color="auto"/>
        <w:bottom w:val="none" w:sz="0" w:space="0" w:color="auto"/>
        <w:right w:val="none" w:sz="0" w:space="0" w:color="auto"/>
      </w:divBdr>
    </w:div>
    <w:div w:id="1564561451">
      <w:bodyDiv w:val="1"/>
      <w:marLeft w:val="0"/>
      <w:marRight w:val="0"/>
      <w:marTop w:val="0"/>
      <w:marBottom w:val="0"/>
      <w:divBdr>
        <w:top w:val="none" w:sz="0" w:space="0" w:color="auto"/>
        <w:left w:val="none" w:sz="0" w:space="0" w:color="auto"/>
        <w:bottom w:val="none" w:sz="0" w:space="0" w:color="auto"/>
        <w:right w:val="none" w:sz="0" w:space="0" w:color="auto"/>
      </w:divBdr>
    </w:div>
    <w:div w:id="1674382557">
      <w:bodyDiv w:val="1"/>
      <w:marLeft w:val="0"/>
      <w:marRight w:val="0"/>
      <w:marTop w:val="0"/>
      <w:marBottom w:val="0"/>
      <w:divBdr>
        <w:top w:val="none" w:sz="0" w:space="0" w:color="auto"/>
        <w:left w:val="none" w:sz="0" w:space="0" w:color="auto"/>
        <w:bottom w:val="none" w:sz="0" w:space="0" w:color="auto"/>
        <w:right w:val="none" w:sz="0" w:space="0" w:color="auto"/>
      </w:divBdr>
    </w:div>
    <w:div w:id="1843157866">
      <w:bodyDiv w:val="1"/>
      <w:marLeft w:val="0"/>
      <w:marRight w:val="0"/>
      <w:marTop w:val="0"/>
      <w:marBottom w:val="0"/>
      <w:divBdr>
        <w:top w:val="none" w:sz="0" w:space="0" w:color="auto"/>
        <w:left w:val="none" w:sz="0" w:space="0" w:color="auto"/>
        <w:bottom w:val="none" w:sz="0" w:space="0" w:color="auto"/>
        <w:right w:val="none" w:sz="0" w:space="0" w:color="auto"/>
      </w:divBdr>
    </w:div>
    <w:div w:id="21276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Kamel\ENE\NoteMarcheTravail\2018\Figures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Taches%20DEE\Publications%20DEE\Notes%20Annuelles_infra-annuelles\Notes%20Annuelles\Notes%202019\creation%20de%20l'emplo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HCP\service%20analyse\Note%20Annuelle\partie%20ch&#244;m+ss%20emplo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HCP\service%20analyse\Note%20Annuelle\partie%20ch&#244;m+ss%20emplo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sabri\Desktop\Division%20ENE\Note_annuelle_2019\Population%20de%2015%20ans%20et%20plus%20par%20type%20d'activit&#233;,%20r&#233;gion,%20milieu%20de%20r&#233;sidence%20(2019)%20-%20v2301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sabri\Desktop\Division%20ENE\Note_annuelle_2019\Population%20de%2015%20ans%20et%20plus%20par%20type%20d'activit&#233;,%20r&#233;gion,%20milieu%20de%20r&#233;sidence%20(2019)%20-%20v2301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Figure1!$A$2</c:f>
              <c:strCache>
                <c:ptCount val="1"/>
                <c:pt idx="0">
                  <c:v>Emploi rémunéré</c:v>
                </c:pt>
              </c:strCache>
            </c:strRef>
          </c:tx>
          <c:spPr>
            <a:solidFill>
              <a:srgbClr val="FFC000"/>
            </a:solidFill>
            <a:ln>
              <a:noFill/>
            </a:ln>
            <a:effectLst/>
          </c:spPr>
          <c:dLbls>
            <c:dLbl>
              <c:idx val="0"/>
              <c:tx>
                <c:rich>
                  <a:bodyPr/>
                  <a:lstStyle/>
                  <a:p>
                    <a:r>
                      <a:rPr lang="en-US"/>
                      <a:t>233.000</a:t>
                    </a:r>
                  </a:p>
                </c:rich>
              </c:tx>
              <c:dLblPos val="outEnd"/>
              <c:showVal val="1"/>
            </c:dLbl>
            <c:dLbl>
              <c:idx val="1"/>
              <c:tx>
                <c:rich>
                  <a:bodyPr/>
                  <a:lstStyle/>
                  <a:p>
                    <a:r>
                      <a:rPr lang="en-US"/>
                      <a:t>1.000</a:t>
                    </a:r>
                  </a:p>
                </c:rich>
              </c:tx>
              <c:dLblPos val="outEnd"/>
              <c:showVal val="1"/>
            </c:dLbl>
            <c:dLbl>
              <c:idx val="2"/>
              <c:tx>
                <c:rich>
                  <a:bodyPr/>
                  <a:lstStyle/>
                  <a:p>
                    <a:r>
                      <a:rPr lang="en-US"/>
                      <a:t>234.000</a:t>
                    </a:r>
                  </a:p>
                </c:rich>
              </c:tx>
              <c:dLblPos val="outEnd"/>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Figure1!$B$1:$D$1</c:f>
              <c:strCache>
                <c:ptCount val="3"/>
                <c:pt idx="0">
                  <c:v>Urbain</c:v>
                </c:pt>
                <c:pt idx="1">
                  <c:v>Rural</c:v>
                </c:pt>
                <c:pt idx="2">
                  <c:v>National</c:v>
                </c:pt>
              </c:strCache>
            </c:strRef>
          </c:cat>
          <c:val>
            <c:numRef>
              <c:f>Figure1!$B$2:$D$2</c:f>
              <c:numCache>
                <c:formatCode>0</c:formatCode>
                <c:ptCount val="3"/>
                <c:pt idx="0">
                  <c:v>233000</c:v>
                </c:pt>
                <c:pt idx="1">
                  <c:v>1000</c:v>
                </c:pt>
                <c:pt idx="2">
                  <c:v>234000</c:v>
                </c:pt>
              </c:numCache>
            </c:numRef>
          </c:val>
          <c:extLst xmlns:c16r2="http://schemas.microsoft.com/office/drawing/2015/06/chart">
            <c:ext xmlns:c16="http://schemas.microsoft.com/office/drawing/2014/chart" uri="{C3380CC4-5D6E-409C-BE32-E72D297353CC}">
              <c16:uniqueId val="{00000000-F846-494B-9FC5-72363C34F021}"/>
            </c:ext>
          </c:extLst>
        </c:ser>
        <c:ser>
          <c:idx val="1"/>
          <c:order val="1"/>
          <c:tx>
            <c:strRef>
              <c:f>Figure1!$A$3</c:f>
              <c:strCache>
                <c:ptCount val="1"/>
                <c:pt idx="0">
                  <c:v>Emploi non rémunéré</c:v>
                </c:pt>
              </c:strCache>
            </c:strRef>
          </c:tx>
          <c:spPr>
            <a:solidFill>
              <a:srgbClr val="00B0F0"/>
            </a:solidFill>
            <a:ln>
              <a:noFill/>
            </a:ln>
            <a:effectLst/>
          </c:spPr>
          <c:dLbls>
            <c:dLbl>
              <c:idx val="0"/>
              <c:tx>
                <c:rich>
                  <a:bodyPr/>
                  <a:lstStyle/>
                  <a:p>
                    <a:r>
                      <a:rPr lang="en-US"/>
                      <a:t>17.000</a:t>
                    </a:r>
                  </a:p>
                </c:rich>
              </c:tx>
              <c:dLblPos val="outEnd"/>
              <c:showVal val="1"/>
            </c:dLbl>
            <c:dLbl>
              <c:idx val="1"/>
              <c:layout>
                <c:manualLayout>
                  <c:x val="-1.482259570494867E-2"/>
                  <c:y val="0"/>
                </c:manualLayout>
              </c:layout>
              <c:tx>
                <c:rich>
                  <a:bodyPr/>
                  <a:lstStyle/>
                  <a:p>
                    <a:r>
                      <a:rPr lang="en-US"/>
                      <a:t>-86.000</a:t>
                    </a:r>
                  </a:p>
                </c:rich>
              </c:tx>
              <c:dLblPos val="outEnd"/>
              <c:showVal val="1"/>
            </c:dLbl>
            <c:dLbl>
              <c:idx val="2"/>
              <c:tx>
                <c:rich>
                  <a:bodyPr/>
                  <a:lstStyle/>
                  <a:p>
                    <a:r>
                      <a:rPr lang="en-US"/>
                      <a:t>-69.000</a:t>
                    </a:r>
                  </a:p>
                </c:rich>
              </c:tx>
              <c:dLblPos val="outEnd"/>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Figure1!$B$1:$D$1</c:f>
              <c:strCache>
                <c:ptCount val="3"/>
                <c:pt idx="0">
                  <c:v>Urbain</c:v>
                </c:pt>
                <c:pt idx="1">
                  <c:v>Rural</c:v>
                </c:pt>
                <c:pt idx="2">
                  <c:v>National</c:v>
                </c:pt>
              </c:strCache>
            </c:strRef>
          </c:cat>
          <c:val>
            <c:numRef>
              <c:f>Figure1!$B$3:$D$3</c:f>
              <c:numCache>
                <c:formatCode>0</c:formatCode>
                <c:ptCount val="3"/>
                <c:pt idx="0">
                  <c:v>17000</c:v>
                </c:pt>
                <c:pt idx="1">
                  <c:v>-86000</c:v>
                </c:pt>
                <c:pt idx="2">
                  <c:v>-69000</c:v>
                </c:pt>
              </c:numCache>
            </c:numRef>
          </c:val>
          <c:extLst xmlns:c16r2="http://schemas.microsoft.com/office/drawing/2015/06/chart">
            <c:ext xmlns:c16="http://schemas.microsoft.com/office/drawing/2014/chart" uri="{C3380CC4-5D6E-409C-BE32-E72D297353CC}">
              <c16:uniqueId val="{00000001-F846-494B-9FC5-72363C34F021}"/>
            </c:ext>
          </c:extLst>
        </c:ser>
        <c:ser>
          <c:idx val="2"/>
          <c:order val="2"/>
          <c:tx>
            <c:strRef>
              <c:f>Figure1!$A$4</c:f>
              <c:strCache>
                <c:ptCount val="1"/>
                <c:pt idx="0">
                  <c:v>Emploi total</c:v>
                </c:pt>
              </c:strCache>
            </c:strRef>
          </c:tx>
          <c:spPr>
            <a:solidFill>
              <a:srgbClr val="7030A0"/>
            </a:solidFill>
            <a:ln>
              <a:noFill/>
            </a:ln>
            <a:effectLst/>
          </c:spPr>
          <c:dLbls>
            <c:dLbl>
              <c:idx val="0"/>
              <c:tx>
                <c:rich>
                  <a:bodyPr/>
                  <a:lstStyle/>
                  <a:p>
                    <a:r>
                      <a:rPr lang="en-US"/>
                      <a:t>250.000</a:t>
                    </a:r>
                  </a:p>
                </c:rich>
              </c:tx>
              <c:dLblPos val="outEnd"/>
              <c:showVal val="1"/>
            </c:dLbl>
            <c:dLbl>
              <c:idx val="1"/>
              <c:layout>
                <c:manualLayout>
                  <c:x val="7.41129785247438E-3"/>
                  <c:y val="0"/>
                </c:manualLayout>
              </c:layout>
              <c:tx>
                <c:rich>
                  <a:bodyPr/>
                  <a:lstStyle/>
                  <a:p>
                    <a:r>
                      <a:rPr lang="en-US"/>
                      <a:t>-85.000</a:t>
                    </a:r>
                  </a:p>
                </c:rich>
              </c:tx>
              <c:dLblPos val="outEnd"/>
              <c:showVal val="1"/>
            </c:dLbl>
            <c:dLbl>
              <c:idx val="2"/>
              <c:tx>
                <c:rich>
                  <a:bodyPr/>
                  <a:lstStyle/>
                  <a:p>
                    <a:r>
                      <a:rPr lang="en-US"/>
                      <a:t>165.000</a:t>
                    </a:r>
                  </a:p>
                </c:rich>
              </c:tx>
              <c:dLblPos val="outEnd"/>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Figure1!$B$1:$D$1</c:f>
              <c:strCache>
                <c:ptCount val="3"/>
                <c:pt idx="0">
                  <c:v>Urbain</c:v>
                </c:pt>
                <c:pt idx="1">
                  <c:v>Rural</c:v>
                </c:pt>
                <c:pt idx="2">
                  <c:v>National</c:v>
                </c:pt>
              </c:strCache>
            </c:strRef>
          </c:cat>
          <c:val>
            <c:numRef>
              <c:f>Figure1!$B$4:$D$4</c:f>
              <c:numCache>
                <c:formatCode>0</c:formatCode>
                <c:ptCount val="3"/>
                <c:pt idx="0">
                  <c:v>250000</c:v>
                </c:pt>
                <c:pt idx="1">
                  <c:v>-85000</c:v>
                </c:pt>
                <c:pt idx="2">
                  <c:v>165000</c:v>
                </c:pt>
              </c:numCache>
            </c:numRef>
          </c:val>
          <c:extLst xmlns:c16r2="http://schemas.microsoft.com/office/drawing/2015/06/chart">
            <c:ext xmlns:c16="http://schemas.microsoft.com/office/drawing/2014/chart" uri="{C3380CC4-5D6E-409C-BE32-E72D297353CC}">
              <c16:uniqueId val="{00000002-F846-494B-9FC5-72363C34F021}"/>
            </c:ext>
          </c:extLst>
        </c:ser>
        <c:dLbls>
          <c:showVal val="1"/>
        </c:dLbls>
        <c:gapWidth val="219"/>
        <c:overlap val="-27"/>
        <c:axId val="115028736"/>
        <c:axId val="115030272"/>
      </c:barChart>
      <c:catAx>
        <c:axId val="115028736"/>
        <c:scaling>
          <c:orientation val="minMax"/>
        </c:scaling>
        <c:axPos val="b"/>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5030272"/>
        <c:crosses val="autoZero"/>
        <c:auto val="1"/>
        <c:lblAlgn val="ctr"/>
        <c:lblOffset val="100"/>
      </c:catAx>
      <c:valAx>
        <c:axId val="115030272"/>
        <c:scaling>
          <c:orientation val="minMax"/>
        </c:scaling>
        <c:delete val="1"/>
        <c:axPos val="l"/>
        <c:numFmt formatCode="0" sourceLinked="1"/>
        <c:majorTickMark val="none"/>
        <c:tickLblPos val="none"/>
        <c:crossAx val="1150287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noFill/>
      <a:round/>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1"/>
  <c:chart>
    <c:autoTitleDeleted val="1"/>
    <c:plotArea>
      <c:layout/>
      <c:barChart>
        <c:barDir val="col"/>
        <c:grouping val="clustered"/>
        <c:ser>
          <c:idx val="0"/>
          <c:order val="0"/>
          <c:tx>
            <c:strRef>
              <c:f>Feuil1!$C$34</c:f>
              <c:strCache>
                <c:ptCount val="1"/>
                <c:pt idx="0">
                  <c:v>Urbain</c:v>
                </c:pt>
              </c:strCache>
            </c:strRef>
          </c:tx>
          <c:spPr>
            <a:solidFill>
              <a:srgbClr val="FFC000"/>
            </a:solidFill>
          </c:spPr>
          <c:dLbls>
            <c:dLbl>
              <c:idx val="0"/>
              <c:tx>
                <c:rich>
                  <a:bodyPr/>
                  <a:lstStyle/>
                  <a:p>
                    <a:r>
                      <a:rPr lang="en-US" sz="900"/>
                      <a:t>1</a:t>
                    </a:r>
                    <a:r>
                      <a:rPr lang="en-US"/>
                      <a:t>4.000</a:t>
                    </a:r>
                  </a:p>
                </c:rich>
              </c:tx>
              <c:dLblPos val="outEnd"/>
              <c:showVal val="1"/>
            </c:dLbl>
            <c:dLbl>
              <c:idx val="1"/>
              <c:tx>
                <c:rich>
                  <a:bodyPr/>
                  <a:lstStyle/>
                  <a:p>
                    <a:r>
                      <a:rPr lang="en-US" sz="900"/>
                      <a:t>4</a:t>
                    </a:r>
                    <a:r>
                      <a:rPr lang="en-US" sz="1000"/>
                      <a:t>.</a:t>
                    </a:r>
                    <a:r>
                      <a:rPr lang="en-US" sz="900" b="0" i="0" u="none" strike="noStrike" baseline="0"/>
                      <a:t>000</a:t>
                    </a:r>
                    <a:endParaRPr lang="en-US" sz="1000"/>
                  </a:p>
                </c:rich>
              </c:tx>
              <c:dLblPos val="outEnd"/>
              <c:showVal val="1"/>
            </c:dLbl>
            <c:dLbl>
              <c:idx val="2"/>
              <c:tx>
                <c:rich>
                  <a:bodyPr/>
                  <a:lstStyle/>
                  <a:p>
                    <a:r>
                      <a:rPr lang="en-US" sz="900"/>
                      <a:t>6</a:t>
                    </a:r>
                    <a:r>
                      <a:rPr lang="en-US" sz="1000"/>
                      <a:t>.</a:t>
                    </a:r>
                    <a:r>
                      <a:rPr lang="en-US" sz="900" b="0" i="0" u="none" strike="noStrike" baseline="0"/>
                      <a:t>000</a:t>
                    </a:r>
                    <a:endParaRPr lang="en-US"/>
                  </a:p>
                </c:rich>
              </c:tx>
              <c:dLblPos val="outEnd"/>
              <c:showVal val="1"/>
            </c:dLbl>
            <c:dLbl>
              <c:idx val="3"/>
              <c:tx>
                <c:rich>
                  <a:bodyPr/>
                  <a:lstStyle/>
                  <a:p>
                    <a:r>
                      <a:rPr lang="en-US" sz="900"/>
                      <a:t>2</a:t>
                    </a:r>
                    <a:r>
                      <a:rPr lang="en-US"/>
                      <a:t>23.</a:t>
                    </a:r>
                    <a:r>
                      <a:rPr lang="en-US" sz="900" b="0" i="0" u="none" strike="noStrike" baseline="0"/>
                      <a:t>000</a:t>
                    </a:r>
                    <a:endParaRPr lang="en-US"/>
                  </a:p>
                </c:rich>
              </c:tx>
              <c:dLblPos val="outEnd"/>
              <c:showVal val="1"/>
            </c:dLbl>
            <c:txPr>
              <a:bodyPr rot="0" vert="horz"/>
              <a:lstStyle/>
              <a:p>
                <a:pPr>
                  <a:defRPr sz="900"/>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Feuil1!$B$35:$B$38</c:f>
              <c:strCache>
                <c:ptCount val="4"/>
                <c:pt idx="0">
                  <c:v>Agriculture forêt et pêche</c:v>
                </c:pt>
                <c:pt idx="1">
                  <c:v>Industrie y compris l'artisanat</c:v>
                </c:pt>
                <c:pt idx="2">
                  <c:v>Bâtiments et travaux publics</c:v>
                </c:pt>
                <c:pt idx="3">
                  <c:v>Services</c:v>
                </c:pt>
              </c:strCache>
            </c:strRef>
          </c:cat>
          <c:val>
            <c:numRef>
              <c:f>Feuil1!$C$35:$C$38</c:f>
              <c:numCache>
                <c:formatCode>General</c:formatCode>
                <c:ptCount val="4"/>
                <c:pt idx="0">
                  <c:v>14</c:v>
                </c:pt>
                <c:pt idx="1">
                  <c:v>4</c:v>
                </c:pt>
                <c:pt idx="2">
                  <c:v>6</c:v>
                </c:pt>
                <c:pt idx="3">
                  <c:v>223</c:v>
                </c:pt>
              </c:numCache>
            </c:numRef>
          </c:val>
          <c:extLst xmlns:c16r2="http://schemas.microsoft.com/office/drawing/2015/06/chart">
            <c:ext xmlns:c16="http://schemas.microsoft.com/office/drawing/2014/chart" uri="{C3380CC4-5D6E-409C-BE32-E72D297353CC}">
              <c16:uniqueId val="{00000000-C879-42EC-A763-88439B86E1BD}"/>
            </c:ext>
          </c:extLst>
        </c:ser>
        <c:ser>
          <c:idx val="1"/>
          <c:order val="1"/>
          <c:tx>
            <c:strRef>
              <c:f>Feuil1!$D$34</c:f>
              <c:strCache>
                <c:ptCount val="1"/>
                <c:pt idx="0">
                  <c:v>Rural</c:v>
                </c:pt>
              </c:strCache>
            </c:strRef>
          </c:tx>
          <c:spPr>
            <a:solidFill>
              <a:srgbClr val="002060"/>
            </a:solidFill>
          </c:spPr>
          <c:dLbls>
            <c:dLbl>
              <c:idx val="0"/>
              <c:tx>
                <c:rich>
                  <a:bodyPr/>
                  <a:lstStyle/>
                  <a:p>
                    <a:r>
                      <a:rPr lang="en-US" sz="900"/>
                      <a:t>-</a:t>
                    </a:r>
                    <a:r>
                      <a:rPr lang="en-US"/>
                      <a:t>160.000</a:t>
                    </a:r>
                  </a:p>
                </c:rich>
              </c:tx>
              <c:dLblPos val="outEnd"/>
              <c:showVal val="1"/>
            </c:dLbl>
            <c:dLbl>
              <c:idx val="1"/>
              <c:tx>
                <c:rich>
                  <a:bodyPr/>
                  <a:lstStyle/>
                  <a:p>
                    <a:r>
                      <a:rPr lang="en-US" sz="900"/>
                      <a:t>1</a:t>
                    </a:r>
                    <a:r>
                      <a:rPr lang="en-US"/>
                      <a:t>3.</a:t>
                    </a:r>
                    <a:r>
                      <a:rPr lang="en-US" sz="900" b="0" i="0" u="none" strike="noStrike" baseline="0"/>
                      <a:t>000</a:t>
                    </a:r>
                    <a:endParaRPr lang="en-US"/>
                  </a:p>
                </c:rich>
              </c:tx>
              <c:dLblPos val="outEnd"/>
              <c:showVal val="1"/>
            </c:dLbl>
            <c:dLbl>
              <c:idx val="2"/>
              <c:tx>
                <c:rich>
                  <a:bodyPr/>
                  <a:lstStyle/>
                  <a:p>
                    <a:r>
                      <a:rPr lang="en-US" sz="900"/>
                      <a:t>1</a:t>
                    </a:r>
                    <a:r>
                      <a:rPr lang="en-US"/>
                      <a:t>8.</a:t>
                    </a:r>
                    <a:r>
                      <a:rPr lang="en-US" sz="900" b="0" i="0" u="none" strike="noStrike" baseline="0"/>
                      <a:t>000</a:t>
                    </a:r>
                    <a:endParaRPr lang="en-US"/>
                  </a:p>
                </c:rich>
              </c:tx>
              <c:dLblPos val="outEnd"/>
              <c:showVal val="1"/>
            </c:dLbl>
            <c:dLbl>
              <c:idx val="3"/>
              <c:tx>
                <c:rich>
                  <a:bodyPr/>
                  <a:lstStyle/>
                  <a:p>
                    <a:r>
                      <a:rPr lang="en-US" sz="900"/>
                      <a:t>4</a:t>
                    </a:r>
                    <a:r>
                      <a:rPr lang="en-US"/>
                      <a:t>4.</a:t>
                    </a:r>
                    <a:r>
                      <a:rPr lang="en-US" sz="900" b="0" i="0" u="none" strike="noStrike" baseline="0"/>
                      <a:t>000</a:t>
                    </a:r>
                    <a:endParaRPr lang="en-US"/>
                  </a:p>
                </c:rich>
              </c:tx>
              <c:dLblPos val="outEnd"/>
              <c:showVal val="1"/>
            </c:dLbl>
            <c:txPr>
              <a:bodyPr rot="0" vert="horz"/>
              <a:lstStyle/>
              <a:p>
                <a:pPr>
                  <a:defRPr sz="900"/>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Feuil1!$B$35:$B$38</c:f>
              <c:strCache>
                <c:ptCount val="4"/>
                <c:pt idx="0">
                  <c:v>Agriculture forêt et pêche</c:v>
                </c:pt>
                <c:pt idx="1">
                  <c:v>Industrie y compris l'artisanat</c:v>
                </c:pt>
                <c:pt idx="2">
                  <c:v>Bâtiments et travaux publics</c:v>
                </c:pt>
                <c:pt idx="3">
                  <c:v>Services</c:v>
                </c:pt>
              </c:strCache>
            </c:strRef>
          </c:cat>
          <c:val>
            <c:numRef>
              <c:f>Feuil1!$D$35:$D$38</c:f>
              <c:numCache>
                <c:formatCode>General</c:formatCode>
                <c:ptCount val="4"/>
                <c:pt idx="0">
                  <c:v>-160</c:v>
                </c:pt>
                <c:pt idx="1">
                  <c:v>13</c:v>
                </c:pt>
                <c:pt idx="2">
                  <c:v>18</c:v>
                </c:pt>
                <c:pt idx="3">
                  <c:v>44</c:v>
                </c:pt>
              </c:numCache>
            </c:numRef>
          </c:val>
          <c:extLst xmlns:c16r2="http://schemas.microsoft.com/office/drawing/2015/06/chart">
            <c:ext xmlns:c16="http://schemas.microsoft.com/office/drawing/2014/chart" uri="{C3380CC4-5D6E-409C-BE32-E72D297353CC}">
              <c16:uniqueId val="{00000001-C879-42EC-A763-88439B86E1BD}"/>
            </c:ext>
          </c:extLst>
        </c:ser>
        <c:ser>
          <c:idx val="2"/>
          <c:order val="2"/>
          <c:tx>
            <c:strRef>
              <c:f>Feuil1!$E$34</c:f>
              <c:strCache>
                <c:ptCount val="1"/>
                <c:pt idx="0">
                  <c:v>National</c:v>
                </c:pt>
              </c:strCache>
            </c:strRef>
          </c:tx>
          <c:spPr>
            <a:solidFill>
              <a:srgbClr val="00B050"/>
            </a:solidFill>
          </c:spPr>
          <c:dLbls>
            <c:dLbl>
              <c:idx val="0"/>
              <c:layout>
                <c:manualLayout>
                  <c:x val="2.5462780694079912E-2"/>
                  <c:y val="5.0343490680192114E-3"/>
                </c:manualLayout>
              </c:layout>
              <c:tx>
                <c:rich>
                  <a:bodyPr/>
                  <a:lstStyle/>
                  <a:p>
                    <a:r>
                      <a:rPr lang="en-US" sz="900"/>
                      <a:t>-</a:t>
                    </a:r>
                    <a:r>
                      <a:rPr lang="en-US"/>
                      <a:t>146.</a:t>
                    </a:r>
                    <a:r>
                      <a:rPr lang="en-US" sz="900" b="0" i="0" u="none" strike="noStrike" baseline="0"/>
                      <a:t>000</a:t>
                    </a:r>
                    <a:endParaRPr lang="en-US"/>
                  </a:p>
                </c:rich>
              </c:tx>
              <c:dLblPos val="outEnd"/>
              <c:showVal val="1"/>
            </c:dLbl>
            <c:dLbl>
              <c:idx val="1"/>
              <c:tx>
                <c:rich>
                  <a:bodyPr/>
                  <a:lstStyle/>
                  <a:p>
                    <a:r>
                      <a:rPr lang="en-US" sz="900"/>
                      <a:t>1</a:t>
                    </a:r>
                    <a:r>
                      <a:rPr lang="en-US"/>
                      <a:t>7.</a:t>
                    </a:r>
                    <a:r>
                      <a:rPr lang="en-US" sz="900" b="0" i="0" u="none" strike="noStrike" baseline="0"/>
                      <a:t>000</a:t>
                    </a:r>
                    <a:endParaRPr lang="en-US"/>
                  </a:p>
                </c:rich>
              </c:tx>
              <c:dLblPos val="outEnd"/>
              <c:showVal val="1"/>
            </c:dLbl>
            <c:dLbl>
              <c:idx val="2"/>
              <c:tx>
                <c:rich>
                  <a:bodyPr/>
                  <a:lstStyle/>
                  <a:p>
                    <a:r>
                      <a:rPr lang="en-US" sz="900"/>
                      <a:t>2</a:t>
                    </a:r>
                    <a:r>
                      <a:rPr lang="en-US"/>
                      <a:t>4.</a:t>
                    </a:r>
                    <a:r>
                      <a:rPr lang="en-US" sz="900" b="0" i="0" u="none" strike="noStrike" baseline="0"/>
                      <a:t>000</a:t>
                    </a:r>
                    <a:endParaRPr lang="en-US"/>
                  </a:p>
                </c:rich>
              </c:tx>
              <c:dLblPos val="outEnd"/>
              <c:showVal val="1"/>
            </c:dLbl>
            <c:dLbl>
              <c:idx val="3"/>
              <c:tx>
                <c:rich>
                  <a:bodyPr/>
                  <a:lstStyle/>
                  <a:p>
                    <a:r>
                      <a:rPr lang="en-US" sz="900"/>
                      <a:t>2</a:t>
                    </a:r>
                    <a:r>
                      <a:rPr lang="en-US"/>
                      <a:t>67.</a:t>
                    </a:r>
                    <a:r>
                      <a:rPr lang="en-US" sz="900" b="0" i="0" u="none" strike="noStrike" baseline="0"/>
                      <a:t>000</a:t>
                    </a:r>
                    <a:endParaRPr lang="en-US"/>
                  </a:p>
                </c:rich>
              </c:tx>
              <c:dLblPos val="outEnd"/>
              <c:showVal val="1"/>
            </c:dLbl>
            <c:txPr>
              <a:bodyPr rot="0" vert="horz"/>
              <a:lstStyle/>
              <a:p>
                <a:pPr>
                  <a:defRPr sz="900"/>
                </a:pPr>
                <a:endParaRPr lang="fr-FR"/>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Feuil1!$B$35:$B$38</c:f>
              <c:strCache>
                <c:ptCount val="4"/>
                <c:pt idx="0">
                  <c:v>Agriculture forêt et pêche</c:v>
                </c:pt>
                <c:pt idx="1">
                  <c:v>Industrie y compris l'artisanat</c:v>
                </c:pt>
                <c:pt idx="2">
                  <c:v>Bâtiments et travaux publics</c:v>
                </c:pt>
                <c:pt idx="3">
                  <c:v>Services</c:v>
                </c:pt>
              </c:strCache>
            </c:strRef>
          </c:cat>
          <c:val>
            <c:numRef>
              <c:f>Feuil1!$E$35:$E$38</c:f>
              <c:numCache>
                <c:formatCode>General</c:formatCode>
                <c:ptCount val="4"/>
                <c:pt idx="0">
                  <c:v>-146</c:v>
                </c:pt>
                <c:pt idx="1">
                  <c:v>17</c:v>
                </c:pt>
                <c:pt idx="2">
                  <c:v>24</c:v>
                </c:pt>
                <c:pt idx="3">
                  <c:v>267</c:v>
                </c:pt>
              </c:numCache>
            </c:numRef>
          </c:val>
          <c:extLst xmlns:c16r2="http://schemas.microsoft.com/office/drawing/2015/06/chart">
            <c:ext xmlns:c16="http://schemas.microsoft.com/office/drawing/2014/chart" uri="{C3380CC4-5D6E-409C-BE32-E72D297353CC}">
              <c16:uniqueId val="{00000002-C879-42EC-A763-88439B86E1BD}"/>
            </c:ext>
          </c:extLst>
        </c:ser>
        <c:dLbls>
          <c:showVal val="1"/>
        </c:dLbls>
        <c:gapWidth val="100"/>
        <c:overlap val="-24"/>
        <c:axId val="115521408"/>
        <c:axId val="115522944"/>
      </c:barChart>
      <c:catAx>
        <c:axId val="115521408"/>
        <c:scaling>
          <c:orientation val="minMax"/>
        </c:scaling>
        <c:axPos val="b"/>
        <c:numFmt formatCode="General" sourceLinked="1"/>
        <c:majorTickMark val="none"/>
        <c:minorTickMark val="in"/>
        <c:tickLblPos val="low"/>
        <c:txPr>
          <a:bodyPr rot="-60000000" vert="horz"/>
          <a:lstStyle/>
          <a:p>
            <a:pPr>
              <a:defRPr/>
            </a:pPr>
            <a:endParaRPr lang="fr-FR"/>
          </a:p>
        </c:txPr>
        <c:crossAx val="115522944"/>
        <c:crosses val="autoZero"/>
        <c:auto val="1"/>
        <c:lblAlgn val="ctr"/>
        <c:lblOffset val="100"/>
      </c:catAx>
      <c:valAx>
        <c:axId val="115522944"/>
        <c:scaling>
          <c:orientation val="minMax"/>
        </c:scaling>
        <c:delete val="1"/>
        <c:axPos val="l"/>
        <c:numFmt formatCode="General" sourceLinked="1"/>
        <c:majorTickMark val="none"/>
        <c:tickLblPos val="none"/>
        <c:crossAx val="115521408"/>
        <c:crosses val="autoZero"/>
        <c:crossBetween val="between"/>
      </c:valAx>
    </c:plotArea>
    <c:legend>
      <c:legendPos val="b"/>
      <c:layout>
        <c:manualLayout>
          <c:xMode val="edge"/>
          <c:yMode val="edge"/>
          <c:x val="0.20202518955963841"/>
          <c:y val="0.85967947500406605"/>
          <c:w val="0.5565977690288717"/>
          <c:h val="0.10536116868852866"/>
        </c:manualLayout>
      </c:layout>
      <c:txPr>
        <a:bodyPr rot="0" vert="horz"/>
        <a:lstStyle/>
        <a:p>
          <a:pPr>
            <a:defRPr/>
          </a:pPr>
          <a:endParaRPr lang="fr-FR"/>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1.9801980198019972E-2"/>
          <c:y val="4.3689320388349467E-2"/>
          <c:w val="0.95159515951595153"/>
          <c:h val="0.61277310603164892"/>
        </c:manualLayout>
      </c:layout>
      <c:barChart>
        <c:barDir val="col"/>
        <c:grouping val="clustered"/>
        <c:ser>
          <c:idx val="0"/>
          <c:order val="0"/>
          <c:tx>
            <c:strRef>
              <c:f>Texte!$L$17</c:f>
              <c:strCache>
                <c:ptCount val="1"/>
                <c:pt idx="0">
                  <c:v>2018</c:v>
                </c:pt>
              </c:strCache>
            </c:strRef>
          </c:tx>
          <c:spPr>
            <a:solidFill>
              <a:schemeClr val="tx2">
                <a:lumMod val="75000"/>
              </a:schemeClr>
            </a:solidFill>
          </c:spPr>
          <c:dLbls>
            <c:txPr>
              <a:bodyPr/>
              <a:lstStyle/>
              <a:p>
                <a:pPr>
                  <a:defRPr>
                    <a:solidFill>
                      <a:sysClr val="windowText" lastClr="000000"/>
                    </a:solidFill>
                  </a:defRPr>
                </a:pPr>
                <a:endParaRPr lang="fr-FR"/>
              </a:p>
            </c:txPr>
            <c:showVal val="1"/>
          </c:dLbls>
          <c:cat>
            <c:strRef>
              <c:f>Texte!$K$18:$K$24</c:f>
              <c:strCache>
                <c:ptCount val="7"/>
                <c:pt idx="0">
                  <c:v>Urbain</c:v>
                </c:pt>
                <c:pt idx="1">
                  <c:v>Rural</c:v>
                </c:pt>
                <c:pt idx="2">
                  <c:v>Masculin</c:v>
                </c:pt>
                <c:pt idx="3">
                  <c:v>Féminin</c:v>
                </c:pt>
                <c:pt idx="4">
                  <c:v>Jeunes âgés de 15 à 24 ans</c:v>
                </c:pt>
                <c:pt idx="5">
                  <c:v>Diplômés</c:v>
                </c:pt>
                <c:pt idx="6">
                  <c:v>National</c:v>
                </c:pt>
              </c:strCache>
            </c:strRef>
          </c:cat>
          <c:val>
            <c:numRef>
              <c:f>Texte!$L$18:$L$24</c:f>
              <c:numCache>
                <c:formatCode>0.0</c:formatCode>
                <c:ptCount val="7"/>
                <c:pt idx="0">
                  <c:v>13.751509084025924</c:v>
                </c:pt>
                <c:pt idx="1">
                  <c:v>3.5507666049716513</c:v>
                </c:pt>
                <c:pt idx="2">
                  <c:v>8.0783766694812496</c:v>
                </c:pt>
                <c:pt idx="3">
                  <c:v>14.058621468613698</c:v>
                </c:pt>
                <c:pt idx="4">
                  <c:v>25.5566675919444</c:v>
                </c:pt>
                <c:pt idx="5">
                  <c:v>16.748969205336063</c:v>
                </c:pt>
                <c:pt idx="6">
                  <c:v>9.5165693644777605</c:v>
                </c:pt>
              </c:numCache>
            </c:numRef>
          </c:val>
        </c:ser>
        <c:ser>
          <c:idx val="1"/>
          <c:order val="1"/>
          <c:tx>
            <c:strRef>
              <c:f>Texte!$M$17</c:f>
              <c:strCache>
                <c:ptCount val="1"/>
                <c:pt idx="0">
                  <c:v>2019</c:v>
                </c:pt>
              </c:strCache>
            </c:strRef>
          </c:tx>
          <c:spPr>
            <a:solidFill>
              <a:schemeClr val="accent4">
                <a:lumMod val="75000"/>
              </a:schemeClr>
            </a:solidFill>
          </c:spPr>
          <c:dPt>
            <c:idx val="0"/>
            <c:spPr>
              <a:solidFill>
                <a:schemeClr val="accent4">
                  <a:lumMod val="60000"/>
                  <a:lumOff val="40000"/>
                </a:schemeClr>
              </a:solidFill>
            </c:spPr>
          </c:dPt>
          <c:dPt>
            <c:idx val="1"/>
            <c:spPr>
              <a:solidFill>
                <a:schemeClr val="accent4">
                  <a:lumMod val="60000"/>
                  <a:lumOff val="40000"/>
                </a:schemeClr>
              </a:solidFill>
            </c:spPr>
          </c:dPt>
          <c:dPt>
            <c:idx val="2"/>
            <c:spPr>
              <a:solidFill>
                <a:schemeClr val="accent4">
                  <a:lumMod val="60000"/>
                  <a:lumOff val="40000"/>
                </a:schemeClr>
              </a:solidFill>
            </c:spPr>
          </c:dPt>
          <c:dPt>
            <c:idx val="3"/>
            <c:spPr>
              <a:solidFill>
                <a:schemeClr val="accent4">
                  <a:lumMod val="60000"/>
                  <a:lumOff val="40000"/>
                </a:schemeClr>
              </a:solidFill>
            </c:spPr>
          </c:dPt>
          <c:dPt>
            <c:idx val="4"/>
            <c:spPr>
              <a:solidFill>
                <a:schemeClr val="accent4">
                  <a:lumMod val="60000"/>
                  <a:lumOff val="40000"/>
                </a:schemeClr>
              </a:solidFill>
            </c:spPr>
          </c:dPt>
          <c:dPt>
            <c:idx val="5"/>
            <c:spPr>
              <a:solidFill>
                <a:schemeClr val="accent4">
                  <a:lumMod val="60000"/>
                  <a:lumOff val="40000"/>
                </a:schemeClr>
              </a:solidFill>
            </c:spPr>
          </c:dPt>
          <c:dPt>
            <c:idx val="6"/>
            <c:spPr>
              <a:solidFill>
                <a:schemeClr val="accent4">
                  <a:lumMod val="60000"/>
                  <a:lumOff val="40000"/>
                </a:schemeClr>
              </a:solidFill>
            </c:spPr>
          </c:dPt>
          <c:dLbls>
            <c:dLbl>
              <c:idx val="0"/>
              <c:layout>
                <c:manualLayout>
                  <c:x val="1.1111111111111125E-2"/>
                  <c:y val="4.6348318194707845E-3"/>
                </c:manualLayout>
              </c:layout>
              <c:showVal val="1"/>
            </c:dLbl>
            <c:dLbl>
              <c:idx val="2"/>
              <c:layout>
                <c:manualLayout>
                  <c:x val="8.3333333333334026E-3"/>
                  <c:y val="4.6348318194707446E-3"/>
                </c:manualLayout>
              </c:layout>
              <c:showVal val="1"/>
            </c:dLbl>
            <c:dLbl>
              <c:idx val="3"/>
              <c:layout>
                <c:manualLayout>
                  <c:x val="1.6666666666666701E-2"/>
                  <c:y val="9.2696636389415048E-3"/>
                </c:manualLayout>
              </c:layout>
              <c:showVal val="1"/>
            </c:dLbl>
            <c:dLbl>
              <c:idx val="4"/>
              <c:layout>
                <c:manualLayout>
                  <c:x val="1.9444444444444445E-2"/>
                  <c:y val="0"/>
                </c:manualLayout>
              </c:layout>
              <c:showVal val="1"/>
            </c:dLbl>
            <c:dLbl>
              <c:idx val="5"/>
              <c:layout>
                <c:manualLayout>
                  <c:x val="1.1111111111111221E-2"/>
                  <c:y val="0"/>
                </c:manualLayout>
              </c:layout>
              <c:showVal val="1"/>
            </c:dLbl>
            <c:dLbl>
              <c:idx val="6"/>
              <c:layout>
                <c:manualLayout>
                  <c:x val="1.3888888888889143E-2"/>
                  <c:y val="4.2485467549403971E-17"/>
                </c:manualLayout>
              </c:layout>
              <c:showVal val="1"/>
            </c:dLbl>
            <c:txPr>
              <a:bodyPr/>
              <a:lstStyle/>
              <a:p>
                <a:pPr>
                  <a:defRPr>
                    <a:solidFill>
                      <a:sysClr val="windowText" lastClr="000000"/>
                    </a:solidFill>
                  </a:defRPr>
                </a:pPr>
                <a:endParaRPr lang="fr-FR"/>
              </a:p>
            </c:txPr>
            <c:showVal val="1"/>
          </c:dLbls>
          <c:cat>
            <c:strRef>
              <c:f>Texte!$K$18:$K$24</c:f>
              <c:strCache>
                <c:ptCount val="7"/>
                <c:pt idx="0">
                  <c:v>Urbain</c:v>
                </c:pt>
                <c:pt idx="1">
                  <c:v>Rural</c:v>
                </c:pt>
                <c:pt idx="2">
                  <c:v>Masculin</c:v>
                </c:pt>
                <c:pt idx="3">
                  <c:v>Féminin</c:v>
                </c:pt>
                <c:pt idx="4">
                  <c:v>Jeunes âgés de 15 à 24 ans</c:v>
                </c:pt>
                <c:pt idx="5">
                  <c:v>Diplômés</c:v>
                </c:pt>
                <c:pt idx="6">
                  <c:v>National</c:v>
                </c:pt>
              </c:strCache>
            </c:strRef>
          </c:cat>
          <c:val>
            <c:numRef>
              <c:f>Texte!$M$18:$M$24</c:f>
              <c:numCache>
                <c:formatCode>0.0</c:formatCode>
                <c:ptCount val="7"/>
                <c:pt idx="0">
                  <c:v>12.876928909139446</c:v>
                </c:pt>
                <c:pt idx="1">
                  <c:v>3.6762989629205118</c:v>
                </c:pt>
                <c:pt idx="2">
                  <c:v>7.8147608015988546</c:v>
                </c:pt>
                <c:pt idx="3">
                  <c:v>13.475271614063654</c:v>
                </c:pt>
                <c:pt idx="4">
                  <c:v>24.928843996200289</c:v>
                </c:pt>
                <c:pt idx="5">
                  <c:v>15.692612601377583</c:v>
                </c:pt>
                <c:pt idx="6">
                  <c:v>9.1626829251630326</c:v>
                </c:pt>
              </c:numCache>
            </c:numRef>
          </c:val>
        </c:ser>
        <c:axId val="115645440"/>
        <c:axId val="115647232"/>
      </c:barChart>
      <c:catAx>
        <c:axId val="115645440"/>
        <c:scaling>
          <c:orientation val="minMax"/>
        </c:scaling>
        <c:axPos val="b"/>
        <c:majorTickMark val="none"/>
        <c:tickLblPos val="nextTo"/>
        <c:txPr>
          <a:bodyPr/>
          <a:lstStyle/>
          <a:p>
            <a:pPr>
              <a:defRPr>
                <a:solidFill>
                  <a:schemeClr val="accent3">
                    <a:lumMod val="50000"/>
                  </a:schemeClr>
                </a:solidFill>
              </a:defRPr>
            </a:pPr>
            <a:endParaRPr lang="fr-FR"/>
          </a:p>
        </c:txPr>
        <c:crossAx val="115647232"/>
        <c:crosses val="autoZero"/>
        <c:auto val="1"/>
        <c:lblAlgn val="ctr"/>
        <c:lblOffset val="100"/>
      </c:catAx>
      <c:valAx>
        <c:axId val="115647232"/>
        <c:scaling>
          <c:orientation val="minMax"/>
        </c:scaling>
        <c:delete val="1"/>
        <c:axPos val="l"/>
        <c:numFmt formatCode="0.0" sourceLinked="1"/>
        <c:tickLblPos val="none"/>
        <c:crossAx val="115645440"/>
        <c:crosses val="autoZero"/>
        <c:crossBetween val="between"/>
      </c:valAx>
      <c:spPr>
        <a:noFill/>
        <a:ln w="25400">
          <a:noFill/>
        </a:ln>
      </c:spPr>
    </c:plotArea>
    <c:legend>
      <c:legendPos val="b"/>
      <c:txPr>
        <a:bodyPr/>
        <a:lstStyle/>
        <a:p>
          <a:pPr>
            <a:defRPr b="1">
              <a:solidFill>
                <a:schemeClr val="accent3">
                  <a:lumMod val="50000"/>
                </a:schemeClr>
              </a:solidFill>
            </a:defRPr>
          </a:pPr>
          <a:endParaRPr lang="fr-FR"/>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Texte!$H$130</c:f>
              <c:strCache>
                <c:ptCount val="1"/>
                <c:pt idx="0">
                  <c:v>2018</c:v>
                </c:pt>
              </c:strCache>
            </c:strRef>
          </c:tx>
          <c:spPr>
            <a:solidFill>
              <a:srgbClr val="FFC000"/>
            </a:solidFill>
          </c:spPr>
          <c:dLbls>
            <c:txPr>
              <a:bodyPr/>
              <a:lstStyle/>
              <a:p>
                <a:pPr>
                  <a:defRPr sz="900"/>
                </a:pPr>
                <a:endParaRPr lang="fr-FR"/>
              </a:p>
            </c:txPr>
            <c:showVal val="1"/>
          </c:dLbls>
          <c:cat>
            <c:strRef>
              <c:f>Texte!$G$131:$G$136</c:f>
              <c:strCache>
                <c:ptCount val="6"/>
                <c:pt idx="0">
                  <c:v>Masculin</c:v>
                </c:pt>
                <c:pt idx="1">
                  <c:v>Féminin</c:v>
                </c:pt>
                <c:pt idx="2">
                  <c:v>Urbain</c:v>
                </c:pt>
                <c:pt idx="3">
                  <c:v>Rural</c:v>
                </c:pt>
                <c:pt idx="4">
                  <c:v>Agés de 15 à 24 ans</c:v>
                </c:pt>
                <c:pt idx="5">
                  <c:v>National</c:v>
                </c:pt>
              </c:strCache>
            </c:strRef>
          </c:cat>
          <c:val>
            <c:numRef>
              <c:f>Texte!$H$131:$H$136</c:f>
              <c:numCache>
                <c:formatCode>0.0</c:formatCode>
                <c:ptCount val="6"/>
                <c:pt idx="0">
                  <c:v>10.531728506510913</c:v>
                </c:pt>
                <c:pt idx="1">
                  <c:v>5.3487182814852341</c:v>
                </c:pt>
                <c:pt idx="2">
                  <c:v>8.3546136243142577</c:v>
                </c:pt>
                <c:pt idx="3">
                  <c:v>10.599011929443893</c:v>
                </c:pt>
                <c:pt idx="4">
                  <c:v>15.991658674499689</c:v>
                </c:pt>
                <c:pt idx="5">
                  <c:v>9.3478328166765348</c:v>
                </c:pt>
              </c:numCache>
            </c:numRef>
          </c:val>
        </c:ser>
        <c:ser>
          <c:idx val="1"/>
          <c:order val="1"/>
          <c:tx>
            <c:strRef>
              <c:f>Texte!$I$130</c:f>
              <c:strCache>
                <c:ptCount val="1"/>
                <c:pt idx="0">
                  <c:v>2019</c:v>
                </c:pt>
              </c:strCache>
            </c:strRef>
          </c:tx>
          <c:spPr>
            <a:solidFill>
              <a:schemeClr val="bg2">
                <a:lumMod val="50000"/>
              </a:schemeClr>
            </a:solidFill>
          </c:spPr>
          <c:dLbls>
            <c:dLbl>
              <c:idx val="0"/>
              <c:layout>
                <c:manualLayout>
                  <c:x val="1.9444444444444445E-2"/>
                  <c:y val="0"/>
                </c:manualLayout>
              </c:layout>
              <c:showVal val="1"/>
            </c:dLbl>
            <c:dLbl>
              <c:idx val="1"/>
              <c:layout>
                <c:manualLayout>
                  <c:x val="2.7777777777778382E-3"/>
                  <c:y val="-4.6348318194707446E-3"/>
                </c:manualLayout>
              </c:layout>
              <c:showVal val="1"/>
            </c:dLbl>
            <c:dLbl>
              <c:idx val="2"/>
              <c:layout>
                <c:manualLayout>
                  <c:x val="5.5555555555555558E-3"/>
                  <c:y val="1.3904495458412481E-2"/>
                </c:manualLayout>
              </c:layout>
              <c:showVal val="1"/>
            </c:dLbl>
            <c:dLbl>
              <c:idx val="3"/>
              <c:layout>
                <c:manualLayout>
                  <c:x val="1.9444444444444445E-2"/>
                  <c:y val="4.6348318194707446E-3"/>
                </c:manualLayout>
              </c:layout>
              <c:showVal val="1"/>
            </c:dLbl>
            <c:dLbl>
              <c:idx val="4"/>
              <c:layout>
                <c:manualLayout>
                  <c:x val="1.6666666666666781E-2"/>
                  <c:y val="4.6348318194707446E-3"/>
                </c:manualLayout>
              </c:layout>
              <c:showVal val="1"/>
            </c:dLbl>
            <c:dLbl>
              <c:idx val="5"/>
              <c:layout>
                <c:manualLayout>
                  <c:x val="8.3333333333334546E-3"/>
                  <c:y val="1.3904495458412445E-2"/>
                </c:manualLayout>
              </c:layout>
              <c:showVal val="1"/>
            </c:dLbl>
            <c:txPr>
              <a:bodyPr/>
              <a:lstStyle/>
              <a:p>
                <a:pPr>
                  <a:defRPr sz="900"/>
                </a:pPr>
                <a:endParaRPr lang="fr-FR"/>
              </a:p>
            </c:txPr>
            <c:showVal val="1"/>
          </c:dLbls>
          <c:cat>
            <c:strRef>
              <c:f>Texte!$G$131:$G$136</c:f>
              <c:strCache>
                <c:ptCount val="6"/>
                <c:pt idx="0">
                  <c:v>Masculin</c:v>
                </c:pt>
                <c:pt idx="1">
                  <c:v>Féminin</c:v>
                </c:pt>
                <c:pt idx="2">
                  <c:v>Urbain</c:v>
                </c:pt>
                <c:pt idx="3">
                  <c:v>Rural</c:v>
                </c:pt>
                <c:pt idx="4">
                  <c:v>Agés de 15 à 24 ans</c:v>
                </c:pt>
                <c:pt idx="5">
                  <c:v>National</c:v>
                </c:pt>
              </c:strCache>
            </c:strRef>
          </c:cat>
          <c:val>
            <c:numRef>
              <c:f>Texte!$I$131:$I$136</c:f>
              <c:numCache>
                <c:formatCode>0.0</c:formatCode>
                <c:ptCount val="6"/>
                <c:pt idx="0">
                  <c:v>10.266013862577264</c:v>
                </c:pt>
                <c:pt idx="1">
                  <c:v>5.5406312274671636</c:v>
                </c:pt>
                <c:pt idx="2">
                  <c:v>8.2562710852413979</c:v>
                </c:pt>
                <c:pt idx="3">
                  <c:v>10.434477961190613</c:v>
                </c:pt>
                <c:pt idx="4">
                  <c:v>15.73191042554001</c:v>
                </c:pt>
                <c:pt idx="5">
                  <c:v>9.190455396871533</c:v>
                </c:pt>
              </c:numCache>
            </c:numRef>
          </c:val>
        </c:ser>
        <c:axId val="115811840"/>
        <c:axId val="115813376"/>
      </c:barChart>
      <c:catAx>
        <c:axId val="115811840"/>
        <c:scaling>
          <c:orientation val="minMax"/>
        </c:scaling>
        <c:axPos val="b"/>
        <c:majorTickMark val="none"/>
        <c:tickLblPos val="nextTo"/>
        <c:txPr>
          <a:bodyPr/>
          <a:lstStyle/>
          <a:p>
            <a:pPr>
              <a:defRPr>
                <a:solidFill>
                  <a:schemeClr val="tx1">
                    <a:lumMod val="65000"/>
                    <a:lumOff val="35000"/>
                  </a:schemeClr>
                </a:solidFill>
              </a:defRPr>
            </a:pPr>
            <a:endParaRPr lang="fr-FR"/>
          </a:p>
        </c:txPr>
        <c:crossAx val="115813376"/>
        <c:crosses val="autoZero"/>
        <c:auto val="1"/>
        <c:lblAlgn val="ctr"/>
        <c:lblOffset val="100"/>
      </c:catAx>
      <c:valAx>
        <c:axId val="115813376"/>
        <c:scaling>
          <c:orientation val="minMax"/>
        </c:scaling>
        <c:delete val="1"/>
        <c:axPos val="l"/>
        <c:numFmt formatCode="0.0" sourceLinked="1"/>
        <c:tickLblPos val="none"/>
        <c:crossAx val="115811840"/>
        <c:crosses val="autoZero"/>
        <c:crossBetween val="between"/>
      </c:valAx>
    </c:plotArea>
    <c:legend>
      <c:legendPos val="b"/>
      <c:spPr>
        <a:ln>
          <a:noFill/>
        </a:ln>
      </c:spPr>
      <c:txPr>
        <a:bodyPr/>
        <a:lstStyle/>
        <a:p>
          <a:pPr>
            <a:defRPr b="1">
              <a:solidFill>
                <a:schemeClr val="tx1">
                  <a:lumMod val="65000"/>
                  <a:lumOff val="35000"/>
                </a:schemeClr>
              </a:solidFill>
            </a:defRPr>
          </a:pPr>
          <a:endParaRPr lang="fr-FR"/>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tx>
            <c:strRef>
              <c:f>'Taux-AC_EMP'!$D$5</c:f>
              <c:strCache>
                <c:ptCount val="1"/>
                <c:pt idx="0">
                  <c:v>Urbain</c:v>
                </c:pt>
              </c:strCache>
            </c:strRef>
          </c:tx>
          <c:spPr>
            <a:solidFill>
              <a:srgbClr val="002060"/>
            </a:solidFill>
          </c:spPr>
          <c:dLbls>
            <c:dLbl>
              <c:idx val="4"/>
              <c:layout>
                <c:manualLayout>
                  <c:x val="-6.2692932976154206E-3"/>
                  <c:y val="0"/>
                </c:manualLayout>
              </c:layout>
              <c:dLblPos val="outEnd"/>
              <c:showVal val="1"/>
            </c:dLbl>
            <c:dLbl>
              <c:idx val="5"/>
              <c:layout>
                <c:manualLayout>
                  <c:x val="-4.707692788401498E-3"/>
                  <c:y val="5.1425025676138311E-3"/>
                </c:manualLayout>
              </c:layout>
              <c:dLblPos val="outEnd"/>
              <c:showVal val="1"/>
            </c:dLbl>
            <c:dLbl>
              <c:idx val="8"/>
              <c:layout>
                <c:manualLayout>
                  <c:x val="-3.9682539682539802E-3"/>
                  <c:y val="6.6815150624760806E-3"/>
                </c:manualLayout>
              </c:layout>
              <c:dLblPos val="outEnd"/>
              <c:showVal val="1"/>
            </c:dLbl>
            <c:txPr>
              <a:bodyPr/>
              <a:lstStyle/>
              <a:p>
                <a:pPr>
                  <a:defRPr sz="900">
                    <a:solidFill>
                      <a:srgbClr val="0070C0"/>
                    </a:solidFill>
                  </a:defRPr>
                </a:pPr>
                <a:endParaRPr lang="fr-FR"/>
              </a:p>
            </c:txPr>
            <c:dLblPos val="outEnd"/>
            <c:showVal val="1"/>
          </c:dLbls>
          <c:cat>
            <c:strRef>
              <c:f>'Taux-AC_EMP'!$C$6:$C$16</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Régions-Sud</c:v>
                </c:pt>
                <c:pt idx="10">
                  <c:v>Total</c:v>
                </c:pt>
              </c:strCache>
            </c:strRef>
          </c:cat>
          <c:val>
            <c:numRef>
              <c:f>'Taux-AC_EMP'!$D$6:$D$16</c:f>
              <c:numCache>
                <c:formatCode>###0.0</c:formatCode>
                <c:ptCount val="11"/>
                <c:pt idx="0">
                  <c:v>43.440696429899127</c:v>
                </c:pt>
                <c:pt idx="1">
                  <c:v>41.077425835416776</c:v>
                </c:pt>
                <c:pt idx="2">
                  <c:v>38.651062438337846</c:v>
                </c:pt>
                <c:pt idx="3">
                  <c:v>42.321260187139295</c:v>
                </c:pt>
                <c:pt idx="4">
                  <c:v>36.863452220837516</c:v>
                </c:pt>
                <c:pt idx="5">
                  <c:v>46.092525979997681</c:v>
                </c:pt>
                <c:pt idx="6">
                  <c:v>42.088402232481663</c:v>
                </c:pt>
                <c:pt idx="7">
                  <c:v>35.588995375703838</c:v>
                </c:pt>
                <c:pt idx="8">
                  <c:v>42.580764001433394</c:v>
                </c:pt>
                <c:pt idx="9">
                  <c:v>42.146028741957686</c:v>
                </c:pt>
                <c:pt idx="10">
                  <c:v>42.337565086346785</c:v>
                </c:pt>
              </c:numCache>
            </c:numRef>
          </c:val>
        </c:ser>
        <c:ser>
          <c:idx val="1"/>
          <c:order val="1"/>
          <c:tx>
            <c:strRef>
              <c:f>'Taux-AC_EMP'!$E$5</c:f>
              <c:strCache>
                <c:ptCount val="1"/>
                <c:pt idx="0">
                  <c:v>Rural</c:v>
                </c:pt>
              </c:strCache>
            </c:strRef>
          </c:tx>
          <c:spPr>
            <a:solidFill>
              <a:srgbClr val="FFC000"/>
            </a:solidFill>
          </c:spPr>
          <c:dLbls>
            <c:dLbl>
              <c:idx val="8"/>
              <c:layout>
                <c:manualLayout>
                  <c:x val="8.2533433320835028E-3"/>
                  <c:y val="-7.8836616701733603E-4"/>
                </c:manualLayout>
              </c:layout>
              <c:showVal val="1"/>
            </c:dLbl>
            <c:txPr>
              <a:bodyPr/>
              <a:lstStyle/>
              <a:p>
                <a:pPr>
                  <a:defRPr sz="900">
                    <a:solidFill>
                      <a:schemeClr val="accent2">
                        <a:lumMod val="75000"/>
                      </a:schemeClr>
                    </a:solidFill>
                  </a:defRPr>
                </a:pPr>
                <a:endParaRPr lang="fr-FR"/>
              </a:p>
            </c:txPr>
            <c:showVal val="1"/>
          </c:dLbls>
          <c:cat>
            <c:strRef>
              <c:f>'Taux-AC_EMP'!$C$6:$C$16</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Régions-Sud</c:v>
                </c:pt>
                <c:pt idx="10">
                  <c:v>Total</c:v>
                </c:pt>
              </c:strCache>
            </c:strRef>
          </c:cat>
          <c:val>
            <c:numRef>
              <c:f>'Taux-AC_EMP'!$E$6:$E$16</c:f>
              <c:numCache>
                <c:formatCode>###0.0</c:formatCode>
                <c:ptCount val="11"/>
                <c:pt idx="0">
                  <c:v>49.871001133930235</c:v>
                </c:pt>
                <c:pt idx="1">
                  <c:v>47.652467310921523</c:v>
                </c:pt>
                <c:pt idx="2">
                  <c:v>50.904021396741044</c:v>
                </c:pt>
                <c:pt idx="3">
                  <c:v>54.227395241275538</c:v>
                </c:pt>
                <c:pt idx="4">
                  <c:v>54.269916805851743</c:v>
                </c:pt>
                <c:pt idx="5">
                  <c:v>63.77105200234702</c:v>
                </c:pt>
                <c:pt idx="6">
                  <c:v>51.947322840107383</c:v>
                </c:pt>
                <c:pt idx="7">
                  <c:v>45.035353268670143</c:v>
                </c:pt>
                <c:pt idx="8">
                  <c:v>43.517623814987594</c:v>
                </c:pt>
                <c:pt idx="9">
                  <c:v>60.611317616379317</c:v>
                </c:pt>
                <c:pt idx="10">
                  <c:v>52.204790553148875</c:v>
                </c:pt>
              </c:numCache>
            </c:numRef>
          </c:val>
        </c:ser>
        <c:ser>
          <c:idx val="2"/>
          <c:order val="2"/>
          <c:tx>
            <c:strRef>
              <c:f>'Taux-AC_EMP'!$F$5</c:f>
              <c:strCache>
                <c:ptCount val="1"/>
                <c:pt idx="0">
                  <c:v>Total</c:v>
                </c:pt>
              </c:strCache>
            </c:strRef>
          </c:tx>
          <c:spPr>
            <a:solidFill>
              <a:srgbClr val="00B050"/>
            </a:solidFill>
          </c:spPr>
          <c:dLbls>
            <c:dLbl>
              <c:idx val="0"/>
              <c:layout>
                <c:manualLayout>
                  <c:x val="5.1587301587301577E-2"/>
                  <c:y val="-6.6815150624761118E-3"/>
                </c:manualLayout>
              </c:layout>
              <c:dLblPos val="inEnd"/>
              <c:showVal val="1"/>
            </c:dLbl>
            <c:dLbl>
              <c:idx val="1"/>
              <c:layout>
                <c:manualLayout>
                  <c:x val="5.1587301587301577E-2"/>
                  <c:y val="-6.6815150624761118E-3"/>
                </c:manualLayout>
              </c:layout>
              <c:dLblPos val="inEnd"/>
              <c:showVal val="1"/>
            </c:dLbl>
            <c:dLbl>
              <c:idx val="2"/>
              <c:layout>
                <c:manualLayout>
                  <c:x val="4.96031746031746E-2"/>
                  <c:y val="0"/>
                </c:manualLayout>
              </c:layout>
              <c:dLblPos val="inEnd"/>
              <c:showVal val="1"/>
            </c:dLbl>
            <c:dLbl>
              <c:idx val="3"/>
              <c:layout>
                <c:manualLayout>
                  <c:x val="5.9523809523809507E-2"/>
                  <c:y val="-3.3407575312380602E-3"/>
                </c:manualLayout>
              </c:layout>
              <c:dLblPos val="inEnd"/>
              <c:showVal val="1"/>
            </c:dLbl>
            <c:dLbl>
              <c:idx val="4"/>
              <c:layout>
                <c:manualLayout>
                  <c:x val="5.3571428571428555E-2"/>
                  <c:y val="-3.3407575312380602E-3"/>
                </c:manualLayout>
              </c:layout>
              <c:dLblPos val="inEnd"/>
              <c:showVal val="1"/>
            </c:dLbl>
            <c:dLbl>
              <c:idx val="5"/>
              <c:layout>
                <c:manualLayout>
                  <c:x val="5.1587301587301577E-2"/>
                  <c:y val="-3.3407575312380602E-3"/>
                </c:manualLayout>
              </c:layout>
              <c:dLblPos val="inEnd"/>
              <c:showVal val="1"/>
            </c:dLbl>
            <c:dLbl>
              <c:idx val="6"/>
              <c:layout>
                <c:manualLayout>
                  <c:x val="4.7619047619047623E-2"/>
                  <c:y val="-6.6815150624761118E-3"/>
                </c:manualLayout>
              </c:layout>
              <c:dLblPos val="inEnd"/>
              <c:showVal val="1"/>
            </c:dLbl>
            <c:dLbl>
              <c:idx val="7"/>
              <c:layout>
                <c:manualLayout>
                  <c:x val="5.3571428571428555E-2"/>
                  <c:y val="-6.6815150624761118E-3"/>
                </c:manualLayout>
              </c:layout>
              <c:dLblPos val="inEnd"/>
              <c:showVal val="1"/>
            </c:dLbl>
            <c:dLbl>
              <c:idx val="8"/>
              <c:layout>
                <c:manualLayout>
                  <c:x val="5.3571428571428555E-2"/>
                  <c:y val="-6.6815150624761118E-3"/>
                </c:manualLayout>
              </c:layout>
              <c:dLblPos val="inEnd"/>
              <c:showVal val="1"/>
            </c:dLbl>
            <c:dLbl>
              <c:idx val="9"/>
              <c:layout>
                <c:manualLayout>
                  <c:x val="5.5555555555555455E-2"/>
                  <c:y val="-3.3407575312380602E-3"/>
                </c:manualLayout>
              </c:layout>
              <c:dLblPos val="inEnd"/>
              <c:showVal val="1"/>
            </c:dLbl>
            <c:dLbl>
              <c:idx val="10"/>
              <c:layout>
                <c:manualLayout>
                  <c:x val="5.9523809523809507E-2"/>
                  <c:y val="0"/>
                </c:manualLayout>
              </c:layout>
              <c:dLblPos val="inEnd"/>
              <c:showVal val="1"/>
            </c:dLbl>
            <c:txPr>
              <a:bodyPr/>
              <a:lstStyle/>
              <a:p>
                <a:pPr>
                  <a:defRPr sz="900" b="1"/>
                </a:pPr>
                <a:endParaRPr lang="fr-FR"/>
              </a:p>
            </c:txPr>
            <c:dLblPos val="inEnd"/>
            <c:showVal val="1"/>
          </c:dLbls>
          <c:cat>
            <c:strRef>
              <c:f>'Taux-AC_EMP'!$C$6:$C$16</c:f>
              <c:strCache>
                <c:ptCount val="11"/>
                <c:pt idx="0">
                  <c:v>Tanger-Tétouan-Al Hoceïma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Régions-Sud</c:v>
                </c:pt>
                <c:pt idx="10">
                  <c:v>Total</c:v>
                </c:pt>
              </c:strCache>
            </c:strRef>
          </c:cat>
          <c:val>
            <c:numRef>
              <c:f>'Taux-AC_EMP'!$F$6:$F$16</c:f>
              <c:numCache>
                <c:formatCode>###0.0</c:formatCode>
                <c:ptCount val="11"/>
                <c:pt idx="0">
                  <c:v>45.787836520232894</c:v>
                </c:pt>
                <c:pt idx="1">
                  <c:v>42.972070096985561</c:v>
                </c:pt>
                <c:pt idx="2">
                  <c:v>42.992267452265054</c:v>
                </c:pt>
                <c:pt idx="3">
                  <c:v>45.450194543085999</c:v>
                </c:pt>
                <c:pt idx="4">
                  <c:v>45.072622525615124</c:v>
                </c:pt>
                <c:pt idx="5">
                  <c:v>50.035795438316889</c:v>
                </c:pt>
                <c:pt idx="6">
                  <c:v>47.409367007240768</c:v>
                </c:pt>
                <c:pt idx="7">
                  <c:v>41.559361738060254</c:v>
                </c:pt>
                <c:pt idx="8">
                  <c:v>42.946106609352263</c:v>
                </c:pt>
                <c:pt idx="9">
                  <c:v>45.961794577154244</c:v>
                </c:pt>
                <c:pt idx="10">
                  <c:v>45.834997026061998</c:v>
                </c:pt>
              </c:numCache>
            </c:numRef>
          </c:val>
        </c:ser>
        <c:gapWidth val="75"/>
        <c:axId val="115844224"/>
        <c:axId val="115845760"/>
      </c:barChart>
      <c:catAx>
        <c:axId val="115844224"/>
        <c:scaling>
          <c:orientation val="minMax"/>
        </c:scaling>
        <c:axPos val="l"/>
        <c:majorTickMark val="none"/>
        <c:tickLblPos val="nextTo"/>
        <c:txPr>
          <a:bodyPr/>
          <a:lstStyle/>
          <a:p>
            <a:pPr>
              <a:defRPr sz="1050">
                <a:latin typeface="Browallia New" pitchFamily="34" charset="-34"/>
                <a:cs typeface="Browallia New" pitchFamily="34" charset="-34"/>
              </a:defRPr>
            </a:pPr>
            <a:endParaRPr lang="fr-FR"/>
          </a:p>
        </c:txPr>
        <c:crossAx val="115845760"/>
        <c:crosses val="autoZero"/>
        <c:auto val="1"/>
        <c:lblAlgn val="ctr"/>
        <c:lblOffset val="100"/>
      </c:catAx>
      <c:valAx>
        <c:axId val="115845760"/>
        <c:scaling>
          <c:orientation val="minMax"/>
        </c:scaling>
        <c:axPos val="b"/>
        <c:numFmt formatCode="###0.0" sourceLinked="1"/>
        <c:majorTickMark val="none"/>
        <c:tickLblPos val="none"/>
        <c:spPr>
          <a:ln w="6350">
            <a:noFill/>
          </a:ln>
        </c:spPr>
        <c:crossAx val="115844224"/>
        <c:crosses val="autoZero"/>
        <c:crossBetween val="between"/>
      </c:valAx>
    </c:plotArea>
    <c:legend>
      <c:legendPos val="l"/>
      <c:legendEntry>
        <c:idx val="2"/>
        <c:txPr>
          <a:bodyPr/>
          <a:lstStyle/>
          <a:p>
            <a:pPr>
              <a:defRPr sz="1100">
                <a:latin typeface="Browallia New" pitchFamily="34" charset="-34"/>
                <a:cs typeface="Browallia New" pitchFamily="34" charset="-34"/>
              </a:defRPr>
            </a:pPr>
            <a:endParaRPr lang="fr-FR"/>
          </a:p>
        </c:txPr>
      </c:legendEntry>
      <c:legendEntry>
        <c:idx val="1"/>
        <c:txPr>
          <a:bodyPr/>
          <a:lstStyle/>
          <a:p>
            <a:pPr>
              <a:defRPr sz="1100">
                <a:latin typeface="Browallia New" pitchFamily="34" charset="-34"/>
                <a:cs typeface="Browallia New" pitchFamily="34" charset="-34"/>
              </a:defRPr>
            </a:pPr>
            <a:endParaRPr lang="fr-FR"/>
          </a:p>
        </c:txPr>
      </c:legendEntry>
      <c:legendEntry>
        <c:idx val="0"/>
        <c:txPr>
          <a:bodyPr/>
          <a:lstStyle/>
          <a:p>
            <a:pPr>
              <a:defRPr sz="1100">
                <a:latin typeface="Browallia New" pitchFamily="34" charset="-34"/>
                <a:cs typeface="Browallia New" pitchFamily="34" charset="-34"/>
              </a:defRPr>
            </a:pPr>
            <a:endParaRPr lang="fr-FR"/>
          </a:p>
        </c:txPr>
      </c:legendEntry>
      <c:layout>
        <c:manualLayout>
          <c:xMode val="edge"/>
          <c:yMode val="edge"/>
          <c:x val="4.3744531933507497E-6"/>
          <c:y val="0.36174853670874357"/>
          <c:w val="7.8423634545682339E-2"/>
          <c:h val="0.19651151259242175"/>
        </c:manualLayout>
      </c:layout>
      <c:txPr>
        <a:bodyPr/>
        <a:lstStyle/>
        <a:p>
          <a:pPr>
            <a:defRPr>
              <a:latin typeface="Browallia New" pitchFamily="34" charset="-34"/>
              <a:cs typeface="Browallia New" pitchFamily="34" charset="-34"/>
            </a:defRPr>
          </a:pPr>
          <a:endParaRPr lang="fr-FR"/>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bar"/>
        <c:grouping val="clustered"/>
        <c:ser>
          <c:idx val="0"/>
          <c:order val="0"/>
          <c:tx>
            <c:strRef>
              <c:f>TAUX_CH!$D$5</c:f>
              <c:strCache>
                <c:ptCount val="1"/>
                <c:pt idx="0">
                  <c:v>Urbain</c:v>
                </c:pt>
              </c:strCache>
            </c:strRef>
          </c:tx>
          <c:spPr>
            <a:solidFill>
              <a:srgbClr val="002060"/>
            </a:solidFill>
          </c:spPr>
          <c:dLbls>
            <c:dLbl>
              <c:idx val="2"/>
              <c:layout>
                <c:manualLayout>
                  <c:x val="-7.6923076923077014E-3"/>
                  <c:y val="-1.643835793747794E-2"/>
                </c:manualLayout>
              </c:layout>
              <c:showVal val="1"/>
            </c:dLbl>
            <c:dLbl>
              <c:idx val="4"/>
              <c:layout>
                <c:manualLayout>
                  <c:x val="-3.8461538461538472E-3"/>
                  <c:y val="-8.2191789687389681E-3"/>
                </c:manualLayout>
              </c:layout>
              <c:showVal val="1"/>
            </c:dLbl>
            <c:dLbl>
              <c:idx val="6"/>
              <c:layout>
                <c:manualLayout>
                  <c:x val="4.3715846994535519E-3"/>
                  <c:y val="4.6296296296296805E-3"/>
                </c:manualLayout>
              </c:layout>
              <c:showVal val="1"/>
            </c:dLbl>
            <c:txPr>
              <a:bodyPr/>
              <a:lstStyle/>
              <a:p>
                <a:pPr>
                  <a:defRPr sz="1200" b="1">
                    <a:solidFill>
                      <a:schemeClr val="accent1">
                        <a:lumMod val="75000"/>
                      </a:schemeClr>
                    </a:solidFill>
                    <a:latin typeface="Browallia New" pitchFamily="34" charset="-34"/>
                    <a:cs typeface="Browallia New" pitchFamily="34" charset="-34"/>
                  </a:defRPr>
                </a:pPr>
                <a:endParaRPr lang="fr-FR"/>
              </a:p>
            </c:txPr>
            <c:showVal val="1"/>
          </c:dLbls>
          <c:cat>
            <c:strRef>
              <c:f>TAUX_CH!$C$6:$C$16</c:f>
              <c:strCache>
                <c:ptCount val="11"/>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Régions-Sud</c:v>
                </c:pt>
                <c:pt idx="10">
                  <c:v>Total</c:v>
                </c:pt>
              </c:strCache>
            </c:strRef>
          </c:cat>
          <c:val>
            <c:numRef>
              <c:f>TAUX_CH!$D$6:$D$16</c:f>
              <c:numCache>
                <c:formatCode>###0.0</c:formatCode>
                <c:ptCount val="11"/>
                <c:pt idx="0">
                  <c:v>11.862407941257358</c:v>
                </c:pt>
                <c:pt idx="1">
                  <c:v>16.003757122967187</c:v>
                </c:pt>
                <c:pt idx="2">
                  <c:v>12.929290449657818</c:v>
                </c:pt>
                <c:pt idx="3">
                  <c:v>13.714814678160771</c:v>
                </c:pt>
                <c:pt idx="4">
                  <c:v>9.8719172576550527</c:v>
                </c:pt>
                <c:pt idx="5">
                  <c:v>12.96633452345587</c:v>
                </c:pt>
                <c:pt idx="6">
                  <c:v>9.7701470220313986</c:v>
                </c:pt>
                <c:pt idx="7">
                  <c:v>9.567080369391844</c:v>
                </c:pt>
                <c:pt idx="8">
                  <c:v>12.708853085282481</c:v>
                </c:pt>
                <c:pt idx="9">
                  <c:v>19.705680280396589</c:v>
                </c:pt>
                <c:pt idx="10">
                  <c:v>12.876928909140007</c:v>
                </c:pt>
              </c:numCache>
            </c:numRef>
          </c:val>
        </c:ser>
        <c:ser>
          <c:idx val="1"/>
          <c:order val="1"/>
          <c:tx>
            <c:strRef>
              <c:f>TAUX_CH!$E$5</c:f>
              <c:strCache>
                <c:ptCount val="1"/>
                <c:pt idx="0">
                  <c:v>Rural</c:v>
                </c:pt>
              </c:strCache>
            </c:strRef>
          </c:tx>
          <c:spPr>
            <a:solidFill>
              <a:srgbClr val="FFC000"/>
            </a:solidFill>
          </c:spPr>
          <c:dLbls>
            <c:dLbl>
              <c:idx val="1"/>
              <c:layout>
                <c:manualLayout>
                  <c:x val="3.8461538461538472E-3"/>
                  <c:y val="1.5613204143372261E-3"/>
                </c:manualLayout>
              </c:layout>
              <c:showVal val="1"/>
            </c:dLbl>
            <c:dLbl>
              <c:idx val="7"/>
              <c:layout>
                <c:manualLayout>
                  <c:x val="1.9230769230769427E-3"/>
                  <c:y val="-2.5479454803090801E-3"/>
                </c:manualLayout>
              </c:layout>
              <c:showVal val="1"/>
            </c:dLbl>
            <c:dLbl>
              <c:idx val="9"/>
              <c:layout>
                <c:manualLayout>
                  <c:x val="0"/>
                  <c:y val="5.9995266142477913E-3"/>
                </c:manualLayout>
              </c:layout>
              <c:showVal val="1"/>
            </c:dLbl>
            <c:dLbl>
              <c:idx val="10"/>
              <c:layout>
                <c:manualLayout>
                  <c:x val="1.9230769230769436E-3"/>
                  <c:y val="5.9999990551183142E-3"/>
                </c:manualLayout>
              </c:layout>
              <c:showVal val="1"/>
            </c:dLbl>
            <c:txPr>
              <a:bodyPr/>
              <a:lstStyle/>
              <a:p>
                <a:pPr>
                  <a:defRPr sz="1200" b="1">
                    <a:solidFill>
                      <a:srgbClr val="C00000"/>
                    </a:solidFill>
                    <a:latin typeface="Browallia New" pitchFamily="34" charset="-34"/>
                    <a:cs typeface="Browallia New" pitchFamily="34" charset="-34"/>
                  </a:defRPr>
                </a:pPr>
                <a:endParaRPr lang="fr-FR"/>
              </a:p>
            </c:txPr>
            <c:showVal val="1"/>
          </c:dLbls>
          <c:cat>
            <c:strRef>
              <c:f>TAUX_CH!$C$6:$C$16</c:f>
              <c:strCache>
                <c:ptCount val="11"/>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Régions-Sud</c:v>
                </c:pt>
                <c:pt idx="10">
                  <c:v>Total</c:v>
                </c:pt>
              </c:strCache>
            </c:strRef>
          </c:cat>
          <c:val>
            <c:numRef>
              <c:f>TAUX_CH!$E$6:$E$16</c:f>
              <c:numCache>
                <c:formatCode>###0.0</c:formatCode>
                <c:ptCount val="11"/>
                <c:pt idx="0">
                  <c:v>3.6344654479413792</c:v>
                </c:pt>
                <c:pt idx="1">
                  <c:v>9.1520602229094568</c:v>
                </c:pt>
                <c:pt idx="2">
                  <c:v>2.9637381951526693</c:v>
                </c:pt>
                <c:pt idx="3">
                  <c:v>3.9417368031062479</c:v>
                </c:pt>
                <c:pt idx="4">
                  <c:v>1.9162480981894754</c:v>
                </c:pt>
                <c:pt idx="5">
                  <c:v>2.6519780880271542</c:v>
                </c:pt>
                <c:pt idx="6">
                  <c:v>2.8517914361413466</c:v>
                </c:pt>
                <c:pt idx="7">
                  <c:v>3.7508637833510221</c:v>
                </c:pt>
                <c:pt idx="8">
                  <c:v>6.5232134424664077</c:v>
                </c:pt>
                <c:pt idx="9">
                  <c:v>7.0966166451497941</c:v>
                </c:pt>
                <c:pt idx="10">
                  <c:v>3.6762989629208027</c:v>
                </c:pt>
              </c:numCache>
            </c:numRef>
          </c:val>
        </c:ser>
        <c:ser>
          <c:idx val="2"/>
          <c:order val="2"/>
          <c:tx>
            <c:strRef>
              <c:f>TAUX_CH!$F$5</c:f>
              <c:strCache>
                <c:ptCount val="1"/>
                <c:pt idx="0">
                  <c:v>Total</c:v>
                </c:pt>
              </c:strCache>
            </c:strRef>
          </c:tx>
          <c:spPr>
            <a:solidFill>
              <a:srgbClr val="00B050"/>
            </a:solidFill>
          </c:spPr>
          <c:dLbls>
            <c:dLbl>
              <c:idx val="1"/>
              <c:layout>
                <c:manualLayout>
                  <c:x val="-6.5573770491803504E-3"/>
                  <c:y val="-1.3888888888889034E-2"/>
                </c:manualLayout>
              </c:layout>
              <c:showVal val="1"/>
            </c:dLbl>
            <c:dLbl>
              <c:idx val="3"/>
              <c:layout>
                <c:manualLayout>
                  <c:x val="0"/>
                  <c:y val="-1.3888888888889055E-2"/>
                </c:manualLayout>
              </c:layout>
              <c:showVal val="1"/>
            </c:dLbl>
            <c:txPr>
              <a:bodyPr/>
              <a:lstStyle/>
              <a:p>
                <a:pPr>
                  <a:defRPr sz="1200" b="1">
                    <a:latin typeface="Browallia New" pitchFamily="34" charset="-34"/>
                    <a:cs typeface="Browallia New" pitchFamily="34" charset="-34"/>
                  </a:defRPr>
                </a:pPr>
                <a:endParaRPr lang="fr-FR"/>
              </a:p>
            </c:txPr>
            <c:showVal val="1"/>
          </c:dLbls>
          <c:cat>
            <c:strRef>
              <c:f>TAUX_CH!$C$6:$C$16</c:f>
              <c:strCache>
                <c:ptCount val="11"/>
                <c:pt idx="0">
                  <c:v>Tanger-Tétouan-Al Hoceima</c:v>
                </c:pt>
                <c:pt idx="1">
                  <c:v>Oriental</c:v>
                </c:pt>
                <c:pt idx="2">
                  <c:v>Fès-Meknès</c:v>
                </c:pt>
                <c:pt idx="3">
                  <c:v>Rabat-Salé-Kénitra</c:v>
                </c:pt>
                <c:pt idx="4">
                  <c:v>Béni Mellal-Khénifra</c:v>
                </c:pt>
                <c:pt idx="5">
                  <c:v>Casablanca-Settat</c:v>
                </c:pt>
                <c:pt idx="6">
                  <c:v>Marrakech-Safi</c:v>
                </c:pt>
                <c:pt idx="7">
                  <c:v>Drâa-Tafilalet</c:v>
                </c:pt>
                <c:pt idx="8">
                  <c:v>Souss-Massa</c:v>
                </c:pt>
                <c:pt idx="9">
                  <c:v>Régions-Sud</c:v>
                </c:pt>
                <c:pt idx="10">
                  <c:v>Total</c:v>
                </c:pt>
              </c:strCache>
            </c:strRef>
          </c:cat>
          <c:val>
            <c:numRef>
              <c:f>TAUX_CH!$F$6:$F$16</c:f>
              <c:numCache>
                <c:formatCode>###0.0</c:formatCode>
                <c:ptCount val="11"/>
                <c:pt idx="0">
                  <c:v>8.5912864874229822</c:v>
                </c:pt>
                <c:pt idx="1">
                  <c:v>13.81435042954765</c:v>
                </c:pt>
                <c:pt idx="2">
                  <c:v>8.7487500011224419</c:v>
                </c:pt>
                <c:pt idx="3">
                  <c:v>10.650453129223736</c:v>
                </c:pt>
                <c:pt idx="4">
                  <c:v>5.3542760416042778</c:v>
                </c:pt>
                <c:pt idx="5">
                  <c:v>10.034122897603805</c:v>
                </c:pt>
                <c:pt idx="6">
                  <c:v>5.6788321151018533</c:v>
                </c:pt>
                <c:pt idx="7">
                  <c:v>5.5836075205038584</c:v>
                </c:pt>
                <c:pt idx="8">
                  <c:v>10.264568856058519</c:v>
                </c:pt>
                <c:pt idx="9">
                  <c:v>16.269585037344729</c:v>
                </c:pt>
                <c:pt idx="10">
                  <c:v>9.162560871175824</c:v>
                </c:pt>
              </c:numCache>
            </c:numRef>
          </c:val>
        </c:ser>
        <c:gapWidth val="75"/>
        <c:axId val="115910528"/>
        <c:axId val="115912064"/>
      </c:barChart>
      <c:catAx>
        <c:axId val="115910528"/>
        <c:scaling>
          <c:orientation val="minMax"/>
        </c:scaling>
        <c:axPos val="l"/>
        <c:majorTickMark val="none"/>
        <c:tickLblPos val="nextTo"/>
        <c:txPr>
          <a:bodyPr/>
          <a:lstStyle/>
          <a:p>
            <a:pPr>
              <a:defRPr sz="1100">
                <a:latin typeface="Browallia New" pitchFamily="34" charset="-34"/>
                <a:cs typeface="Browallia New" pitchFamily="34" charset="-34"/>
              </a:defRPr>
            </a:pPr>
            <a:endParaRPr lang="fr-FR"/>
          </a:p>
        </c:txPr>
        <c:crossAx val="115912064"/>
        <c:crosses val="autoZero"/>
        <c:auto val="1"/>
        <c:lblAlgn val="ctr"/>
        <c:lblOffset val="100"/>
      </c:catAx>
      <c:valAx>
        <c:axId val="115912064"/>
        <c:scaling>
          <c:orientation val="minMax"/>
        </c:scaling>
        <c:delete val="1"/>
        <c:axPos val="b"/>
        <c:numFmt formatCode="###0.0" sourceLinked="1"/>
        <c:majorTickMark val="none"/>
        <c:tickLblPos val="none"/>
        <c:crossAx val="115910528"/>
        <c:crosses val="autoZero"/>
        <c:crossBetween val="between"/>
      </c:valAx>
    </c:plotArea>
    <c:legend>
      <c:legendPos val="l"/>
      <c:layout>
        <c:manualLayout>
          <c:xMode val="edge"/>
          <c:yMode val="edge"/>
          <c:x val="0.86405087825560678"/>
          <c:y val="0.40169716338012756"/>
          <c:w val="7.6010599636583909E-2"/>
          <c:h val="0.24173608475203362"/>
        </c:manualLayout>
      </c:layout>
      <c:txPr>
        <a:bodyPr/>
        <a:lstStyle/>
        <a:p>
          <a:pPr>
            <a:defRPr sz="1100">
              <a:latin typeface="Browallia New" pitchFamily="34" charset="-34"/>
              <a:cs typeface="Browallia New" pitchFamily="34" charset="-34"/>
            </a:defRPr>
          </a:pPr>
          <a:endParaRPr lang="fr-FR"/>
        </a:p>
      </c:txPr>
    </c:legend>
    <c:plotVisOnly val="1"/>
  </c:chart>
  <c:spPr>
    <a:ln>
      <a:noFill/>
    </a:ln>
  </c:spPr>
  <c:txPr>
    <a:bodyPr/>
    <a:lstStyle/>
    <a:p>
      <a:pPr>
        <a:defRPr>
          <a:latin typeface="Book Antiqua" pitchFamily="18" charset="0"/>
        </a:defRPr>
      </a:pPr>
      <a:endParaRPr lang="fr-F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827C-CF8D-48D5-8214-CA87993E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2109</Words>
  <Characters>11605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2</cp:revision>
  <cp:lastPrinted>2020-02-04T16:31:00Z</cp:lastPrinted>
  <dcterms:created xsi:type="dcterms:W3CDTF">2020-02-07T10:19:00Z</dcterms:created>
  <dcterms:modified xsi:type="dcterms:W3CDTF">2020-02-07T10:19:00Z</dcterms:modified>
</cp:coreProperties>
</file>