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4F553E" w:rsidRDefault="004F553E" w:rsidP="004F553E">
      <w:pPr>
        <w:spacing w:line="276" w:lineRule="auto"/>
        <w:jc w:val="both"/>
        <w:rPr>
          <w:rFonts w:ascii="Book Antiqua" w:hAnsi="Book Antiqua"/>
          <w:b/>
          <w:bCs/>
        </w:rPr>
      </w:pPr>
      <w:r w:rsidRPr="00B7410A">
        <w:rPr>
          <w:rFonts w:ascii="Book Antiqua" w:hAnsi="Book Antiqua"/>
          <w:b/>
          <w:bCs/>
        </w:rPr>
        <w:t xml:space="preserve">           </w:t>
      </w:r>
    </w:p>
    <w:p w:rsidR="00EC6E8A" w:rsidRDefault="00EC6E8A" w:rsidP="004F553E">
      <w:pPr>
        <w:spacing w:line="276" w:lineRule="auto"/>
        <w:jc w:val="both"/>
        <w:rPr>
          <w:b/>
          <w:bCs/>
          <w:color w:val="808080"/>
        </w:rPr>
      </w:pPr>
    </w:p>
    <w:p w:rsidR="00EC6E8A" w:rsidRDefault="00EC6E8A" w:rsidP="00EC6E8A">
      <w:pPr>
        <w:ind w:left="-540" w:right="-468"/>
        <w:rPr>
          <w:rFonts w:asciiTheme="minorHAnsi" w:hAnsiTheme="minorHAnsi"/>
          <w:sz w:val="26"/>
          <w:szCs w:val="26"/>
          <w:lang w:bidi="ar-MA"/>
        </w:rPr>
      </w:pPr>
    </w:p>
    <w:p w:rsidR="008A6931" w:rsidRPr="003B2599" w:rsidRDefault="008A6931" w:rsidP="0038388C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8"/>
          <w:szCs w:val="28"/>
        </w:rPr>
      </w:pPr>
      <w:r w:rsidRPr="003B2599">
        <w:rPr>
          <w:rFonts w:ascii="Palatino" w:hAnsi="Palatino" w:cs="Times" w:hint="cs"/>
          <w:b/>
          <w:bCs/>
          <w:shadow/>
          <w:color w:val="FF9900"/>
          <w:sz w:val="28"/>
          <w:szCs w:val="28"/>
          <w:rtl/>
        </w:rPr>
        <w:t>ب</w:t>
      </w:r>
      <w:r w:rsidR="0038388C">
        <w:rPr>
          <w:rFonts w:ascii="Palatino" w:hAnsi="Palatino" w:hint="cs"/>
          <w:b/>
          <w:bCs/>
          <w:shadow/>
          <w:color w:val="FF9900"/>
          <w:sz w:val="28"/>
          <w:szCs w:val="28"/>
          <w:rtl/>
        </w:rPr>
        <w:t>ــــ</w:t>
      </w:r>
      <w:r w:rsidRPr="003B2599">
        <w:rPr>
          <w:rFonts w:ascii="Palatino" w:hAnsi="Palatino" w:cs="Times" w:hint="cs"/>
          <w:b/>
          <w:bCs/>
          <w:shadow/>
          <w:color w:val="FF9900"/>
          <w:sz w:val="28"/>
          <w:szCs w:val="28"/>
          <w:rtl/>
        </w:rPr>
        <w:t>لاغ صح</w:t>
      </w:r>
      <w:r w:rsidR="003B2599">
        <w:rPr>
          <w:rFonts w:ascii="Palatino" w:hAnsi="Palatino" w:hint="cs"/>
          <w:b/>
          <w:bCs/>
          <w:shadow/>
          <w:color w:val="FF9900"/>
          <w:sz w:val="28"/>
          <w:szCs w:val="28"/>
          <w:rtl/>
        </w:rPr>
        <w:t>ـــ</w:t>
      </w:r>
      <w:r w:rsidRPr="003B2599">
        <w:rPr>
          <w:rFonts w:ascii="Palatino" w:hAnsi="Palatino" w:cs="Times" w:hint="cs"/>
          <w:b/>
          <w:bCs/>
          <w:shadow/>
          <w:color w:val="FF9900"/>
          <w:sz w:val="28"/>
          <w:szCs w:val="28"/>
          <w:rtl/>
        </w:rPr>
        <w:t>في</w:t>
      </w:r>
    </w:p>
    <w:p w:rsidR="003B2599" w:rsidRPr="003B2599" w:rsidRDefault="003B2599" w:rsidP="008A6931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8"/>
          <w:szCs w:val="28"/>
          <w:rtl/>
        </w:rPr>
      </w:pPr>
    </w:p>
    <w:p w:rsidR="008A6931" w:rsidRPr="00B423B1" w:rsidRDefault="008A6931" w:rsidP="005A5570">
      <w:pPr>
        <w:ind w:left="993" w:hanging="993"/>
        <w:jc w:val="center"/>
        <w:rPr>
          <w:rFonts w:asciiTheme="majorBidi" w:hAnsiTheme="majorBidi" w:cstheme="majorBidi"/>
          <w:bCs/>
          <w:sz w:val="40"/>
          <w:szCs w:val="40"/>
          <w:rtl/>
          <w:lang w:bidi="ar-MA"/>
        </w:rPr>
      </w:pPr>
      <w:r w:rsidRPr="003B2599">
        <w:rPr>
          <w:rFonts w:ascii="Palatino" w:hAnsi="Palatino" w:cs="Times" w:hint="cs"/>
          <w:b/>
          <w:bCs/>
          <w:shadow/>
          <w:color w:val="FF9900"/>
          <w:sz w:val="28"/>
          <w:szCs w:val="28"/>
          <w:rtl/>
        </w:rPr>
        <w:t xml:space="preserve"> اتفاقية تعاون بين المندوبية السامية للتخطيط والبنك الدولي</w:t>
      </w:r>
    </w:p>
    <w:p w:rsidR="008A6931" w:rsidRDefault="008A6931" w:rsidP="00EC6E8A">
      <w:pPr>
        <w:ind w:left="-540" w:right="-468"/>
        <w:rPr>
          <w:rFonts w:asciiTheme="minorHAnsi" w:hAnsiTheme="minorHAnsi"/>
          <w:sz w:val="26"/>
          <w:szCs w:val="26"/>
        </w:rPr>
      </w:pPr>
    </w:p>
    <w:p w:rsidR="008A6931" w:rsidRDefault="008A6931" w:rsidP="00EC6E8A">
      <w:pPr>
        <w:ind w:left="-540" w:right="-468"/>
        <w:rPr>
          <w:rFonts w:asciiTheme="minorHAnsi" w:hAnsiTheme="minorHAnsi"/>
          <w:sz w:val="26"/>
          <w:szCs w:val="26"/>
        </w:rPr>
      </w:pPr>
    </w:p>
    <w:p w:rsidR="008A6931" w:rsidRPr="008A6931" w:rsidRDefault="008A6931" w:rsidP="005A5570">
      <w:pPr>
        <w:bidi/>
        <w:spacing w:before="120" w:after="120" w:line="264" w:lineRule="auto"/>
        <w:jc w:val="both"/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  <w:rtl/>
          <w:lang w:bidi="ar-MA"/>
        </w:rPr>
      </w:pPr>
      <w:r w:rsidRPr="008A6931">
        <w:rPr>
          <w:rFonts w:asciiTheme="majorBidi" w:hAnsiTheme="majorBidi" w:cstheme="majorBidi" w:hint="cs"/>
          <w:b/>
          <w:bCs/>
          <w:color w:val="A6A6A6" w:themeColor="background1" w:themeShade="A6"/>
          <w:sz w:val="28"/>
          <w:szCs w:val="28"/>
          <w:rtl/>
          <w:lang w:bidi="ar-MA"/>
        </w:rPr>
        <w:t xml:space="preserve">يوم الخميس 7 أبريل 2016 بالرباط، قام السيد أحمد الحليمي علمي، المندوب السامي للتخطيط، والسيدة ماري- فرنسواز ماري-نيلي، مديرة العمليات بقسم المغرب العربي، الشرق الأوسط وشمال إفريقيا، بالتوقيع على اتفاقية تسطر الإطار العام للتعاون على المدى المتوسط بين كلا المؤسستين. </w:t>
      </w:r>
    </w:p>
    <w:p w:rsidR="008A6931" w:rsidRPr="008A6931" w:rsidRDefault="008A6931" w:rsidP="008A6931">
      <w:pPr>
        <w:bidi/>
        <w:spacing w:before="240" w:after="240"/>
        <w:jc w:val="both"/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  <w:rtl/>
          <w:lang w:bidi="ar-MA"/>
        </w:rPr>
      </w:pPr>
      <w:r w:rsidRPr="008A6931">
        <w:rPr>
          <w:rFonts w:asciiTheme="majorBidi" w:hAnsiTheme="majorBidi" w:cstheme="majorBidi" w:hint="cs"/>
          <w:b/>
          <w:bCs/>
          <w:color w:val="A6A6A6" w:themeColor="background1" w:themeShade="A6"/>
          <w:sz w:val="28"/>
          <w:szCs w:val="28"/>
          <w:rtl/>
          <w:lang w:bidi="ar-MA"/>
        </w:rPr>
        <w:t xml:space="preserve">يغطي إطار التعاون الجديد سنوات 2016 و2017 و2018 وينص على برنامج دراسات مع مواضيع أولوية تتمحور حول : </w:t>
      </w:r>
    </w:p>
    <w:p w:rsidR="008A6931" w:rsidRPr="008A6931" w:rsidRDefault="008A6931" w:rsidP="005A5570">
      <w:pPr>
        <w:pStyle w:val="Paragraphedeliste"/>
        <w:numPr>
          <w:ilvl w:val="0"/>
          <w:numId w:val="6"/>
        </w:numPr>
        <w:bidi/>
        <w:spacing w:before="240" w:after="240" w:line="264" w:lineRule="auto"/>
        <w:ind w:left="714" w:hanging="357"/>
        <w:jc w:val="both"/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  <w:rtl/>
          <w:lang w:bidi="ar-MA"/>
        </w:rPr>
      </w:pPr>
      <w:r w:rsidRPr="008A6931"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  <w:rtl/>
          <w:lang w:bidi="ar-MA"/>
        </w:rPr>
        <w:t>إنجاز ونشر دراسات على أساس المعطيات الإحصائية المنجزة من طرف المندوبية السامية للتخطيط، وعلى الخصوص في ميادين الاستهلاك، والدخل، وظروف معيشة السكان ؛</w:t>
      </w:r>
    </w:p>
    <w:p w:rsidR="008A6931" w:rsidRPr="008A6931" w:rsidRDefault="008A6931" w:rsidP="005A5570">
      <w:pPr>
        <w:pStyle w:val="Paragraphedeliste"/>
        <w:numPr>
          <w:ilvl w:val="0"/>
          <w:numId w:val="6"/>
        </w:numPr>
        <w:bidi/>
        <w:spacing w:before="240" w:after="240" w:line="264" w:lineRule="auto"/>
        <w:ind w:left="714" w:hanging="357"/>
        <w:jc w:val="both"/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  <w:rtl/>
          <w:lang w:bidi="ar-MA"/>
        </w:rPr>
      </w:pPr>
      <w:r w:rsidRPr="008A6931"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  <w:rtl/>
          <w:lang w:bidi="ar-MA"/>
        </w:rPr>
        <w:t>تطوير مقاربات جديدة لقياس الفقر والفوارق ؛</w:t>
      </w:r>
    </w:p>
    <w:p w:rsidR="008A6931" w:rsidRPr="008A6931" w:rsidRDefault="008A6931" w:rsidP="005A5570">
      <w:pPr>
        <w:pStyle w:val="Paragraphedeliste"/>
        <w:numPr>
          <w:ilvl w:val="0"/>
          <w:numId w:val="6"/>
        </w:numPr>
        <w:bidi/>
        <w:spacing w:before="240" w:after="240" w:line="264" w:lineRule="auto"/>
        <w:ind w:left="714" w:hanging="357"/>
        <w:jc w:val="both"/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  <w:lang w:bidi="ar-MA"/>
        </w:rPr>
      </w:pPr>
      <w:r w:rsidRPr="008A6931"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  <w:rtl/>
          <w:lang w:bidi="ar-MA"/>
        </w:rPr>
        <w:t>النمذجة الاقتصادية ومحاكاة آثار سياسات عمومية ؛</w:t>
      </w:r>
    </w:p>
    <w:p w:rsidR="008A6931" w:rsidRPr="008A6931" w:rsidRDefault="008A6931" w:rsidP="005A5570">
      <w:pPr>
        <w:pStyle w:val="Paragraphedeliste"/>
        <w:numPr>
          <w:ilvl w:val="0"/>
          <w:numId w:val="6"/>
        </w:numPr>
        <w:bidi/>
        <w:spacing w:before="240" w:after="240" w:line="264" w:lineRule="auto"/>
        <w:ind w:left="714" w:hanging="357"/>
        <w:jc w:val="both"/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  <w:lang w:bidi="ar-MA"/>
        </w:rPr>
      </w:pPr>
      <w:r w:rsidRPr="008A6931"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  <w:rtl/>
          <w:lang w:bidi="ar-MA"/>
        </w:rPr>
        <w:t>وضع محاسبة بيئية (إعداد الحسابات الملحقة للبيئة) ؛</w:t>
      </w:r>
    </w:p>
    <w:p w:rsidR="008A6931" w:rsidRPr="008A6931" w:rsidRDefault="008A6931" w:rsidP="005A5570">
      <w:pPr>
        <w:pStyle w:val="Paragraphedeliste"/>
        <w:numPr>
          <w:ilvl w:val="0"/>
          <w:numId w:val="6"/>
        </w:numPr>
        <w:bidi/>
        <w:spacing w:before="240" w:after="240" w:line="264" w:lineRule="auto"/>
        <w:ind w:left="714" w:hanging="357"/>
        <w:jc w:val="both"/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  <w:lang w:bidi="ar-MA"/>
        </w:rPr>
      </w:pPr>
      <w:r w:rsidRPr="008A6931"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  <w:rtl/>
          <w:lang w:bidi="ar-MA"/>
        </w:rPr>
        <w:t>القيام بدراسات قطاعية و/أو تقييمية لاستراتيجيات قطاعية ؛</w:t>
      </w:r>
    </w:p>
    <w:p w:rsidR="008A6931" w:rsidRPr="008A6931" w:rsidRDefault="008A6931" w:rsidP="005A5570">
      <w:pPr>
        <w:pStyle w:val="Paragraphedeliste"/>
        <w:numPr>
          <w:ilvl w:val="0"/>
          <w:numId w:val="6"/>
        </w:numPr>
        <w:bidi/>
        <w:spacing w:before="240" w:after="240" w:line="264" w:lineRule="auto"/>
        <w:ind w:left="714" w:hanging="357"/>
        <w:jc w:val="both"/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  <w:rtl/>
          <w:lang w:bidi="ar-MA"/>
        </w:rPr>
      </w:pPr>
      <w:r w:rsidRPr="008A6931"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  <w:rtl/>
          <w:lang w:bidi="ar-MA"/>
        </w:rPr>
        <w:t>تطوير تكنلوجيات جمع، ومعالجة، وتخزين، ونشر المعطيات والوثائق التي تنتجها المندوبية السامية للتخطيط</w:t>
      </w:r>
      <w:r w:rsidRPr="008A6931">
        <w:rPr>
          <w:rFonts w:asciiTheme="majorBidi" w:hAnsiTheme="majorBidi" w:cstheme="majorBidi" w:hint="cs"/>
          <w:b/>
          <w:bCs/>
          <w:color w:val="A6A6A6" w:themeColor="background1" w:themeShade="A6"/>
          <w:sz w:val="28"/>
          <w:szCs w:val="28"/>
          <w:rtl/>
          <w:lang w:bidi="ar-MA"/>
        </w:rPr>
        <w:t>.</w:t>
      </w:r>
    </w:p>
    <w:p w:rsidR="002576A8" w:rsidRDefault="002576A8" w:rsidP="005A5570">
      <w:pPr>
        <w:bidi/>
        <w:spacing w:before="240" w:after="240" w:line="264" w:lineRule="auto"/>
        <w:ind w:left="357"/>
        <w:jc w:val="both"/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  <w:rtl/>
          <w:lang w:bidi="ar-MA"/>
        </w:rPr>
      </w:pPr>
      <w:r w:rsidRPr="008A6931">
        <w:rPr>
          <w:rFonts w:asciiTheme="majorBidi" w:hAnsiTheme="majorBidi" w:cstheme="majorBidi" w:hint="cs"/>
          <w:b/>
          <w:bCs/>
          <w:color w:val="A6A6A6" w:themeColor="background1" w:themeShade="A6"/>
          <w:sz w:val="28"/>
          <w:szCs w:val="28"/>
          <w:rtl/>
          <w:lang w:bidi="ar-MA"/>
        </w:rPr>
        <w:t>وتهم اتفاقية التعاون أيضا تطوير أدوات البحث، وتبادل الخبرات، وتقوية الكفاءات، ونشر الإنتاج العلمي للمندوبية السامية للتخطيط في الأوساط الأنجل</w:t>
      </w:r>
      <w:r>
        <w:rPr>
          <w:rFonts w:asciiTheme="majorBidi" w:hAnsiTheme="majorBidi" w:cstheme="majorBidi" w:hint="cs"/>
          <w:b/>
          <w:bCs/>
          <w:color w:val="A6A6A6" w:themeColor="background1" w:themeShade="A6"/>
          <w:sz w:val="28"/>
          <w:szCs w:val="28"/>
          <w:rtl/>
          <w:lang w:bidi="ar-MA"/>
        </w:rPr>
        <w:t>و</w:t>
      </w:r>
      <w:r w:rsidRPr="008A6931">
        <w:rPr>
          <w:rFonts w:asciiTheme="majorBidi" w:hAnsiTheme="majorBidi" w:cstheme="majorBidi" w:hint="cs"/>
          <w:b/>
          <w:bCs/>
          <w:color w:val="A6A6A6" w:themeColor="background1" w:themeShade="A6"/>
          <w:sz w:val="28"/>
          <w:szCs w:val="28"/>
          <w:rtl/>
          <w:lang w:bidi="ar-MA"/>
        </w:rPr>
        <w:t>سكسونية على الخصوص.</w:t>
      </w:r>
    </w:p>
    <w:p w:rsidR="008A6931" w:rsidRPr="008A6931" w:rsidRDefault="008B0F28" w:rsidP="002576A8">
      <w:pPr>
        <w:bidi/>
        <w:spacing w:before="240" w:after="240" w:line="264" w:lineRule="auto"/>
        <w:ind w:left="357"/>
        <w:jc w:val="both"/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bCs/>
          <w:color w:val="A6A6A6" w:themeColor="background1" w:themeShade="A6"/>
          <w:sz w:val="28"/>
          <w:szCs w:val="28"/>
          <w:rtl/>
          <w:lang w:bidi="ar-MA"/>
        </w:rPr>
        <w:t>ولقد سبق</w:t>
      </w:r>
      <w:r w:rsidR="008A6931" w:rsidRPr="008A6931"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b/>
          <w:bCs/>
          <w:color w:val="A6A6A6" w:themeColor="background1" w:themeShade="A6"/>
          <w:sz w:val="28"/>
          <w:szCs w:val="28"/>
          <w:rtl/>
          <w:lang w:bidi="ar-MA"/>
        </w:rPr>
        <w:t>ل</w:t>
      </w:r>
      <w:r w:rsidR="008A6931" w:rsidRPr="008A6931"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  <w:rtl/>
          <w:lang w:bidi="ar-MA"/>
        </w:rPr>
        <w:t>خبراء المندوبية السامية للتخطيط والبنك الدولي</w:t>
      </w:r>
      <w:r>
        <w:rPr>
          <w:rFonts w:asciiTheme="majorBidi" w:hAnsiTheme="majorBidi" w:cstheme="majorBidi" w:hint="cs"/>
          <w:b/>
          <w:bCs/>
          <w:color w:val="A6A6A6" w:themeColor="background1" w:themeShade="A6"/>
          <w:sz w:val="28"/>
          <w:szCs w:val="28"/>
          <w:rtl/>
          <w:lang w:bidi="ar-MA"/>
        </w:rPr>
        <w:t xml:space="preserve"> أن عقدوا ل</w:t>
      </w:r>
      <w:r w:rsidR="00322560">
        <w:rPr>
          <w:rFonts w:asciiTheme="majorBidi" w:hAnsiTheme="majorBidi" w:cstheme="majorBidi" w:hint="cs"/>
          <w:b/>
          <w:bCs/>
          <w:color w:val="A6A6A6" w:themeColor="background1" w:themeShade="A6"/>
          <w:sz w:val="28"/>
          <w:szCs w:val="28"/>
          <w:rtl/>
          <w:lang w:bidi="ar-MA"/>
        </w:rPr>
        <w:t>ه</w:t>
      </w:r>
      <w:r>
        <w:rPr>
          <w:rFonts w:asciiTheme="majorBidi" w:hAnsiTheme="majorBidi" w:cstheme="majorBidi" w:hint="cs"/>
          <w:b/>
          <w:bCs/>
          <w:color w:val="A6A6A6" w:themeColor="background1" w:themeShade="A6"/>
          <w:sz w:val="28"/>
          <w:szCs w:val="28"/>
          <w:rtl/>
          <w:lang w:bidi="ar-MA"/>
        </w:rPr>
        <w:t>ذا الغرض</w:t>
      </w:r>
      <w:r w:rsidR="00322560">
        <w:rPr>
          <w:rFonts w:asciiTheme="majorBidi" w:hAnsiTheme="majorBidi" w:cstheme="majorBidi" w:hint="cs"/>
          <w:b/>
          <w:bCs/>
          <w:color w:val="A6A6A6" w:themeColor="background1" w:themeShade="A6"/>
          <w:sz w:val="28"/>
          <w:szCs w:val="28"/>
          <w:rtl/>
          <w:lang w:bidi="ar-MA"/>
        </w:rPr>
        <w:t xml:space="preserve">، </w:t>
      </w:r>
      <w:r w:rsidR="00322560" w:rsidRPr="008A6931"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  <w:rtl/>
          <w:lang w:bidi="ar-MA"/>
        </w:rPr>
        <w:t>في الفترة الممتدة من 14 إلى 18 دجنبر 2015،</w:t>
      </w:r>
      <w:r w:rsidR="00322560">
        <w:rPr>
          <w:rFonts w:asciiTheme="majorBidi" w:hAnsiTheme="majorBidi" w:cstheme="majorBidi" w:hint="cs"/>
          <w:b/>
          <w:bCs/>
          <w:color w:val="A6A6A6" w:themeColor="background1" w:themeShade="A6"/>
          <w:sz w:val="28"/>
          <w:szCs w:val="28"/>
          <w:rtl/>
          <w:lang w:bidi="ar-MA"/>
        </w:rPr>
        <w:t xml:space="preserve"> </w:t>
      </w:r>
      <w:r w:rsidR="008A6931" w:rsidRPr="008A6931"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  <w:rtl/>
          <w:lang w:bidi="ar-MA"/>
        </w:rPr>
        <w:t>اجتماعات</w:t>
      </w:r>
      <w:r w:rsidR="00322560">
        <w:rPr>
          <w:rFonts w:asciiTheme="majorBidi" w:hAnsiTheme="majorBidi" w:cstheme="majorBidi" w:hint="cs"/>
          <w:b/>
          <w:bCs/>
          <w:color w:val="A6A6A6" w:themeColor="background1" w:themeShade="A6"/>
          <w:sz w:val="28"/>
          <w:szCs w:val="28"/>
          <w:rtl/>
          <w:lang w:bidi="ar-MA"/>
        </w:rPr>
        <w:t xml:space="preserve"> مكثفة</w:t>
      </w:r>
      <w:r w:rsidR="008A6931" w:rsidRPr="008A6931">
        <w:rPr>
          <w:rFonts w:asciiTheme="majorBidi" w:hAnsiTheme="majorBidi" w:cstheme="majorBidi"/>
          <w:b/>
          <w:bCs/>
          <w:color w:val="A6A6A6" w:themeColor="background1" w:themeShade="A6"/>
          <w:sz w:val="28"/>
          <w:szCs w:val="28"/>
          <w:rtl/>
          <w:lang w:bidi="ar-MA"/>
        </w:rPr>
        <w:t xml:space="preserve"> حددوا خلالها ميادين التعاون </w:t>
      </w:r>
      <w:r w:rsidR="00405363">
        <w:rPr>
          <w:rFonts w:asciiTheme="majorBidi" w:hAnsiTheme="majorBidi" w:cstheme="majorBidi" w:hint="cs"/>
          <w:b/>
          <w:bCs/>
          <w:color w:val="A6A6A6" w:themeColor="background1" w:themeShade="A6"/>
          <w:sz w:val="28"/>
          <w:szCs w:val="28"/>
          <w:rtl/>
          <w:lang w:bidi="ar-MA"/>
        </w:rPr>
        <w:t>المتفق عليها</w:t>
      </w:r>
      <w:r w:rsidR="00405363" w:rsidRPr="008A6931">
        <w:rPr>
          <w:rFonts w:asciiTheme="majorBidi" w:hAnsiTheme="majorBidi" w:cstheme="majorBidi" w:hint="cs"/>
          <w:b/>
          <w:bCs/>
          <w:color w:val="A6A6A6" w:themeColor="background1" w:themeShade="A6"/>
          <w:sz w:val="28"/>
          <w:szCs w:val="28"/>
          <w:rtl/>
          <w:lang w:bidi="ar-MA"/>
        </w:rPr>
        <w:t>.</w:t>
      </w:r>
      <w:r w:rsidR="00405363">
        <w:rPr>
          <w:rFonts w:asciiTheme="majorBidi" w:hAnsiTheme="majorBidi" w:cstheme="majorBidi" w:hint="cs"/>
          <w:b/>
          <w:bCs/>
          <w:color w:val="A6A6A6" w:themeColor="background1" w:themeShade="A6"/>
          <w:sz w:val="28"/>
          <w:szCs w:val="28"/>
          <w:rtl/>
          <w:lang w:bidi="ar-MA"/>
        </w:rPr>
        <w:t xml:space="preserve"> </w:t>
      </w:r>
      <w:r w:rsidR="000C4AEC">
        <w:rPr>
          <w:rFonts w:asciiTheme="majorBidi" w:hAnsiTheme="majorBidi" w:cstheme="majorBidi" w:hint="cs"/>
          <w:b/>
          <w:bCs/>
          <w:color w:val="A6A6A6" w:themeColor="background1" w:themeShade="A6"/>
          <w:sz w:val="28"/>
          <w:szCs w:val="28"/>
          <w:rtl/>
          <w:lang w:bidi="ar-MA"/>
        </w:rPr>
        <w:t xml:space="preserve">  </w:t>
      </w:r>
    </w:p>
    <w:p w:rsidR="008A6931" w:rsidRPr="008A6931" w:rsidRDefault="008A6931" w:rsidP="005A5570">
      <w:pPr>
        <w:bidi/>
        <w:spacing w:before="240" w:after="240" w:line="264" w:lineRule="auto"/>
        <w:ind w:left="357"/>
        <w:jc w:val="both"/>
        <w:rPr>
          <w:rFonts w:asciiTheme="majorBidi" w:hAnsiTheme="majorBidi" w:cstheme="majorBidi"/>
          <w:color w:val="A6A6A6" w:themeColor="background1" w:themeShade="A6"/>
          <w:sz w:val="32"/>
          <w:szCs w:val="32"/>
          <w:rtl/>
          <w:lang w:bidi="ar-MA"/>
        </w:rPr>
      </w:pPr>
    </w:p>
    <w:p w:rsidR="008A6931" w:rsidRDefault="008A6931" w:rsidP="00EC6E8A">
      <w:pPr>
        <w:ind w:left="-540" w:right="-8"/>
        <w:rPr>
          <w:rFonts w:asciiTheme="minorHAnsi" w:hAnsiTheme="minorHAnsi"/>
          <w:sz w:val="26"/>
          <w:szCs w:val="26"/>
          <w:lang w:bidi="ar-MA"/>
        </w:rPr>
      </w:pPr>
    </w:p>
    <w:p w:rsidR="008A6931" w:rsidRPr="003F142A" w:rsidRDefault="008A6931" w:rsidP="00EC6E8A">
      <w:pPr>
        <w:ind w:left="-540" w:right="-8"/>
        <w:rPr>
          <w:rFonts w:asciiTheme="minorHAnsi" w:hAnsiTheme="minorHAnsi"/>
          <w:sz w:val="26"/>
          <w:szCs w:val="26"/>
        </w:rPr>
      </w:pPr>
    </w:p>
    <w:sectPr w:rsidR="008A6931" w:rsidRPr="003F142A" w:rsidSect="00EC6E8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980" w:rsidRDefault="00120980">
      <w:r>
        <w:separator/>
      </w:r>
    </w:p>
  </w:endnote>
  <w:endnote w:type="continuationSeparator" w:id="1">
    <w:p w:rsidR="00120980" w:rsidRDefault="00120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C53DC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CC53DC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8A693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8A6931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C53DC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980" w:rsidRDefault="00120980">
      <w:r>
        <w:separator/>
      </w:r>
    </w:p>
  </w:footnote>
  <w:footnote w:type="continuationSeparator" w:id="1">
    <w:p w:rsidR="00120980" w:rsidRDefault="00120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537F3"/>
    <w:multiLevelType w:val="hybridMultilevel"/>
    <w:tmpl w:val="61D8229C"/>
    <w:lvl w:ilvl="0" w:tplc="A0CE9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031C2C"/>
    <w:multiLevelType w:val="hybridMultilevel"/>
    <w:tmpl w:val="FD4012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54EE"/>
    <w:rsid w:val="00060321"/>
    <w:rsid w:val="00064386"/>
    <w:rsid w:val="0006553F"/>
    <w:rsid w:val="00065DCD"/>
    <w:rsid w:val="00070037"/>
    <w:rsid w:val="00073F06"/>
    <w:rsid w:val="00081BE5"/>
    <w:rsid w:val="00085E86"/>
    <w:rsid w:val="000A3BE9"/>
    <w:rsid w:val="000A4F68"/>
    <w:rsid w:val="000B2A3E"/>
    <w:rsid w:val="000B6EA6"/>
    <w:rsid w:val="000C4AEC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14C7E"/>
    <w:rsid w:val="00115D93"/>
    <w:rsid w:val="00116B4A"/>
    <w:rsid w:val="00120980"/>
    <w:rsid w:val="00120AF1"/>
    <w:rsid w:val="001217AF"/>
    <w:rsid w:val="0012265F"/>
    <w:rsid w:val="00130EEA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E05D5"/>
    <w:rsid w:val="001F1343"/>
    <w:rsid w:val="001F3482"/>
    <w:rsid w:val="001F4836"/>
    <w:rsid w:val="001F6AD9"/>
    <w:rsid w:val="002019A3"/>
    <w:rsid w:val="00205A6A"/>
    <w:rsid w:val="00206659"/>
    <w:rsid w:val="002139B6"/>
    <w:rsid w:val="00217938"/>
    <w:rsid w:val="00220DF6"/>
    <w:rsid w:val="0022299E"/>
    <w:rsid w:val="0022597E"/>
    <w:rsid w:val="0023043F"/>
    <w:rsid w:val="002316A6"/>
    <w:rsid w:val="00242C76"/>
    <w:rsid w:val="00242CBE"/>
    <w:rsid w:val="002443AA"/>
    <w:rsid w:val="0024586A"/>
    <w:rsid w:val="00256291"/>
    <w:rsid w:val="002576A8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A281B"/>
    <w:rsid w:val="002A5A7C"/>
    <w:rsid w:val="002A688F"/>
    <w:rsid w:val="002C02CC"/>
    <w:rsid w:val="002C09B2"/>
    <w:rsid w:val="002C6433"/>
    <w:rsid w:val="002D022C"/>
    <w:rsid w:val="002D3BD2"/>
    <w:rsid w:val="002D4302"/>
    <w:rsid w:val="002D49EF"/>
    <w:rsid w:val="002F237C"/>
    <w:rsid w:val="002F3B72"/>
    <w:rsid w:val="0030560D"/>
    <w:rsid w:val="0030605C"/>
    <w:rsid w:val="00306D12"/>
    <w:rsid w:val="003121A0"/>
    <w:rsid w:val="00314191"/>
    <w:rsid w:val="003151E9"/>
    <w:rsid w:val="00316A57"/>
    <w:rsid w:val="0031735D"/>
    <w:rsid w:val="00322560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71BE"/>
    <w:rsid w:val="00376048"/>
    <w:rsid w:val="00376C2C"/>
    <w:rsid w:val="00376C4A"/>
    <w:rsid w:val="0038388C"/>
    <w:rsid w:val="00385013"/>
    <w:rsid w:val="0039063A"/>
    <w:rsid w:val="00393B90"/>
    <w:rsid w:val="00393EF8"/>
    <w:rsid w:val="003A14B5"/>
    <w:rsid w:val="003A5CB2"/>
    <w:rsid w:val="003B2599"/>
    <w:rsid w:val="003B7C9A"/>
    <w:rsid w:val="003C104F"/>
    <w:rsid w:val="003C357A"/>
    <w:rsid w:val="003E5DDB"/>
    <w:rsid w:val="003F28EA"/>
    <w:rsid w:val="003F445E"/>
    <w:rsid w:val="00401D3E"/>
    <w:rsid w:val="00403A20"/>
    <w:rsid w:val="00405363"/>
    <w:rsid w:val="0041796D"/>
    <w:rsid w:val="004275D6"/>
    <w:rsid w:val="00446DB7"/>
    <w:rsid w:val="00447FBC"/>
    <w:rsid w:val="00455540"/>
    <w:rsid w:val="004744FF"/>
    <w:rsid w:val="00481E24"/>
    <w:rsid w:val="00484E8D"/>
    <w:rsid w:val="0049060D"/>
    <w:rsid w:val="004A1173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E76A3"/>
    <w:rsid w:val="004F553E"/>
    <w:rsid w:val="004F572F"/>
    <w:rsid w:val="004F57F8"/>
    <w:rsid w:val="004F70A7"/>
    <w:rsid w:val="005052E3"/>
    <w:rsid w:val="005126CC"/>
    <w:rsid w:val="005178FE"/>
    <w:rsid w:val="005252F5"/>
    <w:rsid w:val="0052635A"/>
    <w:rsid w:val="0053452C"/>
    <w:rsid w:val="00537897"/>
    <w:rsid w:val="00541C46"/>
    <w:rsid w:val="00542043"/>
    <w:rsid w:val="00542E3A"/>
    <w:rsid w:val="00547ECD"/>
    <w:rsid w:val="00550169"/>
    <w:rsid w:val="005549EE"/>
    <w:rsid w:val="00554EEB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A360C"/>
    <w:rsid w:val="005A5570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C56E5"/>
    <w:rsid w:val="006D22BC"/>
    <w:rsid w:val="006D4F49"/>
    <w:rsid w:val="006D7AEF"/>
    <w:rsid w:val="006D7FA4"/>
    <w:rsid w:val="006E2C7A"/>
    <w:rsid w:val="006E456F"/>
    <w:rsid w:val="006E5679"/>
    <w:rsid w:val="006E7909"/>
    <w:rsid w:val="00700E75"/>
    <w:rsid w:val="00707AC0"/>
    <w:rsid w:val="007206D4"/>
    <w:rsid w:val="007273F0"/>
    <w:rsid w:val="00730CFE"/>
    <w:rsid w:val="007320F2"/>
    <w:rsid w:val="00737D26"/>
    <w:rsid w:val="00737E9A"/>
    <w:rsid w:val="007418E0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6A71"/>
    <w:rsid w:val="00807DC4"/>
    <w:rsid w:val="00811CEF"/>
    <w:rsid w:val="008148E1"/>
    <w:rsid w:val="00816D2A"/>
    <w:rsid w:val="00817D3A"/>
    <w:rsid w:val="00827C82"/>
    <w:rsid w:val="0083601D"/>
    <w:rsid w:val="008360E3"/>
    <w:rsid w:val="008373A3"/>
    <w:rsid w:val="0084269C"/>
    <w:rsid w:val="00852402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A2CAA"/>
    <w:rsid w:val="008A4CF7"/>
    <w:rsid w:val="008A6931"/>
    <w:rsid w:val="008A6A9C"/>
    <w:rsid w:val="008B0F28"/>
    <w:rsid w:val="008B1E6D"/>
    <w:rsid w:val="008B32BE"/>
    <w:rsid w:val="008C2C3C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30BC1"/>
    <w:rsid w:val="00931126"/>
    <w:rsid w:val="00944B4F"/>
    <w:rsid w:val="0095153B"/>
    <w:rsid w:val="00953DB4"/>
    <w:rsid w:val="00961216"/>
    <w:rsid w:val="0096299E"/>
    <w:rsid w:val="00965163"/>
    <w:rsid w:val="009674B4"/>
    <w:rsid w:val="00970294"/>
    <w:rsid w:val="009732B1"/>
    <w:rsid w:val="009750B7"/>
    <w:rsid w:val="009801E4"/>
    <w:rsid w:val="00984C53"/>
    <w:rsid w:val="00990C6F"/>
    <w:rsid w:val="00996F92"/>
    <w:rsid w:val="009A205F"/>
    <w:rsid w:val="009A2769"/>
    <w:rsid w:val="009A3A8A"/>
    <w:rsid w:val="009B2B2B"/>
    <w:rsid w:val="009C0E61"/>
    <w:rsid w:val="009C4116"/>
    <w:rsid w:val="009D0EEB"/>
    <w:rsid w:val="009D1867"/>
    <w:rsid w:val="009D3F74"/>
    <w:rsid w:val="009D664A"/>
    <w:rsid w:val="009E1925"/>
    <w:rsid w:val="009E3005"/>
    <w:rsid w:val="009E4032"/>
    <w:rsid w:val="009E4BD5"/>
    <w:rsid w:val="009E767D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6796B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0D72"/>
    <w:rsid w:val="00AA3E6A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442C"/>
    <w:rsid w:val="00AF74CA"/>
    <w:rsid w:val="00AF778B"/>
    <w:rsid w:val="00B03879"/>
    <w:rsid w:val="00B065DA"/>
    <w:rsid w:val="00B10250"/>
    <w:rsid w:val="00B12082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5F9D"/>
    <w:rsid w:val="00BB27CA"/>
    <w:rsid w:val="00BB3BD2"/>
    <w:rsid w:val="00BB55C0"/>
    <w:rsid w:val="00BC2E39"/>
    <w:rsid w:val="00BC2EE7"/>
    <w:rsid w:val="00BC3EED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9B9"/>
    <w:rsid w:val="00C57DE2"/>
    <w:rsid w:val="00C77AA4"/>
    <w:rsid w:val="00C92504"/>
    <w:rsid w:val="00C92E38"/>
    <w:rsid w:val="00C94FAA"/>
    <w:rsid w:val="00CA2232"/>
    <w:rsid w:val="00CB055F"/>
    <w:rsid w:val="00CB05C8"/>
    <w:rsid w:val="00CB21EC"/>
    <w:rsid w:val="00CB3A44"/>
    <w:rsid w:val="00CC289A"/>
    <w:rsid w:val="00CC53DC"/>
    <w:rsid w:val="00CC5A17"/>
    <w:rsid w:val="00CC5F3B"/>
    <w:rsid w:val="00CD6E99"/>
    <w:rsid w:val="00CD7C5C"/>
    <w:rsid w:val="00CE08CE"/>
    <w:rsid w:val="00CE718A"/>
    <w:rsid w:val="00CE7BB5"/>
    <w:rsid w:val="00CF3217"/>
    <w:rsid w:val="00D01031"/>
    <w:rsid w:val="00D0414C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B27A9"/>
    <w:rsid w:val="00DB293A"/>
    <w:rsid w:val="00DB41D2"/>
    <w:rsid w:val="00DB4566"/>
    <w:rsid w:val="00DB5B3F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0794E"/>
    <w:rsid w:val="00E10773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352B"/>
    <w:rsid w:val="00E84D02"/>
    <w:rsid w:val="00E85B18"/>
    <w:rsid w:val="00E86900"/>
    <w:rsid w:val="00E869F2"/>
    <w:rsid w:val="00E947A6"/>
    <w:rsid w:val="00E9733C"/>
    <w:rsid w:val="00EA5644"/>
    <w:rsid w:val="00EB537F"/>
    <w:rsid w:val="00EB5AC5"/>
    <w:rsid w:val="00EB7741"/>
    <w:rsid w:val="00EC23C9"/>
    <w:rsid w:val="00EC6140"/>
    <w:rsid w:val="00EC6E8A"/>
    <w:rsid w:val="00EE0046"/>
    <w:rsid w:val="00EE2079"/>
    <w:rsid w:val="00EE549F"/>
    <w:rsid w:val="00EE5D39"/>
    <w:rsid w:val="00EF13CA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3D4C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E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EC6E8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2</cp:revision>
  <cp:lastPrinted>2016-04-07T10:35:00Z</cp:lastPrinted>
  <dcterms:created xsi:type="dcterms:W3CDTF">2016-04-19T11:38:00Z</dcterms:created>
  <dcterms:modified xsi:type="dcterms:W3CDTF">2016-04-19T11:38:00Z</dcterms:modified>
</cp:coreProperties>
</file>