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B5D" w:rsidRDefault="00CC4B5D" w:rsidP="00CC4B5D">
      <w:pPr>
        <w:pStyle w:val="Titre"/>
        <w:pBdr>
          <w:bottom w:val="none" w:sz="0" w:space="0" w:color="auto"/>
        </w:pBdr>
        <w:spacing w:after="0" w:line="360" w:lineRule="auto"/>
        <w:rPr>
          <w:rFonts w:ascii="Book Antiqua" w:eastAsia="Calibri" w:hAnsi="Book Antiqua" w:cs="Arial"/>
          <w:b/>
          <w:color w:val="000000"/>
          <w:spacing w:val="0"/>
          <w:kern w:val="0"/>
          <w:sz w:val="28"/>
          <w:szCs w:val="28"/>
        </w:rPr>
      </w:pPr>
    </w:p>
    <w:p w:rsidR="00CC4B5D" w:rsidRDefault="00CC4B5D" w:rsidP="00CC4B5D">
      <w:pPr>
        <w:pStyle w:val="Titre"/>
        <w:pBdr>
          <w:bottom w:val="none" w:sz="0" w:space="0" w:color="auto"/>
        </w:pBdr>
        <w:spacing w:after="0" w:line="360" w:lineRule="auto"/>
        <w:rPr>
          <w:rFonts w:ascii="Book Antiqua" w:eastAsia="Calibri" w:hAnsi="Book Antiqua" w:cs="Arial"/>
          <w:b/>
          <w:color w:val="000000"/>
          <w:spacing w:val="0"/>
          <w:kern w:val="0"/>
          <w:sz w:val="28"/>
          <w:szCs w:val="28"/>
        </w:rPr>
      </w:pPr>
    </w:p>
    <w:p w:rsidR="00CC4B5D" w:rsidRDefault="00CC4B5D" w:rsidP="00CC4B5D"/>
    <w:p w:rsidR="00CC4B5D" w:rsidRDefault="00CC4B5D" w:rsidP="00CC4B5D"/>
    <w:p w:rsidR="00CC4B5D" w:rsidRDefault="00CC4B5D" w:rsidP="003A1EDC"/>
    <w:p w:rsidR="00CC4B5D" w:rsidRDefault="00CC4B5D" w:rsidP="00CC4B5D"/>
    <w:p w:rsidR="00ED7C08" w:rsidRDefault="00ED7C08" w:rsidP="00CC4B5D"/>
    <w:p w:rsidR="00CC4B5D" w:rsidRPr="00B1388C" w:rsidRDefault="00CC4B5D" w:rsidP="00CC4B5D">
      <w:pPr>
        <w:pStyle w:val="Titre"/>
        <w:pBdr>
          <w:bottom w:val="none" w:sz="0" w:space="0" w:color="auto"/>
        </w:pBdr>
        <w:spacing w:after="0" w:line="360" w:lineRule="auto"/>
        <w:rPr>
          <w:rFonts w:ascii="Book Antiqua" w:eastAsia="Calibri" w:hAnsi="Book Antiqua" w:cs="Arial"/>
          <w:b/>
          <w:color w:val="000000"/>
          <w:spacing w:val="0"/>
          <w:kern w:val="0"/>
          <w:sz w:val="28"/>
          <w:szCs w:val="28"/>
        </w:rPr>
      </w:pPr>
      <w:r w:rsidRPr="00B1388C">
        <w:rPr>
          <w:rFonts w:ascii="Book Antiqua" w:eastAsia="Calibri" w:hAnsi="Book Antiqua" w:cs="Arial"/>
          <w:b/>
          <w:color w:val="000000"/>
          <w:spacing w:val="0"/>
          <w:kern w:val="0"/>
          <w:sz w:val="28"/>
          <w:szCs w:val="28"/>
        </w:rPr>
        <w:t> </w:t>
      </w:r>
    </w:p>
    <w:p w:rsidR="00CC4B5D" w:rsidRDefault="00CC4B5D" w:rsidP="003A1EDC">
      <w:pPr>
        <w:spacing w:after="0" w:line="480" w:lineRule="auto"/>
        <w:jc w:val="center"/>
        <w:rPr>
          <w:rFonts w:ascii="Arial Rounded MT Bold" w:hAnsi="Arial Rounded MT Bold"/>
          <w:bCs/>
          <w:color w:val="000000"/>
          <w:sz w:val="32"/>
          <w:szCs w:val="32"/>
        </w:rPr>
      </w:pPr>
      <w:r w:rsidRPr="00837B0A">
        <w:rPr>
          <w:rFonts w:ascii="Arial Rounded MT Bold" w:hAnsi="Arial Rounded MT Bold"/>
          <w:bCs/>
          <w:color w:val="000000"/>
          <w:sz w:val="32"/>
          <w:szCs w:val="32"/>
        </w:rPr>
        <w:t xml:space="preserve">Conférence de presse sur </w:t>
      </w:r>
      <w:r w:rsidR="00A93BF3">
        <w:rPr>
          <w:rFonts w:ascii="Arial Rounded MT Bold" w:hAnsi="Arial Rounded MT Bold"/>
          <w:bCs/>
          <w:color w:val="000000"/>
          <w:sz w:val="32"/>
          <w:szCs w:val="32"/>
        </w:rPr>
        <w:t xml:space="preserve">la </w:t>
      </w:r>
      <w:r w:rsidR="003A1EDC" w:rsidRPr="003A1EDC">
        <w:rPr>
          <w:rFonts w:ascii="Arial Rounded MT Bold" w:hAnsi="Arial Rounded MT Bold"/>
          <w:bCs/>
          <w:color w:val="000000"/>
          <w:sz w:val="32"/>
          <w:szCs w:val="32"/>
        </w:rPr>
        <w:t>situation économique</w:t>
      </w:r>
      <w:r w:rsidRPr="005959F8">
        <w:rPr>
          <w:rFonts w:ascii="Arial Rounded MT Bold" w:hAnsi="Arial Rounded MT Bold"/>
          <w:bCs/>
          <w:color w:val="000000"/>
          <w:sz w:val="32"/>
          <w:szCs w:val="32"/>
        </w:rPr>
        <w:t xml:space="preserve"> nationale en 201</w:t>
      </w:r>
      <w:r>
        <w:rPr>
          <w:rFonts w:ascii="Arial Rounded MT Bold" w:hAnsi="Arial Rounded MT Bold"/>
          <w:bCs/>
          <w:color w:val="000000"/>
          <w:sz w:val="32"/>
          <w:szCs w:val="32"/>
        </w:rPr>
        <w:t>6 et ses perspectives pour</w:t>
      </w:r>
      <w:r w:rsidRPr="00837B0A">
        <w:rPr>
          <w:rFonts w:ascii="Arial Rounded MT Bold" w:hAnsi="Arial Rounded MT Bold"/>
          <w:bCs/>
          <w:color w:val="000000"/>
          <w:sz w:val="32"/>
          <w:szCs w:val="32"/>
        </w:rPr>
        <w:t xml:space="preserve"> 201</w:t>
      </w:r>
      <w:r>
        <w:rPr>
          <w:rFonts w:ascii="Arial Rounded MT Bold" w:hAnsi="Arial Rounded MT Bold"/>
          <w:bCs/>
          <w:color w:val="000000"/>
          <w:sz w:val="32"/>
          <w:szCs w:val="32"/>
        </w:rPr>
        <w:t>7</w:t>
      </w:r>
    </w:p>
    <w:p w:rsidR="00CC4B5D" w:rsidRDefault="00CC4B5D" w:rsidP="00CC4B5D">
      <w:pPr>
        <w:spacing w:after="0" w:line="480" w:lineRule="auto"/>
        <w:jc w:val="center"/>
        <w:rPr>
          <w:rFonts w:ascii="Arial Rounded MT Bold" w:hAnsi="Arial Rounded MT Bold"/>
          <w:bCs/>
          <w:color w:val="000000"/>
          <w:sz w:val="32"/>
          <w:szCs w:val="32"/>
        </w:rPr>
      </w:pPr>
      <w:r>
        <w:rPr>
          <w:rFonts w:ascii="Arial Rounded MT Bold" w:hAnsi="Arial Rounded MT Bold"/>
          <w:bCs/>
          <w:color w:val="000000"/>
          <w:sz w:val="32"/>
          <w:szCs w:val="32"/>
        </w:rPr>
        <w:t>-------</w:t>
      </w:r>
    </w:p>
    <w:p w:rsidR="00CC4B5D" w:rsidRDefault="00CC4B5D" w:rsidP="00CC4B5D">
      <w:pPr>
        <w:spacing w:after="0" w:line="360" w:lineRule="auto"/>
        <w:jc w:val="center"/>
        <w:rPr>
          <w:b/>
          <w:color w:val="000000"/>
          <w:sz w:val="30"/>
          <w:szCs w:val="30"/>
        </w:rPr>
      </w:pPr>
    </w:p>
    <w:p w:rsidR="00CC4B5D" w:rsidRPr="005959F8" w:rsidRDefault="00CC4B5D" w:rsidP="00CC4B5D">
      <w:pPr>
        <w:spacing w:after="0" w:line="360" w:lineRule="auto"/>
        <w:jc w:val="center"/>
        <w:rPr>
          <w:b/>
          <w:color w:val="000000"/>
          <w:sz w:val="30"/>
          <w:szCs w:val="30"/>
        </w:rPr>
      </w:pPr>
      <w:r w:rsidRPr="005959F8">
        <w:rPr>
          <w:b/>
          <w:color w:val="000000"/>
          <w:sz w:val="30"/>
          <w:szCs w:val="30"/>
        </w:rPr>
        <w:t>Introduction de Monsieur Ahmed Lahlimi Alami,</w:t>
      </w:r>
    </w:p>
    <w:p w:rsidR="00CC4B5D" w:rsidRPr="005959F8" w:rsidRDefault="00CC4B5D" w:rsidP="00CC4B5D">
      <w:pPr>
        <w:spacing w:after="0" w:line="360" w:lineRule="auto"/>
        <w:jc w:val="center"/>
        <w:rPr>
          <w:b/>
          <w:color w:val="000000"/>
          <w:sz w:val="30"/>
          <w:szCs w:val="30"/>
        </w:rPr>
      </w:pPr>
      <w:r w:rsidRPr="005959F8">
        <w:rPr>
          <w:b/>
          <w:color w:val="000000"/>
          <w:sz w:val="30"/>
          <w:szCs w:val="30"/>
        </w:rPr>
        <w:t xml:space="preserve"> Haut-Commissaire au Plan </w:t>
      </w:r>
    </w:p>
    <w:p w:rsidR="00CC4B5D" w:rsidRPr="005959F8" w:rsidRDefault="00CC4B5D" w:rsidP="00CC4B5D">
      <w:pPr>
        <w:spacing w:after="0" w:line="360" w:lineRule="auto"/>
        <w:jc w:val="center"/>
        <w:rPr>
          <w:rFonts w:ascii="Arial Rounded MT Bold" w:hAnsi="Arial Rounded MT Bold"/>
          <w:bCs/>
          <w:color w:val="000000"/>
          <w:sz w:val="30"/>
          <w:szCs w:val="30"/>
        </w:rPr>
      </w:pPr>
      <w:r w:rsidRPr="005959F8">
        <w:rPr>
          <w:b/>
          <w:color w:val="000000"/>
          <w:sz w:val="30"/>
          <w:szCs w:val="30"/>
        </w:rPr>
        <w:t xml:space="preserve">à la présentation du Budget Economique </w:t>
      </w:r>
      <w:r>
        <w:rPr>
          <w:b/>
          <w:color w:val="000000"/>
          <w:sz w:val="30"/>
          <w:szCs w:val="30"/>
        </w:rPr>
        <w:t>Exploratoire</w:t>
      </w:r>
      <w:r w:rsidRPr="005959F8">
        <w:rPr>
          <w:b/>
          <w:color w:val="000000"/>
          <w:sz w:val="30"/>
          <w:szCs w:val="30"/>
        </w:rPr>
        <w:t xml:space="preserve"> 201</w:t>
      </w:r>
      <w:r>
        <w:rPr>
          <w:b/>
          <w:color w:val="000000"/>
          <w:sz w:val="30"/>
          <w:szCs w:val="30"/>
        </w:rPr>
        <w:t>7</w:t>
      </w:r>
    </w:p>
    <w:p w:rsidR="00CC4B5D" w:rsidRDefault="00CC4B5D" w:rsidP="00CC4B5D">
      <w:pPr>
        <w:spacing w:after="0" w:line="360" w:lineRule="auto"/>
        <w:jc w:val="center"/>
        <w:rPr>
          <w:rFonts w:ascii="Book Antiqua" w:hAnsi="Book Antiqua"/>
          <w:b/>
          <w:color w:val="000000"/>
          <w:sz w:val="28"/>
          <w:szCs w:val="28"/>
        </w:rPr>
      </w:pPr>
    </w:p>
    <w:p w:rsidR="00CC4B5D" w:rsidRDefault="00CC4B5D" w:rsidP="00CC4B5D">
      <w:pPr>
        <w:spacing w:after="0" w:line="360" w:lineRule="auto"/>
        <w:jc w:val="center"/>
        <w:rPr>
          <w:rFonts w:ascii="Book Antiqua" w:hAnsi="Book Antiqua"/>
          <w:b/>
          <w:color w:val="000000"/>
          <w:sz w:val="28"/>
          <w:szCs w:val="28"/>
        </w:rPr>
      </w:pPr>
    </w:p>
    <w:p w:rsidR="00CC4B5D" w:rsidRDefault="00CC4B5D" w:rsidP="00CC4B5D">
      <w:pPr>
        <w:spacing w:after="0" w:line="360" w:lineRule="auto"/>
        <w:jc w:val="center"/>
        <w:rPr>
          <w:rFonts w:ascii="Book Antiqua" w:hAnsi="Book Antiqua"/>
          <w:b/>
          <w:color w:val="000000"/>
          <w:sz w:val="28"/>
          <w:szCs w:val="28"/>
        </w:rPr>
      </w:pPr>
    </w:p>
    <w:p w:rsidR="00CC4B5D" w:rsidRDefault="00CC4B5D" w:rsidP="00CC4B5D">
      <w:pPr>
        <w:spacing w:after="0" w:line="360" w:lineRule="auto"/>
        <w:jc w:val="center"/>
        <w:rPr>
          <w:rFonts w:ascii="Book Antiqua" w:hAnsi="Book Antiqua"/>
          <w:b/>
          <w:color w:val="000000"/>
          <w:sz w:val="28"/>
          <w:szCs w:val="28"/>
        </w:rPr>
      </w:pPr>
    </w:p>
    <w:p w:rsidR="00CC4B5D" w:rsidRDefault="00CC4B5D" w:rsidP="00CC4B5D">
      <w:pPr>
        <w:spacing w:after="0" w:line="360" w:lineRule="auto"/>
        <w:jc w:val="center"/>
        <w:rPr>
          <w:rFonts w:ascii="Book Antiqua" w:hAnsi="Book Antiqua"/>
          <w:b/>
          <w:color w:val="000000"/>
          <w:sz w:val="28"/>
          <w:szCs w:val="28"/>
        </w:rPr>
      </w:pPr>
    </w:p>
    <w:p w:rsidR="00CC4B5D" w:rsidRDefault="00CC4B5D" w:rsidP="00CC4B5D">
      <w:pPr>
        <w:spacing w:after="0" w:line="360" w:lineRule="auto"/>
        <w:jc w:val="center"/>
        <w:rPr>
          <w:rFonts w:ascii="Book Antiqua" w:hAnsi="Book Antiqua"/>
          <w:b/>
          <w:color w:val="000000"/>
          <w:sz w:val="28"/>
          <w:szCs w:val="28"/>
        </w:rPr>
      </w:pPr>
    </w:p>
    <w:p w:rsidR="00CC4B5D" w:rsidRDefault="00CC4B5D" w:rsidP="00CC4B5D">
      <w:pPr>
        <w:spacing w:after="0" w:line="360" w:lineRule="auto"/>
        <w:jc w:val="center"/>
        <w:rPr>
          <w:rFonts w:ascii="Book Antiqua" w:hAnsi="Book Antiqua"/>
          <w:b/>
          <w:color w:val="000000"/>
          <w:sz w:val="28"/>
          <w:szCs w:val="28"/>
        </w:rPr>
      </w:pPr>
    </w:p>
    <w:p w:rsidR="00CC4B5D" w:rsidRDefault="00CC4B5D" w:rsidP="00CC4B5D">
      <w:pPr>
        <w:spacing w:after="0" w:line="360" w:lineRule="auto"/>
        <w:jc w:val="center"/>
        <w:rPr>
          <w:rFonts w:ascii="Book Antiqua" w:hAnsi="Book Antiqua"/>
          <w:b/>
          <w:color w:val="000000"/>
          <w:sz w:val="28"/>
          <w:szCs w:val="28"/>
        </w:rPr>
      </w:pPr>
    </w:p>
    <w:p w:rsidR="00CC4B5D" w:rsidRDefault="00CC4B5D" w:rsidP="00CC4B5D">
      <w:pPr>
        <w:spacing w:after="0" w:line="360" w:lineRule="auto"/>
        <w:jc w:val="center"/>
        <w:rPr>
          <w:rFonts w:ascii="Book Antiqua" w:hAnsi="Book Antiqua"/>
          <w:b/>
          <w:color w:val="000000"/>
          <w:sz w:val="28"/>
          <w:szCs w:val="28"/>
        </w:rPr>
      </w:pPr>
    </w:p>
    <w:p w:rsidR="00CC4B5D" w:rsidRPr="003C629C" w:rsidRDefault="00CC4B5D" w:rsidP="00CC4B5D">
      <w:pPr>
        <w:spacing w:after="0" w:line="360" w:lineRule="auto"/>
        <w:jc w:val="center"/>
        <w:rPr>
          <w:rFonts w:ascii="Book Antiqua" w:hAnsi="Book Antiqua"/>
          <w:b/>
          <w:bCs/>
          <w:sz w:val="24"/>
          <w:szCs w:val="24"/>
        </w:rPr>
      </w:pPr>
      <w:r w:rsidRPr="003C629C">
        <w:rPr>
          <w:rFonts w:ascii="Book Antiqua" w:hAnsi="Book Antiqua"/>
          <w:b/>
          <w:bCs/>
          <w:color w:val="000000"/>
          <w:sz w:val="24"/>
          <w:szCs w:val="24"/>
        </w:rPr>
        <w:t xml:space="preserve">- Casablanca, le </w:t>
      </w:r>
      <w:r>
        <w:rPr>
          <w:rFonts w:ascii="Book Antiqua" w:hAnsi="Book Antiqua"/>
          <w:b/>
          <w:bCs/>
          <w:color w:val="000000"/>
          <w:sz w:val="24"/>
          <w:szCs w:val="24"/>
        </w:rPr>
        <w:t>12 juillet</w:t>
      </w:r>
      <w:r w:rsidRPr="003C629C">
        <w:rPr>
          <w:rFonts w:ascii="Book Antiqua" w:hAnsi="Book Antiqua"/>
          <w:b/>
          <w:bCs/>
          <w:color w:val="000000"/>
          <w:sz w:val="24"/>
          <w:szCs w:val="24"/>
        </w:rPr>
        <w:t xml:space="preserve"> 2016 -</w:t>
      </w:r>
    </w:p>
    <w:p w:rsidR="00CC4B5D" w:rsidRPr="00352374" w:rsidRDefault="00CC4B5D" w:rsidP="00CC4B5D">
      <w:pPr>
        <w:spacing w:after="0" w:line="360" w:lineRule="auto"/>
        <w:rPr>
          <w:rFonts w:ascii="Book Antiqua" w:hAnsi="Book Antiqua"/>
          <w:sz w:val="24"/>
          <w:szCs w:val="24"/>
        </w:rPr>
      </w:pPr>
    </w:p>
    <w:p w:rsidR="005C3229" w:rsidRPr="002639DC" w:rsidRDefault="00CC4B5D" w:rsidP="005C3229">
      <w:pPr>
        <w:spacing w:after="0" w:line="360" w:lineRule="auto"/>
        <w:jc w:val="center"/>
        <w:rPr>
          <w:rFonts w:ascii="Arial Rounded MT Bold" w:hAnsi="Arial Rounded MT Bold"/>
          <w:sz w:val="26"/>
          <w:szCs w:val="26"/>
        </w:rPr>
      </w:pPr>
      <w:r>
        <w:rPr>
          <w:rFonts w:ascii="Book Antiqua" w:hAnsi="Book Antiqua"/>
          <w:sz w:val="26"/>
          <w:szCs w:val="26"/>
        </w:rPr>
        <w:br w:type="page"/>
      </w:r>
      <w:r w:rsidR="005C3229" w:rsidRPr="002639DC">
        <w:rPr>
          <w:rFonts w:ascii="Arial Rounded MT Bold" w:hAnsi="Arial Rounded MT Bold"/>
          <w:sz w:val="26"/>
          <w:szCs w:val="26"/>
        </w:rPr>
        <w:lastRenderedPageBreak/>
        <w:t>La situation économique nationale en 2016</w:t>
      </w:r>
    </w:p>
    <w:p w:rsidR="005C3229" w:rsidRPr="005C3229" w:rsidRDefault="005C3229" w:rsidP="005C3229">
      <w:pPr>
        <w:spacing w:after="0" w:line="360" w:lineRule="auto"/>
        <w:jc w:val="center"/>
        <w:rPr>
          <w:rFonts w:ascii="Arial Rounded MT Bold" w:hAnsi="Arial Rounded MT Bold"/>
          <w:sz w:val="28"/>
          <w:szCs w:val="28"/>
        </w:rPr>
      </w:pPr>
      <w:r w:rsidRPr="002639DC">
        <w:rPr>
          <w:rFonts w:ascii="Arial Rounded MT Bold" w:hAnsi="Arial Rounded MT Bold"/>
          <w:sz w:val="26"/>
          <w:szCs w:val="26"/>
        </w:rPr>
        <w:t>et ses perspectives pour 2017</w:t>
      </w:r>
    </w:p>
    <w:p w:rsidR="005C3229" w:rsidRDefault="005C3229" w:rsidP="005E1E46">
      <w:pPr>
        <w:spacing w:line="360" w:lineRule="auto"/>
        <w:ind w:firstLine="709"/>
        <w:jc w:val="both"/>
        <w:rPr>
          <w:rFonts w:ascii="Book Antiqua" w:hAnsi="Book Antiqua"/>
          <w:sz w:val="26"/>
          <w:szCs w:val="26"/>
        </w:rPr>
      </w:pPr>
    </w:p>
    <w:p w:rsidR="005E1E46" w:rsidRPr="00C920F6" w:rsidRDefault="005E1E46" w:rsidP="002639DC">
      <w:pPr>
        <w:spacing w:line="360" w:lineRule="auto"/>
        <w:jc w:val="both"/>
        <w:rPr>
          <w:rFonts w:ascii="Arial Rounded MT Bold" w:hAnsi="Arial Rounded MT Bold"/>
          <w:sz w:val="24"/>
          <w:szCs w:val="24"/>
          <w:u w:val="single"/>
        </w:rPr>
      </w:pPr>
      <w:r w:rsidRPr="00C920F6">
        <w:rPr>
          <w:rFonts w:ascii="Arial Rounded MT Bold" w:hAnsi="Arial Rounded MT Bold"/>
          <w:sz w:val="24"/>
          <w:szCs w:val="24"/>
          <w:u w:val="single"/>
        </w:rPr>
        <w:t>Le contexte international</w:t>
      </w:r>
    </w:p>
    <w:p w:rsidR="006D5D66" w:rsidRPr="00C920F6" w:rsidRDefault="004F5DCC" w:rsidP="00EF58FB">
      <w:pPr>
        <w:spacing w:line="360" w:lineRule="auto"/>
        <w:ind w:firstLine="709"/>
        <w:jc w:val="both"/>
        <w:rPr>
          <w:rFonts w:ascii="Book Antiqua" w:hAnsi="Book Antiqua"/>
          <w:sz w:val="24"/>
          <w:szCs w:val="24"/>
        </w:rPr>
      </w:pPr>
      <w:r w:rsidRPr="00C920F6">
        <w:rPr>
          <w:rFonts w:ascii="Book Antiqua" w:hAnsi="Book Antiqua"/>
          <w:sz w:val="24"/>
          <w:szCs w:val="24"/>
        </w:rPr>
        <w:t xml:space="preserve">Les années </w:t>
      </w:r>
      <w:r w:rsidR="00CD6459" w:rsidRPr="00C920F6">
        <w:rPr>
          <w:rFonts w:ascii="Book Antiqua" w:hAnsi="Book Antiqua"/>
          <w:sz w:val="24"/>
          <w:szCs w:val="24"/>
        </w:rPr>
        <w:t>2016 et 2017 devrai</w:t>
      </w:r>
      <w:r w:rsidRPr="00C920F6">
        <w:rPr>
          <w:rFonts w:ascii="Book Antiqua" w:hAnsi="Book Antiqua"/>
          <w:sz w:val="24"/>
          <w:szCs w:val="24"/>
        </w:rPr>
        <w:t>en</w:t>
      </w:r>
      <w:r w:rsidR="00CD6459" w:rsidRPr="00C920F6">
        <w:rPr>
          <w:rFonts w:ascii="Book Antiqua" w:hAnsi="Book Antiqua"/>
          <w:sz w:val="24"/>
          <w:szCs w:val="24"/>
        </w:rPr>
        <w:t>t rester marqué</w:t>
      </w:r>
      <w:r w:rsidRPr="00C920F6">
        <w:rPr>
          <w:rFonts w:ascii="Book Antiqua" w:hAnsi="Book Antiqua"/>
          <w:sz w:val="24"/>
          <w:szCs w:val="24"/>
        </w:rPr>
        <w:t>es</w:t>
      </w:r>
      <w:r w:rsidR="00CD6459" w:rsidRPr="00C920F6">
        <w:rPr>
          <w:rFonts w:ascii="Book Antiqua" w:hAnsi="Book Antiqua"/>
          <w:sz w:val="24"/>
          <w:szCs w:val="24"/>
        </w:rPr>
        <w:t xml:space="preserve"> par </w:t>
      </w:r>
      <w:r w:rsidR="003C001C" w:rsidRPr="00C920F6">
        <w:rPr>
          <w:rFonts w:ascii="Book Antiqua" w:hAnsi="Book Antiqua"/>
          <w:sz w:val="24"/>
          <w:szCs w:val="24"/>
        </w:rPr>
        <w:t xml:space="preserve">l’incapacité des </w:t>
      </w:r>
      <w:r w:rsidRPr="00C920F6">
        <w:rPr>
          <w:rFonts w:ascii="Book Antiqua" w:hAnsi="Book Antiqua"/>
          <w:sz w:val="24"/>
          <w:szCs w:val="24"/>
        </w:rPr>
        <w:t>grandes puissances économiques à sortir l’économie mondiale des suites de la grande crise financière de 2008</w:t>
      </w:r>
      <w:r w:rsidR="006D5D66" w:rsidRPr="00C920F6">
        <w:rPr>
          <w:rFonts w:ascii="Book Antiqua" w:hAnsi="Book Antiqua"/>
          <w:sz w:val="24"/>
          <w:szCs w:val="24"/>
        </w:rPr>
        <w:t>. A</w:t>
      </w:r>
      <w:r w:rsidRPr="00C920F6">
        <w:rPr>
          <w:rFonts w:ascii="Book Antiqua" w:hAnsi="Book Antiqua"/>
          <w:sz w:val="24"/>
          <w:szCs w:val="24"/>
        </w:rPr>
        <w:t xml:space="preserve">près </w:t>
      </w:r>
      <w:r w:rsidR="00B26592" w:rsidRPr="00C920F6">
        <w:rPr>
          <w:rFonts w:ascii="Book Antiqua" w:hAnsi="Book Antiqua"/>
          <w:sz w:val="24"/>
          <w:szCs w:val="24"/>
        </w:rPr>
        <w:t xml:space="preserve">le sauvetage du </w:t>
      </w:r>
      <w:r w:rsidR="006D5D66" w:rsidRPr="00C920F6">
        <w:rPr>
          <w:rFonts w:ascii="Book Antiqua" w:hAnsi="Book Antiqua"/>
          <w:sz w:val="24"/>
          <w:szCs w:val="24"/>
        </w:rPr>
        <w:t>s</w:t>
      </w:r>
      <w:r w:rsidR="00B26592" w:rsidRPr="00C920F6">
        <w:rPr>
          <w:rFonts w:ascii="Book Antiqua" w:hAnsi="Book Antiqua"/>
          <w:sz w:val="24"/>
          <w:szCs w:val="24"/>
        </w:rPr>
        <w:t>ystème</w:t>
      </w:r>
      <w:r w:rsidR="006D5D66" w:rsidRPr="00C920F6">
        <w:rPr>
          <w:rFonts w:ascii="Book Antiqua" w:hAnsi="Book Antiqua"/>
          <w:sz w:val="24"/>
          <w:szCs w:val="24"/>
        </w:rPr>
        <w:t xml:space="preserve"> ban</w:t>
      </w:r>
      <w:r w:rsidR="00B26592" w:rsidRPr="00C920F6">
        <w:rPr>
          <w:rFonts w:ascii="Book Antiqua" w:hAnsi="Book Antiqua"/>
          <w:sz w:val="24"/>
          <w:szCs w:val="24"/>
        </w:rPr>
        <w:t>caire</w:t>
      </w:r>
      <w:r w:rsidR="006D5D66" w:rsidRPr="00C920F6">
        <w:rPr>
          <w:rFonts w:ascii="Book Antiqua" w:hAnsi="Book Antiqua"/>
          <w:sz w:val="24"/>
          <w:szCs w:val="24"/>
        </w:rPr>
        <w:t xml:space="preserve"> du séisme qu</w:t>
      </w:r>
      <w:r w:rsidR="00B26592" w:rsidRPr="00C920F6">
        <w:rPr>
          <w:rFonts w:ascii="Book Antiqua" w:hAnsi="Book Antiqua"/>
          <w:sz w:val="24"/>
          <w:szCs w:val="24"/>
        </w:rPr>
        <w:t xml:space="preserve">e cette dernière </w:t>
      </w:r>
      <w:r w:rsidR="006D5D66" w:rsidRPr="00C920F6">
        <w:rPr>
          <w:rFonts w:ascii="Book Antiqua" w:hAnsi="Book Antiqua"/>
          <w:sz w:val="24"/>
          <w:szCs w:val="24"/>
        </w:rPr>
        <w:t xml:space="preserve">a provoqué et qui a failli </w:t>
      </w:r>
      <w:r w:rsidR="00B26592" w:rsidRPr="00C920F6">
        <w:rPr>
          <w:rFonts w:ascii="Book Antiqua" w:hAnsi="Book Antiqua"/>
          <w:sz w:val="24"/>
          <w:szCs w:val="24"/>
        </w:rPr>
        <w:t>l’e</w:t>
      </w:r>
      <w:r w:rsidR="006D5D66" w:rsidRPr="00C920F6">
        <w:rPr>
          <w:rFonts w:ascii="Book Antiqua" w:hAnsi="Book Antiqua"/>
          <w:sz w:val="24"/>
          <w:szCs w:val="24"/>
        </w:rPr>
        <w:t xml:space="preserve">mporter et </w:t>
      </w:r>
      <w:r w:rsidR="00B26592" w:rsidRPr="00C920F6">
        <w:rPr>
          <w:rFonts w:ascii="Book Antiqua" w:hAnsi="Book Antiqua"/>
          <w:sz w:val="24"/>
          <w:szCs w:val="24"/>
        </w:rPr>
        <w:t>après</w:t>
      </w:r>
      <w:r w:rsidR="006D5D66" w:rsidRPr="00C920F6">
        <w:rPr>
          <w:rFonts w:ascii="Book Antiqua" w:hAnsi="Book Antiqua"/>
          <w:sz w:val="24"/>
          <w:szCs w:val="24"/>
        </w:rPr>
        <w:t xml:space="preserve"> une politique </w:t>
      </w:r>
      <w:r w:rsidR="00EF58FB" w:rsidRPr="00C920F6">
        <w:rPr>
          <w:rFonts w:ascii="Book Antiqua" w:hAnsi="Book Antiqua"/>
          <w:sz w:val="24"/>
          <w:szCs w:val="24"/>
        </w:rPr>
        <w:t xml:space="preserve">active et </w:t>
      </w:r>
      <w:r w:rsidR="006D5D66" w:rsidRPr="00C920F6">
        <w:rPr>
          <w:rFonts w:ascii="Book Antiqua" w:hAnsi="Book Antiqua"/>
          <w:sz w:val="24"/>
          <w:szCs w:val="24"/>
        </w:rPr>
        <w:t xml:space="preserve">concertée </w:t>
      </w:r>
      <w:r w:rsidR="00EF58FB" w:rsidRPr="00C920F6">
        <w:rPr>
          <w:rFonts w:ascii="Book Antiqua" w:hAnsi="Book Antiqua"/>
          <w:sz w:val="24"/>
          <w:szCs w:val="24"/>
        </w:rPr>
        <w:t xml:space="preserve">à l’échelle internationale </w:t>
      </w:r>
      <w:r w:rsidR="006D5D66" w:rsidRPr="00C920F6">
        <w:rPr>
          <w:rFonts w:ascii="Book Antiqua" w:hAnsi="Book Antiqua"/>
          <w:sz w:val="24"/>
          <w:szCs w:val="24"/>
        </w:rPr>
        <w:t xml:space="preserve">pour en juguler les sources spéculatives, </w:t>
      </w:r>
      <w:r w:rsidR="00B26592" w:rsidRPr="00C920F6">
        <w:rPr>
          <w:rFonts w:ascii="Book Antiqua" w:hAnsi="Book Antiqua"/>
          <w:sz w:val="24"/>
          <w:szCs w:val="24"/>
        </w:rPr>
        <w:t xml:space="preserve">leurs gouvernements </w:t>
      </w:r>
      <w:r w:rsidR="006D5D66" w:rsidRPr="00C920F6">
        <w:rPr>
          <w:rFonts w:ascii="Book Antiqua" w:hAnsi="Book Antiqua"/>
          <w:sz w:val="24"/>
          <w:szCs w:val="24"/>
        </w:rPr>
        <w:t>n’</w:t>
      </w:r>
      <w:r w:rsidR="00B26592" w:rsidRPr="00C920F6">
        <w:rPr>
          <w:rFonts w:ascii="Book Antiqua" w:hAnsi="Book Antiqua"/>
          <w:sz w:val="24"/>
          <w:szCs w:val="24"/>
        </w:rPr>
        <w:t>ont</w:t>
      </w:r>
      <w:r w:rsidR="006D5D66" w:rsidRPr="00C920F6">
        <w:rPr>
          <w:rFonts w:ascii="Book Antiqua" w:hAnsi="Book Antiqua"/>
          <w:sz w:val="24"/>
          <w:szCs w:val="24"/>
        </w:rPr>
        <w:t xml:space="preserve"> pas su adopter les t</w:t>
      </w:r>
      <w:r w:rsidR="003C001C" w:rsidRPr="00C920F6">
        <w:rPr>
          <w:rFonts w:ascii="Book Antiqua" w:hAnsi="Book Antiqua"/>
          <w:sz w:val="24"/>
          <w:szCs w:val="24"/>
        </w:rPr>
        <w:t>hérapeutiques</w:t>
      </w:r>
      <w:r w:rsidR="00641ADE" w:rsidRPr="00C920F6">
        <w:rPr>
          <w:rFonts w:ascii="Book Antiqua" w:hAnsi="Book Antiqua"/>
          <w:sz w:val="24"/>
          <w:szCs w:val="24"/>
        </w:rPr>
        <w:t xml:space="preserve"> publiques</w:t>
      </w:r>
      <w:r w:rsidR="003C001C" w:rsidRPr="00C920F6">
        <w:rPr>
          <w:rFonts w:ascii="Book Antiqua" w:hAnsi="Book Antiqua"/>
          <w:sz w:val="24"/>
          <w:szCs w:val="24"/>
        </w:rPr>
        <w:t xml:space="preserve"> </w:t>
      </w:r>
      <w:r w:rsidR="006D5D66" w:rsidRPr="00C920F6">
        <w:rPr>
          <w:rFonts w:ascii="Book Antiqua" w:hAnsi="Book Antiqua"/>
          <w:sz w:val="24"/>
          <w:szCs w:val="24"/>
        </w:rPr>
        <w:t xml:space="preserve">susceptibles d’en résorber les </w:t>
      </w:r>
      <w:r w:rsidR="00641ADE" w:rsidRPr="00C920F6">
        <w:rPr>
          <w:rFonts w:ascii="Book Antiqua" w:hAnsi="Book Antiqua"/>
          <w:sz w:val="24"/>
          <w:szCs w:val="24"/>
        </w:rPr>
        <w:t xml:space="preserve">traumatismes </w:t>
      </w:r>
      <w:r w:rsidR="003C001C" w:rsidRPr="00C920F6">
        <w:rPr>
          <w:rFonts w:ascii="Book Antiqua" w:hAnsi="Book Antiqua"/>
          <w:sz w:val="24"/>
          <w:szCs w:val="24"/>
        </w:rPr>
        <w:t>persistants</w:t>
      </w:r>
      <w:r w:rsidR="00641ADE" w:rsidRPr="00C920F6">
        <w:rPr>
          <w:rFonts w:ascii="Book Antiqua" w:hAnsi="Book Antiqua"/>
          <w:sz w:val="24"/>
          <w:szCs w:val="24"/>
        </w:rPr>
        <w:t xml:space="preserve"> sur les structures et les comportements économiques. Les incitations monétaires les plus inédites à investir et à consommer et baliser les voies d’une croissance mondiale robuste et durable</w:t>
      </w:r>
      <w:r w:rsidR="006D5D66" w:rsidRPr="00C920F6">
        <w:rPr>
          <w:rFonts w:ascii="Book Antiqua" w:hAnsi="Book Antiqua"/>
          <w:sz w:val="24"/>
          <w:szCs w:val="24"/>
        </w:rPr>
        <w:t>,</w:t>
      </w:r>
      <w:r w:rsidR="00641ADE" w:rsidRPr="00C920F6">
        <w:rPr>
          <w:rFonts w:ascii="Book Antiqua" w:hAnsi="Book Antiqua"/>
          <w:sz w:val="24"/>
          <w:szCs w:val="24"/>
        </w:rPr>
        <w:t xml:space="preserve"> sont restées quasi-impuissantes à contrebalancer les politiques budgétaires obstinément restrictives. </w:t>
      </w:r>
      <w:r w:rsidR="00232D02" w:rsidRPr="00C920F6">
        <w:rPr>
          <w:rFonts w:ascii="Book Antiqua" w:hAnsi="Book Antiqua"/>
          <w:sz w:val="24"/>
          <w:szCs w:val="24"/>
        </w:rPr>
        <w:t xml:space="preserve"> </w:t>
      </w:r>
    </w:p>
    <w:p w:rsidR="004F6B0B" w:rsidRPr="00C920F6" w:rsidRDefault="00641ADE" w:rsidP="00641ADE">
      <w:pPr>
        <w:spacing w:line="360" w:lineRule="auto"/>
        <w:ind w:firstLine="709"/>
        <w:jc w:val="both"/>
        <w:rPr>
          <w:rFonts w:ascii="Book Antiqua" w:hAnsi="Book Antiqua"/>
          <w:sz w:val="24"/>
          <w:szCs w:val="24"/>
        </w:rPr>
      </w:pPr>
      <w:r w:rsidRPr="00C920F6">
        <w:rPr>
          <w:rFonts w:ascii="Book Antiqua" w:hAnsi="Book Antiqua"/>
          <w:sz w:val="24"/>
          <w:szCs w:val="24"/>
        </w:rPr>
        <w:t xml:space="preserve">Aussi est-ce </w:t>
      </w:r>
      <w:r w:rsidR="006D5D66" w:rsidRPr="00C920F6">
        <w:rPr>
          <w:rFonts w:ascii="Book Antiqua" w:hAnsi="Book Antiqua"/>
          <w:sz w:val="24"/>
          <w:szCs w:val="24"/>
        </w:rPr>
        <w:t>l</w:t>
      </w:r>
      <w:r w:rsidR="00232D02" w:rsidRPr="00C920F6">
        <w:rPr>
          <w:rFonts w:ascii="Book Antiqua" w:hAnsi="Book Antiqua"/>
          <w:sz w:val="24"/>
          <w:szCs w:val="24"/>
        </w:rPr>
        <w:t xml:space="preserve">’incertitude </w:t>
      </w:r>
      <w:r w:rsidR="006D5D66" w:rsidRPr="00C920F6">
        <w:rPr>
          <w:rFonts w:ascii="Book Antiqua" w:hAnsi="Book Antiqua"/>
          <w:sz w:val="24"/>
          <w:szCs w:val="24"/>
        </w:rPr>
        <w:t xml:space="preserve">qui </w:t>
      </w:r>
      <w:r w:rsidR="00232D02" w:rsidRPr="00C920F6">
        <w:rPr>
          <w:rFonts w:ascii="Book Antiqua" w:hAnsi="Book Antiqua"/>
          <w:sz w:val="24"/>
          <w:szCs w:val="24"/>
        </w:rPr>
        <w:t>devrait rester</w:t>
      </w:r>
      <w:r w:rsidR="00C3258F" w:rsidRPr="00C920F6">
        <w:rPr>
          <w:rFonts w:ascii="Book Antiqua" w:hAnsi="Book Antiqua"/>
          <w:sz w:val="24"/>
          <w:szCs w:val="24"/>
        </w:rPr>
        <w:t xml:space="preserve"> </w:t>
      </w:r>
      <w:r w:rsidR="00232D02" w:rsidRPr="00C920F6">
        <w:rPr>
          <w:rFonts w:ascii="Book Antiqua" w:hAnsi="Book Antiqua"/>
          <w:sz w:val="24"/>
          <w:szCs w:val="24"/>
        </w:rPr>
        <w:t xml:space="preserve">le maitre mot </w:t>
      </w:r>
      <w:r w:rsidR="00C3258F" w:rsidRPr="00C920F6">
        <w:rPr>
          <w:rFonts w:ascii="Book Antiqua" w:hAnsi="Book Antiqua"/>
          <w:sz w:val="24"/>
          <w:szCs w:val="24"/>
        </w:rPr>
        <w:t>d</w:t>
      </w:r>
      <w:r w:rsidR="00232D02" w:rsidRPr="00C920F6">
        <w:rPr>
          <w:rFonts w:ascii="Book Antiqua" w:hAnsi="Book Antiqua"/>
          <w:sz w:val="24"/>
          <w:szCs w:val="24"/>
        </w:rPr>
        <w:t>es prévisions</w:t>
      </w:r>
      <w:r w:rsidR="001B713E" w:rsidRPr="00C920F6">
        <w:rPr>
          <w:rFonts w:ascii="Book Antiqua" w:hAnsi="Book Antiqua"/>
          <w:sz w:val="24"/>
          <w:szCs w:val="24"/>
        </w:rPr>
        <w:t xml:space="preserve"> </w:t>
      </w:r>
      <w:r w:rsidR="00232D02" w:rsidRPr="00C920F6">
        <w:rPr>
          <w:rFonts w:ascii="Book Antiqua" w:hAnsi="Book Antiqua"/>
          <w:sz w:val="24"/>
          <w:szCs w:val="24"/>
        </w:rPr>
        <w:t>économiques</w:t>
      </w:r>
      <w:r w:rsidR="00C3258F" w:rsidRPr="00C920F6">
        <w:rPr>
          <w:rFonts w:ascii="Book Antiqua" w:hAnsi="Book Antiqua"/>
          <w:sz w:val="24"/>
          <w:szCs w:val="24"/>
        </w:rPr>
        <w:t xml:space="preserve"> pour ces deux années</w:t>
      </w:r>
      <w:r w:rsidR="00232D02" w:rsidRPr="00C920F6">
        <w:rPr>
          <w:rFonts w:ascii="Book Antiqua" w:hAnsi="Book Antiqua"/>
          <w:sz w:val="24"/>
          <w:szCs w:val="24"/>
        </w:rPr>
        <w:t>. Aux Etats-Unis</w:t>
      </w:r>
      <w:r w:rsidR="00FF1462" w:rsidRPr="00C920F6">
        <w:rPr>
          <w:rFonts w:ascii="Book Antiqua" w:hAnsi="Book Antiqua"/>
          <w:sz w:val="24"/>
          <w:szCs w:val="24"/>
        </w:rPr>
        <w:t>,</w:t>
      </w:r>
      <w:r w:rsidR="00232D02" w:rsidRPr="00C920F6">
        <w:rPr>
          <w:rFonts w:ascii="Book Antiqua" w:hAnsi="Book Antiqua"/>
          <w:sz w:val="24"/>
          <w:szCs w:val="24"/>
        </w:rPr>
        <w:t xml:space="preserve"> le redressement de la croissance reste soumis à </w:t>
      </w:r>
      <w:r w:rsidR="005071B6" w:rsidRPr="00C920F6">
        <w:rPr>
          <w:rFonts w:ascii="Book Antiqua" w:hAnsi="Book Antiqua"/>
          <w:sz w:val="24"/>
          <w:szCs w:val="24"/>
        </w:rPr>
        <w:t xml:space="preserve">l’incertitude </w:t>
      </w:r>
      <w:r w:rsidR="00C3258F" w:rsidRPr="00C920F6">
        <w:rPr>
          <w:rFonts w:ascii="Book Antiqua" w:hAnsi="Book Antiqua"/>
          <w:sz w:val="24"/>
          <w:szCs w:val="24"/>
        </w:rPr>
        <w:t>d</w:t>
      </w:r>
      <w:r w:rsidR="00232D02" w:rsidRPr="00C920F6">
        <w:rPr>
          <w:rFonts w:ascii="Book Antiqua" w:hAnsi="Book Antiqua"/>
          <w:sz w:val="24"/>
          <w:szCs w:val="24"/>
        </w:rPr>
        <w:t>es perspectives présidentielles</w:t>
      </w:r>
      <w:r w:rsidR="004F6B0B" w:rsidRPr="00C920F6">
        <w:rPr>
          <w:rFonts w:ascii="Book Antiqua" w:hAnsi="Book Antiqua"/>
          <w:sz w:val="24"/>
          <w:szCs w:val="24"/>
        </w:rPr>
        <w:t>,</w:t>
      </w:r>
      <w:r w:rsidR="00482D31" w:rsidRPr="00C920F6">
        <w:rPr>
          <w:rFonts w:ascii="Book Antiqua" w:hAnsi="Book Antiqua"/>
          <w:sz w:val="24"/>
          <w:szCs w:val="24"/>
        </w:rPr>
        <w:t xml:space="preserve"> l</w:t>
      </w:r>
      <w:r w:rsidR="00232D02" w:rsidRPr="00C920F6">
        <w:rPr>
          <w:rFonts w:ascii="Book Antiqua" w:hAnsi="Book Antiqua"/>
          <w:sz w:val="24"/>
          <w:szCs w:val="24"/>
        </w:rPr>
        <w:t>’amorce qu</w:t>
      </w:r>
      <w:r w:rsidR="00482D31" w:rsidRPr="00C920F6">
        <w:rPr>
          <w:rFonts w:ascii="Book Antiqua" w:hAnsi="Book Antiqua"/>
          <w:sz w:val="24"/>
          <w:szCs w:val="24"/>
        </w:rPr>
        <w:t xml:space="preserve">’elle connait </w:t>
      </w:r>
      <w:r w:rsidR="00232D02" w:rsidRPr="00C920F6">
        <w:rPr>
          <w:rFonts w:ascii="Book Antiqua" w:hAnsi="Book Antiqua"/>
          <w:sz w:val="24"/>
          <w:szCs w:val="24"/>
        </w:rPr>
        <w:t>en Europe à</w:t>
      </w:r>
      <w:r w:rsidR="004F6B0B" w:rsidRPr="00C920F6">
        <w:rPr>
          <w:rFonts w:ascii="Book Antiqua" w:hAnsi="Book Antiqua"/>
          <w:sz w:val="24"/>
          <w:szCs w:val="24"/>
        </w:rPr>
        <w:t xml:space="preserve"> celle d’une </w:t>
      </w:r>
      <w:r w:rsidR="004C02C5" w:rsidRPr="00C920F6">
        <w:rPr>
          <w:rFonts w:ascii="Book Antiqua" w:hAnsi="Book Antiqua"/>
          <w:sz w:val="24"/>
          <w:szCs w:val="24"/>
        </w:rPr>
        <w:t>quasi-concomitance</w:t>
      </w:r>
      <w:r w:rsidR="00232D02" w:rsidRPr="00C920F6">
        <w:rPr>
          <w:rFonts w:ascii="Book Antiqua" w:hAnsi="Book Antiqua"/>
          <w:sz w:val="24"/>
          <w:szCs w:val="24"/>
        </w:rPr>
        <w:t xml:space="preserve"> des échéances électorales d</w:t>
      </w:r>
      <w:r w:rsidR="004C02C5" w:rsidRPr="00C920F6">
        <w:rPr>
          <w:rFonts w:ascii="Book Antiqua" w:hAnsi="Book Antiqua"/>
          <w:sz w:val="24"/>
          <w:szCs w:val="24"/>
        </w:rPr>
        <w:t xml:space="preserve">ans </w:t>
      </w:r>
      <w:r w:rsidR="00232D02" w:rsidRPr="00C920F6">
        <w:rPr>
          <w:rFonts w:ascii="Book Antiqua" w:hAnsi="Book Antiqua"/>
          <w:sz w:val="24"/>
          <w:szCs w:val="24"/>
        </w:rPr>
        <w:t xml:space="preserve">plusieurs </w:t>
      </w:r>
      <w:r w:rsidR="004C02C5" w:rsidRPr="00C920F6">
        <w:rPr>
          <w:rFonts w:ascii="Book Antiqua" w:hAnsi="Book Antiqua"/>
          <w:sz w:val="24"/>
          <w:szCs w:val="24"/>
        </w:rPr>
        <w:t xml:space="preserve">pays </w:t>
      </w:r>
      <w:r w:rsidR="00232D02" w:rsidRPr="00C920F6">
        <w:rPr>
          <w:rFonts w:ascii="Book Antiqua" w:hAnsi="Book Antiqua"/>
          <w:sz w:val="24"/>
          <w:szCs w:val="24"/>
        </w:rPr>
        <w:t>membres</w:t>
      </w:r>
      <w:r w:rsidR="00FF1462" w:rsidRPr="00C920F6">
        <w:rPr>
          <w:rFonts w:ascii="Book Antiqua" w:hAnsi="Book Antiqua"/>
          <w:sz w:val="24"/>
          <w:szCs w:val="24"/>
        </w:rPr>
        <w:t xml:space="preserve">. </w:t>
      </w:r>
    </w:p>
    <w:p w:rsidR="00CD6459" w:rsidRPr="00C920F6" w:rsidRDefault="00FF1462" w:rsidP="00B9143C">
      <w:pPr>
        <w:spacing w:line="360" w:lineRule="auto"/>
        <w:ind w:firstLine="709"/>
        <w:jc w:val="both"/>
        <w:rPr>
          <w:rFonts w:ascii="Book Antiqua" w:hAnsi="Book Antiqua"/>
          <w:sz w:val="24"/>
          <w:szCs w:val="24"/>
        </w:rPr>
      </w:pPr>
      <w:r w:rsidRPr="00C920F6">
        <w:rPr>
          <w:rFonts w:ascii="Book Antiqua" w:hAnsi="Book Antiqua"/>
          <w:sz w:val="24"/>
          <w:szCs w:val="24"/>
        </w:rPr>
        <w:t>L</w:t>
      </w:r>
      <w:r w:rsidR="00232D02" w:rsidRPr="00C920F6">
        <w:rPr>
          <w:rFonts w:ascii="Book Antiqua" w:hAnsi="Book Antiqua"/>
          <w:sz w:val="24"/>
          <w:szCs w:val="24"/>
        </w:rPr>
        <w:t>a crise migratoire</w:t>
      </w:r>
      <w:r w:rsidRPr="00C920F6">
        <w:rPr>
          <w:rFonts w:ascii="Book Antiqua" w:hAnsi="Book Antiqua"/>
          <w:sz w:val="24"/>
          <w:szCs w:val="24"/>
        </w:rPr>
        <w:t>,</w:t>
      </w:r>
      <w:r w:rsidR="00232D02" w:rsidRPr="00C920F6">
        <w:rPr>
          <w:rFonts w:ascii="Book Antiqua" w:hAnsi="Book Antiqua"/>
          <w:sz w:val="24"/>
          <w:szCs w:val="24"/>
        </w:rPr>
        <w:t xml:space="preserve"> la montée des populismes et </w:t>
      </w:r>
      <w:r w:rsidRPr="00C920F6">
        <w:rPr>
          <w:rFonts w:ascii="Book Antiqua" w:hAnsi="Book Antiqua"/>
          <w:sz w:val="24"/>
          <w:szCs w:val="24"/>
        </w:rPr>
        <w:t>la</w:t>
      </w:r>
      <w:r w:rsidR="00232D02" w:rsidRPr="00C920F6">
        <w:rPr>
          <w:rFonts w:ascii="Book Antiqua" w:hAnsi="Book Antiqua"/>
          <w:sz w:val="24"/>
          <w:szCs w:val="24"/>
        </w:rPr>
        <w:t xml:space="preserve"> </w:t>
      </w:r>
      <w:r w:rsidRPr="00C920F6">
        <w:rPr>
          <w:rFonts w:ascii="Book Antiqua" w:hAnsi="Book Antiqua"/>
          <w:sz w:val="24"/>
          <w:szCs w:val="24"/>
        </w:rPr>
        <w:t xml:space="preserve">persistance des </w:t>
      </w:r>
      <w:r w:rsidR="00232D02" w:rsidRPr="00C920F6">
        <w:rPr>
          <w:rFonts w:ascii="Book Antiqua" w:hAnsi="Book Antiqua"/>
          <w:sz w:val="24"/>
          <w:szCs w:val="24"/>
        </w:rPr>
        <w:t xml:space="preserve">menaces </w:t>
      </w:r>
      <w:r w:rsidRPr="00C920F6">
        <w:rPr>
          <w:rFonts w:ascii="Book Antiqua" w:hAnsi="Book Antiqua"/>
          <w:sz w:val="24"/>
          <w:szCs w:val="24"/>
        </w:rPr>
        <w:t>sécuritaires accentuent</w:t>
      </w:r>
      <w:r w:rsidR="004F6B0B" w:rsidRPr="00C920F6">
        <w:rPr>
          <w:rFonts w:ascii="Book Antiqua" w:hAnsi="Book Antiqua"/>
          <w:sz w:val="24"/>
          <w:szCs w:val="24"/>
        </w:rPr>
        <w:t xml:space="preserve">, dans notre premier partenaire extérieur, </w:t>
      </w:r>
      <w:r w:rsidR="00EC429E" w:rsidRPr="00C920F6">
        <w:rPr>
          <w:rFonts w:ascii="Book Antiqua" w:hAnsi="Book Antiqua"/>
          <w:sz w:val="24"/>
          <w:szCs w:val="24"/>
        </w:rPr>
        <w:t xml:space="preserve">la défiance et l’attentisme des opérateurs économiques et obscurcissent les horizons d’une reprise </w:t>
      </w:r>
      <w:r w:rsidRPr="00C920F6">
        <w:rPr>
          <w:rFonts w:ascii="Book Antiqua" w:hAnsi="Book Antiqua"/>
          <w:sz w:val="24"/>
          <w:szCs w:val="24"/>
        </w:rPr>
        <w:t xml:space="preserve">durable de la croissance. Le Brexit accroit, par ailleurs, les tensions </w:t>
      </w:r>
      <w:r w:rsidR="00EC429E" w:rsidRPr="00C920F6">
        <w:rPr>
          <w:rFonts w:ascii="Book Antiqua" w:hAnsi="Book Antiqua"/>
          <w:sz w:val="24"/>
          <w:szCs w:val="24"/>
        </w:rPr>
        <w:t xml:space="preserve">et les risques de </w:t>
      </w:r>
      <w:r w:rsidR="00EF58FB" w:rsidRPr="00C920F6">
        <w:rPr>
          <w:rFonts w:ascii="Book Antiqua" w:hAnsi="Book Antiqua"/>
          <w:sz w:val="24"/>
          <w:szCs w:val="24"/>
        </w:rPr>
        <w:t>dissémination de son virus</w:t>
      </w:r>
      <w:r w:rsidR="00EC429E" w:rsidRPr="00C920F6">
        <w:rPr>
          <w:rFonts w:ascii="Book Antiqua" w:hAnsi="Book Antiqua"/>
          <w:sz w:val="24"/>
          <w:szCs w:val="24"/>
        </w:rPr>
        <w:t xml:space="preserve"> </w:t>
      </w:r>
      <w:r w:rsidRPr="00C920F6">
        <w:rPr>
          <w:rFonts w:ascii="Book Antiqua" w:hAnsi="Book Antiqua"/>
          <w:sz w:val="24"/>
          <w:szCs w:val="24"/>
        </w:rPr>
        <w:t xml:space="preserve">au sein de la </w:t>
      </w:r>
      <w:r w:rsidR="00697FE2" w:rsidRPr="00C920F6">
        <w:rPr>
          <w:rFonts w:ascii="Book Antiqua" w:hAnsi="Book Antiqua"/>
          <w:sz w:val="24"/>
          <w:szCs w:val="24"/>
        </w:rPr>
        <w:t>zone E</w:t>
      </w:r>
      <w:r w:rsidR="00BE39C8" w:rsidRPr="00C920F6">
        <w:rPr>
          <w:rFonts w:ascii="Book Antiqua" w:hAnsi="Book Antiqua"/>
          <w:sz w:val="24"/>
          <w:szCs w:val="24"/>
        </w:rPr>
        <w:t>uro</w:t>
      </w:r>
      <w:r w:rsidRPr="00C920F6">
        <w:rPr>
          <w:rFonts w:ascii="Book Antiqua" w:hAnsi="Book Antiqua"/>
          <w:sz w:val="24"/>
          <w:szCs w:val="24"/>
        </w:rPr>
        <w:t xml:space="preserve"> et </w:t>
      </w:r>
      <w:r w:rsidR="00D3300F" w:rsidRPr="00C920F6">
        <w:rPr>
          <w:rFonts w:ascii="Book Antiqua" w:hAnsi="Book Antiqua"/>
          <w:sz w:val="24"/>
          <w:szCs w:val="24"/>
        </w:rPr>
        <w:t xml:space="preserve">permet des doutes sur </w:t>
      </w:r>
      <w:r w:rsidRPr="00C920F6">
        <w:rPr>
          <w:rFonts w:ascii="Book Antiqua" w:hAnsi="Book Antiqua"/>
          <w:sz w:val="24"/>
          <w:szCs w:val="24"/>
        </w:rPr>
        <w:t xml:space="preserve">la croissance potentielle de </w:t>
      </w:r>
      <w:r w:rsidR="004F6B0B" w:rsidRPr="00C920F6">
        <w:rPr>
          <w:rFonts w:ascii="Book Antiqua" w:hAnsi="Book Antiqua"/>
          <w:sz w:val="24"/>
          <w:szCs w:val="24"/>
        </w:rPr>
        <w:t>tout le continent</w:t>
      </w:r>
      <w:r w:rsidRPr="00C920F6">
        <w:rPr>
          <w:rFonts w:ascii="Book Antiqua" w:hAnsi="Book Antiqua"/>
          <w:sz w:val="24"/>
          <w:szCs w:val="24"/>
        </w:rPr>
        <w:t xml:space="preserve">. A terme, il </w:t>
      </w:r>
      <w:r w:rsidR="00BE39C8" w:rsidRPr="00C920F6">
        <w:rPr>
          <w:rFonts w:ascii="Book Antiqua" w:hAnsi="Book Antiqua"/>
          <w:sz w:val="24"/>
          <w:szCs w:val="24"/>
        </w:rPr>
        <w:t xml:space="preserve">risque d’accentuer </w:t>
      </w:r>
      <w:r w:rsidR="008A70BD" w:rsidRPr="00C920F6">
        <w:rPr>
          <w:rFonts w:ascii="Book Antiqua" w:hAnsi="Book Antiqua"/>
          <w:sz w:val="24"/>
          <w:szCs w:val="24"/>
        </w:rPr>
        <w:t xml:space="preserve">les </w:t>
      </w:r>
      <w:r w:rsidR="00D3300F" w:rsidRPr="00C920F6">
        <w:rPr>
          <w:rFonts w:ascii="Book Antiqua" w:hAnsi="Book Antiqua"/>
          <w:sz w:val="24"/>
          <w:szCs w:val="24"/>
        </w:rPr>
        <w:t>contradictions</w:t>
      </w:r>
      <w:r w:rsidR="008A70BD" w:rsidRPr="00C920F6">
        <w:rPr>
          <w:rFonts w:ascii="Book Antiqua" w:hAnsi="Book Antiqua"/>
          <w:sz w:val="24"/>
          <w:szCs w:val="24"/>
        </w:rPr>
        <w:t xml:space="preserve"> </w:t>
      </w:r>
      <w:r w:rsidR="004F6B0B" w:rsidRPr="00C920F6">
        <w:rPr>
          <w:rFonts w:ascii="Book Antiqua" w:hAnsi="Book Antiqua"/>
          <w:sz w:val="24"/>
          <w:szCs w:val="24"/>
        </w:rPr>
        <w:t xml:space="preserve">qui opposent souvent ses </w:t>
      </w:r>
      <w:r w:rsidR="008A70BD" w:rsidRPr="00C920F6">
        <w:rPr>
          <w:rFonts w:ascii="Book Antiqua" w:hAnsi="Book Antiqua"/>
          <w:sz w:val="24"/>
          <w:szCs w:val="24"/>
        </w:rPr>
        <w:t>pays du Nord et du Sud</w:t>
      </w:r>
      <w:r w:rsidR="004F6B0B" w:rsidRPr="00C920F6">
        <w:rPr>
          <w:rFonts w:ascii="Book Antiqua" w:hAnsi="Book Antiqua"/>
          <w:sz w:val="24"/>
          <w:szCs w:val="24"/>
        </w:rPr>
        <w:t>,</w:t>
      </w:r>
      <w:r w:rsidR="00D3300F" w:rsidRPr="00C920F6">
        <w:rPr>
          <w:rFonts w:ascii="Book Antiqua" w:hAnsi="Book Antiqua"/>
          <w:sz w:val="24"/>
          <w:szCs w:val="24"/>
        </w:rPr>
        <w:t xml:space="preserve"> </w:t>
      </w:r>
      <w:r w:rsidR="00DD20F6" w:rsidRPr="00C920F6">
        <w:rPr>
          <w:rFonts w:ascii="Book Antiqua" w:hAnsi="Book Antiqua"/>
          <w:sz w:val="24"/>
          <w:szCs w:val="24"/>
        </w:rPr>
        <w:t xml:space="preserve">au détriment de l’Euro-Méditerranée et </w:t>
      </w:r>
      <w:r w:rsidR="00D3300F" w:rsidRPr="00C920F6">
        <w:rPr>
          <w:rFonts w:ascii="Book Antiqua" w:hAnsi="Book Antiqua"/>
          <w:sz w:val="24"/>
          <w:szCs w:val="24"/>
        </w:rPr>
        <w:t xml:space="preserve">au profit du </w:t>
      </w:r>
      <w:r w:rsidR="00DD20F6" w:rsidRPr="00C920F6">
        <w:rPr>
          <w:rFonts w:ascii="Book Antiqua" w:hAnsi="Book Antiqua"/>
          <w:sz w:val="24"/>
          <w:szCs w:val="24"/>
        </w:rPr>
        <w:t>processus</w:t>
      </w:r>
      <w:r w:rsidR="00D3300F" w:rsidRPr="00C920F6">
        <w:rPr>
          <w:rFonts w:ascii="Book Antiqua" w:hAnsi="Book Antiqua"/>
          <w:sz w:val="24"/>
          <w:szCs w:val="24"/>
        </w:rPr>
        <w:t xml:space="preserve">, </w:t>
      </w:r>
      <w:r w:rsidR="004F6B0B" w:rsidRPr="00C920F6">
        <w:rPr>
          <w:rFonts w:ascii="Book Antiqua" w:hAnsi="Book Antiqua"/>
          <w:sz w:val="24"/>
          <w:szCs w:val="24"/>
        </w:rPr>
        <w:t>longtemps avéré</w:t>
      </w:r>
      <w:r w:rsidR="00D3300F" w:rsidRPr="00C920F6">
        <w:rPr>
          <w:rFonts w:ascii="Book Antiqua" w:hAnsi="Book Antiqua"/>
          <w:sz w:val="24"/>
          <w:szCs w:val="24"/>
        </w:rPr>
        <w:t>,</w:t>
      </w:r>
      <w:r w:rsidR="00DD20F6" w:rsidRPr="00C920F6">
        <w:rPr>
          <w:rFonts w:ascii="Book Antiqua" w:hAnsi="Book Antiqua"/>
          <w:sz w:val="24"/>
          <w:szCs w:val="24"/>
        </w:rPr>
        <w:t xml:space="preserve"> d</w:t>
      </w:r>
      <w:r w:rsidR="00D3300F" w:rsidRPr="00C920F6">
        <w:rPr>
          <w:rFonts w:ascii="Book Antiqua" w:hAnsi="Book Antiqua"/>
          <w:sz w:val="24"/>
          <w:szCs w:val="24"/>
        </w:rPr>
        <w:t>u</w:t>
      </w:r>
      <w:r w:rsidR="00DD20F6" w:rsidRPr="00C920F6">
        <w:rPr>
          <w:rFonts w:ascii="Book Antiqua" w:hAnsi="Book Antiqua"/>
          <w:sz w:val="24"/>
          <w:szCs w:val="24"/>
        </w:rPr>
        <w:t xml:space="preserve"> </w:t>
      </w:r>
      <w:r w:rsidRPr="00C920F6">
        <w:rPr>
          <w:rFonts w:ascii="Book Antiqua" w:hAnsi="Book Antiqua"/>
          <w:sz w:val="24"/>
          <w:szCs w:val="24"/>
        </w:rPr>
        <w:t>basculement stratégique du poids économique</w:t>
      </w:r>
      <w:r w:rsidR="004F6B0B" w:rsidRPr="00C920F6">
        <w:rPr>
          <w:rFonts w:ascii="Book Antiqua" w:hAnsi="Book Antiqua"/>
          <w:sz w:val="24"/>
          <w:szCs w:val="24"/>
        </w:rPr>
        <w:t>,</w:t>
      </w:r>
      <w:r w:rsidRPr="00C920F6">
        <w:rPr>
          <w:rFonts w:ascii="Book Antiqua" w:hAnsi="Book Antiqua"/>
          <w:sz w:val="24"/>
          <w:szCs w:val="24"/>
        </w:rPr>
        <w:t xml:space="preserve"> commercial </w:t>
      </w:r>
      <w:r w:rsidR="004F6B0B" w:rsidRPr="00C920F6">
        <w:rPr>
          <w:rFonts w:ascii="Book Antiqua" w:hAnsi="Book Antiqua"/>
          <w:sz w:val="24"/>
          <w:szCs w:val="24"/>
        </w:rPr>
        <w:t xml:space="preserve">et politique </w:t>
      </w:r>
      <w:r w:rsidRPr="00C920F6">
        <w:rPr>
          <w:rFonts w:ascii="Book Antiqua" w:hAnsi="Book Antiqua"/>
          <w:sz w:val="24"/>
          <w:szCs w:val="24"/>
        </w:rPr>
        <w:t>de l’Atlantique vers l’Océan Pacifique.</w:t>
      </w:r>
      <w:r w:rsidR="00022862" w:rsidRPr="00C920F6">
        <w:rPr>
          <w:rFonts w:ascii="Book Antiqua" w:hAnsi="Book Antiqua"/>
          <w:sz w:val="24"/>
          <w:szCs w:val="24"/>
        </w:rPr>
        <w:t xml:space="preserve"> </w:t>
      </w:r>
      <w:r w:rsidR="005718DD" w:rsidRPr="00C920F6">
        <w:rPr>
          <w:rFonts w:ascii="Book Antiqua" w:hAnsi="Book Antiqua"/>
          <w:sz w:val="24"/>
          <w:szCs w:val="24"/>
        </w:rPr>
        <w:t>Les pays asiatiques</w:t>
      </w:r>
      <w:r w:rsidR="00BE39C8" w:rsidRPr="00C920F6">
        <w:rPr>
          <w:rFonts w:ascii="Book Antiqua" w:hAnsi="Book Antiqua"/>
          <w:sz w:val="24"/>
          <w:szCs w:val="24"/>
        </w:rPr>
        <w:t>,</w:t>
      </w:r>
      <w:r w:rsidR="005718DD" w:rsidRPr="00C920F6">
        <w:rPr>
          <w:rFonts w:ascii="Book Antiqua" w:hAnsi="Book Antiqua"/>
          <w:sz w:val="24"/>
          <w:szCs w:val="24"/>
        </w:rPr>
        <w:t xml:space="preserve"> </w:t>
      </w:r>
      <w:r w:rsidR="00105F67" w:rsidRPr="00C920F6">
        <w:rPr>
          <w:rFonts w:ascii="Book Antiqua" w:hAnsi="Book Antiqua"/>
          <w:sz w:val="24"/>
          <w:szCs w:val="24"/>
        </w:rPr>
        <w:t xml:space="preserve">globalement </w:t>
      </w:r>
      <w:r w:rsidR="00AA76A2" w:rsidRPr="00C920F6">
        <w:rPr>
          <w:rFonts w:ascii="Book Antiqua" w:hAnsi="Book Antiqua"/>
          <w:sz w:val="24"/>
          <w:szCs w:val="24"/>
        </w:rPr>
        <w:t xml:space="preserve">engagés dans un réajustement </w:t>
      </w:r>
      <w:r w:rsidR="00AA76A2" w:rsidRPr="00C920F6">
        <w:rPr>
          <w:rFonts w:ascii="Book Antiqua" w:hAnsi="Book Antiqua"/>
          <w:sz w:val="24"/>
          <w:szCs w:val="24"/>
        </w:rPr>
        <w:lastRenderedPageBreak/>
        <w:t xml:space="preserve">plus maitrisé de leur modèle économique et </w:t>
      </w:r>
      <w:r w:rsidR="00105F67" w:rsidRPr="00C920F6">
        <w:rPr>
          <w:rFonts w:ascii="Book Antiqua" w:hAnsi="Book Antiqua"/>
          <w:sz w:val="24"/>
          <w:szCs w:val="24"/>
        </w:rPr>
        <w:t xml:space="preserve">dans la capture de la manne </w:t>
      </w:r>
      <w:r w:rsidR="00AA76A2" w:rsidRPr="00C920F6">
        <w:rPr>
          <w:rFonts w:ascii="Book Antiqua" w:hAnsi="Book Antiqua"/>
          <w:sz w:val="24"/>
          <w:szCs w:val="24"/>
        </w:rPr>
        <w:t>numérique</w:t>
      </w:r>
      <w:r w:rsidR="00BE39C8" w:rsidRPr="00C920F6">
        <w:rPr>
          <w:rFonts w:ascii="Book Antiqua" w:hAnsi="Book Antiqua"/>
          <w:sz w:val="24"/>
          <w:szCs w:val="24"/>
        </w:rPr>
        <w:t>,</w:t>
      </w:r>
      <w:r w:rsidR="00AA76A2" w:rsidRPr="00C920F6">
        <w:rPr>
          <w:rFonts w:ascii="Book Antiqua" w:hAnsi="Book Antiqua"/>
          <w:sz w:val="24"/>
          <w:szCs w:val="24"/>
        </w:rPr>
        <w:t xml:space="preserve"> </w:t>
      </w:r>
      <w:r w:rsidR="00105F67" w:rsidRPr="00C920F6">
        <w:rPr>
          <w:rFonts w:ascii="Book Antiqua" w:hAnsi="Book Antiqua"/>
          <w:sz w:val="24"/>
          <w:szCs w:val="24"/>
        </w:rPr>
        <w:t>offrent</w:t>
      </w:r>
      <w:r w:rsidR="00AA76A2" w:rsidRPr="00C920F6">
        <w:rPr>
          <w:rFonts w:ascii="Book Antiqua" w:hAnsi="Book Antiqua"/>
          <w:sz w:val="24"/>
          <w:szCs w:val="24"/>
        </w:rPr>
        <w:t xml:space="preserve"> de plus grandes opportunités d’investissement</w:t>
      </w:r>
      <w:r w:rsidR="00105F67" w:rsidRPr="00C920F6">
        <w:rPr>
          <w:rFonts w:ascii="Book Antiqua" w:hAnsi="Book Antiqua"/>
          <w:sz w:val="24"/>
          <w:szCs w:val="24"/>
        </w:rPr>
        <w:t xml:space="preserve"> et</w:t>
      </w:r>
      <w:r w:rsidR="00AA76A2" w:rsidRPr="00C920F6">
        <w:rPr>
          <w:rFonts w:ascii="Book Antiqua" w:hAnsi="Book Antiqua"/>
          <w:sz w:val="24"/>
          <w:szCs w:val="24"/>
        </w:rPr>
        <w:t xml:space="preserve"> de </w:t>
      </w:r>
      <w:r w:rsidR="00105F67" w:rsidRPr="00C920F6">
        <w:rPr>
          <w:rFonts w:ascii="Book Antiqua" w:hAnsi="Book Antiqua"/>
          <w:sz w:val="24"/>
          <w:szCs w:val="24"/>
        </w:rPr>
        <w:t xml:space="preserve">contribution au </w:t>
      </w:r>
      <w:r w:rsidR="00AA76A2" w:rsidRPr="00C920F6">
        <w:rPr>
          <w:rFonts w:ascii="Book Antiqua" w:hAnsi="Book Antiqua"/>
          <w:sz w:val="24"/>
          <w:szCs w:val="24"/>
        </w:rPr>
        <w:t xml:space="preserve">commerce </w:t>
      </w:r>
      <w:r w:rsidR="00105F67" w:rsidRPr="00C920F6">
        <w:rPr>
          <w:rFonts w:ascii="Book Antiqua" w:hAnsi="Book Antiqua"/>
          <w:sz w:val="24"/>
          <w:szCs w:val="24"/>
        </w:rPr>
        <w:t xml:space="preserve">international </w:t>
      </w:r>
      <w:r w:rsidR="004F6B0B" w:rsidRPr="00C920F6">
        <w:rPr>
          <w:rFonts w:ascii="Book Antiqua" w:hAnsi="Book Antiqua"/>
          <w:sz w:val="24"/>
          <w:szCs w:val="24"/>
        </w:rPr>
        <w:t xml:space="preserve">qui </w:t>
      </w:r>
      <w:r w:rsidR="00105F67" w:rsidRPr="00C920F6">
        <w:rPr>
          <w:rFonts w:ascii="Book Antiqua" w:hAnsi="Book Antiqua"/>
          <w:sz w:val="24"/>
          <w:szCs w:val="24"/>
        </w:rPr>
        <w:t>les prédispos</w:t>
      </w:r>
      <w:r w:rsidR="004F6B0B" w:rsidRPr="00C920F6">
        <w:rPr>
          <w:rFonts w:ascii="Book Antiqua" w:hAnsi="Book Antiqua"/>
          <w:sz w:val="24"/>
          <w:szCs w:val="24"/>
        </w:rPr>
        <w:t>e</w:t>
      </w:r>
      <w:r w:rsidR="00105F67" w:rsidRPr="00C920F6">
        <w:rPr>
          <w:rFonts w:ascii="Book Antiqua" w:hAnsi="Book Antiqua"/>
          <w:sz w:val="24"/>
          <w:szCs w:val="24"/>
        </w:rPr>
        <w:t xml:space="preserve">nt à </w:t>
      </w:r>
      <w:r w:rsidR="005718DD" w:rsidRPr="00C920F6">
        <w:rPr>
          <w:rFonts w:ascii="Book Antiqua" w:hAnsi="Book Antiqua"/>
          <w:sz w:val="24"/>
          <w:szCs w:val="24"/>
        </w:rPr>
        <w:t xml:space="preserve">en être </w:t>
      </w:r>
      <w:r w:rsidR="00105F67" w:rsidRPr="00C920F6">
        <w:rPr>
          <w:rFonts w:ascii="Book Antiqua" w:hAnsi="Book Antiqua"/>
          <w:sz w:val="24"/>
          <w:szCs w:val="24"/>
        </w:rPr>
        <w:t xml:space="preserve">parmi </w:t>
      </w:r>
      <w:r w:rsidR="005718DD" w:rsidRPr="00C920F6">
        <w:rPr>
          <w:rFonts w:ascii="Book Antiqua" w:hAnsi="Book Antiqua"/>
          <w:sz w:val="24"/>
          <w:szCs w:val="24"/>
        </w:rPr>
        <w:t>les</w:t>
      </w:r>
      <w:r w:rsidR="00105F67" w:rsidRPr="00C920F6">
        <w:rPr>
          <w:rFonts w:ascii="Book Antiqua" w:hAnsi="Book Antiqua"/>
          <w:sz w:val="24"/>
          <w:szCs w:val="24"/>
        </w:rPr>
        <w:t xml:space="preserve"> principaux</w:t>
      </w:r>
      <w:r w:rsidR="005718DD" w:rsidRPr="00C920F6">
        <w:rPr>
          <w:rFonts w:ascii="Book Antiqua" w:hAnsi="Book Antiqua"/>
          <w:sz w:val="24"/>
          <w:szCs w:val="24"/>
        </w:rPr>
        <w:t xml:space="preserve"> bénéficiai</w:t>
      </w:r>
      <w:r w:rsidR="00AA76A2" w:rsidRPr="00C920F6">
        <w:rPr>
          <w:rFonts w:ascii="Book Antiqua" w:hAnsi="Book Antiqua"/>
          <w:sz w:val="24"/>
          <w:szCs w:val="24"/>
        </w:rPr>
        <w:t>res collatéraux.</w:t>
      </w:r>
    </w:p>
    <w:p w:rsidR="00AA76A2" w:rsidRPr="00C920F6" w:rsidRDefault="00AA76A2" w:rsidP="00025331">
      <w:pPr>
        <w:spacing w:line="360" w:lineRule="auto"/>
        <w:ind w:firstLine="709"/>
        <w:jc w:val="both"/>
        <w:rPr>
          <w:rFonts w:ascii="Book Antiqua" w:hAnsi="Book Antiqua"/>
          <w:sz w:val="24"/>
          <w:szCs w:val="24"/>
        </w:rPr>
      </w:pPr>
      <w:r w:rsidRPr="00C920F6">
        <w:rPr>
          <w:rFonts w:ascii="Book Antiqua" w:hAnsi="Book Antiqua"/>
          <w:sz w:val="24"/>
          <w:szCs w:val="24"/>
        </w:rPr>
        <w:t>Les pays émergents, de leur côté, confrontés aux aléas du marché des matières premières, à la faible reprise de la croissance</w:t>
      </w:r>
      <w:r w:rsidR="00105F67" w:rsidRPr="00C920F6">
        <w:rPr>
          <w:rFonts w:ascii="Book Antiqua" w:hAnsi="Book Antiqua"/>
          <w:sz w:val="24"/>
          <w:szCs w:val="24"/>
        </w:rPr>
        <w:t xml:space="preserve"> d</w:t>
      </w:r>
      <w:r w:rsidR="00B9143C" w:rsidRPr="00C920F6">
        <w:rPr>
          <w:rFonts w:ascii="Book Antiqua" w:hAnsi="Book Antiqua"/>
          <w:sz w:val="24"/>
          <w:szCs w:val="24"/>
        </w:rPr>
        <w:t>e</w:t>
      </w:r>
      <w:r w:rsidR="00105F67" w:rsidRPr="00C920F6">
        <w:rPr>
          <w:rFonts w:ascii="Book Antiqua" w:hAnsi="Book Antiqua"/>
          <w:sz w:val="24"/>
          <w:szCs w:val="24"/>
        </w:rPr>
        <w:t>s pays développés</w:t>
      </w:r>
      <w:r w:rsidRPr="00C920F6">
        <w:rPr>
          <w:rFonts w:ascii="Book Antiqua" w:hAnsi="Book Antiqua"/>
          <w:sz w:val="24"/>
          <w:szCs w:val="24"/>
        </w:rPr>
        <w:t xml:space="preserve"> et </w:t>
      </w:r>
      <w:r w:rsidR="00B9143C" w:rsidRPr="00C920F6">
        <w:rPr>
          <w:rFonts w:ascii="Book Antiqua" w:hAnsi="Book Antiqua"/>
          <w:sz w:val="24"/>
          <w:szCs w:val="24"/>
        </w:rPr>
        <w:t xml:space="preserve">du ralentissement </w:t>
      </w:r>
      <w:r w:rsidR="00051D30" w:rsidRPr="00C920F6">
        <w:rPr>
          <w:rFonts w:ascii="Book Antiqua" w:hAnsi="Book Antiqua"/>
          <w:sz w:val="24"/>
          <w:szCs w:val="24"/>
        </w:rPr>
        <w:t>des échanges Sud-Sud ainsi qu’</w:t>
      </w:r>
      <w:r w:rsidRPr="00C920F6">
        <w:rPr>
          <w:rFonts w:ascii="Book Antiqua" w:hAnsi="Book Antiqua"/>
          <w:sz w:val="24"/>
          <w:szCs w:val="24"/>
        </w:rPr>
        <w:t>aux impacts de la politique monétaire américaine dans un contexte de marasme social et politique</w:t>
      </w:r>
      <w:r w:rsidR="00BE39C8" w:rsidRPr="00C920F6">
        <w:rPr>
          <w:rFonts w:ascii="Book Antiqua" w:hAnsi="Book Antiqua"/>
          <w:sz w:val="24"/>
          <w:szCs w:val="24"/>
        </w:rPr>
        <w:t xml:space="preserve">, </w:t>
      </w:r>
      <w:r w:rsidR="00051D30" w:rsidRPr="00C920F6">
        <w:rPr>
          <w:rFonts w:ascii="Book Antiqua" w:hAnsi="Book Antiqua"/>
          <w:sz w:val="24"/>
          <w:szCs w:val="24"/>
        </w:rPr>
        <w:t>ne devraient connaitre qu’une croissance modérée. L</w:t>
      </w:r>
      <w:r w:rsidRPr="00C920F6">
        <w:rPr>
          <w:rFonts w:ascii="Book Antiqua" w:hAnsi="Book Antiqua"/>
          <w:sz w:val="24"/>
          <w:szCs w:val="24"/>
        </w:rPr>
        <w:t>es pays africains</w:t>
      </w:r>
      <w:r w:rsidR="00B4774D" w:rsidRPr="00C920F6">
        <w:rPr>
          <w:rFonts w:ascii="Book Antiqua" w:hAnsi="Book Antiqua"/>
          <w:sz w:val="24"/>
          <w:szCs w:val="24"/>
        </w:rPr>
        <w:t>,</w:t>
      </w:r>
      <w:r w:rsidRPr="00C920F6">
        <w:rPr>
          <w:rFonts w:ascii="Book Antiqua" w:hAnsi="Book Antiqua"/>
          <w:sz w:val="24"/>
          <w:szCs w:val="24"/>
        </w:rPr>
        <w:t xml:space="preserve"> </w:t>
      </w:r>
      <w:r w:rsidR="00B4774D" w:rsidRPr="00C920F6">
        <w:rPr>
          <w:rFonts w:ascii="Book Antiqua" w:hAnsi="Book Antiqua"/>
          <w:sz w:val="24"/>
          <w:szCs w:val="24"/>
        </w:rPr>
        <w:t xml:space="preserve">malgré </w:t>
      </w:r>
      <w:r w:rsidR="00105F67" w:rsidRPr="00C920F6">
        <w:rPr>
          <w:rFonts w:ascii="Book Antiqua" w:hAnsi="Book Antiqua"/>
          <w:sz w:val="24"/>
          <w:szCs w:val="24"/>
        </w:rPr>
        <w:t>des</w:t>
      </w:r>
      <w:r w:rsidR="00B4774D" w:rsidRPr="00C920F6">
        <w:rPr>
          <w:rFonts w:ascii="Book Antiqua" w:hAnsi="Book Antiqua"/>
          <w:sz w:val="24"/>
          <w:szCs w:val="24"/>
        </w:rPr>
        <w:t xml:space="preserve"> potentialités agricoles et industrielles </w:t>
      </w:r>
      <w:r w:rsidR="00105F67" w:rsidRPr="00C920F6">
        <w:rPr>
          <w:rFonts w:ascii="Book Antiqua" w:hAnsi="Book Antiqua"/>
          <w:sz w:val="24"/>
          <w:szCs w:val="24"/>
        </w:rPr>
        <w:t>avérées</w:t>
      </w:r>
      <w:r w:rsidR="00BE39C8" w:rsidRPr="00C920F6">
        <w:rPr>
          <w:rFonts w:ascii="Book Antiqua" w:hAnsi="Book Antiqua"/>
          <w:sz w:val="24"/>
          <w:szCs w:val="24"/>
        </w:rPr>
        <w:t>,</w:t>
      </w:r>
      <w:r w:rsidR="00B4774D" w:rsidRPr="00C920F6">
        <w:rPr>
          <w:rFonts w:ascii="Book Antiqua" w:hAnsi="Book Antiqua"/>
          <w:sz w:val="24"/>
          <w:szCs w:val="24"/>
        </w:rPr>
        <w:t xml:space="preserve"> restent pénalisés par leur déficit en matière d’infrastructures éco</w:t>
      </w:r>
      <w:r w:rsidR="00BE39C8" w:rsidRPr="00C920F6">
        <w:rPr>
          <w:rFonts w:ascii="Book Antiqua" w:hAnsi="Book Antiqua"/>
          <w:sz w:val="24"/>
          <w:szCs w:val="24"/>
        </w:rPr>
        <w:t>nomiques</w:t>
      </w:r>
      <w:r w:rsidR="00B4774D" w:rsidRPr="00C920F6">
        <w:rPr>
          <w:rFonts w:ascii="Book Antiqua" w:hAnsi="Book Antiqua"/>
          <w:sz w:val="24"/>
          <w:szCs w:val="24"/>
        </w:rPr>
        <w:t xml:space="preserve"> et sociales et de développement humain</w:t>
      </w:r>
      <w:r w:rsidR="00051D30" w:rsidRPr="00C920F6">
        <w:rPr>
          <w:rFonts w:ascii="Book Antiqua" w:hAnsi="Book Antiqua"/>
          <w:sz w:val="24"/>
          <w:szCs w:val="24"/>
        </w:rPr>
        <w:t xml:space="preserve"> qui bride le niveau </w:t>
      </w:r>
      <w:r w:rsidR="00025331" w:rsidRPr="00C920F6">
        <w:rPr>
          <w:rFonts w:ascii="Book Antiqua" w:hAnsi="Book Antiqua"/>
          <w:sz w:val="24"/>
          <w:szCs w:val="24"/>
        </w:rPr>
        <w:t>potentiel</w:t>
      </w:r>
      <w:r w:rsidR="00051D30" w:rsidRPr="00C920F6">
        <w:rPr>
          <w:rFonts w:ascii="Book Antiqua" w:hAnsi="Book Antiqua"/>
          <w:sz w:val="24"/>
          <w:szCs w:val="24"/>
        </w:rPr>
        <w:t xml:space="preserve"> de leur croissance</w:t>
      </w:r>
      <w:r w:rsidR="00B4774D" w:rsidRPr="00C920F6">
        <w:rPr>
          <w:rFonts w:ascii="Book Antiqua" w:hAnsi="Book Antiqua"/>
          <w:sz w:val="24"/>
          <w:szCs w:val="24"/>
        </w:rPr>
        <w:t xml:space="preserve">. </w:t>
      </w:r>
    </w:p>
    <w:p w:rsidR="005E1E46" w:rsidRPr="00C920F6" w:rsidRDefault="005E1E46" w:rsidP="002639DC">
      <w:pPr>
        <w:spacing w:line="360" w:lineRule="auto"/>
        <w:jc w:val="both"/>
        <w:rPr>
          <w:rFonts w:ascii="Arial Rounded MT Bold" w:hAnsi="Arial Rounded MT Bold"/>
          <w:sz w:val="24"/>
          <w:szCs w:val="24"/>
          <w:u w:val="single"/>
        </w:rPr>
      </w:pPr>
      <w:r w:rsidRPr="00C920F6">
        <w:rPr>
          <w:rFonts w:ascii="Arial Rounded MT Bold" w:hAnsi="Arial Rounded MT Bold"/>
          <w:sz w:val="24"/>
          <w:szCs w:val="24"/>
          <w:u w:val="single"/>
        </w:rPr>
        <w:t>Le contexte national</w:t>
      </w:r>
    </w:p>
    <w:p w:rsidR="00F5766B" w:rsidRPr="00C920F6" w:rsidRDefault="00B52421" w:rsidP="00CF053F">
      <w:pPr>
        <w:spacing w:after="240" w:line="360" w:lineRule="auto"/>
        <w:ind w:firstLine="709"/>
        <w:jc w:val="both"/>
        <w:rPr>
          <w:rFonts w:ascii="Book Antiqua" w:hAnsi="Book Antiqua"/>
          <w:sz w:val="24"/>
          <w:szCs w:val="24"/>
        </w:rPr>
      </w:pPr>
      <w:r w:rsidRPr="00C920F6">
        <w:rPr>
          <w:rFonts w:ascii="Book Antiqua" w:hAnsi="Book Antiqua"/>
          <w:sz w:val="24"/>
          <w:szCs w:val="24"/>
        </w:rPr>
        <w:t xml:space="preserve">Dans cet environnement international, </w:t>
      </w:r>
      <w:r w:rsidR="00F5766B" w:rsidRPr="00C920F6">
        <w:rPr>
          <w:rFonts w:ascii="Book Antiqua" w:hAnsi="Book Antiqua"/>
          <w:sz w:val="24"/>
          <w:szCs w:val="24"/>
        </w:rPr>
        <w:t>notre pays n’est pas en reste en termes d’échéance</w:t>
      </w:r>
      <w:r w:rsidR="005E1E46" w:rsidRPr="00C920F6">
        <w:rPr>
          <w:rFonts w:ascii="Book Antiqua" w:hAnsi="Book Antiqua"/>
          <w:sz w:val="24"/>
          <w:szCs w:val="24"/>
        </w:rPr>
        <w:t>s</w:t>
      </w:r>
      <w:r w:rsidR="00F5766B" w:rsidRPr="00C920F6">
        <w:rPr>
          <w:rFonts w:ascii="Book Antiqua" w:hAnsi="Book Antiqua"/>
          <w:sz w:val="24"/>
          <w:szCs w:val="24"/>
        </w:rPr>
        <w:t xml:space="preserve"> politique</w:t>
      </w:r>
      <w:r w:rsidR="005E1E46" w:rsidRPr="00C920F6">
        <w:rPr>
          <w:rFonts w:ascii="Book Antiqua" w:hAnsi="Book Antiqua"/>
          <w:sz w:val="24"/>
          <w:szCs w:val="24"/>
        </w:rPr>
        <w:t>s</w:t>
      </w:r>
      <w:r w:rsidR="00F5766B" w:rsidRPr="00C920F6">
        <w:rPr>
          <w:rFonts w:ascii="Book Antiqua" w:hAnsi="Book Antiqua"/>
          <w:sz w:val="24"/>
          <w:szCs w:val="24"/>
        </w:rPr>
        <w:t>. 2016 devrait se terminer par des élections législatives et l’année 2017 débuter par une nouvelle législature</w:t>
      </w:r>
      <w:r w:rsidR="00767350" w:rsidRPr="00C920F6">
        <w:rPr>
          <w:rFonts w:ascii="Book Antiqua" w:hAnsi="Book Antiqua"/>
          <w:sz w:val="24"/>
          <w:szCs w:val="24"/>
        </w:rPr>
        <w:t xml:space="preserve">. Notre propos ici ne saurait être de faire </w:t>
      </w:r>
      <w:r w:rsidR="005E1E46" w:rsidRPr="00C920F6">
        <w:rPr>
          <w:rFonts w:ascii="Book Antiqua" w:hAnsi="Book Antiqua"/>
          <w:sz w:val="24"/>
          <w:szCs w:val="24"/>
        </w:rPr>
        <w:t xml:space="preserve">une </w:t>
      </w:r>
      <w:r w:rsidR="00767350" w:rsidRPr="00C920F6">
        <w:rPr>
          <w:rFonts w:ascii="Book Antiqua" w:hAnsi="Book Antiqua"/>
          <w:sz w:val="24"/>
          <w:szCs w:val="24"/>
        </w:rPr>
        <w:t xml:space="preserve">évaluation de la dernière législature ni </w:t>
      </w:r>
      <w:r w:rsidR="005E1E46" w:rsidRPr="00C920F6">
        <w:rPr>
          <w:rFonts w:ascii="Book Antiqua" w:hAnsi="Book Antiqua"/>
          <w:sz w:val="24"/>
          <w:szCs w:val="24"/>
        </w:rPr>
        <w:t>celle d</w:t>
      </w:r>
      <w:r w:rsidR="00767350" w:rsidRPr="00C920F6">
        <w:rPr>
          <w:rFonts w:ascii="Book Antiqua" w:hAnsi="Book Antiqua"/>
          <w:sz w:val="24"/>
          <w:szCs w:val="24"/>
        </w:rPr>
        <w:t xml:space="preserve">es perspectives de la prochaine. </w:t>
      </w:r>
      <w:r w:rsidR="00420EA6" w:rsidRPr="00C920F6">
        <w:rPr>
          <w:rFonts w:ascii="Book Antiqua" w:hAnsi="Book Antiqua"/>
          <w:sz w:val="24"/>
          <w:szCs w:val="24"/>
        </w:rPr>
        <w:t xml:space="preserve">Encore que, sous d’autres cieux, notamment en Hollande, </w:t>
      </w:r>
      <w:r w:rsidR="00CF053F" w:rsidRPr="00C920F6">
        <w:rPr>
          <w:rFonts w:ascii="Book Antiqua" w:hAnsi="Book Antiqua"/>
          <w:sz w:val="24"/>
          <w:szCs w:val="24"/>
        </w:rPr>
        <w:t xml:space="preserve">à l’occasion de chaque élection législative, </w:t>
      </w:r>
      <w:r w:rsidR="00420EA6" w:rsidRPr="00C920F6">
        <w:rPr>
          <w:rFonts w:ascii="Book Antiqua" w:hAnsi="Book Antiqua"/>
          <w:sz w:val="24"/>
          <w:szCs w:val="24"/>
        </w:rPr>
        <w:t>l’institution consœur du HCP</w:t>
      </w:r>
      <w:r w:rsidR="005E1E46" w:rsidRPr="00C920F6">
        <w:rPr>
          <w:rFonts w:ascii="Book Antiqua" w:hAnsi="Book Antiqua"/>
          <w:sz w:val="24"/>
          <w:szCs w:val="24"/>
        </w:rPr>
        <w:t>,</w:t>
      </w:r>
      <w:r w:rsidR="00420EA6" w:rsidRPr="00C920F6">
        <w:rPr>
          <w:rFonts w:ascii="Book Antiqua" w:hAnsi="Book Antiqua"/>
          <w:sz w:val="24"/>
          <w:szCs w:val="24"/>
        </w:rPr>
        <w:t xml:space="preserve"> </w:t>
      </w:r>
      <w:r w:rsidR="00CF053F" w:rsidRPr="00C920F6">
        <w:rPr>
          <w:rFonts w:ascii="Book Antiqua" w:hAnsi="Book Antiqua"/>
          <w:sz w:val="24"/>
          <w:szCs w:val="24"/>
        </w:rPr>
        <w:t>a</w:t>
      </w:r>
      <w:r w:rsidR="00420EA6" w:rsidRPr="00C920F6">
        <w:rPr>
          <w:rFonts w:ascii="Book Antiqua" w:hAnsi="Book Antiqua"/>
          <w:sz w:val="24"/>
          <w:szCs w:val="24"/>
        </w:rPr>
        <w:t xml:space="preserve"> officiellement</w:t>
      </w:r>
      <w:r w:rsidR="005E1E46" w:rsidRPr="00C920F6">
        <w:rPr>
          <w:rFonts w:ascii="Book Antiqua" w:hAnsi="Book Antiqua"/>
          <w:sz w:val="24"/>
          <w:szCs w:val="24"/>
        </w:rPr>
        <w:t xml:space="preserve"> </w:t>
      </w:r>
      <w:r w:rsidR="00CF053F" w:rsidRPr="00C920F6">
        <w:rPr>
          <w:rFonts w:ascii="Book Antiqua" w:hAnsi="Book Antiqua"/>
          <w:sz w:val="24"/>
          <w:szCs w:val="24"/>
        </w:rPr>
        <w:t>la</w:t>
      </w:r>
      <w:r w:rsidR="005E1E46" w:rsidRPr="00C920F6">
        <w:rPr>
          <w:rFonts w:ascii="Book Antiqua" w:hAnsi="Book Antiqua"/>
          <w:sz w:val="24"/>
          <w:szCs w:val="24"/>
        </w:rPr>
        <w:t xml:space="preserve"> charge</w:t>
      </w:r>
      <w:r w:rsidR="00CF053F" w:rsidRPr="00C920F6">
        <w:rPr>
          <w:rFonts w:ascii="Book Antiqua" w:hAnsi="Book Antiqua"/>
          <w:sz w:val="24"/>
          <w:szCs w:val="24"/>
        </w:rPr>
        <w:t xml:space="preserve"> d</w:t>
      </w:r>
      <w:r w:rsidR="00420EA6" w:rsidRPr="00C920F6">
        <w:rPr>
          <w:rFonts w:ascii="Book Antiqua" w:hAnsi="Book Antiqua"/>
          <w:sz w:val="24"/>
          <w:szCs w:val="24"/>
        </w:rPr>
        <w:t xml:space="preserve">’évaluer les </w:t>
      </w:r>
      <w:r w:rsidR="00CF053F" w:rsidRPr="00C920F6">
        <w:rPr>
          <w:rFonts w:ascii="Book Antiqua" w:hAnsi="Book Antiqua"/>
          <w:sz w:val="24"/>
          <w:szCs w:val="24"/>
        </w:rPr>
        <w:t xml:space="preserve">offres économiques </w:t>
      </w:r>
      <w:r w:rsidR="00420EA6" w:rsidRPr="00C920F6">
        <w:rPr>
          <w:rFonts w:ascii="Book Antiqua" w:hAnsi="Book Antiqua"/>
          <w:sz w:val="24"/>
          <w:szCs w:val="24"/>
        </w:rPr>
        <w:t>des partis politiques. Nous allons</w:t>
      </w:r>
      <w:r w:rsidR="00F71AC0" w:rsidRPr="00C920F6">
        <w:rPr>
          <w:rFonts w:ascii="Book Antiqua" w:hAnsi="Book Antiqua"/>
          <w:sz w:val="24"/>
          <w:szCs w:val="24"/>
        </w:rPr>
        <w:t>, quant à nous,</w:t>
      </w:r>
      <w:r w:rsidR="00420EA6" w:rsidRPr="00C920F6">
        <w:rPr>
          <w:rFonts w:ascii="Book Antiqua" w:hAnsi="Book Antiqua"/>
          <w:sz w:val="24"/>
          <w:szCs w:val="24"/>
        </w:rPr>
        <w:t xml:space="preserve"> tout simplement, comme toujours, </w:t>
      </w:r>
      <w:r w:rsidR="001415E4" w:rsidRPr="00C920F6">
        <w:rPr>
          <w:rFonts w:ascii="Book Antiqua" w:hAnsi="Book Antiqua"/>
          <w:sz w:val="24"/>
          <w:szCs w:val="24"/>
        </w:rPr>
        <w:t xml:space="preserve">présenter </w:t>
      </w:r>
      <w:r w:rsidR="00FE19B2" w:rsidRPr="00C920F6">
        <w:rPr>
          <w:rFonts w:ascii="Book Antiqua" w:hAnsi="Book Antiqua"/>
          <w:sz w:val="24"/>
          <w:szCs w:val="24"/>
        </w:rPr>
        <w:t xml:space="preserve">notre estimation de l’évolution de l’économie nationale en 2016 et de </w:t>
      </w:r>
      <w:r w:rsidR="001415E4" w:rsidRPr="00C920F6">
        <w:rPr>
          <w:rFonts w:ascii="Book Antiqua" w:hAnsi="Book Antiqua"/>
          <w:sz w:val="24"/>
          <w:szCs w:val="24"/>
        </w:rPr>
        <w:t>nos</w:t>
      </w:r>
      <w:r w:rsidR="00FE19B2" w:rsidRPr="00C920F6">
        <w:rPr>
          <w:rFonts w:ascii="Book Antiqua" w:hAnsi="Book Antiqua"/>
          <w:sz w:val="24"/>
          <w:szCs w:val="24"/>
        </w:rPr>
        <w:t xml:space="preserve"> prévisions pour 2017. </w:t>
      </w:r>
      <w:r w:rsidR="001415E4" w:rsidRPr="00C920F6">
        <w:rPr>
          <w:rFonts w:ascii="Book Antiqua" w:hAnsi="Book Antiqua"/>
          <w:sz w:val="24"/>
          <w:szCs w:val="24"/>
        </w:rPr>
        <w:t xml:space="preserve"> </w:t>
      </w:r>
    </w:p>
    <w:p w:rsidR="00CD6459" w:rsidRPr="00C920F6" w:rsidRDefault="00323C84" w:rsidP="00F71AC0">
      <w:pPr>
        <w:spacing w:after="240" w:line="360" w:lineRule="auto"/>
        <w:ind w:firstLine="709"/>
        <w:jc w:val="both"/>
        <w:rPr>
          <w:rFonts w:ascii="Book Antiqua" w:hAnsi="Book Antiqua"/>
          <w:sz w:val="24"/>
          <w:szCs w:val="24"/>
        </w:rPr>
      </w:pPr>
      <w:r w:rsidRPr="00C920F6">
        <w:rPr>
          <w:rFonts w:ascii="Book Antiqua" w:hAnsi="Book Antiqua"/>
          <w:sz w:val="24"/>
          <w:szCs w:val="24"/>
        </w:rPr>
        <w:t>Un</w:t>
      </w:r>
      <w:r w:rsidR="00FE19B2" w:rsidRPr="00C920F6">
        <w:rPr>
          <w:rFonts w:ascii="Book Antiqua" w:hAnsi="Book Antiqua"/>
          <w:sz w:val="24"/>
          <w:szCs w:val="24"/>
        </w:rPr>
        <w:t xml:space="preserve"> rapport </w:t>
      </w:r>
      <w:r w:rsidR="00EB0129" w:rsidRPr="00C920F6">
        <w:rPr>
          <w:rFonts w:ascii="Book Antiqua" w:hAnsi="Book Antiqua"/>
          <w:sz w:val="24"/>
          <w:szCs w:val="24"/>
        </w:rPr>
        <w:t>plus exhaustif en expose le détail</w:t>
      </w:r>
      <w:r w:rsidR="00F71AC0" w:rsidRPr="00C920F6">
        <w:rPr>
          <w:rFonts w:ascii="Book Antiqua" w:hAnsi="Book Antiqua"/>
          <w:sz w:val="24"/>
          <w:szCs w:val="24"/>
        </w:rPr>
        <w:t xml:space="preserve"> de ces estimation</w:t>
      </w:r>
      <w:r w:rsidR="00EB0129" w:rsidRPr="00C920F6">
        <w:rPr>
          <w:rFonts w:ascii="Book Antiqua" w:hAnsi="Book Antiqua"/>
          <w:sz w:val="24"/>
          <w:szCs w:val="24"/>
        </w:rPr>
        <w:t xml:space="preserve">s </w:t>
      </w:r>
      <w:r w:rsidRPr="00C920F6">
        <w:rPr>
          <w:rFonts w:ascii="Book Antiqua" w:hAnsi="Book Antiqua"/>
          <w:sz w:val="24"/>
          <w:szCs w:val="24"/>
        </w:rPr>
        <w:t>et</w:t>
      </w:r>
      <w:r w:rsidR="00EB0129" w:rsidRPr="00C920F6">
        <w:rPr>
          <w:rFonts w:ascii="Book Antiqua" w:hAnsi="Book Antiqua"/>
          <w:sz w:val="24"/>
          <w:szCs w:val="24"/>
        </w:rPr>
        <w:t xml:space="preserve"> leurs écarts par rapport aux </w:t>
      </w:r>
      <w:r w:rsidR="009C187F" w:rsidRPr="00C920F6">
        <w:rPr>
          <w:rFonts w:ascii="Book Antiqua" w:hAnsi="Book Antiqua"/>
          <w:sz w:val="24"/>
          <w:szCs w:val="24"/>
        </w:rPr>
        <w:t xml:space="preserve">tendances prévisionnelles énoncées dans notre Budget Economique Prévisionnel </w:t>
      </w:r>
      <w:r w:rsidRPr="00C920F6">
        <w:rPr>
          <w:rFonts w:ascii="Book Antiqua" w:hAnsi="Book Antiqua"/>
          <w:sz w:val="24"/>
          <w:szCs w:val="24"/>
        </w:rPr>
        <w:t>de</w:t>
      </w:r>
      <w:r w:rsidR="009C187F" w:rsidRPr="00C920F6">
        <w:rPr>
          <w:rFonts w:ascii="Book Antiqua" w:hAnsi="Book Antiqua"/>
          <w:sz w:val="24"/>
          <w:szCs w:val="24"/>
        </w:rPr>
        <w:t xml:space="preserve"> janvier 2016</w:t>
      </w:r>
      <w:r w:rsidR="00EB0129" w:rsidRPr="00C920F6">
        <w:rPr>
          <w:rFonts w:ascii="Book Antiqua" w:hAnsi="Book Antiqua"/>
          <w:sz w:val="24"/>
          <w:szCs w:val="24"/>
        </w:rPr>
        <w:t xml:space="preserve"> et ce, compte tenu </w:t>
      </w:r>
      <w:r w:rsidR="00283049" w:rsidRPr="00C920F6">
        <w:rPr>
          <w:rFonts w:ascii="Book Antiqua" w:hAnsi="Book Antiqua"/>
          <w:sz w:val="24"/>
          <w:szCs w:val="24"/>
        </w:rPr>
        <w:t xml:space="preserve">des données trimestrielles fournies, depuis, par la Comptabilité Nationale et nos enquêtes </w:t>
      </w:r>
      <w:r w:rsidRPr="00C920F6">
        <w:rPr>
          <w:rFonts w:ascii="Book Antiqua" w:hAnsi="Book Antiqua"/>
          <w:sz w:val="24"/>
          <w:szCs w:val="24"/>
        </w:rPr>
        <w:t>de</w:t>
      </w:r>
      <w:r w:rsidR="00283049" w:rsidRPr="00C920F6">
        <w:rPr>
          <w:rFonts w:ascii="Book Antiqua" w:hAnsi="Book Antiqua"/>
          <w:sz w:val="24"/>
          <w:szCs w:val="24"/>
        </w:rPr>
        <w:t xml:space="preserve"> conjoncture auprès des </w:t>
      </w:r>
      <w:r w:rsidR="00C65EE3" w:rsidRPr="00C920F6">
        <w:rPr>
          <w:rFonts w:ascii="Book Antiqua" w:hAnsi="Book Antiqua"/>
          <w:sz w:val="24"/>
          <w:szCs w:val="24"/>
        </w:rPr>
        <w:t xml:space="preserve">entreprises et des ménages. </w:t>
      </w:r>
    </w:p>
    <w:p w:rsidR="00822676" w:rsidRPr="00C920F6" w:rsidRDefault="00035E26" w:rsidP="00035E26">
      <w:pPr>
        <w:spacing w:after="240" w:line="360" w:lineRule="auto"/>
        <w:ind w:firstLine="709"/>
        <w:jc w:val="both"/>
        <w:rPr>
          <w:rFonts w:ascii="Book Antiqua" w:hAnsi="Book Antiqua"/>
          <w:sz w:val="24"/>
          <w:szCs w:val="24"/>
        </w:rPr>
      </w:pPr>
      <w:r w:rsidRPr="00C920F6">
        <w:rPr>
          <w:rFonts w:ascii="Book Antiqua" w:hAnsi="Book Antiqua"/>
          <w:b/>
          <w:bCs/>
          <w:sz w:val="24"/>
          <w:szCs w:val="24"/>
          <w:u w:val="single"/>
        </w:rPr>
        <w:lastRenderedPageBreak/>
        <w:t>Au</w:t>
      </w:r>
      <w:r w:rsidR="00203BD4" w:rsidRPr="00C920F6">
        <w:rPr>
          <w:rFonts w:ascii="Book Antiqua" w:hAnsi="Book Antiqua"/>
          <w:b/>
          <w:bCs/>
          <w:sz w:val="24"/>
          <w:szCs w:val="24"/>
          <w:u w:val="single"/>
        </w:rPr>
        <w:t xml:space="preserve"> niveau de l’agriculture</w:t>
      </w:r>
      <w:r w:rsidRPr="00C920F6">
        <w:rPr>
          <w:rFonts w:ascii="Book Antiqua" w:hAnsi="Book Antiqua"/>
          <w:sz w:val="24"/>
          <w:szCs w:val="24"/>
        </w:rPr>
        <w:t> : A</w:t>
      </w:r>
      <w:r w:rsidR="0003736B" w:rsidRPr="00C920F6">
        <w:rPr>
          <w:rFonts w:ascii="Book Antiqua" w:hAnsi="Book Antiqua"/>
          <w:sz w:val="24"/>
          <w:szCs w:val="24"/>
        </w:rPr>
        <w:t xml:space="preserve">lors que nos prévisions avaient anticipé un meilleur comportement de l’élevage, de l’arboriculture et du maraichage, ces </w:t>
      </w:r>
      <w:r w:rsidR="00AF3687" w:rsidRPr="00C920F6">
        <w:rPr>
          <w:rFonts w:ascii="Book Antiqua" w:hAnsi="Book Antiqua"/>
          <w:sz w:val="24"/>
          <w:szCs w:val="24"/>
        </w:rPr>
        <w:t>derniers</w:t>
      </w:r>
      <w:r w:rsidR="0003736B" w:rsidRPr="00C920F6">
        <w:rPr>
          <w:rFonts w:ascii="Book Antiqua" w:hAnsi="Book Antiqua"/>
          <w:sz w:val="24"/>
          <w:szCs w:val="24"/>
        </w:rPr>
        <w:t xml:space="preserve"> ont réalisé</w:t>
      </w:r>
      <w:r w:rsidR="00AF3687" w:rsidRPr="00C920F6">
        <w:rPr>
          <w:rFonts w:ascii="Book Antiqua" w:hAnsi="Book Antiqua"/>
          <w:sz w:val="24"/>
          <w:szCs w:val="24"/>
        </w:rPr>
        <w:t>, depuis,</w:t>
      </w:r>
      <w:r w:rsidR="0003736B" w:rsidRPr="00C920F6">
        <w:rPr>
          <w:rFonts w:ascii="Book Antiqua" w:hAnsi="Book Antiqua"/>
          <w:sz w:val="24"/>
          <w:szCs w:val="24"/>
        </w:rPr>
        <w:t xml:space="preserve"> de meilleur</w:t>
      </w:r>
      <w:r w:rsidR="00AF3687" w:rsidRPr="00C920F6">
        <w:rPr>
          <w:rFonts w:ascii="Book Antiqua" w:hAnsi="Book Antiqua"/>
          <w:sz w:val="24"/>
          <w:szCs w:val="24"/>
        </w:rPr>
        <w:t>e</w:t>
      </w:r>
      <w:r w:rsidR="0003736B" w:rsidRPr="00C920F6">
        <w:rPr>
          <w:rFonts w:ascii="Book Antiqua" w:hAnsi="Book Antiqua"/>
          <w:sz w:val="24"/>
          <w:szCs w:val="24"/>
        </w:rPr>
        <w:t>s performances</w:t>
      </w:r>
      <w:r w:rsidR="00AF3687" w:rsidRPr="00C920F6">
        <w:rPr>
          <w:rFonts w:ascii="Book Antiqua" w:hAnsi="Book Antiqua"/>
          <w:sz w:val="24"/>
          <w:szCs w:val="24"/>
        </w:rPr>
        <w:t xml:space="preserve">. Avec les produits de </w:t>
      </w:r>
      <w:r w:rsidR="0003736B" w:rsidRPr="00C920F6">
        <w:rPr>
          <w:rFonts w:ascii="Book Antiqua" w:hAnsi="Book Antiqua"/>
          <w:sz w:val="24"/>
          <w:szCs w:val="24"/>
        </w:rPr>
        <w:t xml:space="preserve">la pêche, </w:t>
      </w:r>
      <w:r w:rsidR="00AF3687" w:rsidRPr="00C920F6">
        <w:rPr>
          <w:rFonts w:ascii="Book Antiqua" w:hAnsi="Book Antiqua"/>
          <w:sz w:val="24"/>
          <w:szCs w:val="24"/>
        </w:rPr>
        <w:t xml:space="preserve">ils ont </w:t>
      </w:r>
      <w:r w:rsidR="0003736B" w:rsidRPr="00C920F6">
        <w:rPr>
          <w:rFonts w:ascii="Book Antiqua" w:hAnsi="Book Antiqua"/>
          <w:sz w:val="24"/>
          <w:szCs w:val="24"/>
        </w:rPr>
        <w:t xml:space="preserve">réduit l’impact </w:t>
      </w:r>
      <w:r w:rsidR="00223C11" w:rsidRPr="00C920F6">
        <w:rPr>
          <w:rFonts w:ascii="Book Antiqua" w:hAnsi="Book Antiqua"/>
          <w:sz w:val="24"/>
          <w:szCs w:val="24"/>
        </w:rPr>
        <w:t xml:space="preserve">du déficit dans le </w:t>
      </w:r>
      <w:r w:rsidR="0003736B" w:rsidRPr="00C920F6">
        <w:rPr>
          <w:rFonts w:ascii="Book Antiqua" w:hAnsi="Book Antiqua"/>
          <w:sz w:val="24"/>
          <w:szCs w:val="24"/>
        </w:rPr>
        <w:t>secteur céréalier sur la vale</w:t>
      </w:r>
      <w:r w:rsidR="003A1EDC" w:rsidRPr="00C920F6">
        <w:rPr>
          <w:rFonts w:ascii="Book Antiqua" w:hAnsi="Book Antiqua"/>
          <w:sz w:val="24"/>
          <w:szCs w:val="24"/>
        </w:rPr>
        <w:t>u</w:t>
      </w:r>
      <w:r w:rsidR="0003736B" w:rsidRPr="00C920F6">
        <w:rPr>
          <w:rFonts w:ascii="Book Antiqua" w:hAnsi="Book Antiqua"/>
          <w:sz w:val="24"/>
          <w:szCs w:val="24"/>
        </w:rPr>
        <w:t>r ajoutée du secteur primaire</w:t>
      </w:r>
      <w:r w:rsidR="00056F28" w:rsidRPr="00C920F6">
        <w:rPr>
          <w:rFonts w:ascii="Book Antiqua" w:hAnsi="Book Antiqua"/>
          <w:sz w:val="24"/>
          <w:szCs w:val="24"/>
        </w:rPr>
        <w:t>. La tendance à la baisse du rythme de croissance de la production des céréales devrait</w:t>
      </w:r>
      <w:r w:rsidR="00223C11" w:rsidRPr="00C920F6">
        <w:rPr>
          <w:rFonts w:ascii="Book Antiqua" w:hAnsi="Book Antiqua"/>
          <w:sz w:val="24"/>
          <w:szCs w:val="24"/>
        </w:rPr>
        <w:t>, cependant,</w:t>
      </w:r>
      <w:r w:rsidR="00056F28" w:rsidRPr="00C920F6">
        <w:rPr>
          <w:rFonts w:ascii="Book Antiqua" w:hAnsi="Book Antiqua"/>
          <w:sz w:val="24"/>
          <w:szCs w:val="24"/>
        </w:rPr>
        <w:t xml:space="preserve"> se maintenir avec la </w:t>
      </w:r>
      <w:r w:rsidR="001A15C6" w:rsidRPr="00C920F6">
        <w:rPr>
          <w:rFonts w:ascii="Book Antiqua" w:hAnsi="Book Antiqua"/>
          <w:sz w:val="24"/>
          <w:szCs w:val="24"/>
        </w:rPr>
        <w:t>faible</w:t>
      </w:r>
      <w:r w:rsidR="00AF3687" w:rsidRPr="00C920F6">
        <w:rPr>
          <w:rFonts w:ascii="Book Antiqua" w:hAnsi="Book Antiqua"/>
          <w:sz w:val="24"/>
          <w:szCs w:val="24"/>
        </w:rPr>
        <w:t xml:space="preserve"> </w:t>
      </w:r>
      <w:r w:rsidR="00A93BF3" w:rsidRPr="00C920F6">
        <w:rPr>
          <w:rFonts w:ascii="Book Antiqua" w:hAnsi="Book Antiqua"/>
          <w:sz w:val="24"/>
          <w:szCs w:val="24"/>
        </w:rPr>
        <w:t xml:space="preserve">productivité </w:t>
      </w:r>
      <w:r w:rsidR="00DB05A5" w:rsidRPr="00C920F6">
        <w:rPr>
          <w:rFonts w:ascii="Book Antiqua" w:hAnsi="Book Antiqua"/>
          <w:sz w:val="24"/>
          <w:szCs w:val="24"/>
        </w:rPr>
        <w:t>des zones</w:t>
      </w:r>
      <w:r w:rsidR="001B4300" w:rsidRPr="00C920F6">
        <w:rPr>
          <w:rFonts w:ascii="Book Antiqua" w:hAnsi="Book Antiqua"/>
          <w:sz w:val="24"/>
          <w:szCs w:val="24"/>
        </w:rPr>
        <w:t xml:space="preserve"> " </w:t>
      </w:r>
      <w:r w:rsidR="00DB05A5" w:rsidRPr="00C920F6">
        <w:rPr>
          <w:rFonts w:ascii="Book Antiqua" w:hAnsi="Book Antiqua"/>
          <w:sz w:val="24"/>
          <w:szCs w:val="24"/>
        </w:rPr>
        <w:t>bour</w:t>
      </w:r>
      <w:r w:rsidR="001B4300" w:rsidRPr="00C920F6">
        <w:rPr>
          <w:rFonts w:ascii="Book Antiqua" w:hAnsi="Book Antiqua"/>
          <w:sz w:val="24"/>
          <w:szCs w:val="24"/>
        </w:rPr>
        <w:t xml:space="preserve"> " </w:t>
      </w:r>
      <w:r w:rsidR="00DB05A5" w:rsidRPr="00C920F6">
        <w:rPr>
          <w:rFonts w:ascii="Book Antiqua" w:hAnsi="Book Antiqua"/>
          <w:sz w:val="24"/>
          <w:szCs w:val="24"/>
        </w:rPr>
        <w:t>qui connaissent la plus grande concentration des petites et moyennes exploitations familiales</w:t>
      </w:r>
      <w:r w:rsidR="00223C11" w:rsidRPr="00C920F6">
        <w:rPr>
          <w:rFonts w:ascii="Book Antiqua" w:hAnsi="Book Antiqua"/>
          <w:sz w:val="24"/>
          <w:szCs w:val="24"/>
        </w:rPr>
        <w:t xml:space="preserve">. </w:t>
      </w:r>
      <w:r w:rsidR="003C3ED7" w:rsidRPr="00C920F6">
        <w:rPr>
          <w:rFonts w:ascii="Book Antiqua" w:hAnsi="Book Antiqua"/>
          <w:sz w:val="24"/>
          <w:szCs w:val="24"/>
        </w:rPr>
        <w:t xml:space="preserve"> </w:t>
      </w:r>
      <w:r w:rsidR="00223C11" w:rsidRPr="00C920F6">
        <w:rPr>
          <w:rFonts w:ascii="Book Antiqua" w:hAnsi="Book Antiqua"/>
          <w:sz w:val="24"/>
          <w:szCs w:val="24"/>
        </w:rPr>
        <w:t>A</w:t>
      </w:r>
      <w:r w:rsidR="003C3ED7" w:rsidRPr="00C920F6">
        <w:rPr>
          <w:rFonts w:ascii="Book Antiqua" w:hAnsi="Book Antiqua"/>
          <w:sz w:val="24"/>
          <w:szCs w:val="24"/>
        </w:rPr>
        <w:t>vec</w:t>
      </w:r>
      <w:r w:rsidR="00C522F0" w:rsidRPr="00C920F6">
        <w:rPr>
          <w:rFonts w:ascii="Book Antiqua" w:hAnsi="Book Antiqua"/>
          <w:sz w:val="24"/>
          <w:szCs w:val="24"/>
        </w:rPr>
        <w:t>,</w:t>
      </w:r>
      <w:r w:rsidR="003C3ED7" w:rsidRPr="00C920F6">
        <w:rPr>
          <w:rFonts w:ascii="Book Antiqua" w:hAnsi="Book Antiqua"/>
          <w:sz w:val="24"/>
          <w:szCs w:val="24"/>
        </w:rPr>
        <w:t xml:space="preserve"> cependant</w:t>
      </w:r>
      <w:r w:rsidR="00C522F0" w:rsidRPr="00C920F6">
        <w:rPr>
          <w:rFonts w:ascii="Book Antiqua" w:hAnsi="Book Antiqua"/>
          <w:sz w:val="24"/>
          <w:szCs w:val="24"/>
        </w:rPr>
        <w:t>,</w:t>
      </w:r>
      <w:r w:rsidR="003C3ED7" w:rsidRPr="00C920F6">
        <w:rPr>
          <w:rFonts w:ascii="Book Antiqua" w:hAnsi="Book Antiqua"/>
          <w:sz w:val="24"/>
          <w:szCs w:val="24"/>
        </w:rPr>
        <w:t xml:space="preserve"> l’intensification des programmes du Plan Maroc Vert</w:t>
      </w:r>
      <w:r w:rsidR="00223C11" w:rsidRPr="00C920F6">
        <w:rPr>
          <w:rFonts w:ascii="Book Antiqua" w:hAnsi="Book Antiqua"/>
          <w:sz w:val="24"/>
          <w:szCs w:val="24"/>
        </w:rPr>
        <w:t>, l</w:t>
      </w:r>
      <w:r w:rsidR="001F79D3" w:rsidRPr="00C920F6">
        <w:rPr>
          <w:rFonts w:ascii="Book Antiqua" w:hAnsi="Book Antiqua"/>
          <w:sz w:val="24"/>
          <w:szCs w:val="24"/>
        </w:rPr>
        <w:t xml:space="preserve">es produits de l’arboriculture, du maraichage et de l’élevage </w:t>
      </w:r>
      <w:r w:rsidR="003C3ED7" w:rsidRPr="00C920F6">
        <w:rPr>
          <w:rFonts w:ascii="Book Antiqua" w:hAnsi="Book Antiqua"/>
          <w:sz w:val="24"/>
          <w:szCs w:val="24"/>
        </w:rPr>
        <w:t xml:space="preserve">ont vocation à demeurer une mine de valeurs ajoutées et d’emplois, un moteur du processus de la nécessaire industrialisation de notre pays et un vecteur d’adaptation de notre système de production aux normes du développement durable. </w:t>
      </w:r>
      <w:r w:rsidR="00674FC9" w:rsidRPr="00C920F6">
        <w:rPr>
          <w:rFonts w:ascii="Book Antiqua" w:hAnsi="Book Antiqua"/>
          <w:sz w:val="24"/>
          <w:szCs w:val="24"/>
        </w:rPr>
        <w:t>A cet effet, e</w:t>
      </w:r>
      <w:r w:rsidR="00223C11" w:rsidRPr="00C920F6">
        <w:rPr>
          <w:rFonts w:ascii="Book Antiqua" w:hAnsi="Book Antiqua"/>
          <w:sz w:val="24"/>
          <w:szCs w:val="24"/>
        </w:rPr>
        <w:t xml:space="preserve">lle </w:t>
      </w:r>
      <w:r w:rsidR="00674FC9" w:rsidRPr="00C920F6">
        <w:rPr>
          <w:rFonts w:ascii="Book Antiqua" w:hAnsi="Book Antiqua"/>
          <w:sz w:val="24"/>
          <w:szCs w:val="24"/>
        </w:rPr>
        <w:t xml:space="preserve">aurait vocation à </w:t>
      </w:r>
      <w:r w:rsidR="00223C11" w:rsidRPr="00C920F6">
        <w:rPr>
          <w:rFonts w:ascii="Book Antiqua" w:hAnsi="Book Antiqua"/>
          <w:sz w:val="24"/>
          <w:szCs w:val="24"/>
        </w:rPr>
        <w:t xml:space="preserve">compenser </w:t>
      </w:r>
      <w:r w:rsidR="003C3ED7" w:rsidRPr="00C920F6">
        <w:rPr>
          <w:rFonts w:ascii="Book Antiqua" w:hAnsi="Book Antiqua"/>
          <w:sz w:val="24"/>
          <w:szCs w:val="24"/>
        </w:rPr>
        <w:t>la baisse tendancielle de mobilisation des ressources de base</w:t>
      </w:r>
      <w:r w:rsidR="00B951BC" w:rsidRPr="00C920F6">
        <w:rPr>
          <w:rFonts w:ascii="Book Antiqua" w:hAnsi="Book Antiqua"/>
          <w:sz w:val="24"/>
          <w:szCs w:val="24"/>
        </w:rPr>
        <w:t>,</w:t>
      </w:r>
      <w:r w:rsidR="003C3ED7" w:rsidRPr="00C920F6">
        <w:rPr>
          <w:rFonts w:ascii="Book Antiqua" w:hAnsi="Book Antiqua"/>
          <w:sz w:val="24"/>
          <w:szCs w:val="24"/>
        </w:rPr>
        <w:t xml:space="preserve"> notamment la terre et l’eau</w:t>
      </w:r>
      <w:r w:rsidR="00E87DB7" w:rsidRPr="00C920F6">
        <w:rPr>
          <w:rFonts w:ascii="Book Antiqua" w:hAnsi="Book Antiqua"/>
          <w:sz w:val="24"/>
          <w:szCs w:val="24"/>
        </w:rPr>
        <w:t xml:space="preserve">, continuer </w:t>
      </w:r>
      <w:r w:rsidR="00674FC9" w:rsidRPr="00C920F6">
        <w:rPr>
          <w:rFonts w:ascii="Book Antiqua" w:hAnsi="Book Antiqua"/>
          <w:sz w:val="24"/>
          <w:szCs w:val="24"/>
        </w:rPr>
        <w:t>à</w:t>
      </w:r>
      <w:r w:rsidR="00E87DB7" w:rsidRPr="00C920F6">
        <w:rPr>
          <w:rFonts w:ascii="Book Antiqua" w:hAnsi="Book Antiqua"/>
          <w:sz w:val="24"/>
          <w:szCs w:val="24"/>
        </w:rPr>
        <w:t xml:space="preserve"> porter le dynamisme amorcé de </w:t>
      </w:r>
      <w:r w:rsidR="001B4300" w:rsidRPr="00C920F6">
        <w:rPr>
          <w:rFonts w:ascii="Book Antiqua" w:hAnsi="Book Antiqua"/>
          <w:sz w:val="24"/>
          <w:szCs w:val="24"/>
        </w:rPr>
        <w:t>l’agro-industrie</w:t>
      </w:r>
      <w:r w:rsidR="00674FC9" w:rsidRPr="00C920F6">
        <w:rPr>
          <w:rFonts w:ascii="Book Antiqua" w:hAnsi="Book Antiqua"/>
          <w:sz w:val="24"/>
          <w:szCs w:val="24"/>
        </w:rPr>
        <w:t xml:space="preserve"> et bénéficier du </w:t>
      </w:r>
      <w:r w:rsidR="00B951BC" w:rsidRPr="00C920F6">
        <w:rPr>
          <w:rFonts w:ascii="Book Antiqua" w:hAnsi="Book Antiqua"/>
          <w:sz w:val="24"/>
          <w:szCs w:val="24"/>
        </w:rPr>
        <w:t xml:space="preserve">nécessaire effort de </w:t>
      </w:r>
      <w:r w:rsidR="001A15C6" w:rsidRPr="00C920F6">
        <w:rPr>
          <w:rFonts w:ascii="Book Antiqua" w:hAnsi="Book Antiqua"/>
          <w:sz w:val="24"/>
          <w:szCs w:val="24"/>
        </w:rPr>
        <w:t xml:space="preserve">diversification des </w:t>
      </w:r>
      <w:r w:rsidR="001B4300" w:rsidRPr="00C920F6">
        <w:rPr>
          <w:rFonts w:ascii="Book Antiqua" w:hAnsi="Book Antiqua"/>
          <w:sz w:val="24"/>
          <w:szCs w:val="24"/>
        </w:rPr>
        <w:t xml:space="preserve">marchés extérieurs et </w:t>
      </w:r>
      <w:r w:rsidR="00674FC9" w:rsidRPr="00C920F6">
        <w:rPr>
          <w:rFonts w:ascii="Book Antiqua" w:hAnsi="Book Antiqua"/>
          <w:sz w:val="24"/>
          <w:szCs w:val="24"/>
        </w:rPr>
        <w:t xml:space="preserve">une </w:t>
      </w:r>
      <w:r w:rsidR="001A15C6" w:rsidRPr="00C920F6">
        <w:rPr>
          <w:rFonts w:ascii="Book Antiqua" w:hAnsi="Book Antiqua"/>
          <w:sz w:val="24"/>
          <w:szCs w:val="24"/>
        </w:rPr>
        <w:t xml:space="preserve">amélioration </w:t>
      </w:r>
      <w:r w:rsidR="001B4300" w:rsidRPr="00C920F6">
        <w:rPr>
          <w:rFonts w:ascii="Book Antiqua" w:hAnsi="Book Antiqua"/>
          <w:sz w:val="24"/>
          <w:szCs w:val="24"/>
        </w:rPr>
        <w:t>du pouvoir d’achat des ménages</w:t>
      </w:r>
      <w:r w:rsidR="00AF3687" w:rsidRPr="00C920F6">
        <w:rPr>
          <w:rFonts w:ascii="Book Antiqua" w:hAnsi="Book Antiqua"/>
          <w:sz w:val="24"/>
          <w:szCs w:val="24"/>
        </w:rPr>
        <w:t xml:space="preserve"> nationaux</w:t>
      </w:r>
      <w:r w:rsidR="001B4300" w:rsidRPr="00C920F6">
        <w:rPr>
          <w:rFonts w:ascii="Book Antiqua" w:hAnsi="Book Antiqua"/>
          <w:sz w:val="24"/>
          <w:szCs w:val="24"/>
        </w:rPr>
        <w:t xml:space="preserve">. </w:t>
      </w:r>
    </w:p>
    <w:p w:rsidR="00615D45" w:rsidRPr="00C920F6" w:rsidRDefault="00697BB1" w:rsidP="00FF236F">
      <w:pPr>
        <w:spacing w:after="240" w:line="360" w:lineRule="auto"/>
        <w:ind w:firstLine="709"/>
        <w:jc w:val="both"/>
        <w:rPr>
          <w:rFonts w:ascii="Book Antiqua" w:hAnsi="Book Antiqua"/>
          <w:sz w:val="24"/>
          <w:szCs w:val="24"/>
        </w:rPr>
      </w:pPr>
      <w:r w:rsidRPr="00C920F6">
        <w:rPr>
          <w:rFonts w:ascii="Book Antiqua" w:hAnsi="Book Antiqua"/>
          <w:b/>
          <w:bCs/>
          <w:sz w:val="24"/>
          <w:szCs w:val="24"/>
          <w:u w:val="single"/>
        </w:rPr>
        <w:t>Au niveau du secteur non agricole</w:t>
      </w:r>
      <w:r w:rsidRPr="00C920F6">
        <w:rPr>
          <w:rFonts w:ascii="Book Antiqua" w:hAnsi="Book Antiqua"/>
          <w:sz w:val="24"/>
          <w:szCs w:val="24"/>
        </w:rPr>
        <w:t xml:space="preserve"> : </w:t>
      </w:r>
      <w:r w:rsidR="00822676" w:rsidRPr="00C920F6">
        <w:rPr>
          <w:rFonts w:ascii="Book Antiqua" w:hAnsi="Book Antiqua"/>
          <w:sz w:val="24"/>
          <w:szCs w:val="24"/>
        </w:rPr>
        <w:t>Nous n’avions cependant cessé de relever que le processus de modernisation des structures agricole</w:t>
      </w:r>
      <w:r w:rsidR="00A72A56" w:rsidRPr="00C920F6">
        <w:rPr>
          <w:rFonts w:ascii="Book Antiqua" w:hAnsi="Book Antiqua"/>
          <w:sz w:val="24"/>
          <w:szCs w:val="24"/>
        </w:rPr>
        <w:t>s</w:t>
      </w:r>
      <w:r w:rsidR="00822676" w:rsidRPr="00C920F6">
        <w:rPr>
          <w:rFonts w:ascii="Book Antiqua" w:hAnsi="Book Antiqua"/>
          <w:sz w:val="24"/>
          <w:szCs w:val="24"/>
        </w:rPr>
        <w:t xml:space="preserve"> et l’amélioration de leur productivité s’inscrivent de par leur nature dans le long terme. </w:t>
      </w:r>
      <w:r w:rsidR="000B51A9" w:rsidRPr="00C920F6">
        <w:rPr>
          <w:rFonts w:ascii="Book Antiqua" w:hAnsi="Book Antiqua"/>
          <w:sz w:val="24"/>
          <w:szCs w:val="24"/>
        </w:rPr>
        <w:t>Le</w:t>
      </w:r>
      <w:r w:rsidR="003400D3" w:rsidRPr="00C920F6">
        <w:rPr>
          <w:rFonts w:ascii="Book Antiqua" w:hAnsi="Book Antiqua"/>
          <w:sz w:val="24"/>
          <w:szCs w:val="24"/>
        </w:rPr>
        <w:t>s</w:t>
      </w:r>
      <w:r w:rsidR="000B51A9" w:rsidRPr="00C920F6">
        <w:rPr>
          <w:rFonts w:ascii="Book Antiqua" w:hAnsi="Book Antiqua"/>
          <w:sz w:val="24"/>
          <w:szCs w:val="24"/>
        </w:rPr>
        <w:t xml:space="preserve"> faiblesses de notre croissance réside</w:t>
      </w:r>
      <w:r w:rsidR="003400D3" w:rsidRPr="00C920F6">
        <w:rPr>
          <w:rFonts w:ascii="Book Antiqua" w:hAnsi="Book Antiqua"/>
          <w:sz w:val="24"/>
          <w:szCs w:val="24"/>
        </w:rPr>
        <w:t>nt</w:t>
      </w:r>
      <w:r w:rsidR="000B51A9" w:rsidRPr="00C920F6">
        <w:rPr>
          <w:rFonts w:ascii="Book Antiqua" w:hAnsi="Book Antiqua"/>
          <w:sz w:val="24"/>
          <w:szCs w:val="24"/>
        </w:rPr>
        <w:t xml:space="preserve"> davantage dans le niveau de diversification et de compétitivité du secteur non agricole. </w:t>
      </w:r>
      <w:r w:rsidR="001D63D1" w:rsidRPr="00C920F6">
        <w:rPr>
          <w:rFonts w:ascii="Book Antiqua" w:hAnsi="Book Antiqua"/>
          <w:sz w:val="24"/>
          <w:szCs w:val="24"/>
        </w:rPr>
        <w:t xml:space="preserve">La forte décélération des activités tertiaires qui constituent 66% de </w:t>
      </w:r>
      <w:r w:rsidR="00FF236F">
        <w:rPr>
          <w:rFonts w:ascii="Book Antiqua" w:hAnsi="Book Antiqua"/>
          <w:sz w:val="24"/>
          <w:szCs w:val="24"/>
        </w:rPr>
        <w:t>l</w:t>
      </w:r>
      <w:r w:rsidR="001D63D1" w:rsidRPr="00C920F6">
        <w:rPr>
          <w:rFonts w:ascii="Book Antiqua" w:hAnsi="Book Antiqua"/>
          <w:sz w:val="24"/>
          <w:szCs w:val="24"/>
        </w:rPr>
        <w:t>a valeur ajoutée</w:t>
      </w:r>
      <w:r w:rsidR="00EF2DCD" w:rsidRPr="00C920F6">
        <w:rPr>
          <w:rFonts w:ascii="Book Antiqua" w:hAnsi="Book Antiqua"/>
          <w:sz w:val="24"/>
          <w:szCs w:val="24"/>
        </w:rPr>
        <w:t xml:space="preserve"> </w:t>
      </w:r>
      <w:r w:rsidR="00FF236F">
        <w:rPr>
          <w:rFonts w:ascii="Book Antiqua" w:hAnsi="Book Antiqua"/>
          <w:sz w:val="24"/>
          <w:szCs w:val="24"/>
        </w:rPr>
        <w:t xml:space="preserve">de ce secteur </w:t>
      </w:r>
      <w:r w:rsidR="003400D3" w:rsidRPr="00C920F6">
        <w:rPr>
          <w:rFonts w:ascii="Book Antiqua" w:hAnsi="Book Antiqua"/>
          <w:sz w:val="24"/>
          <w:szCs w:val="24"/>
        </w:rPr>
        <w:t xml:space="preserve">a coïncidé avec </w:t>
      </w:r>
      <w:r w:rsidR="00EF2DCD" w:rsidRPr="00C920F6">
        <w:rPr>
          <w:rFonts w:ascii="Book Antiqua" w:hAnsi="Book Antiqua"/>
          <w:sz w:val="24"/>
          <w:szCs w:val="24"/>
        </w:rPr>
        <w:t xml:space="preserve">la crise du BTP </w:t>
      </w:r>
      <w:r w:rsidR="003400D3" w:rsidRPr="00C920F6">
        <w:rPr>
          <w:rFonts w:ascii="Book Antiqua" w:hAnsi="Book Antiqua"/>
          <w:sz w:val="24"/>
          <w:szCs w:val="24"/>
        </w:rPr>
        <w:t xml:space="preserve">et en particulier celle du bâtiment où </w:t>
      </w:r>
      <w:r w:rsidR="006D7017" w:rsidRPr="00C920F6">
        <w:rPr>
          <w:rFonts w:ascii="Book Antiqua" w:hAnsi="Book Antiqua"/>
          <w:sz w:val="24"/>
          <w:szCs w:val="24"/>
        </w:rPr>
        <w:t>il</w:t>
      </w:r>
      <w:r w:rsidR="003400D3" w:rsidRPr="00C920F6">
        <w:rPr>
          <w:rFonts w:ascii="Book Antiqua" w:hAnsi="Book Antiqua"/>
          <w:sz w:val="24"/>
          <w:szCs w:val="24"/>
        </w:rPr>
        <w:t xml:space="preserve"> représente plus de 80%. </w:t>
      </w:r>
      <w:r w:rsidR="007775FE" w:rsidRPr="00C920F6">
        <w:rPr>
          <w:rFonts w:ascii="Book Antiqua" w:hAnsi="Book Antiqua"/>
          <w:sz w:val="24"/>
          <w:szCs w:val="24"/>
        </w:rPr>
        <w:t xml:space="preserve">L’endettement des entreprises et des ménages </w:t>
      </w:r>
      <w:r w:rsidR="005F2B6F" w:rsidRPr="00C920F6">
        <w:rPr>
          <w:rFonts w:ascii="Book Antiqua" w:hAnsi="Book Antiqua"/>
          <w:sz w:val="24"/>
          <w:szCs w:val="24"/>
        </w:rPr>
        <w:t xml:space="preserve">et la politique de distribution des crédits bancaires </w:t>
      </w:r>
      <w:r w:rsidR="00C654A4" w:rsidRPr="00C920F6">
        <w:rPr>
          <w:rFonts w:ascii="Book Antiqua" w:hAnsi="Book Antiqua"/>
          <w:sz w:val="24"/>
          <w:szCs w:val="24"/>
        </w:rPr>
        <w:t xml:space="preserve">sont aujourd’hui à l’origine de </w:t>
      </w:r>
      <w:r w:rsidR="006D7017" w:rsidRPr="00C920F6">
        <w:rPr>
          <w:rFonts w:ascii="Book Antiqua" w:hAnsi="Book Antiqua"/>
          <w:sz w:val="24"/>
          <w:szCs w:val="24"/>
        </w:rPr>
        <w:t>cette</w:t>
      </w:r>
      <w:r w:rsidR="00C654A4" w:rsidRPr="00C920F6">
        <w:rPr>
          <w:rFonts w:ascii="Book Antiqua" w:hAnsi="Book Antiqua"/>
          <w:sz w:val="24"/>
          <w:szCs w:val="24"/>
        </w:rPr>
        <w:t xml:space="preserve"> crise, après en avoir été le moteur de </w:t>
      </w:r>
      <w:r w:rsidR="006D7017" w:rsidRPr="00C920F6">
        <w:rPr>
          <w:rFonts w:ascii="Book Antiqua" w:hAnsi="Book Antiqua"/>
          <w:sz w:val="24"/>
          <w:szCs w:val="24"/>
        </w:rPr>
        <w:t>croissance</w:t>
      </w:r>
      <w:r w:rsidR="00C654A4" w:rsidRPr="00C920F6">
        <w:rPr>
          <w:rFonts w:ascii="Book Antiqua" w:hAnsi="Book Antiqua"/>
          <w:sz w:val="24"/>
          <w:szCs w:val="24"/>
        </w:rPr>
        <w:t xml:space="preserve">. La </w:t>
      </w:r>
      <w:r w:rsidR="004C452F" w:rsidRPr="00C920F6">
        <w:rPr>
          <w:rFonts w:ascii="Book Antiqua" w:hAnsi="Book Antiqua"/>
          <w:sz w:val="24"/>
          <w:szCs w:val="24"/>
        </w:rPr>
        <w:t xml:space="preserve">décélération </w:t>
      </w:r>
      <w:r w:rsidR="00C654A4" w:rsidRPr="00C920F6">
        <w:rPr>
          <w:rFonts w:ascii="Book Antiqua" w:hAnsi="Book Antiqua"/>
          <w:sz w:val="24"/>
          <w:szCs w:val="24"/>
        </w:rPr>
        <w:t xml:space="preserve">du BTP dans son ensemble </w:t>
      </w:r>
      <w:r w:rsidR="00FF236F">
        <w:rPr>
          <w:rFonts w:ascii="Book Antiqua" w:hAnsi="Book Antiqua"/>
          <w:sz w:val="24"/>
          <w:szCs w:val="24"/>
        </w:rPr>
        <w:t xml:space="preserve">et la croissance du secteur non agricole </w:t>
      </w:r>
      <w:r w:rsidR="008B7558" w:rsidRPr="00C920F6">
        <w:rPr>
          <w:rFonts w:ascii="Book Antiqua" w:hAnsi="Book Antiqua"/>
          <w:sz w:val="24"/>
          <w:szCs w:val="24"/>
        </w:rPr>
        <w:t>interpelle</w:t>
      </w:r>
      <w:r w:rsidR="00FF236F">
        <w:rPr>
          <w:rFonts w:ascii="Book Antiqua" w:hAnsi="Book Antiqua"/>
          <w:sz w:val="24"/>
          <w:szCs w:val="24"/>
        </w:rPr>
        <w:t>nt</w:t>
      </w:r>
      <w:r w:rsidR="008E03BA" w:rsidRPr="00C920F6">
        <w:rPr>
          <w:rFonts w:ascii="Book Antiqua" w:hAnsi="Book Antiqua"/>
          <w:sz w:val="24"/>
          <w:szCs w:val="24"/>
        </w:rPr>
        <w:t>,</w:t>
      </w:r>
      <w:r w:rsidR="008B7558" w:rsidRPr="00C920F6">
        <w:rPr>
          <w:rFonts w:ascii="Book Antiqua" w:hAnsi="Book Antiqua"/>
          <w:sz w:val="24"/>
          <w:szCs w:val="24"/>
        </w:rPr>
        <w:t xml:space="preserve"> aujourd’hui, sur l’urgence qui s’attache à </w:t>
      </w:r>
      <w:r w:rsidR="00C654A4" w:rsidRPr="00C920F6">
        <w:rPr>
          <w:rFonts w:ascii="Book Antiqua" w:hAnsi="Book Antiqua"/>
          <w:sz w:val="24"/>
          <w:szCs w:val="24"/>
        </w:rPr>
        <w:t>l</w:t>
      </w:r>
      <w:r w:rsidR="008B7558" w:rsidRPr="00C920F6">
        <w:rPr>
          <w:rFonts w:ascii="Book Antiqua" w:hAnsi="Book Antiqua"/>
          <w:sz w:val="24"/>
          <w:szCs w:val="24"/>
        </w:rPr>
        <w:t xml:space="preserve">a valorisation </w:t>
      </w:r>
      <w:r w:rsidR="00C654A4" w:rsidRPr="00C920F6">
        <w:rPr>
          <w:rFonts w:ascii="Book Antiqua" w:hAnsi="Book Antiqua"/>
          <w:sz w:val="24"/>
          <w:szCs w:val="24"/>
        </w:rPr>
        <w:t>de l’effort d’investissement consenti par l</w:t>
      </w:r>
      <w:r w:rsidR="008E03BA" w:rsidRPr="00C920F6">
        <w:rPr>
          <w:rFonts w:ascii="Book Antiqua" w:hAnsi="Book Antiqua"/>
          <w:sz w:val="24"/>
          <w:szCs w:val="24"/>
        </w:rPr>
        <w:t>e</w:t>
      </w:r>
      <w:r w:rsidR="00C654A4" w:rsidRPr="00C920F6">
        <w:rPr>
          <w:rFonts w:ascii="Book Antiqua" w:hAnsi="Book Antiqua"/>
          <w:sz w:val="24"/>
          <w:szCs w:val="24"/>
        </w:rPr>
        <w:t xml:space="preserve"> pays dans les infrastructures économiques et sociales</w:t>
      </w:r>
      <w:r w:rsidR="005C0447" w:rsidRPr="00C920F6">
        <w:rPr>
          <w:rFonts w:ascii="Book Antiqua" w:hAnsi="Book Antiqua"/>
          <w:sz w:val="24"/>
          <w:szCs w:val="24"/>
        </w:rPr>
        <w:t xml:space="preserve">. </w:t>
      </w:r>
    </w:p>
    <w:p w:rsidR="00DE4C6F" w:rsidRPr="00C920F6" w:rsidRDefault="005C0447" w:rsidP="00101AAA">
      <w:pPr>
        <w:spacing w:after="240" w:line="360" w:lineRule="auto"/>
        <w:ind w:firstLine="709"/>
        <w:jc w:val="both"/>
        <w:rPr>
          <w:rFonts w:ascii="Book Antiqua" w:hAnsi="Book Antiqua"/>
          <w:sz w:val="24"/>
          <w:szCs w:val="24"/>
        </w:rPr>
      </w:pPr>
      <w:r w:rsidRPr="00C920F6">
        <w:rPr>
          <w:rFonts w:ascii="Book Antiqua" w:hAnsi="Book Antiqua"/>
          <w:sz w:val="24"/>
          <w:szCs w:val="24"/>
        </w:rPr>
        <w:lastRenderedPageBreak/>
        <w:t>Cette valorisation passe par la promotion de</w:t>
      </w:r>
      <w:r w:rsidR="008B7558" w:rsidRPr="00C920F6">
        <w:rPr>
          <w:rFonts w:ascii="Book Antiqua" w:hAnsi="Book Antiqua"/>
          <w:sz w:val="24"/>
          <w:szCs w:val="24"/>
        </w:rPr>
        <w:t xml:space="preserve"> programmes volontaristes de développement d</w:t>
      </w:r>
      <w:r w:rsidRPr="00C920F6">
        <w:rPr>
          <w:rFonts w:ascii="Book Antiqua" w:hAnsi="Book Antiqua"/>
          <w:sz w:val="24"/>
          <w:szCs w:val="24"/>
        </w:rPr>
        <w:t>’un</w:t>
      </w:r>
      <w:r w:rsidR="008B7558" w:rsidRPr="00C920F6">
        <w:rPr>
          <w:rFonts w:ascii="Book Antiqua" w:hAnsi="Book Antiqua"/>
          <w:sz w:val="24"/>
          <w:szCs w:val="24"/>
        </w:rPr>
        <w:t xml:space="preserve">e </w:t>
      </w:r>
      <w:r w:rsidRPr="00C920F6">
        <w:rPr>
          <w:rFonts w:ascii="Book Antiqua" w:hAnsi="Book Antiqua"/>
          <w:sz w:val="24"/>
          <w:szCs w:val="24"/>
        </w:rPr>
        <w:t>industrialisation</w:t>
      </w:r>
      <w:r w:rsidR="008B7558" w:rsidRPr="00C920F6">
        <w:rPr>
          <w:rFonts w:ascii="Book Antiqua" w:hAnsi="Book Antiqua"/>
          <w:sz w:val="24"/>
          <w:szCs w:val="24"/>
        </w:rPr>
        <w:t xml:space="preserve"> </w:t>
      </w:r>
      <w:r w:rsidRPr="00C920F6">
        <w:rPr>
          <w:rFonts w:ascii="Book Antiqua" w:hAnsi="Book Antiqua"/>
          <w:sz w:val="24"/>
          <w:szCs w:val="24"/>
        </w:rPr>
        <w:t>créatrice</w:t>
      </w:r>
      <w:r w:rsidR="008B7558" w:rsidRPr="00C920F6">
        <w:rPr>
          <w:rFonts w:ascii="Book Antiqua" w:hAnsi="Book Antiqua"/>
          <w:sz w:val="24"/>
          <w:szCs w:val="24"/>
        </w:rPr>
        <w:t xml:space="preserve"> de valeurs ajoutées durables</w:t>
      </w:r>
      <w:r w:rsidRPr="00C920F6">
        <w:rPr>
          <w:rFonts w:ascii="Book Antiqua" w:hAnsi="Book Antiqua"/>
          <w:sz w:val="24"/>
          <w:szCs w:val="24"/>
        </w:rPr>
        <w:t>,</w:t>
      </w:r>
      <w:r w:rsidR="008B7558" w:rsidRPr="00C920F6">
        <w:rPr>
          <w:rFonts w:ascii="Book Antiqua" w:hAnsi="Book Antiqua"/>
          <w:sz w:val="24"/>
          <w:szCs w:val="24"/>
        </w:rPr>
        <w:t xml:space="preserve"> de revenus et d’emplois de qualité</w:t>
      </w:r>
      <w:r w:rsidR="00F7343B" w:rsidRPr="00C920F6">
        <w:rPr>
          <w:rFonts w:ascii="Book Antiqua" w:hAnsi="Book Antiqua"/>
          <w:sz w:val="24"/>
          <w:szCs w:val="24"/>
        </w:rPr>
        <w:t>. Aussi faut-il relever</w:t>
      </w:r>
      <w:r w:rsidR="00847FE6" w:rsidRPr="00C920F6">
        <w:rPr>
          <w:rFonts w:ascii="Book Antiqua" w:hAnsi="Book Antiqua"/>
          <w:sz w:val="24"/>
          <w:szCs w:val="24"/>
        </w:rPr>
        <w:t>,</w:t>
      </w:r>
      <w:r w:rsidR="00F7343B" w:rsidRPr="00C920F6">
        <w:rPr>
          <w:rFonts w:ascii="Book Antiqua" w:hAnsi="Book Antiqua"/>
          <w:sz w:val="24"/>
          <w:szCs w:val="24"/>
        </w:rPr>
        <w:t xml:space="preserve"> </w:t>
      </w:r>
      <w:r w:rsidR="00C654A4" w:rsidRPr="00C920F6">
        <w:rPr>
          <w:rFonts w:ascii="Book Antiqua" w:hAnsi="Book Antiqua"/>
          <w:sz w:val="24"/>
          <w:szCs w:val="24"/>
        </w:rPr>
        <w:t>dans ce cadre</w:t>
      </w:r>
      <w:r w:rsidR="00847FE6" w:rsidRPr="00C920F6">
        <w:rPr>
          <w:rFonts w:ascii="Book Antiqua" w:hAnsi="Book Antiqua"/>
          <w:sz w:val="24"/>
          <w:szCs w:val="24"/>
        </w:rPr>
        <w:t>,</w:t>
      </w:r>
      <w:r w:rsidR="00F7343B" w:rsidRPr="00C920F6">
        <w:rPr>
          <w:rFonts w:ascii="Book Antiqua" w:hAnsi="Book Antiqua"/>
          <w:sz w:val="24"/>
          <w:szCs w:val="24"/>
        </w:rPr>
        <w:t xml:space="preserve"> l’essor que connait aujourd’hui</w:t>
      </w:r>
      <w:r w:rsidR="00DF0357" w:rsidRPr="00C920F6">
        <w:rPr>
          <w:rFonts w:ascii="Book Antiqua" w:hAnsi="Book Antiqua"/>
          <w:sz w:val="24"/>
          <w:szCs w:val="24"/>
        </w:rPr>
        <w:t xml:space="preserve"> l’agro-industrie</w:t>
      </w:r>
      <w:r w:rsidR="00F7343B" w:rsidRPr="00C920F6">
        <w:rPr>
          <w:rFonts w:ascii="Book Antiqua" w:hAnsi="Book Antiqua"/>
          <w:sz w:val="24"/>
          <w:szCs w:val="24"/>
        </w:rPr>
        <w:t xml:space="preserve">, grâce </w:t>
      </w:r>
      <w:r w:rsidR="006F0BFF" w:rsidRPr="00C920F6">
        <w:rPr>
          <w:rFonts w:ascii="Book Antiqua" w:hAnsi="Book Antiqua"/>
          <w:sz w:val="24"/>
          <w:szCs w:val="24"/>
        </w:rPr>
        <w:t>à la politique</w:t>
      </w:r>
      <w:r w:rsidR="00F7343B" w:rsidRPr="00C920F6">
        <w:rPr>
          <w:rFonts w:ascii="Book Antiqua" w:hAnsi="Book Antiqua"/>
          <w:sz w:val="24"/>
          <w:szCs w:val="24"/>
        </w:rPr>
        <w:t xml:space="preserve"> </w:t>
      </w:r>
      <w:r w:rsidR="006F0BFF" w:rsidRPr="00C920F6">
        <w:rPr>
          <w:rFonts w:ascii="Book Antiqua" w:hAnsi="Book Antiqua"/>
          <w:sz w:val="24"/>
          <w:szCs w:val="24"/>
        </w:rPr>
        <w:t>d’intégration</w:t>
      </w:r>
      <w:r w:rsidR="00F7343B" w:rsidRPr="00C920F6">
        <w:rPr>
          <w:rFonts w:ascii="Book Antiqua" w:hAnsi="Book Antiqua"/>
          <w:sz w:val="24"/>
          <w:szCs w:val="24"/>
        </w:rPr>
        <w:t xml:space="preserve"> </w:t>
      </w:r>
      <w:r w:rsidR="00DF0357" w:rsidRPr="00C920F6">
        <w:rPr>
          <w:rFonts w:ascii="Book Antiqua" w:hAnsi="Book Antiqua"/>
          <w:sz w:val="24"/>
          <w:szCs w:val="24"/>
        </w:rPr>
        <w:t xml:space="preserve">conduite dans le cadre </w:t>
      </w:r>
      <w:r w:rsidR="00847FE6" w:rsidRPr="00C920F6">
        <w:rPr>
          <w:rFonts w:ascii="Book Antiqua" w:hAnsi="Book Antiqua"/>
          <w:sz w:val="24"/>
          <w:szCs w:val="24"/>
        </w:rPr>
        <w:t xml:space="preserve">du </w:t>
      </w:r>
      <w:r w:rsidR="00F7343B" w:rsidRPr="00C920F6">
        <w:rPr>
          <w:rFonts w:ascii="Book Antiqua" w:hAnsi="Book Antiqua"/>
          <w:sz w:val="24"/>
          <w:szCs w:val="24"/>
        </w:rPr>
        <w:t>Plan Maroc Vert.</w:t>
      </w:r>
      <w:r w:rsidR="00A63918" w:rsidRPr="00C920F6">
        <w:rPr>
          <w:rFonts w:ascii="Book Antiqua" w:hAnsi="Book Antiqua"/>
          <w:sz w:val="24"/>
          <w:szCs w:val="24"/>
        </w:rPr>
        <w:t xml:space="preserve"> Cette branche de l’industrie</w:t>
      </w:r>
      <w:r w:rsidR="00847FE6" w:rsidRPr="00C920F6">
        <w:rPr>
          <w:rFonts w:ascii="Book Antiqua" w:hAnsi="Book Antiqua"/>
          <w:sz w:val="24"/>
          <w:szCs w:val="24"/>
        </w:rPr>
        <w:t>,</w:t>
      </w:r>
      <w:r w:rsidR="00F7343B" w:rsidRPr="00C920F6">
        <w:rPr>
          <w:rFonts w:ascii="Book Antiqua" w:hAnsi="Book Antiqua"/>
          <w:sz w:val="24"/>
          <w:szCs w:val="24"/>
        </w:rPr>
        <w:t xml:space="preserve"> avec la relance </w:t>
      </w:r>
      <w:r w:rsidR="00A63918" w:rsidRPr="00C920F6">
        <w:rPr>
          <w:rFonts w:ascii="Book Antiqua" w:hAnsi="Book Antiqua"/>
          <w:sz w:val="24"/>
          <w:szCs w:val="24"/>
        </w:rPr>
        <w:t xml:space="preserve">de celles qui constituent l’acquis </w:t>
      </w:r>
      <w:r w:rsidR="00F7343B" w:rsidRPr="00C920F6">
        <w:rPr>
          <w:rFonts w:ascii="Book Antiqua" w:hAnsi="Book Antiqua"/>
          <w:sz w:val="24"/>
          <w:szCs w:val="24"/>
        </w:rPr>
        <w:t xml:space="preserve">historique du Maroc </w:t>
      </w:r>
      <w:r w:rsidR="00A63918" w:rsidRPr="00C920F6">
        <w:rPr>
          <w:rFonts w:ascii="Book Antiqua" w:hAnsi="Book Antiqua"/>
          <w:sz w:val="24"/>
          <w:szCs w:val="24"/>
        </w:rPr>
        <w:t>dans ce domaine et</w:t>
      </w:r>
      <w:r w:rsidR="00101AAA">
        <w:rPr>
          <w:rFonts w:ascii="Book Antiqua" w:hAnsi="Book Antiqua"/>
          <w:sz w:val="24"/>
          <w:szCs w:val="24"/>
        </w:rPr>
        <w:t xml:space="preserve"> dans une moindre mesure </w:t>
      </w:r>
      <w:r w:rsidR="00A63918" w:rsidRPr="00C920F6">
        <w:rPr>
          <w:rFonts w:ascii="Book Antiqua" w:hAnsi="Book Antiqua"/>
          <w:sz w:val="24"/>
          <w:szCs w:val="24"/>
        </w:rPr>
        <w:t xml:space="preserve">la montée en force des </w:t>
      </w:r>
      <w:r w:rsidR="00F7343B" w:rsidRPr="00C920F6">
        <w:rPr>
          <w:rFonts w:ascii="Book Antiqua" w:hAnsi="Book Antiqua"/>
          <w:sz w:val="24"/>
          <w:szCs w:val="24"/>
        </w:rPr>
        <w:t>nouveaux métiers</w:t>
      </w:r>
      <w:r w:rsidR="00A63918" w:rsidRPr="00C920F6">
        <w:rPr>
          <w:rFonts w:ascii="Book Antiqua" w:hAnsi="Book Antiqua"/>
          <w:sz w:val="24"/>
          <w:szCs w:val="24"/>
        </w:rPr>
        <w:t xml:space="preserve"> de notre pays</w:t>
      </w:r>
      <w:r w:rsidR="00847FE6" w:rsidRPr="00C920F6">
        <w:rPr>
          <w:rFonts w:ascii="Book Antiqua" w:hAnsi="Book Antiqua"/>
          <w:sz w:val="24"/>
          <w:szCs w:val="24"/>
        </w:rPr>
        <w:t>,</w:t>
      </w:r>
      <w:r w:rsidR="00F7343B" w:rsidRPr="00C920F6">
        <w:rPr>
          <w:rFonts w:ascii="Book Antiqua" w:hAnsi="Book Antiqua"/>
          <w:sz w:val="24"/>
          <w:szCs w:val="24"/>
        </w:rPr>
        <w:t xml:space="preserve"> </w:t>
      </w:r>
      <w:r w:rsidR="00821BA2" w:rsidRPr="00C920F6">
        <w:rPr>
          <w:rFonts w:ascii="Book Antiqua" w:hAnsi="Book Antiqua"/>
          <w:sz w:val="24"/>
          <w:szCs w:val="24"/>
        </w:rPr>
        <w:t xml:space="preserve">ont contribué à accroitre la part du secteur secondaire dans le secteur non </w:t>
      </w:r>
      <w:r w:rsidR="0069747A" w:rsidRPr="00C920F6">
        <w:rPr>
          <w:rFonts w:ascii="Book Antiqua" w:hAnsi="Book Antiqua"/>
          <w:sz w:val="24"/>
          <w:szCs w:val="24"/>
        </w:rPr>
        <w:t>agricole</w:t>
      </w:r>
      <w:r w:rsidR="00821BA2" w:rsidRPr="00C920F6">
        <w:rPr>
          <w:rFonts w:ascii="Book Antiqua" w:hAnsi="Book Antiqua"/>
          <w:sz w:val="24"/>
          <w:szCs w:val="24"/>
        </w:rPr>
        <w:t>,</w:t>
      </w:r>
      <w:r w:rsidR="0069747A" w:rsidRPr="00C920F6">
        <w:rPr>
          <w:rFonts w:ascii="Book Antiqua" w:hAnsi="Book Antiqua"/>
          <w:sz w:val="24"/>
          <w:szCs w:val="24"/>
        </w:rPr>
        <w:t xml:space="preserve"> contribu</w:t>
      </w:r>
      <w:r w:rsidR="00821BA2" w:rsidRPr="00C920F6">
        <w:rPr>
          <w:rFonts w:ascii="Book Antiqua" w:hAnsi="Book Antiqua"/>
          <w:sz w:val="24"/>
          <w:szCs w:val="24"/>
        </w:rPr>
        <w:t>ant</w:t>
      </w:r>
      <w:r w:rsidR="0069747A" w:rsidRPr="00C920F6">
        <w:rPr>
          <w:rFonts w:ascii="Book Antiqua" w:hAnsi="Book Antiqua"/>
          <w:sz w:val="24"/>
          <w:szCs w:val="24"/>
        </w:rPr>
        <w:t xml:space="preserve"> ainsi à atténuer le ralentissement de son rythme de croissance. </w:t>
      </w:r>
    </w:p>
    <w:p w:rsidR="00DE4C6F" w:rsidRPr="00C920F6" w:rsidRDefault="00DE4C6F" w:rsidP="00DE4C6F">
      <w:pPr>
        <w:spacing w:after="240" w:line="360" w:lineRule="auto"/>
        <w:jc w:val="both"/>
        <w:rPr>
          <w:rFonts w:ascii="Book Antiqua" w:hAnsi="Book Antiqua"/>
          <w:b/>
          <w:bCs/>
          <w:sz w:val="24"/>
          <w:szCs w:val="24"/>
          <w:u w:val="single"/>
        </w:rPr>
      </w:pPr>
      <w:r w:rsidRPr="00C920F6">
        <w:rPr>
          <w:rFonts w:ascii="Book Antiqua" w:hAnsi="Book Antiqua"/>
          <w:b/>
          <w:bCs/>
          <w:sz w:val="24"/>
          <w:szCs w:val="24"/>
          <w:u w:val="single"/>
        </w:rPr>
        <w:t xml:space="preserve">La reprise industrielle, ses promesses et ses exigences </w:t>
      </w:r>
    </w:p>
    <w:p w:rsidR="007D2B42" w:rsidRDefault="00CA6E12" w:rsidP="001460AB">
      <w:pPr>
        <w:spacing w:after="240" w:line="360" w:lineRule="auto"/>
        <w:ind w:firstLine="709"/>
        <w:jc w:val="both"/>
        <w:rPr>
          <w:rFonts w:ascii="Book Antiqua" w:hAnsi="Book Antiqua"/>
          <w:sz w:val="24"/>
          <w:szCs w:val="24"/>
        </w:rPr>
      </w:pPr>
      <w:r w:rsidRPr="00C920F6">
        <w:rPr>
          <w:rFonts w:ascii="Book Antiqua" w:hAnsi="Book Antiqua"/>
          <w:sz w:val="24"/>
          <w:szCs w:val="24"/>
        </w:rPr>
        <w:t>Cette évolution indique la voie à baliser pour l’avènement progressif d’un nouveau modèle de développement</w:t>
      </w:r>
      <w:r w:rsidR="00690571" w:rsidRPr="00C920F6">
        <w:rPr>
          <w:rFonts w:ascii="Book Antiqua" w:hAnsi="Book Antiqua"/>
          <w:sz w:val="24"/>
          <w:szCs w:val="24"/>
        </w:rPr>
        <w:t xml:space="preserve"> porté par l’</w:t>
      </w:r>
      <w:r w:rsidR="009817B5" w:rsidRPr="00C920F6">
        <w:rPr>
          <w:rFonts w:ascii="Book Antiqua" w:hAnsi="Book Antiqua"/>
          <w:sz w:val="24"/>
          <w:szCs w:val="24"/>
        </w:rPr>
        <w:t>industrie autour</w:t>
      </w:r>
      <w:r w:rsidR="006D7349" w:rsidRPr="00C920F6">
        <w:rPr>
          <w:rFonts w:ascii="Book Antiqua" w:hAnsi="Book Antiqua"/>
          <w:sz w:val="24"/>
          <w:szCs w:val="24"/>
        </w:rPr>
        <w:t>,</w:t>
      </w:r>
      <w:r w:rsidR="009817B5" w:rsidRPr="00C920F6">
        <w:rPr>
          <w:rFonts w:ascii="Book Antiqua" w:hAnsi="Book Antiqua"/>
          <w:sz w:val="24"/>
          <w:szCs w:val="24"/>
        </w:rPr>
        <w:t xml:space="preserve"> en particulier</w:t>
      </w:r>
      <w:r w:rsidR="006D7349" w:rsidRPr="00C920F6">
        <w:rPr>
          <w:rFonts w:ascii="Book Antiqua" w:hAnsi="Book Antiqua"/>
          <w:sz w:val="24"/>
          <w:szCs w:val="24"/>
        </w:rPr>
        <w:t>,</w:t>
      </w:r>
      <w:r w:rsidR="009817B5" w:rsidRPr="00C920F6">
        <w:rPr>
          <w:rFonts w:ascii="Book Antiqua" w:hAnsi="Book Antiqua"/>
          <w:sz w:val="24"/>
          <w:szCs w:val="24"/>
        </w:rPr>
        <w:t xml:space="preserve"> des industrie</w:t>
      </w:r>
      <w:r w:rsidR="00101AAA">
        <w:rPr>
          <w:rFonts w:ascii="Book Antiqua" w:hAnsi="Book Antiqua"/>
          <w:sz w:val="24"/>
          <w:szCs w:val="24"/>
        </w:rPr>
        <w:t>s classiques du Maroc jouissent d’</w:t>
      </w:r>
      <w:r w:rsidR="009817B5" w:rsidRPr="00C920F6">
        <w:rPr>
          <w:rFonts w:ascii="Book Antiqua" w:hAnsi="Book Antiqua"/>
          <w:sz w:val="24"/>
          <w:szCs w:val="24"/>
        </w:rPr>
        <w:t>effet</w:t>
      </w:r>
      <w:r w:rsidR="006D7349" w:rsidRPr="00C920F6">
        <w:rPr>
          <w:rFonts w:ascii="Book Antiqua" w:hAnsi="Book Antiqua"/>
          <w:sz w:val="24"/>
          <w:szCs w:val="24"/>
        </w:rPr>
        <w:t>s</w:t>
      </w:r>
      <w:r w:rsidR="009817B5" w:rsidRPr="00C920F6">
        <w:rPr>
          <w:rFonts w:ascii="Book Antiqua" w:hAnsi="Book Antiqua"/>
          <w:sz w:val="24"/>
          <w:szCs w:val="24"/>
        </w:rPr>
        <w:t xml:space="preserve"> d’entrainement  </w:t>
      </w:r>
      <w:r w:rsidR="00101AAA">
        <w:rPr>
          <w:rFonts w:ascii="Book Antiqua" w:hAnsi="Book Antiqua"/>
          <w:sz w:val="24"/>
          <w:szCs w:val="24"/>
        </w:rPr>
        <w:t>d</w:t>
      </w:r>
      <w:r w:rsidR="006D7349" w:rsidRPr="00C920F6">
        <w:rPr>
          <w:rFonts w:ascii="Book Antiqua" w:hAnsi="Book Antiqua"/>
          <w:sz w:val="24"/>
          <w:szCs w:val="24"/>
        </w:rPr>
        <w:t xml:space="preserve">es plus élevés </w:t>
      </w:r>
      <w:r w:rsidR="00821BA2" w:rsidRPr="00C920F6">
        <w:rPr>
          <w:rFonts w:ascii="Book Antiqua" w:hAnsi="Book Antiqua"/>
          <w:sz w:val="24"/>
          <w:szCs w:val="24"/>
        </w:rPr>
        <w:t>sur</w:t>
      </w:r>
      <w:r w:rsidR="0069747A" w:rsidRPr="00C920F6">
        <w:rPr>
          <w:rFonts w:ascii="Book Antiqua" w:hAnsi="Book Antiqua"/>
          <w:sz w:val="24"/>
          <w:szCs w:val="24"/>
        </w:rPr>
        <w:t xml:space="preserve"> la croissance de la valeur ajoutée et la création d’emplois. </w:t>
      </w:r>
      <w:r w:rsidR="00CE35C0" w:rsidRPr="00C920F6">
        <w:rPr>
          <w:rFonts w:ascii="Book Antiqua" w:hAnsi="Book Antiqua"/>
          <w:sz w:val="24"/>
          <w:szCs w:val="24"/>
        </w:rPr>
        <w:t>Ceci ne doit permettre</w:t>
      </w:r>
      <w:r w:rsidR="0069747A" w:rsidRPr="00C920F6">
        <w:rPr>
          <w:rFonts w:ascii="Book Antiqua" w:hAnsi="Book Antiqua"/>
          <w:sz w:val="24"/>
          <w:szCs w:val="24"/>
        </w:rPr>
        <w:t xml:space="preserve">, </w:t>
      </w:r>
      <w:r w:rsidR="00CE35C0" w:rsidRPr="00C920F6">
        <w:rPr>
          <w:rFonts w:ascii="Book Antiqua" w:hAnsi="Book Antiqua"/>
          <w:sz w:val="24"/>
          <w:szCs w:val="24"/>
        </w:rPr>
        <w:t>en aucune manière, bien au contraire</w:t>
      </w:r>
      <w:r w:rsidR="0069747A" w:rsidRPr="00C920F6">
        <w:rPr>
          <w:rFonts w:ascii="Book Antiqua" w:hAnsi="Book Antiqua"/>
          <w:sz w:val="24"/>
          <w:szCs w:val="24"/>
        </w:rPr>
        <w:t xml:space="preserve">, </w:t>
      </w:r>
      <w:r w:rsidR="00CE35C0" w:rsidRPr="00C920F6">
        <w:rPr>
          <w:rFonts w:ascii="Book Antiqua" w:hAnsi="Book Antiqua"/>
          <w:sz w:val="24"/>
          <w:szCs w:val="24"/>
        </w:rPr>
        <w:t xml:space="preserve">de sous-estimer </w:t>
      </w:r>
      <w:r w:rsidR="00C942D3" w:rsidRPr="00C920F6">
        <w:rPr>
          <w:rFonts w:ascii="Book Antiqua" w:hAnsi="Book Antiqua"/>
          <w:sz w:val="24"/>
          <w:szCs w:val="24"/>
        </w:rPr>
        <w:t xml:space="preserve">le précieux </w:t>
      </w:r>
      <w:r w:rsidR="00472A40" w:rsidRPr="00C920F6">
        <w:rPr>
          <w:rFonts w:ascii="Book Antiqua" w:hAnsi="Book Antiqua"/>
          <w:sz w:val="24"/>
          <w:szCs w:val="24"/>
        </w:rPr>
        <w:t xml:space="preserve">apport </w:t>
      </w:r>
      <w:r w:rsidR="00C942D3" w:rsidRPr="00C920F6">
        <w:rPr>
          <w:rFonts w:ascii="Book Antiqua" w:hAnsi="Book Antiqua"/>
          <w:sz w:val="24"/>
          <w:szCs w:val="24"/>
        </w:rPr>
        <w:t xml:space="preserve">à l’économie nationale </w:t>
      </w:r>
      <w:r w:rsidR="00472A40" w:rsidRPr="00C920F6">
        <w:rPr>
          <w:rFonts w:ascii="Book Antiqua" w:hAnsi="Book Antiqua"/>
          <w:sz w:val="24"/>
          <w:szCs w:val="24"/>
        </w:rPr>
        <w:t xml:space="preserve">des nouveaux métiers du Maroc et en particulier </w:t>
      </w:r>
      <w:r w:rsidR="00C942D3" w:rsidRPr="00C920F6">
        <w:rPr>
          <w:rFonts w:ascii="Book Antiqua" w:hAnsi="Book Antiqua"/>
          <w:sz w:val="24"/>
          <w:szCs w:val="24"/>
        </w:rPr>
        <w:t>à</w:t>
      </w:r>
      <w:r w:rsidR="00472A40" w:rsidRPr="00C920F6">
        <w:rPr>
          <w:rFonts w:ascii="Book Antiqua" w:hAnsi="Book Antiqua"/>
          <w:sz w:val="24"/>
          <w:szCs w:val="24"/>
        </w:rPr>
        <w:t xml:space="preserve"> la compétitivité de </w:t>
      </w:r>
      <w:r w:rsidR="00C942D3" w:rsidRPr="00C920F6">
        <w:rPr>
          <w:rFonts w:ascii="Book Antiqua" w:hAnsi="Book Antiqua"/>
          <w:sz w:val="24"/>
          <w:szCs w:val="24"/>
        </w:rPr>
        <w:t>se</w:t>
      </w:r>
      <w:r w:rsidR="00472A40" w:rsidRPr="00C920F6">
        <w:rPr>
          <w:rFonts w:ascii="Book Antiqua" w:hAnsi="Book Antiqua"/>
          <w:sz w:val="24"/>
          <w:szCs w:val="24"/>
        </w:rPr>
        <w:t xml:space="preserve">s exportations. </w:t>
      </w:r>
      <w:r w:rsidR="00324C9E" w:rsidRPr="00C920F6">
        <w:rPr>
          <w:rFonts w:ascii="Book Antiqua" w:hAnsi="Book Antiqua"/>
          <w:sz w:val="24"/>
          <w:szCs w:val="24"/>
        </w:rPr>
        <w:t>Elles sont</w:t>
      </w:r>
      <w:r w:rsidR="00D16BA3" w:rsidRPr="00C920F6">
        <w:rPr>
          <w:rFonts w:ascii="Book Antiqua" w:hAnsi="Book Antiqua"/>
          <w:sz w:val="24"/>
          <w:szCs w:val="24"/>
        </w:rPr>
        <w:t>,</w:t>
      </w:r>
      <w:r w:rsidR="00324C9E" w:rsidRPr="00C920F6">
        <w:rPr>
          <w:rFonts w:ascii="Book Antiqua" w:hAnsi="Book Antiqua"/>
          <w:sz w:val="24"/>
          <w:szCs w:val="24"/>
        </w:rPr>
        <w:t xml:space="preserve"> </w:t>
      </w:r>
      <w:r w:rsidR="00C942D3" w:rsidRPr="00C920F6">
        <w:rPr>
          <w:rFonts w:ascii="Book Antiqua" w:hAnsi="Book Antiqua"/>
          <w:sz w:val="24"/>
          <w:szCs w:val="24"/>
        </w:rPr>
        <w:t>néanmoins</w:t>
      </w:r>
      <w:r w:rsidR="00D16BA3" w:rsidRPr="00C920F6">
        <w:rPr>
          <w:rFonts w:ascii="Book Antiqua" w:hAnsi="Book Antiqua"/>
          <w:sz w:val="24"/>
          <w:szCs w:val="24"/>
        </w:rPr>
        <w:t>,</w:t>
      </w:r>
      <w:r w:rsidR="00324C9E" w:rsidRPr="00C920F6">
        <w:rPr>
          <w:rFonts w:ascii="Book Antiqua" w:hAnsi="Book Antiqua"/>
          <w:sz w:val="24"/>
          <w:szCs w:val="24"/>
        </w:rPr>
        <w:t xml:space="preserve"> </w:t>
      </w:r>
      <w:r w:rsidR="00C942D3" w:rsidRPr="00C920F6">
        <w:rPr>
          <w:rFonts w:ascii="Book Antiqua" w:hAnsi="Book Antiqua"/>
          <w:sz w:val="24"/>
          <w:szCs w:val="24"/>
        </w:rPr>
        <w:t>interpelées sur la perspective de leur rôle dans la dynamisation de</w:t>
      </w:r>
      <w:r w:rsidR="00324C9E" w:rsidRPr="00C920F6">
        <w:rPr>
          <w:rFonts w:ascii="Book Antiqua" w:hAnsi="Book Antiqua"/>
          <w:sz w:val="24"/>
          <w:szCs w:val="24"/>
        </w:rPr>
        <w:t xml:space="preserve"> leur environnement</w:t>
      </w:r>
      <w:r w:rsidR="00C942D3" w:rsidRPr="00C920F6">
        <w:rPr>
          <w:rFonts w:ascii="Book Antiqua" w:hAnsi="Book Antiqua"/>
          <w:sz w:val="24"/>
          <w:szCs w:val="24"/>
        </w:rPr>
        <w:t xml:space="preserve"> socio-économique </w:t>
      </w:r>
      <w:r w:rsidR="00CE35C0" w:rsidRPr="00C920F6">
        <w:rPr>
          <w:rFonts w:ascii="Book Antiqua" w:hAnsi="Book Antiqua"/>
          <w:sz w:val="24"/>
          <w:szCs w:val="24"/>
        </w:rPr>
        <w:t xml:space="preserve">national </w:t>
      </w:r>
      <w:r w:rsidR="00324C9E" w:rsidRPr="00C920F6">
        <w:rPr>
          <w:rFonts w:ascii="Book Antiqua" w:hAnsi="Book Antiqua"/>
          <w:sz w:val="24"/>
          <w:szCs w:val="24"/>
        </w:rPr>
        <w:t xml:space="preserve">par </w:t>
      </w:r>
      <w:r w:rsidR="00C942D3" w:rsidRPr="00C920F6">
        <w:rPr>
          <w:rFonts w:ascii="Book Antiqua" w:hAnsi="Book Antiqua"/>
          <w:sz w:val="24"/>
          <w:szCs w:val="24"/>
        </w:rPr>
        <w:t xml:space="preserve">le développement </w:t>
      </w:r>
      <w:r w:rsidR="00324C9E" w:rsidRPr="00C920F6">
        <w:rPr>
          <w:rFonts w:ascii="Book Antiqua" w:hAnsi="Book Antiqua"/>
          <w:sz w:val="24"/>
          <w:szCs w:val="24"/>
        </w:rPr>
        <w:t xml:space="preserve">de nouvelles activités industrielles et de services </w:t>
      </w:r>
      <w:r w:rsidR="00C942D3" w:rsidRPr="00C920F6">
        <w:rPr>
          <w:rFonts w:ascii="Book Antiqua" w:hAnsi="Book Antiqua"/>
          <w:sz w:val="24"/>
          <w:szCs w:val="24"/>
        </w:rPr>
        <w:t>à</w:t>
      </w:r>
      <w:r w:rsidR="00324C9E" w:rsidRPr="00C920F6">
        <w:rPr>
          <w:rFonts w:ascii="Book Antiqua" w:hAnsi="Book Antiqua"/>
          <w:sz w:val="24"/>
          <w:szCs w:val="24"/>
        </w:rPr>
        <w:t xml:space="preserve"> </w:t>
      </w:r>
      <w:r w:rsidR="00C942D3" w:rsidRPr="00C920F6">
        <w:rPr>
          <w:rFonts w:ascii="Book Antiqua" w:hAnsi="Book Antiqua"/>
          <w:sz w:val="24"/>
          <w:szCs w:val="24"/>
        </w:rPr>
        <w:t>forte</w:t>
      </w:r>
      <w:r w:rsidR="00324C9E" w:rsidRPr="00C920F6">
        <w:rPr>
          <w:rFonts w:ascii="Book Antiqua" w:hAnsi="Book Antiqua"/>
          <w:sz w:val="24"/>
          <w:szCs w:val="24"/>
        </w:rPr>
        <w:t xml:space="preserve"> valeur ajoutée. </w:t>
      </w:r>
      <w:r w:rsidR="00CC3E0E">
        <w:rPr>
          <w:rFonts w:ascii="Book Antiqua" w:hAnsi="Book Antiqua"/>
          <w:sz w:val="24"/>
          <w:szCs w:val="24"/>
        </w:rPr>
        <w:t xml:space="preserve">Dans ce cadre, </w:t>
      </w:r>
      <w:r w:rsidR="00C02FCD" w:rsidRPr="00C920F6">
        <w:rPr>
          <w:rFonts w:ascii="Book Antiqua" w:hAnsi="Book Antiqua"/>
          <w:sz w:val="24"/>
          <w:szCs w:val="24"/>
        </w:rPr>
        <w:t xml:space="preserve">les nouveaux métiers doivent donner l’exemple d’une délocalisation industrielle </w:t>
      </w:r>
      <w:r w:rsidR="00C02FCD" w:rsidRPr="001460AB">
        <w:rPr>
          <w:rFonts w:ascii="Book Antiqua" w:hAnsi="Book Antiqua"/>
          <w:sz w:val="24"/>
          <w:szCs w:val="24"/>
        </w:rPr>
        <w:t xml:space="preserve">réussie </w:t>
      </w:r>
      <w:r w:rsidR="00CC3E0E" w:rsidRPr="001460AB">
        <w:rPr>
          <w:rFonts w:ascii="Book Antiqua" w:hAnsi="Book Antiqua"/>
          <w:sz w:val="24"/>
          <w:szCs w:val="24"/>
        </w:rPr>
        <w:t>afin de ne pas</w:t>
      </w:r>
      <w:r w:rsidR="001460AB">
        <w:rPr>
          <w:rFonts w:ascii="Book Antiqua" w:hAnsi="Book Antiqua"/>
          <w:sz w:val="24"/>
          <w:szCs w:val="24"/>
        </w:rPr>
        <w:t xml:space="preserve"> être perçus comme</w:t>
      </w:r>
      <w:r w:rsidR="00CC3E0E">
        <w:rPr>
          <w:rFonts w:ascii="Book Antiqua" w:hAnsi="Book Antiqua"/>
          <w:sz w:val="24"/>
          <w:szCs w:val="24"/>
        </w:rPr>
        <w:t xml:space="preserve"> l’illustration d’une</w:t>
      </w:r>
      <w:r w:rsidR="00D16BA3" w:rsidRPr="00C920F6">
        <w:rPr>
          <w:rFonts w:ascii="Book Antiqua" w:hAnsi="Book Antiqua"/>
          <w:sz w:val="24"/>
          <w:szCs w:val="24"/>
        </w:rPr>
        <w:t xml:space="preserve"> délocalisation </w:t>
      </w:r>
      <w:r w:rsidR="00C02FCD" w:rsidRPr="00C920F6">
        <w:rPr>
          <w:rFonts w:ascii="Book Antiqua" w:hAnsi="Book Antiqua"/>
          <w:sz w:val="24"/>
          <w:szCs w:val="24"/>
        </w:rPr>
        <w:t xml:space="preserve">territoriale </w:t>
      </w:r>
      <w:r w:rsidR="00CC3E0E">
        <w:rPr>
          <w:rFonts w:ascii="Book Antiqua" w:hAnsi="Book Antiqua"/>
          <w:sz w:val="24"/>
          <w:szCs w:val="24"/>
        </w:rPr>
        <w:t>par le</w:t>
      </w:r>
      <w:r w:rsidR="00D16BA3" w:rsidRPr="00C920F6">
        <w:rPr>
          <w:rFonts w:ascii="Book Antiqua" w:hAnsi="Book Antiqua"/>
          <w:sz w:val="24"/>
          <w:szCs w:val="24"/>
        </w:rPr>
        <w:t xml:space="preserve"> pays </w:t>
      </w:r>
      <w:r w:rsidR="00CC3E0E">
        <w:rPr>
          <w:rFonts w:ascii="Book Antiqua" w:hAnsi="Book Antiqua"/>
          <w:sz w:val="24"/>
          <w:szCs w:val="24"/>
        </w:rPr>
        <w:t>hôte</w:t>
      </w:r>
      <w:r w:rsidR="00D16BA3" w:rsidRPr="00C920F6">
        <w:rPr>
          <w:rFonts w:ascii="Book Antiqua" w:hAnsi="Book Antiqua"/>
          <w:sz w:val="24"/>
          <w:szCs w:val="24"/>
        </w:rPr>
        <w:t>. Ceci nous interpelle</w:t>
      </w:r>
      <w:r w:rsidR="00CE35C0" w:rsidRPr="00C920F6">
        <w:rPr>
          <w:rFonts w:ascii="Book Antiqua" w:hAnsi="Book Antiqua"/>
          <w:sz w:val="24"/>
          <w:szCs w:val="24"/>
        </w:rPr>
        <w:t>,</w:t>
      </w:r>
      <w:r w:rsidR="00D16BA3" w:rsidRPr="00C920F6">
        <w:rPr>
          <w:rFonts w:ascii="Book Antiqua" w:hAnsi="Book Antiqua"/>
          <w:sz w:val="24"/>
          <w:szCs w:val="24"/>
        </w:rPr>
        <w:t xml:space="preserve"> aussi bien le Maroc que ses partenaires</w:t>
      </w:r>
      <w:r w:rsidR="00CE35C0" w:rsidRPr="00C920F6">
        <w:rPr>
          <w:rFonts w:ascii="Book Antiqua" w:hAnsi="Book Antiqua"/>
          <w:sz w:val="24"/>
          <w:szCs w:val="24"/>
        </w:rPr>
        <w:t>,</w:t>
      </w:r>
      <w:r w:rsidR="00D16BA3" w:rsidRPr="00C920F6">
        <w:rPr>
          <w:rFonts w:ascii="Book Antiqua" w:hAnsi="Book Antiqua"/>
          <w:sz w:val="24"/>
          <w:szCs w:val="24"/>
        </w:rPr>
        <w:t xml:space="preserve"> et ce d’autant plus qu’au niveau </w:t>
      </w:r>
      <w:r w:rsidR="00C23687" w:rsidRPr="00C920F6">
        <w:rPr>
          <w:rFonts w:ascii="Book Antiqua" w:hAnsi="Book Antiqua"/>
          <w:sz w:val="24"/>
          <w:szCs w:val="24"/>
        </w:rPr>
        <w:t xml:space="preserve">actuel </w:t>
      </w:r>
      <w:r w:rsidR="00D16BA3" w:rsidRPr="00C920F6">
        <w:rPr>
          <w:rFonts w:ascii="Book Antiqua" w:hAnsi="Book Antiqua"/>
          <w:sz w:val="24"/>
          <w:szCs w:val="24"/>
        </w:rPr>
        <w:t>de développement de notre pays</w:t>
      </w:r>
      <w:r w:rsidR="00C23687" w:rsidRPr="00C920F6">
        <w:rPr>
          <w:rFonts w:ascii="Book Antiqua" w:hAnsi="Book Antiqua"/>
          <w:sz w:val="24"/>
          <w:szCs w:val="24"/>
        </w:rPr>
        <w:t>,</w:t>
      </w:r>
      <w:r w:rsidR="00D16BA3" w:rsidRPr="00C920F6">
        <w:rPr>
          <w:rFonts w:ascii="Book Antiqua" w:hAnsi="Book Antiqua"/>
          <w:sz w:val="24"/>
          <w:szCs w:val="24"/>
        </w:rPr>
        <w:t xml:space="preserve"> l’industrialisation </w:t>
      </w:r>
      <w:r w:rsidR="00C23687" w:rsidRPr="00C920F6">
        <w:rPr>
          <w:rFonts w:ascii="Book Antiqua" w:hAnsi="Book Antiqua"/>
          <w:sz w:val="24"/>
          <w:szCs w:val="24"/>
        </w:rPr>
        <w:t>revêt le caractère d’</w:t>
      </w:r>
      <w:r w:rsidR="00D16BA3" w:rsidRPr="00C920F6">
        <w:rPr>
          <w:rFonts w:ascii="Book Antiqua" w:hAnsi="Book Antiqua"/>
          <w:sz w:val="24"/>
          <w:szCs w:val="24"/>
        </w:rPr>
        <w:t>un impératif catégorique.</w:t>
      </w:r>
    </w:p>
    <w:p w:rsidR="00DE4C6F" w:rsidRPr="0081632C" w:rsidRDefault="00DE4C6F" w:rsidP="0081632C">
      <w:pPr>
        <w:spacing w:after="240" w:line="360" w:lineRule="auto"/>
        <w:jc w:val="both"/>
        <w:rPr>
          <w:rFonts w:ascii="Book Antiqua" w:hAnsi="Book Antiqua"/>
          <w:sz w:val="24"/>
          <w:szCs w:val="24"/>
        </w:rPr>
      </w:pPr>
      <w:r w:rsidRPr="00C920F6">
        <w:rPr>
          <w:rFonts w:ascii="Book Antiqua" w:hAnsi="Book Antiqua"/>
          <w:b/>
          <w:bCs/>
          <w:sz w:val="24"/>
          <w:szCs w:val="24"/>
          <w:u w:val="single"/>
        </w:rPr>
        <w:t>Une croissance économique dans un équilibre bas</w:t>
      </w:r>
    </w:p>
    <w:p w:rsidR="00E87DB7" w:rsidRPr="00C920F6" w:rsidRDefault="001460AB" w:rsidP="00201A83">
      <w:pPr>
        <w:spacing w:after="240" w:line="360" w:lineRule="auto"/>
        <w:ind w:firstLine="708"/>
        <w:jc w:val="both"/>
        <w:rPr>
          <w:rFonts w:ascii="Book Antiqua" w:hAnsi="Book Antiqua"/>
          <w:sz w:val="24"/>
          <w:szCs w:val="24"/>
        </w:rPr>
      </w:pPr>
      <w:r>
        <w:rPr>
          <w:rFonts w:ascii="Book Antiqua" w:hAnsi="Book Antiqua"/>
          <w:sz w:val="24"/>
          <w:szCs w:val="24"/>
        </w:rPr>
        <w:t>En dernière analyse, il ressort</w:t>
      </w:r>
      <w:r w:rsidR="00201A83">
        <w:rPr>
          <w:rFonts w:ascii="Book Antiqua" w:hAnsi="Book Antiqua"/>
          <w:sz w:val="24"/>
          <w:szCs w:val="24"/>
        </w:rPr>
        <w:t>,</w:t>
      </w:r>
      <w:r>
        <w:rPr>
          <w:rFonts w:ascii="Book Antiqua" w:hAnsi="Book Antiqua"/>
          <w:sz w:val="24"/>
          <w:szCs w:val="24"/>
        </w:rPr>
        <w:t xml:space="preserve"> de la situation économique en 2016 et ses perspectives en 2017</w:t>
      </w:r>
      <w:r w:rsidR="00201A83">
        <w:rPr>
          <w:rFonts w:ascii="Book Antiqua" w:hAnsi="Book Antiqua"/>
          <w:sz w:val="24"/>
          <w:szCs w:val="24"/>
        </w:rPr>
        <w:t xml:space="preserve">, </w:t>
      </w:r>
      <w:r>
        <w:rPr>
          <w:rFonts w:ascii="Book Antiqua" w:hAnsi="Book Antiqua"/>
          <w:sz w:val="24"/>
          <w:szCs w:val="24"/>
        </w:rPr>
        <w:t xml:space="preserve">qu’avec </w:t>
      </w:r>
      <w:r w:rsidR="008A5FEF" w:rsidRPr="00C920F6">
        <w:rPr>
          <w:rFonts w:ascii="Book Antiqua" w:hAnsi="Book Antiqua"/>
          <w:sz w:val="24"/>
          <w:szCs w:val="24"/>
        </w:rPr>
        <w:t xml:space="preserve">une baisse de 9,7% de la valeur </w:t>
      </w:r>
      <w:r w:rsidR="00097321" w:rsidRPr="00C920F6">
        <w:rPr>
          <w:rFonts w:ascii="Book Antiqua" w:hAnsi="Book Antiqua"/>
          <w:sz w:val="24"/>
          <w:szCs w:val="24"/>
        </w:rPr>
        <w:t xml:space="preserve">ajoutée </w:t>
      </w:r>
      <w:r w:rsidR="008A5FEF" w:rsidRPr="00C920F6">
        <w:rPr>
          <w:rFonts w:ascii="Book Antiqua" w:hAnsi="Book Antiqua"/>
          <w:sz w:val="24"/>
          <w:szCs w:val="24"/>
        </w:rPr>
        <w:t xml:space="preserve">du secteur primaire et une </w:t>
      </w:r>
      <w:r w:rsidR="00097321" w:rsidRPr="00C920F6">
        <w:rPr>
          <w:rFonts w:ascii="Book Antiqua" w:hAnsi="Book Antiqua"/>
          <w:sz w:val="24"/>
          <w:szCs w:val="24"/>
        </w:rPr>
        <w:t xml:space="preserve">augmentation de 3,1% du PIB non agricole, la </w:t>
      </w:r>
      <w:r w:rsidR="008A5FEF" w:rsidRPr="00C920F6">
        <w:rPr>
          <w:rFonts w:ascii="Book Antiqua" w:hAnsi="Book Antiqua"/>
          <w:sz w:val="24"/>
          <w:szCs w:val="24"/>
        </w:rPr>
        <w:t xml:space="preserve">croissance </w:t>
      </w:r>
      <w:r w:rsidR="00097321" w:rsidRPr="00C920F6">
        <w:rPr>
          <w:rFonts w:ascii="Book Antiqua" w:hAnsi="Book Antiqua"/>
          <w:sz w:val="24"/>
          <w:szCs w:val="24"/>
        </w:rPr>
        <w:t xml:space="preserve">économique </w:t>
      </w:r>
      <w:r w:rsidR="00097321" w:rsidRPr="00C920F6">
        <w:rPr>
          <w:rFonts w:ascii="Book Antiqua" w:hAnsi="Book Antiqua"/>
          <w:sz w:val="24"/>
          <w:szCs w:val="24"/>
        </w:rPr>
        <w:lastRenderedPageBreak/>
        <w:t xml:space="preserve">nationale serait </w:t>
      </w:r>
      <w:r w:rsidR="008A5FEF" w:rsidRPr="00C920F6">
        <w:rPr>
          <w:rFonts w:ascii="Book Antiqua" w:hAnsi="Book Antiqua"/>
          <w:sz w:val="24"/>
          <w:szCs w:val="24"/>
        </w:rPr>
        <w:t xml:space="preserve">de </w:t>
      </w:r>
      <w:r w:rsidR="00097321" w:rsidRPr="00C920F6">
        <w:rPr>
          <w:rFonts w:ascii="Book Antiqua" w:hAnsi="Book Antiqua"/>
          <w:sz w:val="24"/>
          <w:szCs w:val="24"/>
        </w:rPr>
        <w:t>1,5</w:t>
      </w:r>
      <w:r w:rsidR="008A5FEF" w:rsidRPr="00C920F6">
        <w:rPr>
          <w:rFonts w:ascii="Book Antiqua" w:hAnsi="Book Antiqua"/>
          <w:sz w:val="24"/>
          <w:szCs w:val="24"/>
        </w:rPr>
        <w:t xml:space="preserve">% </w:t>
      </w:r>
      <w:r w:rsidR="00166670" w:rsidRPr="00C920F6">
        <w:rPr>
          <w:rFonts w:ascii="Book Antiqua" w:hAnsi="Book Antiqua"/>
          <w:sz w:val="24"/>
          <w:szCs w:val="24"/>
        </w:rPr>
        <w:t xml:space="preserve">en augmentation de 0,2% par rapport à nos prévisions de janvier. </w:t>
      </w:r>
    </w:p>
    <w:p w:rsidR="00E87DB7" w:rsidRPr="00C920F6" w:rsidRDefault="00E87DB7" w:rsidP="00E87DB7">
      <w:pPr>
        <w:spacing w:after="240" w:line="360" w:lineRule="auto"/>
        <w:ind w:firstLine="709"/>
        <w:jc w:val="both"/>
        <w:rPr>
          <w:rFonts w:ascii="Book Antiqua" w:hAnsi="Book Antiqua"/>
          <w:sz w:val="24"/>
          <w:szCs w:val="24"/>
        </w:rPr>
      </w:pPr>
      <w:r w:rsidRPr="00C920F6">
        <w:rPr>
          <w:rFonts w:ascii="Book Antiqua" w:hAnsi="Book Antiqua"/>
          <w:sz w:val="24"/>
          <w:szCs w:val="24"/>
        </w:rPr>
        <w:t>Dans ces conditions, cette croissance continuera à être portée par la demande intérieure, en raison de la reprise, après 2 années de baisse, de l’investissement et le maintien, même à un rythme modéré, de la consommation finale tirée, en particulier vers le bas, par une baisse continue du rythme de croissance de la consommation des ménages.</w:t>
      </w:r>
    </w:p>
    <w:p w:rsidR="008A5FEF" w:rsidRPr="00C920F6" w:rsidRDefault="00E87DB7" w:rsidP="00F71036">
      <w:pPr>
        <w:spacing w:after="240" w:line="360" w:lineRule="auto"/>
        <w:ind w:firstLine="709"/>
        <w:jc w:val="both"/>
        <w:rPr>
          <w:rFonts w:ascii="Book Antiqua" w:hAnsi="Book Antiqua"/>
          <w:sz w:val="24"/>
          <w:szCs w:val="24"/>
        </w:rPr>
      </w:pPr>
      <w:r w:rsidRPr="00C920F6">
        <w:rPr>
          <w:rFonts w:ascii="Book Antiqua" w:hAnsi="Book Antiqua"/>
          <w:sz w:val="24"/>
          <w:szCs w:val="24"/>
        </w:rPr>
        <w:t>Par ailleurs, a</w:t>
      </w:r>
      <w:r w:rsidR="00F503B5" w:rsidRPr="00C920F6">
        <w:rPr>
          <w:rFonts w:ascii="Book Antiqua" w:hAnsi="Book Antiqua"/>
          <w:sz w:val="24"/>
          <w:szCs w:val="24"/>
        </w:rPr>
        <w:t xml:space="preserve">vec les hypothèses et les réserves d’usage adoptées par notre institution, </w:t>
      </w:r>
      <w:r w:rsidR="00772DAF" w:rsidRPr="00C920F6">
        <w:rPr>
          <w:rFonts w:ascii="Book Antiqua" w:hAnsi="Book Antiqua"/>
          <w:sz w:val="24"/>
          <w:szCs w:val="24"/>
        </w:rPr>
        <w:t xml:space="preserve">nos prévisions au niveau de disponibilité des informations dont nous disposons sur la situation économique nationale et internationale, </w:t>
      </w:r>
      <w:r w:rsidR="00F71036" w:rsidRPr="00C920F6">
        <w:rPr>
          <w:rFonts w:ascii="Book Antiqua" w:hAnsi="Book Antiqua"/>
          <w:sz w:val="24"/>
          <w:szCs w:val="24"/>
        </w:rPr>
        <w:t>la croissance économique</w:t>
      </w:r>
      <w:r w:rsidR="00772DAF" w:rsidRPr="00C920F6">
        <w:rPr>
          <w:rFonts w:ascii="Book Antiqua" w:hAnsi="Book Antiqua"/>
          <w:sz w:val="24"/>
          <w:szCs w:val="24"/>
        </w:rPr>
        <w:t xml:space="preserve"> serait de 3,5% en 2017, elle sera révisée, comme d’habitude, à la fin de 2016 lors de la présentation du Budget Economique Prévisionnel pour 2017. </w:t>
      </w:r>
    </w:p>
    <w:p w:rsidR="00DE4C6F" w:rsidRPr="00C920F6" w:rsidRDefault="00DE4C6F" w:rsidP="00DE4C6F">
      <w:pPr>
        <w:spacing w:after="240" w:line="360" w:lineRule="auto"/>
        <w:jc w:val="both"/>
        <w:rPr>
          <w:rFonts w:ascii="Book Antiqua" w:hAnsi="Book Antiqua"/>
          <w:b/>
          <w:bCs/>
          <w:sz w:val="24"/>
          <w:szCs w:val="24"/>
          <w:u w:val="single"/>
        </w:rPr>
      </w:pPr>
      <w:r w:rsidRPr="00C920F6">
        <w:rPr>
          <w:rFonts w:ascii="Book Antiqua" w:hAnsi="Book Antiqua"/>
          <w:b/>
          <w:bCs/>
          <w:sz w:val="24"/>
          <w:szCs w:val="24"/>
          <w:u w:val="single"/>
        </w:rPr>
        <w:t>En guise de conclusion</w:t>
      </w:r>
    </w:p>
    <w:p w:rsidR="00D45921" w:rsidRDefault="00F71036" w:rsidP="00D45921">
      <w:pPr>
        <w:spacing w:after="240" w:line="360" w:lineRule="auto"/>
        <w:ind w:firstLine="709"/>
        <w:jc w:val="both"/>
        <w:rPr>
          <w:rFonts w:ascii="Book Antiqua" w:hAnsi="Book Antiqua"/>
          <w:sz w:val="24"/>
          <w:szCs w:val="24"/>
        </w:rPr>
      </w:pPr>
      <w:r w:rsidRPr="00C920F6">
        <w:rPr>
          <w:rFonts w:ascii="Book Antiqua" w:hAnsi="Book Antiqua"/>
          <w:sz w:val="24"/>
          <w:szCs w:val="24"/>
        </w:rPr>
        <w:t>Au terme de ces commentaires succ</w:t>
      </w:r>
      <w:r w:rsidR="00FB7A77" w:rsidRPr="00C920F6">
        <w:rPr>
          <w:rFonts w:ascii="Book Antiqua" w:hAnsi="Book Antiqua"/>
          <w:sz w:val="24"/>
          <w:szCs w:val="24"/>
        </w:rPr>
        <w:t xml:space="preserve">incts, </w:t>
      </w:r>
      <w:r w:rsidR="00FC17E3">
        <w:rPr>
          <w:rFonts w:ascii="Book Antiqua" w:hAnsi="Book Antiqua"/>
          <w:sz w:val="24"/>
          <w:szCs w:val="24"/>
        </w:rPr>
        <w:t xml:space="preserve">l’économie nationale </w:t>
      </w:r>
      <w:r w:rsidR="00FC17E3" w:rsidRPr="00C920F6">
        <w:rPr>
          <w:rFonts w:ascii="Book Antiqua" w:hAnsi="Book Antiqua"/>
          <w:sz w:val="24"/>
          <w:szCs w:val="24"/>
        </w:rPr>
        <w:t>s’inscrit</w:t>
      </w:r>
      <w:r w:rsidR="00FC17E3">
        <w:rPr>
          <w:rFonts w:ascii="Book Antiqua" w:hAnsi="Book Antiqua"/>
          <w:sz w:val="24"/>
          <w:szCs w:val="24"/>
        </w:rPr>
        <w:t>, durant les dernières années,</w:t>
      </w:r>
      <w:r w:rsidR="00943F51" w:rsidRPr="00C920F6">
        <w:rPr>
          <w:rFonts w:ascii="Book Antiqua" w:hAnsi="Book Antiqua"/>
          <w:sz w:val="24"/>
          <w:szCs w:val="24"/>
        </w:rPr>
        <w:t xml:space="preserve"> dans la tendance </w:t>
      </w:r>
      <w:r w:rsidR="00D45921">
        <w:rPr>
          <w:rFonts w:ascii="Book Antiqua" w:hAnsi="Book Antiqua"/>
          <w:sz w:val="24"/>
          <w:szCs w:val="24"/>
        </w:rPr>
        <w:t xml:space="preserve">que </w:t>
      </w:r>
      <w:r w:rsidR="00943F51" w:rsidRPr="00C920F6">
        <w:rPr>
          <w:rFonts w:ascii="Book Antiqua" w:hAnsi="Book Antiqua"/>
          <w:sz w:val="24"/>
          <w:szCs w:val="24"/>
        </w:rPr>
        <w:t xml:space="preserve">nous pouvons appeler un équilibre économique bas. </w:t>
      </w:r>
    </w:p>
    <w:p w:rsidR="00C55237" w:rsidRPr="00C920F6" w:rsidRDefault="00943F51" w:rsidP="00D01D04">
      <w:pPr>
        <w:spacing w:after="240" w:line="360" w:lineRule="auto"/>
        <w:ind w:firstLine="709"/>
        <w:jc w:val="both"/>
        <w:rPr>
          <w:rFonts w:ascii="Book Antiqua" w:hAnsi="Book Antiqua"/>
          <w:sz w:val="24"/>
          <w:szCs w:val="24"/>
        </w:rPr>
      </w:pPr>
      <w:r w:rsidRPr="00C920F6">
        <w:rPr>
          <w:rFonts w:ascii="Book Antiqua" w:hAnsi="Book Antiqua"/>
          <w:sz w:val="24"/>
          <w:szCs w:val="24"/>
        </w:rPr>
        <w:t xml:space="preserve">A la faveur d’une baisse soutenue des cours internationaux des matières premières, des apports des transferts des MRE et d’autres transferts courants, </w:t>
      </w:r>
      <w:r w:rsidR="00063CA4" w:rsidRPr="00C920F6">
        <w:rPr>
          <w:rFonts w:ascii="Book Antiqua" w:hAnsi="Book Antiqua"/>
          <w:sz w:val="24"/>
          <w:szCs w:val="24"/>
        </w:rPr>
        <w:t xml:space="preserve">les équilibres macroéconomiques ont été rétablis. </w:t>
      </w:r>
      <w:r w:rsidR="00C55237" w:rsidRPr="00C920F6">
        <w:rPr>
          <w:rFonts w:ascii="Book Antiqua" w:hAnsi="Book Antiqua"/>
          <w:sz w:val="24"/>
          <w:szCs w:val="24"/>
        </w:rPr>
        <w:t xml:space="preserve">Au total, une situation favorable à une relance économique. Les fondamentaux sont rétablis au prix d’un rétablissement volontariste des équilibres macroéconomiques. Le déficit budgétaire </w:t>
      </w:r>
      <w:r w:rsidR="00D01D04">
        <w:rPr>
          <w:rFonts w:ascii="Book Antiqua" w:hAnsi="Book Antiqua"/>
          <w:sz w:val="24"/>
          <w:szCs w:val="24"/>
        </w:rPr>
        <w:t>reviendrait</w:t>
      </w:r>
      <w:r w:rsidR="00C55237" w:rsidRPr="00C920F6">
        <w:rPr>
          <w:rFonts w:ascii="Book Antiqua" w:hAnsi="Book Antiqua"/>
          <w:sz w:val="24"/>
          <w:szCs w:val="24"/>
        </w:rPr>
        <w:t xml:space="preserve"> à 4,1%, le déficit </w:t>
      </w:r>
      <w:r w:rsidR="00D01D04">
        <w:rPr>
          <w:rFonts w:ascii="Book Antiqua" w:hAnsi="Book Antiqua"/>
          <w:sz w:val="24"/>
          <w:szCs w:val="24"/>
        </w:rPr>
        <w:t xml:space="preserve">courant </w:t>
      </w:r>
      <w:r w:rsidR="00C55237" w:rsidRPr="00C920F6">
        <w:rPr>
          <w:rFonts w:ascii="Book Antiqua" w:hAnsi="Book Antiqua"/>
          <w:sz w:val="24"/>
          <w:szCs w:val="24"/>
        </w:rPr>
        <w:t>de la balance des paiements à 2,2%. L’endettement public à 81% du PIB reste</w:t>
      </w:r>
      <w:r w:rsidR="00D01D04">
        <w:rPr>
          <w:rFonts w:ascii="Book Antiqua" w:hAnsi="Book Antiqua"/>
          <w:sz w:val="24"/>
          <w:szCs w:val="24"/>
        </w:rPr>
        <w:t>rait</w:t>
      </w:r>
      <w:r w:rsidR="00C55237" w:rsidRPr="00C920F6">
        <w:rPr>
          <w:rFonts w:ascii="Book Antiqua" w:hAnsi="Book Antiqua"/>
          <w:sz w:val="24"/>
          <w:szCs w:val="24"/>
        </w:rPr>
        <w:t>, malgré un rythme de croissance inquiétant, soutenable même à un niveau limite compte tenu de la croissance actuelle de notre économie.</w:t>
      </w:r>
    </w:p>
    <w:p w:rsidR="00A43F6B" w:rsidRPr="00C920F6" w:rsidRDefault="00DF24C8" w:rsidP="0030329B">
      <w:pPr>
        <w:spacing w:after="240" w:line="360" w:lineRule="auto"/>
        <w:ind w:firstLine="709"/>
        <w:jc w:val="both"/>
        <w:rPr>
          <w:rFonts w:ascii="Book Antiqua" w:hAnsi="Book Antiqua"/>
          <w:sz w:val="24"/>
          <w:szCs w:val="24"/>
        </w:rPr>
      </w:pPr>
      <w:r w:rsidRPr="00C920F6">
        <w:rPr>
          <w:rFonts w:ascii="Book Antiqua" w:hAnsi="Book Antiqua"/>
          <w:sz w:val="24"/>
          <w:szCs w:val="24"/>
        </w:rPr>
        <w:t xml:space="preserve">Les réserves de change ont atteint des niveaux </w:t>
      </w:r>
      <w:r w:rsidR="00E13CF3" w:rsidRPr="00C920F6">
        <w:rPr>
          <w:rFonts w:ascii="Book Antiqua" w:hAnsi="Book Antiqua"/>
          <w:sz w:val="24"/>
          <w:szCs w:val="24"/>
        </w:rPr>
        <w:t>élevés, les taux d’intérêt sont à des niveaux des plus bas historiquement</w:t>
      </w:r>
      <w:r w:rsidR="00A43F6B" w:rsidRPr="00C920F6">
        <w:rPr>
          <w:rFonts w:ascii="Book Antiqua" w:hAnsi="Book Antiqua"/>
          <w:sz w:val="24"/>
          <w:szCs w:val="24"/>
        </w:rPr>
        <w:t xml:space="preserve">. </w:t>
      </w:r>
      <w:r w:rsidR="006C7DBB" w:rsidRPr="00C920F6">
        <w:rPr>
          <w:rFonts w:ascii="Book Antiqua" w:hAnsi="Book Antiqua"/>
          <w:sz w:val="24"/>
          <w:szCs w:val="24"/>
        </w:rPr>
        <w:t xml:space="preserve">La liquidité bancaire s’est améliorée de manière structurelle. L’excédent de liquidité bancaire serait, selon Bank Al Maghrib, </w:t>
      </w:r>
      <w:r w:rsidR="006C7DBB" w:rsidRPr="00C920F6">
        <w:rPr>
          <w:rFonts w:ascii="Book Antiqua" w:hAnsi="Book Antiqua"/>
          <w:sz w:val="24"/>
          <w:szCs w:val="24"/>
        </w:rPr>
        <w:lastRenderedPageBreak/>
        <w:t xml:space="preserve">de </w:t>
      </w:r>
      <w:r w:rsidR="0030329B" w:rsidRPr="00C920F6">
        <w:rPr>
          <w:rFonts w:ascii="Book Antiqua" w:hAnsi="Book Antiqua"/>
          <w:sz w:val="24"/>
          <w:szCs w:val="24"/>
        </w:rPr>
        <w:t>7,7</w:t>
      </w:r>
      <w:r w:rsidR="006C7DBB" w:rsidRPr="00C920F6">
        <w:rPr>
          <w:rFonts w:ascii="Book Antiqua" w:hAnsi="Book Antiqua"/>
          <w:sz w:val="24"/>
          <w:szCs w:val="24"/>
        </w:rPr>
        <w:t xml:space="preserve"> milliards </w:t>
      </w:r>
      <w:r w:rsidR="002342AA" w:rsidRPr="00C920F6">
        <w:rPr>
          <w:rFonts w:ascii="Book Antiqua" w:hAnsi="Book Antiqua"/>
          <w:sz w:val="24"/>
          <w:szCs w:val="24"/>
        </w:rPr>
        <w:t xml:space="preserve">de DH </w:t>
      </w:r>
      <w:r w:rsidR="006C7DBB" w:rsidRPr="00C920F6">
        <w:rPr>
          <w:rFonts w:ascii="Book Antiqua" w:hAnsi="Book Antiqua"/>
          <w:sz w:val="24"/>
          <w:szCs w:val="24"/>
        </w:rPr>
        <w:t>en fin 2016</w:t>
      </w:r>
      <w:r w:rsidR="002342AA" w:rsidRPr="00C920F6">
        <w:rPr>
          <w:rFonts w:ascii="Book Antiqua" w:hAnsi="Book Antiqua"/>
          <w:sz w:val="24"/>
          <w:szCs w:val="24"/>
        </w:rPr>
        <w:t xml:space="preserve"> et </w:t>
      </w:r>
      <w:r w:rsidR="0030329B" w:rsidRPr="00C920F6">
        <w:rPr>
          <w:rFonts w:ascii="Book Antiqua" w:hAnsi="Book Antiqua"/>
          <w:sz w:val="24"/>
          <w:szCs w:val="24"/>
        </w:rPr>
        <w:t xml:space="preserve">de </w:t>
      </w:r>
      <w:r w:rsidR="002342AA" w:rsidRPr="00C920F6">
        <w:rPr>
          <w:rFonts w:ascii="Book Antiqua" w:hAnsi="Book Antiqua"/>
          <w:sz w:val="24"/>
          <w:szCs w:val="24"/>
        </w:rPr>
        <w:t>20</w:t>
      </w:r>
      <w:r w:rsidR="0030329B" w:rsidRPr="00C920F6">
        <w:rPr>
          <w:rFonts w:ascii="Book Antiqua" w:hAnsi="Book Antiqua"/>
          <w:sz w:val="24"/>
          <w:szCs w:val="24"/>
        </w:rPr>
        <w:t>,3</w:t>
      </w:r>
      <w:r w:rsidR="002342AA" w:rsidRPr="00C920F6">
        <w:rPr>
          <w:rFonts w:ascii="Book Antiqua" w:hAnsi="Book Antiqua"/>
          <w:sz w:val="24"/>
          <w:szCs w:val="24"/>
        </w:rPr>
        <w:t xml:space="preserve"> milliards de DH en 2017, au lieu d’un déficit de 16,5 milliards de DH en 2015.</w:t>
      </w:r>
    </w:p>
    <w:p w:rsidR="007625B6" w:rsidRPr="00C920F6" w:rsidRDefault="007625B6" w:rsidP="00845BF7">
      <w:pPr>
        <w:spacing w:after="240" w:line="360" w:lineRule="auto"/>
        <w:ind w:firstLine="709"/>
        <w:jc w:val="both"/>
        <w:rPr>
          <w:rFonts w:ascii="Book Antiqua" w:hAnsi="Book Antiqua"/>
          <w:sz w:val="24"/>
          <w:szCs w:val="24"/>
        </w:rPr>
      </w:pPr>
      <w:r w:rsidRPr="00C920F6">
        <w:rPr>
          <w:rFonts w:ascii="Book Antiqua" w:hAnsi="Book Antiqua"/>
          <w:sz w:val="24"/>
          <w:szCs w:val="24"/>
        </w:rPr>
        <w:t xml:space="preserve">Certes, les banques ont, </w:t>
      </w:r>
      <w:r w:rsidR="009047EC" w:rsidRPr="00C920F6">
        <w:rPr>
          <w:rFonts w:ascii="Book Antiqua" w:hAnsi="Book Antiqua"/>
          <w:sz w:val="24"/>
          <w:szCs w:val="24"/>
        </w:rPr>
        <w:t>dans ces conditions, - ce dont il convient de les féliciter -</w:t>
      </w:r>
      <w:r w:rsidRPr="00C920F6">
        <w:rPr>
          <w:rFonts w:ascii="Book Antiqua" w:hAnsi="Book Antiqua"/>
          <w:sz w:val="24"/>
          <w:szCs w:val="24"/>
        </w:rPr>
        <w:t xml:space="preserve"> amélioré leur alignement sur les ratios prudentiels édictés par le Conseil de Bâle, renfloué leur marge bénéficiaire et se sont dotés de nouvelles capacités </w:t>
      </w:r>
      <w:r w:rsidR="00845BF7">
        <w:rPr>
          <w:rFonts w:ascii="Book Antiqua" w:hAnsi="Book Antiqua"/>
          <w:sz w:val="24"/>
          <w:szCs w:val="24"/>
        </w:rPr>
        <w:t xml:space="preserve">de déploiement de leurs activités </w:t>
      </w:r>
      <w:r w:rsidRPr="00C920F6">
        <w:rPr>
          <w:rFonts w:ascii="Book Antiqua" w:hAnsi="Book Antiqua"/>
          <w:sz w:val="24"/>
          <w:szCs w:val="24"/>
        </w:rPr>
        <w:t xml:space="preserve">à l’extérieur. </w:t>
      </w:r>
    </w:p>
    <w:p w:rsidR="00E13CF3" w:rsidRPr="00C920F6" w:rsidRDefault="00A43F6B" w:rsidP="00845BF7">
      <w:pPr>
        <w:spacing w:after="240" w:line="360" w:lineRule="auto"/>
        <w:ind w:firstLine="709"/>
        <w:jc w:val="both"/>
        <w:rPr>
          <w:rFonts w:ascii="Book Antiqua" w:hAnsi="Book Antiqua"/>
          <w:sz w:val="24"/>
          <w:szCs w:val="24"/>
        </w:rPr>
      </w:pPr>
      <w:r w:rsidRPr="00C920F6">
        <w:rPr>
          <w:rFonts w:ascii="Book Antiqua" w:hAnsi="Book Antiqua"/>
          <w:sz w:val="24"/>
          <w:szCs w:val="24"/>
        </w:rPr>
        <w:t xml:space="preserve">Cependant, </w:t>
      </w:r>
      <w:r w:rsidR="007625B6" w:rsidRPr="00C920F6">
        <w:rPr>
          <w:rFonts w:ascii="Book Antiqua" w:hAnsi="Book Antiqua"/>
          <w:sz w:val="24"/>
          <w:szCs w:val="24"/>
        </w:rPr>
        <w:t>les crédits bancaires passent d’une augmentation moyenne de 16% par an entre 2005 et 2011 à 3%</w:t>
      </w:r>
      <w:r w:rsidR="009047EC" w:rsidRPr="00C920F6">
        <w:rPr>
          <w:rFonts w:ascii="Book Antiqua" w:hAnsi="Book Antiqua"/>
          <w:sz w:val="24"/>
          <w:szCs w:val="24"/>
        </w:rPr>
        <w:t>. L</w:t>
      </w:r>
      <w:r w:rsidRPr="00C920F6">
        <w:rPr>
          <w:rFonts w:ascii="Book Antiqua" w:hAnsi="Book Antiqua"/>
          <w:sz w:val="24"/>
          <w:szCs w:val="24"/>
        </w:rPr>
        <w:t xml:space="preserve">a demande intérieure décélère passant de </w:t>
      </w:r>
      <w:r w:rsidR="00B70DAF" w:rsidRPr="00C920F6">
        <w:rPr>
          <w:rFonts w:ascii="Book Antiqua" w:hAnsi="Book Antiqua"/>
          <w:sz w:val="24"/>
          <w:szCs w:val="24"/>
        </w:rPr>
        <w:t>5,8</w:t>
      </w:r>
      <w:r w:rsidRPr="00C920F6">
        <w:rPr>
          <w:rFonts w:ascii="Book Antiqua" w:hAnsi="Book Antiqua"/>
          <w:sz w:val="24"/>
          <w:szCs w:val="24"/>
        </w:rPr>
        <w:t xml:space="preserve">% à </w:t>
      </w:r>
      <w:r w:rsidR="00B70DAF" w:rsidRPr="00C920F6">
        <w:rPr>
          <w:rFonts w:ascii="Book Antiqua" w:hAnsi="Book Antiqua"/>
          <w:sz w:val="24"/>
          <w:szCs w:val="24"/>
        </w:rPr>
        <w:t>2,3</w:t>
      </w:r>
      <w:r w:rsidRPr="00C920F6">
        <w:rPr>
          <w:rFonts w:ascii="Book Antiqua" w:hAnsi="Book Antiqua"/>
          <w:sz w:val="24"/>
          <w:szCs w:val="24"/>
        </w:rPr>
        <w:t>%</w:t>
      </w:r>
      <w:r w:rsidR="009047EC" w:rsidRPr="00C920F6">
        <w:rPr>
          <w:rFonts w:ascii="Book Antiqua" w:hAnsi="Book Antiqua"/>
          <w:sz w:val="24"/>
          <w:szCs w:val="24"/>
        </w:rPr>
        <w:t>. L</w:t>
      </w:r>
      <w:r w:rsidRPr="00C920F6">
        <w:rPr>
          <w:rFonts w:ascii="Book Antiqua" w:hAnsi="Book Antiqua"/>
          <w:sz w:val="24"/>
          <w:szCs w:val="24"/>
        </w:rPr>
        <w:t xml:space="preserve">e </w:t>
      </w:r>
      <w:r w:rsidR="00E8360F" w:rsidRPr="00C920F6">
        <w:rPr>
          <w:rFonts w:ascii="Book Antiqua" w:hAnsi="Book Antiqua"/>
          <w:sz w:val="24"/>
          <w:szCs w:val="24"/>
        </w:rPr>
        <w:t xml:space="preserve">rythme d’accroissement du </w:t>
      </w:r>
      <w:r w:rsidR="00B70DAF" w:rsidRPr="00C920F6">
        <w:rPr>
          <w:rFonts w:ascii="Book Antiqua" w:hAnsi="Book Antiqua"/>
          <w:sz w:val="24"/>
          <w:szCs w:val="24"/>
        </w:rPr>
        <w:t xml:space="preserve">pouvoir d’achat </w:t>
      </w:r>
      <w:r w:rsidR="00845BF7">
        <w:rPr>
          <w:rFonts w:ascii="Book Antiqua" w:hAnsi="Book Antiqua"/>
          <w:sz w:val="24"/>
          <w:szCs w:val="24"/>
        </w:rPr>
        <w:t>par habitant</w:t>
      </w:r>
      <w:r w:rsidR="00CE26CC" w:rsidRPr="00C920F6">
        <w:rPr>
          <w:rFonts w:ascii="Book Antiqua" w:hAnsi="Book Antiqua"/>
          <w:sz w:val="24"/>
          <w:szCs w:val="24"/>
        </w:rPr>
        <w:t xml:space="preserve"> </w:t>
      </w:r>
      <w:r w:rsidR="00E8360F" w:rsidRPr="00C920F6">
        <w:rPr>
          <w:rFonts w:ascii="Book Antiqua" w:hAnsi="Book Antiqua"/>
          <w:sz w:val="24"/>
          <w:szCs w:val="24"/>
        </w:rPr>
        <w:t xml:space="preserve">connait un net ralentissement </w:t>
      </w:r>
      <w:r w:rsidR="00B70DAF" w:rsidRPr="00C920F6">
        <w:rPr>
          <w:rFonts w:ascii="Book Antiqua" w:hAnsi="Book Antiqua"/>
          <w:sz w:val="24"/>
          <w:szCs w:val="24"/>
        </w:rPr>
        <w:t xml:space="preserve">passant </w:t>
      </w:r>
      <w:r w:rsidR="00E8360F" w:rsidRPr="00C920F6">
        <w:rPr>
          <w:rFonts w:ascii="Book Antiqua" w:hAnsi="Book Antiqua"/>
          <w:sz w:val="24"/>
          <w:szCs w:val="24"/>
        </w:rPr>
        <w:t xml:space="preserve">de </w:t>
      </w:r>
      <w:r w:rsidR="00B70DAF" w:rsidRPr="00C920F6">
        <w:rPr>
          <w:rFonts w:ascii="Book Antiqua" w:hAnsi="Book Antiqua"/>
          <w:sz w:val="24"/>
          <w:szCs w:val="24"/>
        </w:rPr>
        <w:t>3,4</w:t>
      </w:r>
      <w:r w:rsidR="00E8360F" w:rsidRPr="00C920F6">
        <w:rPr>
          <w:rFonts w:ascii="Book Antiqua" w:hAnsi="Book Antiqua"/>
          <w:sz w:val="24"/>
          <w:szCs w:val="24"/>
        </w:rPr>
        <w:t>%</w:t>
      </w:r>
      <w:r w:rsidR="006C7DBB" w:rsidRPr="00C920F6">
        <w:rPr>
          <w:rFonts w:ascii="Book Antiqua" w:hAnsi="Book Antiqua"/>
          <w:sz w:val="24"/>
          <w:szCs w:val="24"/>
        </w:rPr>
        <w:t xml:space="preserve"> </w:t>
      </w:r>
      <w:r w:rsidR="00B70DAF" w:rsidRPr="00C920F6">
        <w:rPr>
          <w:rFonts w:ascii="Book Antiqua" w:hAnsi="Book Antiqua"/>
          <w:sz w:val="24"/>
          <w:szCs w:val="24"/>
        </w:rPr>
        <w:t>par an entre 2005 et 2009 à 2,5% entre 2010 et 2014</w:t>
      </w:r>
      <w:r w:rsidR="004323AB" w:rsidRPr="00C920F6">
        <w:rPr>
          <w:rFonts w:ascii="Book Antiqua" w:hAnsi="Book Antiqua"/>
          <w:sz w:val="24"/>
          <w:szCs w:val="24"/>
        </w:rPr>
        <w:t>,</w:t>
      </w:r>
      <w:r w:rsidR="00B70DAF" w:rsidRPr="00C920F6">
        <w:rPr>
          <w:rFonts w:ascii="Book Antiqua" w:hAnsi="Book Antiqua"/>
          <w:sz w:val="24"/>
          <w:szCs w:val="24"/>
        </w:rPr>
        <w:t xml:space="preserve"> </w:t>
      </w:r>
      <w:r w:rsidR="00E8360F" w:rsidRPr="00C920F6">
        <w:rPr>
          <w:rFonts w:ascii="Book Antiqua" w:hAnsi="Book Antiqua"/>
          <w:sz w:val="24"/>
          <w:szCs w:val="24"/>
        </w:rPr>
        <w:t>alors que l</w:t>
      </w:r>
      <w:r w:rsidR="00C55237" w:rsidRPr="00C920F6">
        <w:rPr>
          <w:rFonts w:ascii="Book Antiqua" w:hAnsi="Book Antiqua"/>
          <w:sz w:val="24"/>
          <w:szCs w:val="24"/>
        </w:rPr>
        <w:t xml:space="preserve">eur </w:t>
      </w:r>
      <w:r w:rsidR="00E8360F" w:rsidRPr="00C920F6">
        <w:rPr>
          <w:rFonts w:ascii="Book Antiqua" w:hAnsi="Book Antiqua"/>
          <w:sz w:val="24"/>
          <w:szCs w:val="24"/>
        </w:rPr>
        <w:t>dette</w:t>
      </w:r>
      <w:r w:rsidR="00776809" w:rsidRPr="00C920F6">
        <w:rPr>
          <w:rFonts w:ascii="Book Antiqua" w:hAnsi="Book Antiqua"/>
          <w:sz w:val="24"/>
          <w:szCs w:val="24"/>
        </w:rPr>
        <w:t xml:space="preserve"> </w:t>
      </w:r>
      <w:r w:rsidR="00F01C8F" w:rsidRPr="00C920F6">
        <w:rPr>
          <w:rFonts w:ascii="Book Antiqua" w:hAnsi="Book Antiqua"/>
          <w:sz w:val="24"/>
          <w:szCs w:val="24"/>
        </w:rPr>
        <w:t xml:space="preserve">financière est passée de 16,6% du PIB en 2004 à 30,5% en 2014 </w:t>
      </w:r>
      <w:r w:rsidR="00E8360F" w:rsidRPr="00C920F6">
        <w:rPr>
          <w:rFonts w:ascii="Book Antiqua" w:hAnsi="Book Antiqua"/>
          <w:sz w:val="24"/>
          <w:szCs w:val="24"/>
        </w:rPr>
        <w:t>e</w:t>
      </w:r>
      <w:r w:rsidR="00776809" w:rsidRPr="00C920F6">
        <w:rPr>
          <w:rFonts w:ascii="Book Antiqua" w:hAnsi="Book Antiqua"/>
          <w:sz w:val="24"/>
          <w:szCs w:val="24"/>
        </w:rPr>
        <w:t xml:space="preserve">t la dette bancaire </w:t>
      </w:r>
      <w:r w:rsidR="00E8360F" w:rsidRPr="00C920F6">
        <w:rPr>
          <w:rFonts w:ascii="Book Antiqua" w:hAnsi="Book Antiqua"/>
          <w:sz w:val="24"/>
          <w:szCs w:val="24"/>
        </w:rPr>
        <w:t xml:space="preserve">des entreprises </w:t>
      </w:r>
      <w:r w:rsidR="00F01C8F" w:rsidRPr="00C920F6">
        <w:rPr>
          <w:rFonts w:ascii="Book Antiqua" w:hAnsi="Book Antiqua"/>
          <w:sz w:val="24"/>
          <w:szCs w:val="24"/>
        </w:rPr>
        <w:t>non financièr</w:t>
      </w:r>
      <w:r w:rsidR="00776809" w:rsidRPr="00C920F6">
        <w:rPr>
          <w:rFonts w:ascii="Book Antiqua" w:hAnsi="Book Antiqua"/>
          <w:sz w:val="24"/>
          <w:szCs w:val="24"/>
        </w:rPr>
        <w:t>es est passée de 31,2% à 50,1%.</w:t>
      </w:r>
    </w:p>
    <w:p w:rsidR="007D2B42" w:rsidRPr="0081632C" w:rsidRDefault="007625B6" w:rsidP="0081632C">
      <w:pPr>
        <w:spacing w:after="240" w:line="360" w:lineRule="auto"/>
        <w:ind w:firstLine="709"/>
        <w:jc w:val="both"/>
        <w:rPr>
          <w:rFonts w:ascii="Book Antiqua" w:hAnsi="Book Antiqua"/>
          <w:sz w:val="24"/>
          <w:szCs w:val="24"/>
        </w:rPr>
      </w:pPr>
      <w:r w:rsidRPr="00C920F6">
        <w:rPr>
          <w:rFonts w:ascii="Book Antiqua" w:hAnsi="Book Antiqua"/>
          <w:sz w:val="24"/>
          <w:szCs w:val="24"/>
        </w:rPr>
        <w:t xml:space="preserve">Dans ces conditions, la croissance économique </w:t>
      </w:r>
      <w:r w:rsidR="00845BF7">
        <w:rPr>
          <w:rFonts w:ascii="Book Antiqua" w:hAnsi="Book Antiqua"/>
          <w:sz w:val="24"/>
          <w:szCs w:val="24"/>
        </w:rPr>
        <w:t xml:space="preserve">continuerait à </w:t>
      </w:r>
      <w:r w:rsidR="009F4398" w:rsidRPr="00C920F6">
        <w:rPr>
          <w:rFonts w:ascii="Book Antiqua" w:hAnsi="Book Antiqua"/>
          <w:sz w:val="24"/>
          <w:szCs w:val="24"/>
        </w:rPr>
        <w:t>varie</w:t>
      </w:r>
      <w:r w:rsidR="00845BF7">
        <w:rPr>
          <w:rFonts w:ascii="Book Antiqua" w:hAnsi="Book Antiqua"/>
          <w:sz w:val="24"/>
          <w:szCs w:val="24"/>
        </w:rPr>
        <w:t>r</w:t>
      </w:r>
      <w:r w:rsidRPr="00C920F6">
        <w:rPr>
          <w:rFonts w:ascii="Book Antiqua" w:hAnsi="Book Antiqua"/>
          <w:sz w:val="24"/>
          <w:szCs w:val="24"/>
        </w:rPr>
        <w:t xml:space="preserve">, </w:t>
      </w:r>
      <w:r w:rsidR="0028781F" w:rsidRPr="00C920F6">
        <w:rPr>
          <w:rFonts w:ascii="Book Antiqua" w:hAnsi="Book Antiqua"/>
          <w:sz w:val="24"/>
          <w:szCs w:val="24"/>
        </w:rPr>
        <w:t>au gré des</w:t>
      </w:r>
      <w:r w:rsidRPr="00C920F6">
        <w:rPr>
          <w:rFonts w:ascii="Book Antiqua" w:hAnsi="Book Antiqua"/>
          <w:sz w:val="24"/>
          <w:szCs w:val="24"/>
        </w:rPr>
        <w:t xml:space="preserve"> conditions pluviométriques, dans une fourchette de 1% </w:t>
      </w:r>
      <w:r w:rsidR="009F4398" w:rsidRPr="00C920F6">
        <w:rPr>
          <w:rFonts w:ascii="Book Antiqua" w:hAnsi="Book Antiqua"/>
          <w:sz w:val="24"/>
          <w:szCs w:val="24"/>
        </w:rPr>
        <w:t>à</w:t>
      </w:r>
      <w:r w:rsidRPr="00C920F6">
        <w:rPr>
          <w:rFonts w:ascii="Book Antiqua" w:hAnsi="Book Antiqua"/>
          <w:sz w:val="24"/>
          <w:szCs w:val="24"/>
        </w:rPr>
        <w:t xml:space="preserve"> 3% </w:t>
      </w:r>
      <w:r w:rsidR="009F4398" w:rsidRPr="00C920F6">
        <w:rPr>
          <w:rFonts w:ascii="Book Antiqua" w:hAnsi="Book Antiqua"/>
          <w:sz w:val="24"/>
          <w:szCs w:val="24"/>
        </w:rPr>
        <w:t>ou</w:t>
      </w:r>
      <w:r w:rsidRPr="00C920F6">
        <w:rPr>
          <w:rFonts w:ascii="Book Antiqua" w:hAnsi="Book Antiqua"/>
          <w:sz w:val="24"/>
          <w:szCs w:val="24"/>
        </w:rPr>
        <w:t xml:space="preserve"> </w:t>
      </w:r>
      <w:r w:rsidR="009F4398" w:rsidRPr="00C920F6">
        <w:rPr>
          <w:rFonts w:ascii="Book Antiqua" w:hAnsi="Book Antiqua"/>
          <w:sz w:val="24"/>
          <w:szCs w:val="24"/>
        </w:rPr>
        <w:t xml:space="preserve">au mieux </w:t>
      </w:r>
      <w:r w:rsidRPr="00C920F6">
        <w:rPr>
          <w:rFonts w:ascii="Book Antiqua" w:hAnsi="Book Antiqua"/>
          <w:sz w:val="24"/>
          <w:szCs w:val="24"/>
        </w:rPr>
        <w:t xml:space="preserve">4%. </w:t>
      </w:r>
      <w:r w:rsidR="009F4398" w:rsidRPr="00C920F6">
        <w:rPr>
          <w:rFonts w:ascii="Book Antiqua" w:hAnsi="Book Antiqua"/>
          <w:sz w:val="24"/>
          <w:szCs w:val="24"/>
        </w:rPr>
        <w:t>Avec d</w:t>
      </w:r>
      <w:r w:rsidRPr="00C920F6">
        <w:rPr>
          <w:rFonts w:ascii="Book Antiqua" w:hAnsi="Book Antiqua"/>
          <w:sz w:val="24"/>
          <w:szCs w:val="24"/>
        </w:rPr>
        <w:t xml:space="preserve">e tels niveaux de croissance, </w:t>
      </w:r>
      <w:r w:rsidR="008E6859" w:rsidRPr="00C920F6">
        <w:rPr>
          <w:rFonts w:ascii="Book Antiqua" w:hAnsi="Book Antiqua"/>
          <w:sz w:val="24"/>
          <w:szCs w:val="24"/>
        </w:rPr>
        <w:t xml:space="preserve">notre pays doit être interpelé sur la </w:t>
      </w:r>
      <w:r w:rsidRPr="00C920F6">
        <w:rPr>
          <w:rFonts w:ascii="Book Antiqua" w:hAnsi="Book Antiqua"/>
          <w:sz w:val="24"/>
          <w:szCs w:val="24"/>
        </w:rPr>
        <w:t>non soutenabilité de cet équilibre bas</w:t>
      </w:r>
      <w:r w:rsidR="008E6859" w:rsidRPr="00C920F6">
        <w:rPr>
          <w:rFonts w:ascii="Book Antiqua" w:hAnsi="Book Antiqua"/>
          <w:sz w:val="24"/>
          <w:szCs w:val="24"/>
        </w:rPr>
        <w:t xml:space="preserve">. Les réajustements budgétaires, l’aisance financière et l’illusion de l’efficacité </w:t>
      </w:r>
      <w:r w:rsidR="00297480">
        <w:rPr>
          <w:rFonts w:ascii="Book Antiqua" w:hAnsi="Book Antiqua"/>
          <w:sz w:val="24"/>
          <w:szCs w:val="24"/>
        </w:rPr>
        <w:t>de</w:t>
      </w:r>
      <w:r w:rsidR="008E6859" w:rsidRPr="00C920F6">
        <w:rPr>
          <w:rFonts w:ascii="Book Antiqua" w:hAnsi="Book Antiqua"/>
          <w:sz w:val="24"/>
          <w:szCs w:val="24"/>
        </w:rPr>
        <w:t xml:space="preserve"> la politique monétaire </w:t>
      </w:r>
      <w:r w:rsidR="00297480">
        <w:rPr>
          <w:rFonts w:ascii="Book Antiqua" w:hAnsi="Book Antiqua"/>
          <w:sz w:val="24"/>
          <w:szCs w:val="24"/>
        </w:rPr>
        <w:t xml:space="preserve">seule à venir à bout </w:t>
      </w:r>
      <w:r w:rsidR="008E6859" w:rsidRPr="00C920F6">
        <w:rPr>
          <w:rFonts w:ascii="Book Antiqua" w:hAnsi="Book Antiqua"/>
          <w:sz w:val="24"/>
          <w:szCs w:val="24"/>
        </w:rPr>
        <w:t xml:space="preserve">de la désaffection des acteurs économiques à investir et à consommer ne doivent pas occulter les </w:t>
      </w:r>
      <w:r w:rsidRPr="00C920F6">
        <w:rPr>
          <w:rFonts w:ascii="Book Antiqua" w:hAnsi="Book Antiqua"/>
          <w:sz w:val="24"/>
          <w:szCs w:val="24"/>
        </w:rPr>
        <w:t xml:space="preserve">risques </w:t>
      </w:r>
      <w:r w:rsidR="008E6859" w:rsidRPr="00C920F6">
        <w:rPr>
          <w:rFonts w:ascii="Book Antiqua" w:hAnsi="Book Antiqua"/>
          <w:sz w:val="24"/>
          <w:szCs w:val="24"/>
        </w:rPr>
        <w:t xml:space="preserve">de cette situation </w:t>
      </w:r>
      <w:r w:rsidRPr="00C920F6">
        <w:rPr>
          <w:rFonts w:ascii="Book Antiqua" w:hAnsi="Book Antiqua"/>
          <w:sz w:val="24"/>
          <w:szCs w:val="24"/>
        </w:rPr>
        <w:t xml:space="preserve">sur la </w:t>
      </w:r>
      <w:r w:rsidR="00854CC4" w:rsidRPr="00C920F6">
        <w:rPr>
          <w:rFonts w:ascii="Book Antiqua" w:hAnsi="Book Antiqua"/>
          <w:sz w:val="24"/>
          <w:szCs w:val="24"/>
        </w:rPr>
        <w:t>pérennité</w:t>
      </w:r>
      <w:r w:rsidRPr="00C920F6">
        <w:rPr>
          <w:rFonts w:ascii="Book Antiqua" w:hAnsi="Book Antiqua"/>
          <w:sz w:val="24"/>
          <w:szCs w:val="24"/>
        </w:rPr>
        <w:t xml:space="preserve"> des équilibres macroéconomiques </w:t>
      </w:r>
      <w:r w:rsidR="008E6859" w:rsidRPr="00C920F6">
        <w:rPr>
          <w:rFonts w:ascii="Book Antiqua" w:hAnsi="Book Antiqua"/>
          <w:sz w:val="24"/>
          <w:szCs w:val="24"/>
        </w:rPr>
        <w:t xml:space="preserve">et sur ses conséquences sur l’emploi. </w:t>
      </w:r>
      <w:r w:rsidR="00D73796" w:rsidRPr="00C920F6">
        <w:rPr>
          <w:rFonts w:ascii="Book Antiqua" w:hAnsi="Book Antiqua"/>
          <w:sz w:val="24"/>
          <w:szCs w:val="24"/>
        </w:rPr>
        <w:t xml:space="preserve">Une simple atténuation de la baisse du taux d’activité modifierait, d’une façon </w:t>
      </w:r>
      <w:r w:rsidR="00297480">
        <w:rPr>
          <w:rFonts w:ascii="Book Antiqua" w:hAnsi="Book Antiqua"/>
          <w:sz w:val="24"/>
          <w:szCs w:val="24"/>
        </w:rPr>
        <w:t>inquiétante, le taux de chômage</w:t>
      </w:r>
      <w:r w:rsidR="00D73796" w:rsidRPr="00C920F6">
        <w:rPr>
          <w:rFonts w:ascii="Book Antiqua" w:hAnsi="Book Antiqua"/>
          <w:sz w:val="24"/>
          <w:szCs w:val="24"/>
        </w:rPr>
        <w:t>. Une modification, toujours possible, des conditions d’accès au financement extérieur mettrait en péril notre capacité d’endettement et la soutenabilité de l’amélioration de notre croissance.</w:t>
      </w:r>
    </w:p>
    <w:p w:rsidR="00D71805" w:rsidRPr="00C920F6" w:rsidRDefault="00D71805" w:rsidP="00D71805">
      <w:pPr>
        <w:spacing w:after="240" w:line="360" w:lineRule="auto"/>
        <w:jc w:val="both"/>
        <w:rPr>
          <w:rFonts w:ascii="Book Antiqua" w:hAnsi="Book Antiqua"/>
          <w:b/>
          <w:bCs/>
          <w:sz w:val="24"/>
          <w:szCs w:val="24"/>
          <w:u w:val="single"/>
        </w:rPr>
      </w:pPr>
      <w:r w:rsidRPr="00C920F6">
        <w:rPr>
          <w:rFonts w:ascii="Book Antiqua" w:hAnsi="Book Antiqua"/>
          <w:b/>
          <w:bCs/>
          <w:sz w:val="24"/>
          <w:szCs w:val="24"/>
          <w:u w:val="single"/>
        </w:rPr>
        <w:t>Pour un modèle de développement en harmonie de</w:t>
      </w:r>
      <w:r w:rsidR="004C6B61">
        <w:rPr>
          <w:rFonts w:ascii="Book Antiqua" w:hAnsi="Book Antiqua"/>
          <w:b/>
          <w:bCs/>
          <w:sz w:val="24"/>
          <w:szCs w:val="24"/>
          <w:u w:val="single"/>
        </w:rPr>
        <w:t>s</w:t>
      </w:r>
      <w:r w:rsidRPr="00C920F6">
        <w:rPr>
          <w:rFonts w:ascii="Book Antiqua" w:hAnsi="Book Antiqua"/>
          <w:b/>
          <w:bCs/>
          <w:sz w:val="24"/>
          <w:szCs w:val="24"/>
          <w:u w:val="single"/>
        </w:rPr>
        <w:t xml:space="preserve"> facteurs, de</w:t>
      </w:r>
      <w:r w:rsidR="004C6B61">
        <w:rPr>
          <w:rFonts w:ascii="Book Antiqua" w:hAnsi="Book Antiqua"/>
          <w:b/>
          <w:bCs/>
          <w:sz w:val="24"/>
          <w:szCs w:val="24"/>
          <w:u w:val="single"/>
        </w:rPr>
        <w:t xml:space="preserve">s secteurs et des </w:t>
      </w:r>
      <w:r w:rsidRPr="00C920F6">
        <w:rPr>
          <w:rFonts w:ascii="Book Antiqua" w:hAnsi="Book Antiqua"/>
          <w:b/>
          <w:bCs/>
          <w:sz w:val="24"/>
          <w:szCs w:val="24"/>
          <w:u w:val="single"/>
        </w:rPr>
        <w:t>acteurs</w:t>
      </w:r>
      <w:r w:rsidRPr="00320B2A">
        <w:rPr>
          <w:rFonts w:ascii="Book Antiqua" w:hAnsi="Book Antiqua"/>
          <w:b/>
          <w:bCs/>
          <w:sz w:val="24"/>
          <w:szCs w:val="24"/>
        </w:rPr>
        <w:t> :</w:t>
      </w:r>
    </w:p>
    <w:p w:rsidR="00184E7E" w:rsidRPr="00C920F6" w:rsidRDefault="00D73796" w:rsidP="006A6235">
      <w:pPr>
        <w:spacing w:after="240" w:line="360" w:lineRule="auto"/>
        <w:ind w:firstLine="709"/>
        <w:jc w:val="both"/>
        <w:rPr>
          <w:rFonts w:ascii="Book Antiqua" w:hAnsi="Book Antiqua"/>
          <w:sz w:val="24"/>
          <w:szCs w:val="24"/>
        </w:rPr>
      </w:pPr>
      <w:r w:rsidRPr="00C920F6">
        <w:rPr>
          <w:rFonts w:ascii="Book Antiqua" w:hAnsi="Book Antiqua"/>
          <w:sz w:val="24"/>
          <w:szCs w:val="24"/>
        </w:rPr>
        <w:t xml:space="preserve">Les défis actuels et futurs, en termes de développement économique et de stabilité sociale, ne peuvent être relevés que par </w:t>
      </w:r>
      <w:r w:rsidR="00B20A01" w:rsidRPr="00C920F6">
        <w:rPr>
          <w:rFonts w:ascii="Book Antiqua" w:hAnsi="Book Antiqua"/>
          <w:sz w:val="24"/>
          <w:szCs w:val="24"/>
        </w:rPr>
        <w:t xml:space="preserve">une promotion active et soutenue du modèle contractuel de développement dans lequel Sa Majesté Le Roi, Que Dieu Le </w:t>
      </w:r>
      <w:r w:rsidR="00B20A01" w:rsidRPr="00C920F6">
        <w:rPr>
          <w:rFonts w:ascii="Book Antiqua" w:hAnsi="Book Antiqua"/>
          <w:sz w:val="24"/>
          <w:szCs w:val="24"/>
        </w:rPr>
        <w:lastRenderedPageBreak/>
        <w:t>Glorifie, a, depu</w:t>
      </w:r>
      <w:r w:rsidR="00CE26CC" w:rsidRPr="00C920F6">
        <w:rPr>
          <w:rFonts w:ascii="Book Antiqua" w:hAnsi="Book Antiqua"/>
          <w:sz w:val="24"/>
          <w:szCs w:val="24"/>
        </w:rPr>
        <w:t>is S</w:t>
      </w:r>
      <w:r w:rsidR="00B20A01" w:rsidRPr="00C920F6">
        <w:rPr>
          <w:rFonts w:ascii="Book Antiqua" w:hAnsi="Book Antiqua"/>
          <w:sz w:val="24"/>
          <w:szCs w:val="24"/>
        </w:rPr>
        <w:t>on</w:t>
      </w:r>
      <w:r w:rsidR="00CE26CC" w:rsidRPr="00C920F6">
        <w:rPr>
          <w:rFonts w:ascii="Book Antiqua" w:hAnsi="Book Antiqua"/>
          <w:sz w:val="24"/>
          <w:szCs w:val="24"/>
        </w:rPr>
        <w:t xml:space="preserve"> A</w:t>
      </w:r>
      <w:r w:rsidR="00B20A01" w:rsidRPr="00C920F6">
        <w:rPr>
          <w:rFonts w:ascii="Book Antiqua" w:hAnsi="Book Antiqua"/>
          <w:sz w:val="24"/>
          <w:szCs w:val="24"/>
        </w:rPr>
        <w:t>ccès au Trône</w:t>
      </w:r>
      <w:r w:rsidR="00CE26CC" w:rsidRPr="00C920F6">
        <w:rPr>
          <w:rFonts w:ascii="Book Antiqua" w:hAnsi="Book Antiqua"/>
          <w:sz w:val="24"/>
          <w:szCs w:val="24"/>
        </w:rPr>
        <w:t xml:space="preserve"> A</w:t>
      </w:r>
      <w:r w:rsidR="00B20A01" w:rsidRPr="00C920F6">
        <w:rPr>
          <w:rFonts w:ascii="Book Antiqua" w:hAnsi="Book Antiqua"/>
          <w:sz w:val="24"/>
          <w:szCs w:val="24"/>
        </w:rPr>
        <w:t>laouite</w:t>
      </w:r>
      <w:r w:rsidR="00CE26CC" w:rsidRPr="00C920F6">
        <w:rPr>
          <w:rFonts w:ascii="Book Antiqua" w:hAnsi="Book Antiqua"/>
          <w:sz w:val="24"/>
          <w:szCs w:val="24"/>
        </w:rPr>
        <w:t>,</w:t>
      </w:r>
      <w:r w:rsidR="00B20A01" w:rsidRPr="00C920F6">
        <w:rPr>
          <w:rFonts w:ascii="Book Antiqua" w:hAnsi="Book Antiqua"/>
          <w:sz w:val="24"/>
          <w:szCs w:val="24"/>
        </w:rPr>
        <w:t xml:space="preserve"> mis à l’honneur dans notre pays. Ce modèle qui allie sur des objectifs convenus un Etat développeur et un secteur privé soucieux de sécurité</w:t>
      </w:r>
      <w:r w:rsidR="00864E59">
        <w:rPr>
          <w:rFonts w:ascii="Book Antiqua" w:hAnsi="Book Antiqua"/>
          <w:sz w:val="24"/>
          <w:szCs w:val="24"/>
        </w:rPr>
        <w:t>,</w:t>
      </w:r>
      <w:r w:rsidR="00B20A01" w:rsidRPr="00C920F6">
        <w:rPr>
          <w:rFonts w:ascii="Book Antiqua" w:hAnsi="Book Antiqua"/>
          <w:sz w:val="24"/>
          <w:szCs w:val="24"/>
        </w:rPr>
        <w:t xml:space="preserve"> a donné ses preuves dans </w:t>
      </w:r>
      <w:r w:rsidR="00864E59">
        <w:rPr>
          <w:rFonts w:ascii="Book Antiqua" w:hAnsi="Book Antiqua"/>
          <w:sz w:val="24"/>
          <w:szCs w:val="24"/>
        </w:rPr>
        <w:t>l</w:t>
      </w:r>
      <w:r w:rsidR="00B20A01" w:rsidRPr="00C920F6">
        <w:rPr>
          <w:rFonts w:ascii="Book Antiqua" w:hAnsi="Book Antiqua"/>
          <w:sz w:val="24"/>
          <w:szCs w:val="24"/>
        </w:rPr>
        <w:t xml:space="preserve">es grandes réalisations </w:t>
      </w:r>
      <w:r w:rsidR="00864E59">
        <w:rPr>
          <w:rFonts w:ascii="Book Antiqua" w:hAnsi="Book Antiqua"/>
          <w:sz w:val="24"/>
          <w:szCs w:val="24"/>
        </w:rPr>
        <w:t xml:space="preserve">de notre pays </w:t>
      </w:r>
      <w:r w:rsidR="00B20A01" w:rsidRPr="00C920F6">
        <w:rPr>
          <w:rFonts w:ascii="Book Antiqua" w:hAnsi="Book Antiqua"/>
          <w:sz w:val="24"/>
          <w:szCs w:val="24"/>
        </w:rPr>
        <w:t xml:space="preserve">en termes d’infrastructures économiques et sociales, rurales et urbaines au niveau national, régional et, </w:t>
      </w:r>
      <w:r w:rsidR="00194331">
        <w:rPr>
          <w:rFonts w:ascii="Book Antiqua" w:hAnsi="Book Antiqua"/>
          <w:sz w:val="24"/>
          <w:szCs w:val="24"/>
        </w:rPr>
        <w:t xml:space="preserve">avec </w:t>
      </w:r>
      <w:r w:rsidR="00B20A01" w:rsidRPr="00C920F6">
        <w:rPr>
          <w:rFonts w:ascii="Book Antiqua" w:hAnsi="Book Antiqua"/>
          <w:sz w:val="24"/>
          <w:szCs w:val="24"/>
        </w:rPr>
        <w:t>l’INDH</w:t>
      </w:r>
      <w:r w:rsidR="00194331">
        <w:rPr>
          <w:rFonts w:ascii="Book Antiqua" w:hAnsi="Book Antiqua"/>
          <w:sz w:val="24"/>
          <w:szCs w:val="24"/>
        </w:rPr>
        <w:t xml:space="preserve">, local. Cette dynamique devrait, alors que notre pays est engagé dans une régionalisation très avancée, </w:t>
      </w:r>
      <w:r w:rsidR="00B20A01" w:rsidRPr="00C920F6">
        <w:rPr>
          <w:rFonts w:ascii="Book Antiqua" w:hAnsi="Book Antiqua"/>
          <w:sz w:val="24"/>
          <w:szCs w:val="24"/>
        </w:rPr>
        <w:t xml:space="preserve">s’inscrire dans le cadre d’une planification stratégique </w:t>
      </w:r>
      <w:r w:rsidR="00194331">
        <w:rPr>
          <w:rFonts w:ascii="Book Antiqua" w:hAnsi="Book Antiqua"/>
          <w:sz w:val="24"/>
          <w:szCs w:val="24"/>
        </w:rPr>
        <w:t>pour une</w:t>
      </w:r>
      <w:r w:rsidR="00B20A01" w:rsidRPr="00C920F6">
        <w:rPr>
          <w:rFonts w:ascii="Book Antiqua" w:hAnsi="Book Antiqua"/>
          <w:sz w:val="24"/>
          <w:szCs w:val="24"/>
        </w:rPr>
        <w:t xml:space="preserve"> appropriation collective de ses objectifs et de ses </w:t>
      </w:r>
      <w:r w:rsidR="00194331">
        <w:rPr>
          <w:rFonts w:ascii="Book Antiqua" w:hAnsi="Book Antiqua"/>
          <w:sz w:val="24"/>
          <w:szCs w:val="24"/>
        </w:rPr>
        <w:t>implications économiques, institutionnelles et sociétales.</w:t>
      </w:r>
      <w:r w:rsidR="00B20A01" w:rsidRPr="00C920F6">
        <w:rPr>
          <w:rFonts w:ascii="Book Antiqua" w:hAnsi="Book Antiqua"/>
          <w:sz w:val="24"/>
          <w:szCs w:val="24"/>
        </w:rPr>
        <w:t xml:space="preserve"> C’est dans ce cadre que doivent être fédérés les efforts du secteur pr</w:t>
      </w:r>
      <w:r w:rsidR="00184E7E" w:rsidRPr="00C920F6">
        <w:rPr>
          <w:rFonts w:ascii="Book Antiqua" w:hAnsi="Book Antiqua"/>
          <w:sz w:val="24"/>
          <w:szCs w:val="24"/>
        </w:rPr>
        <w:t>i</w:t>
      </w:r>
      <w:r w:rsidR="00B20A01" w:rsidRPr="00C920F6">
        <w:rPr>
          <w:rFonts w:ascii="Book Antiqua" w:hAnsi="Book Antiqua"/>
          <w:sz w:val="24"/>
          <w:szCs w:val="24"/>
        </w:rPr>
        <w:t>vé, de l’</w:t>
      </w:r>
      <w:r w:rsidR="00184E7E" w:rsidRPr="00C920F6">
        <w:rPr>
          <w:rFonts w:ascii="Book Antiqua" w:hAnsi="Book Antiqua"/>
          <w:sz w:val="24"/>
          <w:szCs w:val="24"/>
        </w:rPr>
        <w:t>administration</w:t>
      </w:r>
      <w:r w:rsidR="00B20A01" w:rsidRPr="00C920F6">
        <w:rPr>
          <w:rFonts w:ascii="Book Antiqua" w:hAnsi="Book Antiqua"/>
          <w:sz w:val="24"/>
          <w:szCs w:val="24"/>
        </w:rPr>
        <w:t xml:space="preserve"> et des</w:t>
      </w:r>
      <w:r w:rsidR="00194331">
        <w:rPr>
          <w:rFonts w:ascii="Book Antiqua" w:hAnsi="Book Antiqua"/>
          <w:sz w:val="24"/>
          <w:szCs w:val="24"/>
        </w:rPr>
        <w:t xml:space="preserve"> institutions</w:t>
      </w:r>
      <w:r w:rsidR="00B20A01" w:rsidRPr="00C920F6">
        <w:rPr>
          <w:rFonts w:ascii="Book Antiqua" w:hAnsi="Book Antiqua"/>
          <w:sz w:val="24"/>
          <w:szCs w:val="24"/>
        </w:rPr>
        <w:t xml:space="preserve"> élu</w:t>
      </w:r>
      <w:r w:rsidR="00194331">
        <w:rPr>
          <w:rFonts w:ascii="Book Antiqua" w:hAnsi="Book Antiqua"/>
          <w:sz w:val="24"/>
          <w:szCs w:val="24"/>
        </w:rPr>
        <w:t>e</w:t>
      </w:r>
      <w:r w:rsidR="00B20A01" w:rsidRPr="00C920F6">
        <w:rPr>
          <w:rFonts w:ascii="Book Antiqua" w:hAnsi="Book Antiqua"/>
          <w:sz w:val="24"/>
          <w:szCs w:val="24"/>
        </w:rPr>
        <w:t>s à tous les niveaux pour engager</w:t>
      </w:r>
      <w:r w:rsidR="006A086E" w:rsidRPr="00C920F6">
        <w:rPr>
          <w:rFonts w:ascii="Book Antiqua" w:hAnsi="Book Antiqua"/>
          <w:sz w:val="24"/>
          <w:szCs w:val="24"/>
        </w:rPr>
        <w:t>, avec ces derniers,</w:t>
      </w:r>
      <w:r w:rsidR="00B20A01" w:rsidRPr="00C920F6">
        <w:rPr>
          <w:rFonts w:ascii="Book Antiqua" w:hAnsi="Book Antiqua"/>
          <w:sz w:val="24"/>
          <w:szCs w:val="24"/>
        </w:rPr>
        <w:t xml:space="preserve"> </w:t>
      </w:r>
      <w:r w:rsidR="006A086E" w:rsidRPr="00C920F6">
        <w:rPr>
          <w:rFonts w:ascii="Book Antiqua" w:hAnsi="Book Antiqua"/>
          <w:sz w:val="24"/>
          <w:szCs w:val="24"/>
        </w:rPr>
        <w:t>un réajustement résolu de notre modèle économique dans le cadre d’u</w:t>
      </w:r>
      <w:r w:rsidR="00B20A01" w:rsidRPr="00C920F6">
        <w:rPr>
          <w:rFonts w:ascii="Book Antiqua" w:hAnsi="Book Antiqua"/>
          <w:sz w:val="24"/>
          <w:szCs w:val="24"/>
        </w:rPr>
        <w:t xml:space="preserve">ne nouvelle ère </w:t>
      </w:r>
      <w:r w:rsidR="006A086E" w:rsidRPr="00C920F6">
        <w:rPr>
          <w:rFonts w:ascii="Book Antiqua" w:hAnsi="Book Antiqua"/>
          <w:sz w:val="24"/>
          <w:szCs w:val="24"/>
        </w:rPr>
        <w:t xml:space="preserve">de croissance </w:t>
      </w:r>
      <w:r w:rsidR="00B20A01" w:rsidRPr="00C920F6">
        <w:rPr>
          <w:rFonts w:ascii="Book Antiqua" w:hAnsi="Book Antiqua"/>
          <w:sz w:val="24"/>
          <w:szCs w:val="24"/>
        </w:rPr>
        <w:t>axée sur l’industrialisation où</w:t>
      </w:r>
      <w:r w:rsidR="006A086E" w:rsidRPr="00C920F6">
        <w:rPr>
          <w:rFonts w:ascii="Book Antiqua" w:hAnsi="Book Antiqua"/>
          <w:sz w:val="24"/>
          <w:szCs w:val="24"/>
        </w:rPr>
        <w:t xml:space="preserve"> </w:t>
      </w:r>
      <w:r w:rsidR="00B20A01" w:rsidRPr="00C920F6">
        <w:rPr>
          <w:rFonts w:ascii="Book Antiqua" w:hAnsi="Book Antiqua"/>
          <w:sz w:val="24"/>
          <w:szCs w:val="24"/>
        </w:rPr>
        <w:t>l’</w:t>
      </w:r>
      <w:r w:rsidR="00184E7E" w:rsidRPr="00C920F6">
        <w:rPr>
          <w:rFonts w:ascii="Book Antiqua" w:hAnsi="Book Antiqua"/>
          <w:sz w:val="24"/>
          <w:szCs w:val="24"/>
        </w:rPr>
        <w:t>E</w:t>
      </w:r>
      <w:r w:rsidR="00B20A01" w:rsidRPr="00C920F6">
        <w:rPr>
          <w:rFonts w:ascii="Book Antiqua" w:hAnsi="Book Antiqua"/>
          <w:sz w:val="24"/>
          <w:szCs w:val="24"/>
        </w:rPr>
        <w:t>tat se décide</w:t>
      </w:r>
      <w:r w:rsidR="006A086E" w:rsidRPr="00C920F6">
        <w:rPr>
          <w:rFonts w:ascii="Book Antiqua" w:hAnsi="Book Antiqua"/>
          <w:sz w:val="24"/>
          <w:szCs w:val="24"/>
        </w:rPr>
        <w:t>,</w:t>
      </w:r>
      <w:r w:rsidR="00B20A01" w:rsidRPr="00C920F6">
        <w:rPr>
          <w:rFonts w:ascii="Book Antiqua" w:hAnsi="Book Antiqua"/>
          <w:sz w:val="24"/>
          <w:szCs w:val="24"/>
        </w:rPr>
        <w:t xml:space="preserve"> </w:t>
      </w:r>
      <w:r w:rsidR="00184E7E" w:rsidRPr="00C920F6">
        <w:rPr>
          <w:rFonts w:ascii="Book Antiqua" w:hAnsi="Book Antiqua"/>
          <w:sz w:val="24"/>
          <w:szCs w:val="24"/>
        </w:rPr>
        <w:t>au-delà</w:t>
      </w:r>
      <w:r w:rsidR="00B20A01" w:rsidRPr="00C920F6">
        <w:rPr>
          <w:rFonts w:ascii="Book Antiqua" w:hAnsi="Book Antiqua"/>
          <w:sz w:val="24"/>
          <w:szCs w:val="24"/>
        </w:rPr>
        <w:t xml:space="preserve"> des infrastructures</w:t>
      </w:r>
      <w:r w:rsidR="00F54D92">
        <w:rPr>
          <w:rFonts w:ascii="Book Antiqua" w:hAnsi="Book Antiqua"/>
          <w:sz w:val="24"/>
          <w:szCs w:val="24"/>
        </w:rPr>
        <w:t>,</w:t>
      </w:r>
      <w:r w:rsidR="00B20A01" w:rsidRPr="00C920F6">
        <w:rPr>
          <w:rFonts w:ascii="Book Antiqua" w:hAnsi="Book Antiqua"/>
          <w:sz w:val="24"/>
          <w:szCs w:val="24"/>
        </w:rPr>
        <w:t xml:space="preserve"> </w:t>
      </w:r>
      <w:r w:rsidR="00194331">
        <w:rPr>
          <w:rFonts w:ascii="Book Antiqua" w:hAnsi="Book Antiqua"/>
          <w:sz w:val="24"/>
          <w:szCs w:val="24"/>
        </w:rPr>
        <w:t>résolument</w:t>
      </w:r>
      <w:r w:rsidR="00F54D92">
        <w:rPr>
          <w:rFonts w:ascii="Book Antiqua" w:hAnsi="Book Antiqua"/>
          <w:sz w:val="24"/>
          <w:szCs w:val="24"/>
        </w:rPr>
        <w:t>,</w:t>
      </w:r>
      <w:r w:rsidR="00194331">
        <w:rPr>
          <w:rFonts w:ascii="Book Antiqua" w:hAnsi="Book Antiqua"/>
          <w:sz w:val="24"/>
          <w:szCs w:val="24"/>
        </w:rPr>
        <w:t xml:space="preserve"> </w:t>
      </w:r>
      <w:r w:rsidR="00B20A01" w:rsidRPr="00C920F6">
        <w:rPr>
          <w:rFonts w:ascii="Book Antiqua" w:hAnsi="Book Antiqua"/>
          <w:sz w:val="24"/>
          <w:szCs w:val="24"/>
        </w:rPr>
        <w:t xml:space="preserve">à investir dans les secteurs productifs dont il s’est </w:t>
      </w:r>
      <w:r w:rsidR="006A086E" w:rsidRPr="00C920F6">
        <w:rPr>
          <w:rFonts w:ascii="Book Antiqua" w:hAnsi="Book Antiqua"/>
          <w:sz w:val="24"/>
          <w:szCs w:val="24"/>
        </w:rPr>
        <w:t xml:space="preserve">pendant longtemps </w:t>
      </w:r>
      <w:r w:rsidR="00184E7E" w:rsidRPr="00C920F6">
        <w:rPr>
          <w:rFonts w:ascii="Book Antiqua" w:hAnsi="Book Antiqua"/>
          <w:sz w:val="24"/>
          <w:szCs w:val="24"/>
        </w:rPr>
        <w:t xml:space="preserve">retiré, </w:t>
      </w:r>
      <w:r w:rsidR="00B20A01" w:rsidRPr="00C920F6">
        <w:rPr>
          <w:rFonts w:ascii="Book Antiqua" w:hAnsi="Book Antiqua"/>
          <w:sz w:val="24"/>
          <w:szCs w:val="24"/>
        </w:rPr>
        <w:t xml:space="preserve">par </w:t>
      </w:r>
      <w:r w:rsidR="00184E7E" w:rsidRPr="00C920F6">
        <w:rPr>
          <w:rFonts w:ascii="Book Antiqua" w:hAnsi="Book Antiqua"/>
          <w:sz w:val="24"/>
          <w:szCs w:val="24"/>
        </w:rPr>
        <w:t>aligne</w:t>
      </w:r>
      <w:r w:rsidR="006A086E" w:rsidRPr="00C920F6">
        <w:rPr>
          <w:rFonts w:ascii="Book Antiqua" w:hAnsi="Book Antiqua"/>
          <w:sz w:val="24"/>
          <w:szCs w:val="24"/>
        </w:rPr>
        <w:t>me</w:t>
      </w:r>
      <w:r w:rsidR="00184E7E" w:rsidRPr="00C920F6">
        <w:rPr>
          <w:rFonts w:ascii="Book Antiqua" w:hAnsi="Book Antiqua"/>
          <w:sz w:val="24"/>
          <w:szCs w:val="24"/>
        </w:rPr>
        <w:t xml:space="preserve">nt sur </w:t>
      </w:r>
      <w:r w:rsidR="00B20A01" w:rsidRPr="00C920F6">
        <w:rPr>
          <w:rFonts w:ascii="Book Antiqua" w:hAnsi="Book Antiqua"/>
          <w:sz w:val="24"/>
          <w:szCs w:val="24"/>
        </w:rPr>
        <w:t>un principe aujourd’hui contesté</w:t>
      </w:r>
      <w:r w:rsidR="006A6235">
        <w:rPr>
          <w:rFonts w:ascii="Book Antiqua" w:hAnsi="Book Antiqua"/>
          <w:sz w:val="24"/>
          <w:szCs w:val="24"/>
        </w:rPr>
        <w:t xml:space="preserve"> même par les institutions internationales qui en ont été pendant longtemps les chantres</w:t>
      </w:r>
      <w:r w:rsidR="00184E7E" w:rsidRPr="00C920F6">
        <w:rPr>
          <w:rFonts w:ascii="Book Antiqua" w:hAnsi="Book Antiqua"/>
          <w:sz w:val="24"/>
          <w:szCs w:val="24"/>
        </w:rPr>
        <w:t>.</w:t>
      </w:r>
    </w:p>
    <w:p w:rsidR="00E87DB7" w:rsidRDefault="001528CD" w:rsidP="00F46E88">
      <w:pPr>
        <w:spacing w:after="240" w:line="360" w:lineRule="auto"/>
        <w:ind w:firstLine="709"/>
        <w:jc w:val="both"/>
        <w:rPr>
          <w:rFonts w:ascii="Book Antiqua" w:hAnsi="Book Antiqua"/>
          <w:sz w:val="24"/>
          <w:szCs w:val="24"/>
        </w:rPr>
      </w:pPr>
      <w:r w:rsidRPr="00C920F6">
        <w:rPr>
          <w:rFonts w:ascii="Book Antiqua" w:hAnsi="Book Antiqua"/>
          <w:sz w:val="24"/>
          <w:szCs w:val="24"/>
        </w:rPr>
        <w:t xml:space="preserve"> </w:t>
      </w:r>
      <w:r w:rsidR="006A086E" w:rsidRPr="00C920F6">
        <w:rPr>
          <w:rFonts w:ascii="Book Antiqua" w:hAnsi="Book Antiqua"/>
          <w:sz w:val="24"/>
          <w:szCs w:val="24"/>
        </w:rPr>
        <w:t>Le défunt Michel</w:t>
      </w:r>
      <w:r w:rsidR="00F46E88">
        <w:rPr>
          <w:rFonts w:ascii="Book Antiqua" w:hAnsi="Book Antiqua"/>
          <w:sz w:val="24"/>
          <w:szCs w:val="24"/>
        </w:rPr>
        <w:t xml:space="preserve"> Rocard utilisait, lors de l’une</w:t>
      </w:r>
      <w:r w:rsidR="006A086E" w:rsidRPr="00C920F6">
        <w:rPr>
          <w:rFonts w:ascii="Book Antiqua" w:hAnsi="Book Antiqua"/>
          <w:sz w:val="24"/>
          <w:szCs w:val="24"/>
        </w:rPr>
        <w:t xml:space="preserve"> de</w:t>
      </w:r>
      <w:r w:rsidR="00F46E88">
        <w:rPr>
          <w:rFonts w:ascii="Book Antiqua" w:hAnsi="Book Antiqua"/>
          <w:sz w:val="24"/>
          <w:szCs w:val="24"/>
        </w:rPr>
        <w:t>s</w:t>
      </w:r>
      <w:r w:rsidR="006A086E" w:rsidRPr="00C920F6">
        <w:rPr>
          <w:rFonts w:ascii="Book Antiqua" w:hAnsi="Book Antiqua"/>
          <w:sz w:val="24"/>
          <w:szCs w:val="24"/>
        </w:rPr>
        <w:t xml:space="preserve"> rencontres internationales</w:t>
      </w:r>
      <w:r w:rsidR="00F46E88">
        <w:rPr>
          <w:rFonts w:ascii="Book Antiqua" w:hAnsi="Book Antiqua"/>
          <w:sz w:val="24"/>
          <w:szCs w:val="24"/>
        </w:rPr>
        <w:t xml:space="preserve"> organisées par le HCP</w:t>
      </w:r>
      <w:r w:rsidR="006A086E" w:rsidRPr="00C920F6">
        <w:rPr>
          <w:rFonts w:ascii="Book Antiqua" w:hAnsi="Book Antiqua"/>
          <w:sz w:val="24"/>
          <w:szCs w:val="24"/>
        </w:rPr>
        <w:t>, l’élégante expression " d’harmonie de</w:t>
      </w:r>
      <w:r w:rsidR="004C6B61">
        <w:rPr>
          <w:rFonts w:ascii="Book Antiqua" w:hAnsi="Book Antiqua"/>
          <w:sz w:val="24"/>
          <w:szCs w:val="24"/>
        </w:rPr>
        <w:t>s</w:t>
      </w:r>
      <w:r w:rsidR="006A086E" w:rsidRPr="00C920F6">
        <w:rPr>
          <w:rFonts w:ascii="Book Antiqua" w:hAnsi="Book Antiqua"/>
          <w:sz w:val="24"/>
          <w:szCs w:val="24"/>
        </w:rPr>
        <w:t xml:space="preserve"> facteurs " pour qualifier le double </w:t>
      </w:r>
      <w:r w:rsidR="00F46E88">
        <w:rPr>
          <w:rFonts w:ascii="Book Antiqua" w:hAnsi="Book Antiqua"/>
          <w:sz w:val="24"/>
          <w:szCs w:val="24"/>
        </w:rPr>
        <w:t>facteur économique et humain de notre croissance</w:t>
      </w:r>
      <w:r w:rsidR="006A086E" w:rsidRPr="00C920F6">
        <w:rPr>
          <w:rFonts w:ascii="Book Antiqua" w:hAnsi="Book Antiqua"/>
          <w:sz w:val="24"/>
          <w:szCs w:val="24"/>
        </w:rPr>
        <w:t xml:space="preserve">. Nous nous inspirerons volontiers, aujourd’hui, de sa suave </w:t>
      </w:r>
      <w:r w:rsidR="00337A78">
        <w:rPr>
          <w:rFonts w:ascii="Book Antiqua" w:hAnsi="Book Antiqua"/>
          <w:sz w:val="24"/>
          <w:szCs w:val="24"/>
        </w:rPr>
        <w:t>formule</w:t>
      </w:r>
      <w:r w:rsidR="006A086E" w:rsidRPr="00C920F6">
        <w:rPr>
          <w:rFonts w:ascii="Book Antiqua" w:hAnsi="Book Antiqua"/>
          <w:sz w:val="24"/>
          <w:szCs w:val="24"/>
        </w:rPr>
        <w:t xml:space="preserve"> pour inviter à un nouveau dynamisme de croissance en " harmonie de</w:t>
      </w:r>
      <w:r w:rsidR="00337A78">
        <w:rPr>
          <w:rFonts w:ascii="Book Antiqua" w:hAnsi="Book Antiqua"/>
          <w:sz w:val="24"/>
          <w:szCs w:val="24"/>
        </w:rPr>
        <w:t>s</w:t>
      </w:r>
      <w:r w:rsidR="006A086E" w:rsidRPr="00C920F6">
        <w:rPr>
          <w:rFonts w:ascii="Book Antiqua" w:hAnsi="Book Antiqua"/>
          <w:sz w:val="24"/>
          <w:szCs w:val="24"/>
        </w:rPr>
        <w:t xml:space="preserve"> facteurs, de</w:t>
      </w:r>
      <w:r w:rsidR="00337A78">
        <w:rPr>
          <w:rFonts w:ascii="Book Antiqua" w:hAnsi="Book Antiqua"/>
          <w:sz w:val="24"/>
          <w:szCs w:val="24"/>
        </w:rPr>
        <w:t xml:space="preserve">s secteurs et des </w:t>
      </w:r>
      <w:r w:rsidR="006A086E" w:rsidRPr="00C920F6">
        <w:rPr>
          <w:rFonts w:ascii="Book Antiqua" w:hAnsi="Book Antiqua"/>
          <w:sz w:val="24"/>
          <w:szCs w:val="24"/>
        </w:rPr>
        <w:t>acteurs ".</w:t>
      </w:r>
    </w:p>
    <w:p w:rsidR="0081632C" w:rsidRDefault="0081632C" w:rsidP="007D2B42">
      <w:pPr>
        <w:spacing w:after="0"/>
        <w:ind w:firstLine="5954"/>
        <w:rPr>
          <w:rFonts w:ascii="Book Antiqua" w:hAnsi="Book Antiqua"/>
          <w:b/>
          <w:bCs/>
          <w:sz w:val="24"/>
          <w:szCs w:val="24"/>
        </w:rPr>
      </w:pPr>
    </w:p>
    <w:p w:rsidR="002639DC" w:rsidRPr="002639DC" w:rsidRDefault="002639DC" w:rsidP="007D2B42">
      <w:pPr>
        <w:spacing w:after="0"/>
        <w:ind w:firstLine="5954"/>
        <w:rPr>
          <w:rFonts w:ascii="Book Antiqua" w:hAnsi="Book Antiqua"/>
          <w:b/>
          <w:bCs/>
          <w:sz w:val="24"/>
          <w:szCs w:val="24"/>
        </w:rPr>
      </w:pPr>
      <w:r>
        <w:rPr>
          <w:rFonts w:ascii="Book Antiqua" w:hAnsi="Book Antiqua"/>
          <w:b/>
          <w:bCs/>
          <w:sz w:val="24"/>
          <w:szCs w:val="24"/>
        </w:rPr>
        <w:t xml:space="preserve"> </w:t>
      </w:r>
      <w:r w:rsidRPr="002639DC">
        <w:rPr>
          <w:rFonts w:ascii="Book Antiqua" w:hAnsi="Book Antiqua"/>
          <w:b/>
          <w:bCs/>
          <w:sz w:val="24"/>
          <w:szCs w:val="24"/>
        </w:rPr>
        <w:t>A</w:t>
      </w:r>
      <w:r>
        <w:rPr>
          <w:rFonts w:ascii="Book Antiqua" w:hAnsi="Book Antiqua"/>
          <w:b/>
          <w:bCs/>
          <w:sz w:val="24"/>
          <w:szCs w:val="24"/>
        </w:rPr>
        <w:t>.</w:t>
      </w:r>
      <w:r w:rsidRPr="002639DC">
        <w:rPr>
          <w:rFonts w:ascii="Book Antiqua" w:hAnsi="Book Antiqua"/>
          <w:b/>
          <w:bCs/>
          <w:sz w:val="24"/>
          <w:szCs w:val="24"/>
        </w:rPr>
        <w:t xml:space="preserve"> </w:t>
      </w:r>
      <w:r>
        <w:rPr>
          <w:rFonts w:ascii="Book Antiqua" w:hAnsi="Book Antiqua"/>
          <w:b/>
          <w:bCs/>
          <w:sz w:val="24"/>
          <w:szCs w:val="24"/>
        </w:rPr>
        <w:t>LAHLIMI</w:t>
      </w:r>
    </w:p>
    <w:sectPr w:rsidR="002639DC" w:rsidRPr="002639DC" w:rsidSect="00BE39C8">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25B" w:rsidRDefault="00D6325B" w:rsidP="00300F80">
      <w:pPr>
        <w:spacing w:after="0" w:line="240" w:lineRule="auto"/>
      </w:pPr>
      <w:r>
        <w:separator/>
      </w:r>
    </w:p>
  </w:endnote>
  <w:endnote w:type="continuationSeparator" w:id="1">
    <w:p w:rsidR="00D6325B" w:rsidRDefault="00D6325B" w:rsidP="00300F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C8F" w:rsidRDefault="00F01C8F">
    <w:pPr>
      <w:pStyle w:val="Pieddepage"/>
      <w:jc w:val="right"/>
    </w:pPr>
    <w:fldSimple w:instr=" PAGE   \* MERGEFORMAT ">
      <w:r w:rsidR="0026389C">
        <w:rPr>
          <w:noProof/>
        </w:rPr>
        <w:t>2</w:t>
      </w:r>
    </w:fldSimple>
  </w:p>
  <w:p w:rsidR="00F01C8F" w:rsidRDefault="00F01C8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25B" w:rsidRDefault="00D6325B" w:rsidP="00300F80">
      <w:pPr>
        <w:spacing w:after="0" w:line="240" w:lineRule="auto"/>
      </w:pPr>
      <w:r>
        <w:separator/>
      </w:r>
    </w:p>
  </w:footnote>
  <w:footnote w:type="continuationSeparator" w:id="1">
    <w:p w:rsidR="00D6325B" w:rsidRDefault="00D6325B" w:rsidP="00300F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C8F" w:rsidRDefault="0026389C">
    <w:pPr>
      <w:pStyle w:val="En-tte"/>
    </w:pPr>
    <w:r>
      <w:rPr>
        <w:noProof/>
        <w:lang w:eastAsia="fr-FR"/>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2850" cy="9586595"/>
          <wp:effectExtent l="1905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b="4871"/>
                  <a:stretch>
                    <a:fillRect/>
                  </a:stretch>
                </pic:blipFill>
                <pic:spPr bwMode="auto">
                  <a:xfrm>
                    <a:off x="0" y="0"/>
                    <a:ext cx="7562850" cy="95865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11FCF"/>
    <w:multiLevelType w:val="hybridMultilevel"/>
    <w:tmpl w:val="B1C0B6D0"/>
    <w:lvl w:ilvl="0" w:tplc="16B69E06">
      <w:numFmt w:val="bullet"/>
      <w:lvlText w:val="-"/>
      <w:lvlJc w:val="left"/>
      <w:pPr>
        <w:ind w:left="1068" w:hanging="360"/>
      </w:pPr>
      <w:rPr>
        <w:rFonts w:ascii="Calibri" w:eastAsia="Calibri" w:hAnsi="Calibri"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16F85AFC"/>
    <w:multiLevelType w:val="hybridMultilevel"/>
    <w:tmpl w:val="30D26BDA"/>
    <w:lvl w:ilvl="0" w:tplc="1180CE66">
      <w:start w:val="1"/>
      <w:numFmt w:val="decimal"/>
      <w:lvlText w:val="%1."/>
      <w:lvlJc w:val="left"/>
      <w:pPr>
        <w:ind w:left="1068" w:hanging="360"/>
      </w:pPr>
      <w:rPr>
        <w:rFonts w:hint="default"/>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D23D66"/>
    <w:rsid w:val="00006F53"/>
    <w:rsid w:val="00022582"/>
    <w:rsid w:val="00022862"/>
    <w:rsid w:val="00025331"/>
    <w:rsid w:val="000268BC"/>
    <w:rsid w:val="00035E26"/>
    <w:rsid w:val="0003736B"/>
    <w:rsid w:val="00041C7D"/>
    <w:rsid w:val="00051D30"/>
    <w:rsid w:val="00052651"/>
    <w:rsid w:val="00055150"/>
    <w:rsid w:val="00056F28"/>
    <w:rsid w:val="000621F2"/>
    <w:rsid w:val="00063CA4"/>
    <w:rsid w:val="00066052"/>
    <w:rsid w:val="00074339"/>
    <w:rsid w:val="0008307D"/>
    <w:rsid w:val="000909D6"/>
    <w:rsid w:val="00097321"/>
    <w:rsid w:val="000A4F30"/>
    <w:rsid w:val="000B2287"/>
    <w:rsid w:val="000B51A9"/>
    <w:rsid w:val="000C11A0"/>
    <w:rsid w:val="0010139B"/>
    <w:rsid w:val="00101AAA"/>
    <w:rsid w:val="00105F67"/>
    <w:rsid w:val="00121666"/>
    <w:rsid w:val="001415E4"/>
    <w:rsid w:val="00141ED9"/>
    <w:rsid w:val="00145918"/>
    <w:rsid w:val="001460AB"/>
    <w:rsid w:val="00146373"/>
    <w:rsid w:val="001528CD"/>
    <w:rsid w:val="00166670"/>
    <w:rsid w:val="00184E7E"/>
    <w:rsid w:val="00187F74"/>
    <w:rsid w:val="001932CB"/>
    <w:rsid w:val="00194331"/>
    <w:rsid w:val="001A15C6"/>
    <w:rsid w:val="001B4300"/>
    <w:rsid w:val="001B713E"/>
    <w:rsid w:val="001B7DA6"/>
    <w:rsid w:val="001C5709"/>
    <w:rsid w:val="001D4C4C"/>
    <w:rsid w:val="001D63D1"/>
    <w:rsid w:val="001F79D3"/>
    <w:rsid w:val="00201A83"/>
    <w:rsid w:val="00203BD4"/>
    <w:rsid w:val="00205A79"/>
    <w:rsid w:val="0020657C"/>
    <w:rsid w:val="00207126"/>
    <w:rsid w:val="00223C11"/>
    <w:rsid w:val="00232D02"/>
    <w:rsid w:val="002342AA"/>
    <w:rsid w:val="00240F13"/>
    <w:rsid w:val="0026389C"/>
    <w:rsid w:val="002639DC"/>
    <w:rsid w:val="002706E9"/>
    <w:rsid w:val="0027414E"/>
    <w:rsid w:val="00283049"/>
    <w:rsid w:val="00284B23"/>
    <w:rsid w:val="0028781F"/>
    <w:rsid w:val="00291C1D"/>
    <w:rsid w:val="00297480"/>
    <w:rsid w:val="002A0B4D"/>
    <w:rsid w:val="002D43B4"/>
    <w:rsid w:val="002F7D1B"/>
    <w:rsid w:val="00300F80"/>
    <w:rsid w:val="0030329B"/>
    <w:rsid w:val="0030684C"/>
    <w:rsid w:val="00320B2A"/>
    <w:rsid w:val="00323AD1"/>
    <w:rsid w:val="00323C84"/>
    <w:rsid w:val="00324C9E"/>
    <w:rsid w:val="00337A78"/>
    <w:rsid w:val="003400D3"/>
    <w:rsid w:val="00342C46"/>
    <w:rsid w:val="003477E0"/>
    <w:rsid w:val="00355E69"/>
    <w:rsid w:val="00367F6C"/>
    <w:rsid w:val="00395180"/>
    <w:rsid w:val="003A1EDC"/>
    <w:rsid w:val="003B2EAF"/>
    <w:rsid w:val="003B350D"/>
    <w:rsid w:val="003C001C"/>
    <w:rsid w:val="003C3ED7"/>
    <w:rsid w:val="003F6E00"/>
    <w:rsid w:val="00410943"/>
    <w:rsid w:val="004125D1"/>
    <w:rsid w:val="00412F3E"/>
    <w:rsid w:val="00416361"/>
    <w:rsid w:val="00420EA6"/>
    <w:rsid w:val="004323AB"/>
    <w:rsid w:val="0043623E"/>
    <w:rsid w:val="00455967"/>
    <w:rsid w:val="00472A40"/>
    <w:rsid w:val="00480B28"/>
    <w:rsid w:val="00482D31"/>
    <w:rsid w:val="004A0840"/>
    <w:rsid w:val="004A6B3F"/>
    <w:rsid w:val="004C02C5"/>
    <w:rsid w:val="004C4010"/>
    <w:rsid w:val="004C452F"/>
    <w:rsid w:val="004C6B61"/>
    <w:rsid w:val="004F2EB1"/>
    <w:rsid w:val="004F5DCC"/>
    <w:rsid w:val="004F6B0B"/>
    <w:rsid w:val="005071B6"/>
    <w:rsid w:val="00520A63"/>
    <w:rsid w:val="00525F71"/>
    <w:rsid w:val="00543F34"/>
    <w:rsid w:val="00556C0B"/>
    <w:rsid w:val="005657C0"/>
    <w:rsid w:val="005718DD"/>
    <w:rsid w:val="00580A0E"/>
    <w:rsid w:val="00582E7F"/>
    <w:rsid w:val="00583AAD"/>
    <w:rsid w:val="00586CF1"/>
    <w:rsid w:val="00597AD2"/>
    <w:rsid w:val="005A26D6"/>
    <w:rsid w:val="005A347F"/>
    <w:rsid w:val="005A44FD"/>
    <w:rsid w:val="005B033F"/>
    <w:rsid w:val="005C0447"/>
    <w:rsid w:val="005C3229"/>
    <w:rsid w:val="005D0C7A"/>
    <w:rsid w:val="005E1E46"/>
    <w:rsid w:val="005E45EA"/>
    <w:rsid w:val="005F2B6F"/>
    <w:rsid w:val="006118FB"/>
    <w:rsid w:val="00615D45"/>
    <w:rsid w:val="00621C25"/>
    <w:rsid w:val="0062499C"/>
    <w:rsid w:val="006254C5"/>
    <w:rsid w:val="00627C81"/>
    <w:rsid w:val="00641ADE"/>
    <w:rsid w:val="00643616"/>
    <w:rsid w:val="006524B5"/>
    <w:rsid w:val="00656E63"/>
    <w:rsid w:val="006631BC"/>
    <w:rsid w:val="006731E5"/>
    <w:rsid w:val="00674FC9"/>
    <w:rsid w:val="00687605"/>
    <w:rsid w:val="00690571"/>
    <w:rsid w:val="0069231E"/>
    <w:rsid w:val="00696F94"/>
    <w:rsid w:val="0069747A"/>
    <w:rsid w:val="00697BB1"/>
    <w:rsid w:val="00697FE2"/>
    <w:rsid w:val="006A086E"/>
    <w:rsid w:val="006A6235"/>
    <w:rsid w:val="006C32A8"/>
    <w:rsid w:val="006C7DBB"/>
    <w:rsid w:val="006D5D66"/>
    <w:rsid w:val="006D7017"/>
    <w:rsid w:val="006D7349"/>
    <w:rsid w:val="006F0BFF"/>
    <w:rsid w:val="006F6E5F"/>
    <w:rsid w:val="007470A2"/>
    <w:rsid w:val="00750CBE"/>
    <w:rsid w:val="00751B6B"/>
    <w:rsid w:val="007625B6"/>
    <w:rsid w:val="00767350"/>
    <w:rsid w:val="00772DAF"/>
    <w:rsid w:val="00776809"/>
    <w:rsid w:val="007775FE"/>
    <w:rsid w:val="00777E36"/>
    <w:rsid w:val="00781A68"/>
    <w:rsid w:val="00793F5D"/>
    <w:rsid w:val="007D13B4"/>
    <w:rsid w:val="007D2B42"/>
    <w:rsid w:val="00813E3B"/>
    <w:rsid w:val="0081632C"/>
    <w:rsid w:val="00821BA2"/>
    <w:rsid w:val="00822676"/>
    <w:rsid w:val="00833A40"/>
    <w:rsid w:val="00840221"/>
    <w:rsid w:val="00845BF7"/>
    <w:rsid w:val="00847FE6"/>
    <w:rsid w:val="00854CC4"/>
    <w:rsid w:val="00863266"/>
    <w:rsid w:val="00864E59"/>
    <w:rsid w:val="00884F8F"/>
    <w:rsid w:val="008947B6"/>
    <w:rsid w:val="008959FD"/>
    <w:rsid w:val="00897EBF"/>
    <w:rsid w:val="008A5FEF"/>
    <w:rsid w:val="008A70BD"/>
    <w:rsid w:val="008B7558"/>
    <w:rsid w:val="008C4A44"/>
    <w:rsid w:val="008D3B06"/>
    <w:rsid w:val="008E03BA"/>
    <w:rsid w:val="008E6859"/>
    <w:rsid w:val="008E7924"/>
    <w:rsid w:val="009047EC"/>
    <w:rsid w:val="009053B1"/>
    <w:rsid w:val="00913277"/>
    <w:rsid w:val="00943F51"/>
    <w:rsid w:val="00952087"/>
    <w:rsid w:val="009817B5"/>
    <w:rsid w:val="00986E98"/>
    <w:rsid w:val="00991F49"/>
    <w:rsid w:val="00992B9C"/>
    <w:rsid w:val="009B10CC"/>
    <w:rsid w:val="009C187F"/>
    <w:rsid w:val="009C1C83"/>
    <w:rsid w:val="009C5FFD"/>
    <w:rsid w:val="009E6F63"/>
    <w:rsid w:val="009F4398"/>
    <w:rsid w:val="00A06B6D"/>
    <w:rsid w:val="00A12BB7"/>
    <w:rsid w:val="00A32AB0"/>
    <w:rsid w:val="00A34DF4"/>
    <w:rsid w:val="00A43F6B"/>
    <w:rsid w:val="00A63918"/>
    <w:rsid w:val="00A72A56"/>
    <w:rsid w:val="00A81757"/>
    <w:rsid w:val="00A93BF3"/>
    <w:rsid w:val="00AA76A2"/>
    <w:rsid w:val="00AB40B2"/>
    <w:rsid w:val="00AE7490"/>
    <w:rsid w:val="00AF2093"/>
    <w:rsid w:val="00AF3687"/>
    <w:rsid w:val="00AF7C93"/>
    <w:rsid w:val="00B20A01"/>
    <w:rsid w:val="00B20B4E"/>
    <w:rsid w:val="00B26592"/>
    <w:rsid w:val="00B27200"/>
    <w:rsid w:val="00B3697B"/>
    <w:rsid w:val="00B37A7B"/>
    <w:rsid w:val="00B41711"/>
    <w:rsid w:val="00B4774D"/>
    <w:rsid w:val="00B51691"/>
    <w:rsid w:val="00B52421"/>
    <w:rsid w:val="00B63205"/>
    <w:rsid w:val="00B70DAF"/>
    <w:rsid w:val="00B77284"/>
    <w:rsid w:val="00B80A5E"/>
    <w:rsid w:val="00B86975"/>
    <w:rsid w:val="00B9143C"/>
    <w:rsid w:val="00B9421C"/>
    <w:rsid w:val="00B951BC"/>
    <w:rsid w:val="00BB21FB"/>
    <w:rsid w:val="00BE39C8"/>
    <w:rsid w:val="00BE5632"/>
    <w:rsid w:val="00BE66D7"/>
    <w:rsid w:val="00BE7452"/>
    <w:rsid w:val="00C02FCD"/>
    <w:rsid w:val="00C23687"/>
    <w:rsid w:val="00C3258F"/>
    <w:rsid w:val="00C4667A"/>
    <w:rsid w:val="00C522F0"/>
    <w:rsid w:val="00C53CEF"/>
    <w:rsid w:val="00C55237"/>
    <w:rsid w:val="00C654A4"/>
    <w:rsid w:val="00C65EE3"/>
    <w:rsid w:val="00C71D0F"/>
    <w:rsid w:val="00C920F6"/>
    <w:rsid w:val="00C942D3"/>
    <w:rsid w:val="00C95DA6"/>
    <w:rsid w:val="00CA1DA5"/>
    <w:rsid w:val="00CA6E12"/>
    <w:rsid w:val="00CC3E0E"/>
    <w:rsid w:val="00CC4B5D"/>
    <w:rsid w:val="00CD6459"/>
    <w:rsid w:val="00CE26CC"/>
    <w:rsid w:val="00CE2C14"/>
    <w:rsid w:val="00CE35C0"/>
    <w:rsid w:val="00CE3BAF"/>
    <w:rsid w:val="00CF053F"/>
    <w:rsid w:val="00CF1C4F"/>
    <w:rsid w:val="00D00D80"/>
    <w:rsid w:val="00D01D04"/>
    <w:rsid w:val="00D05AF9"/>
    <w:rsid w:val="00D163B2"/>
    <w:rsid w:val="00D16BA3"/>
    <w:rsid w:val="00D23D66"/>
    <w:rsid w:val="00D30F3A"/>
    <w:rsid w:val="00D3300F"/>
    <w:rsid w:val="00D361D6"/>
    <w:rsid w:val="00D36948"/>
    <w:rsid w:val="00D4172F"/>
    <w:rsid w:val="00D45921"/>
    <w:rsid w:val="00D6325B"/>
    <w:rsid w:val="00D65051"/>
    <w:rsid w:val="00D67B92"/>
    <w:rsid w:val="00D71805"/>
    <w:rsid w:val="00D73796"/>
    <w:rsid w:val="00D8296A"/>
    <w:rsid w:val="00DA5806"/>
    <w:rsid w:val="00DA5AEB"/>
    <w:rsid w:val="00DB05A5"/>
    <w:rsid w:val="00DD20F6"/>
    <w:rsid w:val="00DD7932"/>
    <w:rsid w:val="00DE06AB"/>
    <w:rsid w:val="00DE4C6F"/>
    <w:rsid w:val="00DF0357"/>
    <w:rsid w:val="00DF24C8"/>
    <w:rsid w:val="00DF2C97"/>
    <w:rsid w:val="00DF61EA"/>
    <w:rsid w:val="00E06B97"/>
    <w:rsid w:val="00E1199E"/>
    <w:rsid w:val="00E13CF3"/>
    <w:rsid w:val="00E8360F"/>
    <w:rsid w:val="00E87DB7"/>
    <w:rsid w:val="00EA46DD"/>
    <w:rsid w:val="00EA57C2"/>
    <w:rsid w:val="00EB0129"/>
    <w:rsid w:val="00EB11A2"/>
    <w:rsid w:val="00EC3B71"/>
    <w:rsid w:val="00EC429E"/>
    <w:rsid w:val="00ED7C08"/>
    <w:rsid w:val="00EF2DCD"/>
    <w:rsid w:val="00EF58FB"/>
    <w:rsid w:val="00F00216"/>
    <w:rsid w:val="00F01C8F"/>
    <w:rsid w:val="00F10037"/>
    <w:rsid w:val="00F13930"/>
    <w:rsid w:val="00F41088"/>
    <w:rsid w:val="00F46E88"/>
    <w:rsid w:val="00F503B5"/>
    <w:rsid w:val="00F54D92"/>
    <w:rsid w:val="00F5766B"/>
    <w:rsid w:val="00F71036"/>
    <w:rsid w:val="00F71AC0"/>
    <w:rsid w:val="00F7343B"/>
    <w:rsid w:val="00F834D6"/>
    <w:rsid w:val="00F9392B"/>
    <w:rsid w:val="00FB7A77"/>
    <w:rsid w:val="00FC17E3"/>
    <w:rsid w:val="00FE19B2"/>
    <w:rsid w:val="00FE41C1"/>
    <w:rsid w:val="00FE7FF1"/>
    <w:rsid w:val="00FF1462"/>
    <w:rsid w:val="00FF2325"/>
    <w:rsid w:val="00FF236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339"/>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00F80"/>
    <w:pPr>
      <w:tabs>
        <w:tab w:val="center" w:pos="4536"/>
        <w:tab w:val="right" w:pos="9072"/>
      </w:tabs>
    </w:pPr>
  </w:style>
  <w:style w:type="character" w:customStyle="1" w:styleId="En-tteCar">
    <w:name w:val="En-tête Car"/>
    <w:basedOn w:val="Policepardfaut"/>
    <w:link w:val="En-tte"/>
    <w:uiPriority w:val="99"/>
    <w:semiHidden/>
    <w:rsid w:val="00300F80"/>
    <w:rPr>
      <w:sz w:val="22"/>
      <w:szCs w:val="22"/>
      <w:lang w:eastAsia="en-US"/>
    </w:rPr>
  </w:style>
  <w:style w:type="paragraph" w:styleId="Pieddepage">
    <w:name w:val="footer"/>
    <w:basedOn w:val="Normal"/>
    <w:link w:val="PieddepageCar"/>
    <w:uiPriority w:val="99"/>
    <w:unhideWhenUsed/>
    <w:rsid w:val="00300F80"/>
    <w:pPr>
      <w:tabs>
        <w:tab w:val="center" w:pos="4536"/>
        <w:tab w:val="right" w:pos="9072"/>
      </w:tabs>
    </w:pPr>
  </w:style>
  <w:style w:type="character" w:customStyle="1" w:styleId="PieddepageCar">
    <w:name w:val="Pied de page Car"/>
    <w:basedOn w:val="Policepardfaut"/>
    <w:link w:val="Pieddepage"/>
    <w:uiPriority w:val="99"/>
    <w:rsid w:val="00300F80"/>
    <w:rPr>
      <w:sz w:val="22"/>
      <w:szCs w:val="22"/>
      <w:lang w:eastAsia="en-US"/>
    </w:rPr>
  </w:style>
  <w:style w:type="paragraph" w:styleId="Textedebulles">
    <w:name w:val="Balloon Text"/>
    <w:basedOn w:val="Normal"/>
    <w:link w:val="TextedebullesCar"/>
    <w:uiPriority w:val="99"/>
    <w:semiHidden/>
    <w:unhideWhenUsed/>
    <w:rsid w:val="002741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414E"/>
    <w:rPr>
      <w:rFonts w:ascii="Tahoma" w:hAnsi="Tahoma" w:cs="Tahoma"/>
      <w:sz w:val="16"/>
      <w:szCs w:val="16"/>
      <w:lang w:eastAsia="en-US"/>
    </w:rPr>
  </w:style>
  <w:style w:type="paragraph" w:styleId="Titre">
    <w:name w:val="Title"/>
    <w:basedOn w:val="Normal"/>
    <w:next w:val="Normal"/>
    <w:link w:val="TitreCar"/>
    <w:uiPriority w:val="10"/>
    <w:qFormat/>
    <w:rsid w:val="00CC4B5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reCar">
    <w:name w:val="Titre Car"/>
    <w:basedOn w:val="Policepardfaut"/>
    <w:link w:val="Titre"/>
    <w:uiPriority w:val="10"/>
    <w:rsid w:val="00CC4B5D"/>
    <w:rPr>
      <w:rFonts w:ascii="Cambria" w:eastAsia="Times New Roman" w:hAnsi="Cambria" w:cs="Times New Roman"/>
      <w:color w:val="17365D"/>
      <w:spacing w:val="5"/>
      <w:kern w:val="28"/>
      <w:sz w:val="52"/>
      <w:szCs w:val="5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2237</Words>
  <Characters>12308</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Aicha</dc:creator>
  <cp:lastModifiedBy>hcp</cp:lastModifiedBy>
  <cp:revision>2</cp:revision>
  <cp:lastPrinted>2016-07-12T18:00:00Z</cp:lastPrinted>
  <dcterms:created xsi:type="dcterms:W3CDTF">2016-07-13T09:50:00Z</dcterms:created>
  <dcterms:modified xsi:type="dcterms:W3CDTF">2016-07-13T09:50:00Z</dcterms:modified>
</cp:coreProperties>
</file>