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837" w:rsidRDefault="00C37837" w:rsidP="0017388C">
      <w:pPr>
        <w:spacing w:after="160" w:line="240" w:lineRule="auto"/>
        <w:jc w:val="center"/>
        <w:rPr>
          <w:rFonts w:asciiTheme="majorBidi" w:eastAsia="Calibri" w:hAnsiTheme="majorBidi" w:cstheme="majorBidi"/>
          <w:sz w:val="24"/>
          <w:szCs w:val="24"/>
        </w:rPr>
      </w:pPr>
    </w:p>
    <w:p w:rsidR="00793E93" w:rsidRDefault="000C0DD9" w:rsidP="0017388C">
      <w:pPr>
        <w:spacing w:after="160" w:line="240" w:lineRule="auto"/>
        <w:jc w:val="center"/>
        <w:rPr>
          <w:rFonts w:asciiTheme="majorBidi" w:eastAsia="Calibri" w:hAnsiTheme="majorBidi" w:cstheme="majorBidi"/>
          <w:sz w:val="24"/>
          <w:szCs w:val="24"/>
        </w:rPr>
      </w:pPr>
      <w:r>
        <w:rPr>
          <w:rFonts w:asciiTheme="majorBidi" w:eastAsia="Calibri" w:hAnsiTheme="majorBidi" w:cstheme="majorBidi"/>
          <w:noProof/>
          <w:sz w:val="24"/>
          <w:szCs w:val="24"/>
          <w:lang w:eastAsia="fr-FR"/>
        </w:rPr>
        <w:pict>
          <v:rect id="_x0000_s1033" style="position:absolute;left:0;text-align:left;margin-left:-108pt;margin-top:-93.8pt;width:685.25pt;height:431.25pt;z-index:-251651072" o:preferrelative="t" filled="f" stroked="f" insetpen="t" o:cliptowrap="t">
            <v:imagedata r:id="rId8" o:title=""/>
            <v:path o:extrusionok="f"/>
            <o:lock v:ext="edit" aspectratio="t"/>
            <w10:wrap anchorx="page"/>
          </v:rect>
          <o:OLEObject Type="Embed" ProgID="PBrush" ShapeID="_x0000_s1033" DrawAspect="Content" ObjectID="_1568708678" r:id="rId9"/>
        </w:pict>
      </w:r>
    </w:p>
    <w:p w:rsidR="00793E93" w:rsidRDefault="00793E93" w:rsidP="0017388C">
      <w:pPr>
        <w:spacing w:after="160" w:line="240" w:lineRule="auto"/>
        <w:jc w:val="center"/>
        <w:rPr>
          <w:rFonts w:asciiTheme="majorBidi" w:eastAsia="Calibri" w:hAnsiTheme="majorBidi" w:cstheme="majorBidi"/>
          <w:sz w:val="24"/>
          <w:szCs w:val="24"/>
        </w:rPr>
      </w:pPr>
    </w:p>
    <w:p w:rsidR="00793E93" w:rsidRDefault="00793E93" w:rsidP="0017388C">
      <w:pPr>
        <w:spacing w:after="160" w:line="240" w:lineRule="auto"/>
        <w:jc w:val="center"/>
        <w:rPr>
          <w:rFonts w:asciiTheme="majorBidi" w:eastAsia="Calibri" w:hAnsiTheme="majorBidi" w:cstheme="majorBidi"/>
          <w:sz w:val="24"/>
          <w:szCs w:val="24"/>
        </w:rPr>
      </w:pPr>
    </w:p>
    <w:p w:rsidR="00793E93" w:rsidRPr="0013617C" w:rsidRDefault="00793E93"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C37837" w:rsidRPr="0013617C" w:rsidRDefault="00C37837" w:rsidP="0017388C">
      <w:pPr>
        <w:spacing w:after="160" w:line="240" w:lineRule="auto"/>
        <w:jc w:val="center"/>
        <w:rPr>
          <w:rFonts w:asciiTheme="majorBidi" w:eastAsia="Calibri" w:hAnsiTheme="majorBidi" w:cstheme="majorBidi"/>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0C0DD9" w:rsidP="0017388C">
      <w:pPr>
        <w:spacing w:after="160" w:line="240" w:lineRule="auto"/>
        <w:rPr>
          <w:rFonts w:asciiTheme="majorBidi" w:eastAsia="Calibri" w:hAnsiTheme="majorBidi" w:cstheme="majorBidi"/>
          <w:bCs/>
          <w:sz w:val="24"/>
          <w:szCs w:val="24"/>
        </w:rPr>
      </w:pPr>
      <w:r>
        <w:rPr>
          <w:rFonts w:asciiTheme="majorBidi" w:eastAsia="Calibri" w:hAnsiTheme="majorBidi" w:cstheme="majorBidi"/>
          <w:bCs/>
          <w:noProof/>
          <w:sz w:val="24"/>
          <w:szCs w:val="24"/>
          <w:lang w:eastAsia="fr-FR"/>
        </w:rPr>
        <w:pict>
          <v:rect id="_x0000_s1034" style="position:absolute;margin-left:-124.85pt;margin-top:-115.3pt;width:684.15pt;height:403.5pt;z-index:-251650048" o:preferrelative="t" filled="f" stroked="f" insetpen="t" o:cliptowrap="t">
            <v:imagedata r:id="rId10" o:title=""/>
            <v:path o:extrusionok="f"/>
            <o:lock v:ext="edit" aspectratio="t"/>
            <w10:wrap anchorx="page"/>
          </v:rect>
          <o:OLEObject Type="Embed" ProgID="PBrush" ShapeID="_x0000_s1034" DrawAspect="Content" ObjectID="_1568708679" r:id="rId11"/>
        </w:pict>
      </w: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Default="00581AD7" w:rsidP="0017388C">
      <w:pPr>
        <w:spacing w:after="160" w:line="240" w:lineRule="auto"/>
        <w:rPr>
          <w:rFonts w:asciiTheme="majorBidi" w:eastAsia="Calibri" w:hAnsiTheme="majorBidi" w:cstheme="majorBidi"/>
          <w:bCs/>
          <w:sz w:val="24"/>
          <w:szCs w:val="24"/>
        </w:rPr>
      </w:pPr>
    </w:p>
    <w:p w:rsidR="00581AD7" w:rsidRPr="003731D2" w:rsidRDefault="003731D2" w:rsidP="003731D2">
      <w:pPr>
        <w:spacing w:after="160" w:line="240" w:lineRule="auto"/>
        <w:ind w:firstLine="6379"/>
        <w:jc w:val="both"/>
        <w:rPr>
          <w:rFonts w:ascii="Calibri" w:eastAsia="Calibri" w:hAnsi="Calibri" w:cstheme="majorBidi"/>
          <w:b/>
          <w:sz w:val="26"/>
          <w:szCs w:val="26"/>
        </w:rPr>
      </w:pPr>
      <w:r>
        <w:rPr>
          <w:rFonts w:ascii="Calibri" w:eastAsia="Calibri" w:hAnsi="Calibri" w:cstheme="majorBidi"/>
          <w:b/>
          <w:sz w:val="26"/>
          <w:szCs w:val="26"/>
        </w:rPr>
        <w:t>l</w:t>
      </w:r>
      <w:r w:rsidRPr="003731D2">
        <w:rPr>
          <w:rFonts w:ascii="Calibri" w:eastAsia="Calibri" w:hAnsi="Calibri" w:cstheme="majorBidi"/>
          <w:b/>
          <w:sz w:val="26"/>
          <w:szCs w:val="26"/>
        </w:rPr>
        <w:t xml:space="preserve">e </w:t>
      </w:r>
      <w:r w:rsidR="00581AD7" w:rsidRPr="003731D2">
        <w:rPr>
          <w:rFonts w:ascii="Calibri" w:eastAsia="Calibri" w:hAnsi="Calibri" w:cstheme="majorBidi"/>
          <w:b/>
          <w:sz w:val="26"/>
          <w:szCs w:val="26"/>
        </w:rPr>
        <w:t>04</w:t>
      </w:r>
      <w:r w:rsidRPr="003731D2">
        <w:rPr>
          <w:rFonts w:ascii="Calibri" w:eastAsia="Calibri" w:hAnsi="Calibri" w:cstheme="majorBidi"/>
          <w:b/>
          <w:sz w:val="26"/>
          <w:szCs w:val="26"/>
        </w:rPr>
        <w:t xml:space="preserve"> octobre </w:t>
      </w:r>
      <w:r w:rsidR="00581AD7" w:rsidRPr="003731D2">
        <w:rPr>
          <w:rFonts w:ascii="Calibri" w:eastAsia="Calibri" w:hAnsi="Calibri" w:cstheme="majorBidi"/>
          <w:b/>
          <w:sz w:val="26"/>
          <w:szCs w:val="26"/>
        </w:rPr>
        <w:t>2017</w:t>
      </w:r>
    </w:p>
    <w:p w:rsidR="00C37837" w:rsidRPr="0013617C" w:rsidRDefault="00C37837" w:rsidP="0017388C">
      <w:pPr>
        <w:spacing w:after="160" w:line="240" w:lineRule="auto"/>
        <w:rPr>
          <w:rFonts w:asciiTheme="majorBidi" w:eastAsia="Calibri" w:hAnsiTheme="majorBidi" w:cstheme="majorBidi"/>
          <w:bCs/>
          <w:sz w:val="24"/>
          <w:szCs w:val="24"/>
        </w:rPr>
      </w:pPr>
      <w:r w:rsidRPr="0013617C">
        <w:rPr>
          <w:rFonts w:asciiTheme="majorBidi" w:eastAsia="Calibri" w:hAnsiTheme="majorBidi" w:cstheme="majorBidi"/>
          <w:bCs/>
          <w:sz w:val="24"/>
          <w:szCs w:val="24"/>
        </w:rPr>
        <w:br w:type="page"/>
      </w:r>
    </w:p>
    <w:p w:rsidR="00D21C9C" w:rsidRDefault="00067A4D" w:rsidP="002C6E8A">
      <w:pPr>
        <w:spacing w:before="24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lastRenderedPageBreak/>
        <w:t xml:space="preserve">Depuis 2004, la cartographique de la pauvreté au Maroc s’est référée à </w:t>
      </w:r>
      <w:r w:rsidR="002C6E8A">
        <w:rPr>
          <w:rFonts w:asciiTheme="majorBidi" w:eastAsia="Calibri" w:hAnsiTheme="majorBidi" w:cstheme="majorBidi"/>
          <w:sz w:val="24"/>
          <w:szCs w:val="24"/>
        </w:rPr>
        <w:t>l’</w:t>
      </w:r>
      <w:r w:rsidRPr="0013617C">
        <w:rPr>
          <w:rFonts w:asciiTheme="majorBidi" w:eastAsia="Calibri" w:hAnsiTheme="majorBidi" w:cstheme="majorBidi"/>
          <w:sz w:val="24"/>
          <w:szCs w:val="24"/>
        </w:rPr>
        <w:t>appr</w:t>
      </w:r>
      <w:r w:rsidR="002C6E8A">
        <w:rPr>
          <w:rFonts w:asciiTheme="majorBidi" w:eastAsia="Calibri" w:hAnsiTheme="majorBidi" w:cstheme="majorBidi"/>
          <w:sz w:val="24"/>
          <w:szCs w:val="24"/>
        </w:rPr>
        <w:t>oche monétaire</w:t>
      </w:r>
      <w:r w:rsidR="00082973">
        <w:rPr>
          <w:rFonts w:asciiTheme="majorBidi" w:eastAsia="Calibri" w:hAnsiTheme="majorBidi" w:cstheme="majorBidi"/>
          <w:sz w:val="24"/>
          <w:szCs w:val="24"/>
        </w:rPr>
        <w:t xml:space="preserve"> de la Banque mondiale</w:t>
      </w:r>
      <w:r w:rsidRPr="0013617C">
        <w:rPr>
          <w:rFonts w:asciiTheme="majorBidi" w:eastAsia="Calibri" w:hAnsiTheme="majorBidi" w:cstheme="majorBidi"/>
          <w:sz w:val="24"/>
          <w:szCs w:val="24"/>
        </w:rPr>
        <w:t xml:space="preserve">. Les indicateurs spatialisés qui en découlent n’expriment que la distribution des ressources financières dont disposent les ménages, notamment la dépense comme mesure du niveau de vie de la population. </w:t>
      </w:r>
    </w:p>
    <w:p w:rsidR="00D21C9C" w:rsidRDefault="00D21C9C" w:rsidP="00D21C9C">
      <w:pPr>
        <w:spacing w:before="240" w:after="160" w:line="240" w:lineRule="auto"/>
        <w:jc w:val="both"/>
        <w:rPr>
          <w:rFonts w:asciiTheme="majorBidi" w:eastAsia="Calibri" w:hAnsiTheme="majorBidi" w:cstheme="majorBidi"/>
          <w:sz w:val="24"/>
          <w:szCs w:val="24"/>
        </w:rPr>
      </w:pPr>
      <w:r w:rsidRPr="00D21C9C">
        <w:rPr>
          <w:rFonts w:asciiTheme="majorBidi" w:eastAsia="Calibri" w:hAnsiTheme="majorBidi" w:cstheme="majorBidi"/>
          <w:sz w:val="24"/>
          <w:szCs w:val="24"/>
        </w:rPr>
        <w:t>L’approche de la cartographie de la pauvreté multidimensionnelle consiste</w:t>
      </w:r>
      <w:r>
        <w:rPr>
          <w:rFonts w:asciiTheme="majorBidi" w:eastAsia="Calibri" w:hAnsiTheme="majorBidi" w:cstheme="majorBidi"/>
          <w:sz w:val="24"/>
          <w:szCs w:val="24"/>
        </w:rPr>
        <w:t>, quant à elle,</w:t>
      </w:r>
      <w:r w:rsidRPr="00D21C9C">
        <w:rPr>
          <w:rFonts w:asciiTheme="majorBidi" w:eastAsia="Calibri" w:hAnsiTheme="majorBidi" w:cstheme="majorBidi"/>
          <w:sz w:val="24"/>
          <w:szCs w:val="24"/>
        </w:rPr>
        <w:t xml:space="preserve"> à fournir des indices statistiques sur le dénuement social en termes de privation sur des espaces géographiques homogènes. Elle produit une base de données désagrégée à l’échelle locale la plus opérationnelle permettant d’identifier les poches de la pauvreté pour des petites zones géographiques, tel</w:t>
      </w:r>
      <w:r w:rsidR="002C6E8A">
        <w:rPr>
          <w:rFonts w:asciiTheme="majorBidi" w:eastAsia="Calibri" w:hAnsiTheme="majorBidi" w:cstheme="majorBidi"/>
          <w:sz w:val="24"/>
          <w:szCs w:val="24"/>
        </w:rPr>
        <w:t>le</w:t>
      </w:r>
      <w:r w:rsidRPr="00D21C9C">
        <w:rPr>
          <w:rFonts w:asciiTheme="majorBidi" w:eastAsia="Calibri" w:hAnsiTheme="majorBidi" w:cstheme="majorBidi"/>
          <w:sz w:val="24"/>
          <w:szCs w:val="24"/>
        </w:rPr>
        <w:t xml:space="preserve">s que les communes, les quartiers urbains et les douars ruraux. Il s’agit d’une approche holistique pour mieux connaitre la distribution de la pauvreté multidimensionnelle pour un niveau de désagrégation inférieur à celui typiquement considéré par les enquêtes auprès des ménages. </w:t>
      </w:r>
    </w:p>
    <w:p w:rsidR="00D21C9C" w:rsidRPr="00D21C9C" w:rsidRDefault="00D21C9C" w:rsidP="00D21C9C">
      <w:pPr>
        <w:spacing w:before="240" w:after="160" w:line="240" w:lineRule="auto"/>
        <w:jc w:val="both"/>
        <w:rPr>
          <w:rFonts w:asciiTheme="majorBidi" w:eastAsia="Calibri" w:hAnsiTheme="majorBidi" w:cstheme="majorBidi"/>
          <w:sz w:val="24"/>
          <w:szCs w:val="24"/>
        </w:rPr>
      </w:pPr>
      <w:r w:rsidRPr="00D21C9C">
        <w:rPr>
          <w:rFonts w:asciiTheme="majorBidi" w:eastAsia="Calibri" w:hAnsiTheme="majorBidi" w:cstheme="majorBidi"/>
          <w:sz w:val="24"/>
          <w:szCs w:val="24"/>
        </w:rPr>
        <w:t xml:space="preserve">Ces enquêtes concernent un échantillon restreint de la population et ne permettent pas de construire des bases de données sur la pauvreté multidimensionnelle à l’échelle locale la plus fine. La représentativité de telles enquêtes se limite généralement à la région. Les indices régionaux de la pauvreté multidimensionnelle qui en découlent donnent des estimations moyennes par région, occultant la dispersion spatiale de ce phénomène à l’échelle des provinces et des communes.  </w:t>
      </w:r>
    </w:p>
    <w:p w:rsidR="0023026D" w:rsidRDefault="0023026D" w:rsidP="0023026D">
      <w:pPr>
        <w:spacing w:after="160" w:line="240" w:lineRule="auto"/>
        <w:rPr>
          <w:rFonts w:asciiTheme="majorBidi" w:eastAsia="Calibri" w:hAnsiTheme="majorBidi" w:cstheme="majorBidi"/>
          <w:b/>
          <w:bCs/>
          <w:sz w:val="24"/>
          <w:szCs w:val="24"/>
        </w:rPr>
      </w:pPr>
    </w:p>
    <w:p w:rsidR="0023026D" w:rsidRDefault="000128FB" w:rsidP="0023026D">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Approche</w:t>
      </w:r>
      <w:r w:rsidR="00C37837" w:rsidRPr="0013617C">
        <w:rPr>
          <w:rFonts w:asciiTheme="majorBidi" w:eastAsia="Calibri" w:hAnsiTheme="majorBidi" w:cstheme="majorBidi"/>
          <w:b/>
          <w:bCs/>
          <w:sz w:val="24"/>
          <w:szCs w:val="24"/>
        </w:rPr>
        <w:t xml:space="preserve"> méthodologi</w:t>
      </w:r>
      <w:r w:rsidRPr="0013617C">
        <w:rPr>
          <w:rFonts w:asciiTheme="majorBidi" w:eastAsia="Calibri" w:hAnsiTheme="majorBidi" w:cstheme="majorBidi"/>
          <w:b/>
          <w:bCs/>
          <w:sz w:val="24"/>
          <w:szCs w:val="24"/>
        </w:rPr>
        <w:t>qu</w:t>
      </w:r>
      <w:r w:rsidR="00C37837" w:rsidRPr="0013617C">
        <w:rPr>
          <w:rFonts w:asciiTheme="majorBidi" w:eastAsia="Calibri" w:hAnsiTheme="majorBidi" w:cstheme="majorBidi"/>
          <w:b/>
          <w:bCs/>
          <w:sz w:val="24"/>
          <w:szCs w:val="24"/>
        </w:rPr>
        <w:t xml:space="preserve">e de la cartographie de la pauvreté </w:t>
      </w:r>
      <w:r w:rsidRPr="0013617C">
        <w:rPr>
          <w:rFonts w:asciiTheme="majorBidi" w:eastAsia="Calibri" w:hAnsiTheme="majorBidi" w:cstheme="majorBidi"/>
          <w:b/>
          <w:bCs/>
          <w:sz w:val="24"/>
          <w:szCs w:val="24"/>
        </w:rPr>
        <w:t>m</w:t>
      </w:r>
      <w:r w:rsidR="00C37837" w:rsidRPr="0013617C">
        <w:rPr>
          <w:rFonts w:asciiTheme="majorBidi" w:eastAsia="Calibri" w:hAnsiTheme="majorBidi" w:cstheme="majorBidi"/>
          <w:b/>
          <w:bCs/>
          <w:sz w:val="24"/>
          <w:szCs w:val="24"/>
        </w:rPr>
        <w:t>ultidimensionnelle</w:t>
      </w:r>
    </w:p>
    <w:p w:rsidR="0023026D" w:rsidRDefault="0023026D" w:rsidP="00E0552D">
      <w:pPr>
        <w:spacing w:after="160" w:line="240" w:lineRule="auto"/>
        <w:jc w:val="both"/>
        <w:rPr>
          <w:rFonts w:asciiTheme="majorBidi" w:eastAsia="Calibri" w:hAnsiTheme="majorBidi" w:cstheme="majorBidi"/>
          <w:sz w:val="24"/>
          <w:szCs w:val="24"/>
        </w:rPr>
      </w:pPr>
      <w:r w:rsidRPr="0023026D">
        <w:rPr>
          <w:rFonts w:asciiTheme="majorBidi" w:eastAsia="Calibri" w:hAnsiTheme="majorBidi" w:cstheme="majorBidi"/>
          <w:sz w:val="24"/>
          <w:szCs w:val="24"/>
        </w:rPr>
        <w:t xml:space="preserve">Le HCP a commencé, depuis 2008, en complément avec l’approche monétaire, à imprimer une approche multidimensionnelle à l’analyse des phénomènes de la pauvreté, de la vulnérabilité et des inégalités sociales </w:t>
      </w:r>
      <w:r>
        <w:rPr>
          <w:rFonts w:asciiTheme="majorBidi" w:eastAsia="Calibri" w:hAnsiTheme="majorBidi" w:cstheme="majorBidi"/>
          <w:sz w:val="24"/>
          <w:szCs w:val="24"/>
        </w:rPr>
        <w:t xml:space="preserve">pour mieux </w:t>
      </w:r>
      <w:r w:rsidRPr="0023026D">
        <w:rPr>
          <w:rFonts w:asciiTheme="majorBidi" w:eastAsia="Calibri" w:hAnsiTheme="majorBidi" w:cstheme="majorBidi"/>
          <w:sz w:val="24"/>
          <w:szCs w:val="24"/>
        </w:rPr>
        <w:t>identifier les facteurs qui sont à l’origine de ces phénomènes et de leur reproduction sociale. Cette orientation a été confortée par les travaux d’OPHI, qui ont eu le grand mérite d’avoir élargi l’usage de cette approche à l’échelle mondiale.</w:t>
      </w:r>
    </w:p>
    <w:p w:rsidR="0023026D" w:rsidRDefault="0023026D" w:rsidP="00AF61A1">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Depuis cette date, le HCP s’attèle à suivre l’évolution de la pauvreté multidimensionnelle à partir des données des enquêtes nationales sur le niveau de vie des ménages (2007), l’anthropométrie de la population (2011), la consommation et les dépenses des ménages (2014). Le bilan des travaux réalisés </w:t>
      </w:r>
      <w:r w:rsidR="00AF61A1">
        <w:rPr>
          <w:rFonts w:asciiTheme="majorBidi" w:eastAsia="Calibri" w:hAnsiTheme="majorBidi" w:cstheme="majorBidi"/>
          <w:sz w:val="24"/>
          <w:szCs w:val="24"/>
        </w:rPr>
        <w:t>a</w:t>
      </w:r>
      <w:r>
        <w:rPr>
          <w:rFonts w:asciiTheme="majorBidi" w:eastAsia="Calibri" w:hAnsiTheme="majorBidi" w:cstheme="majorBidi"/>
          <w:sz w:val="24"/>
          <w:szCs w:val="24"/>
        </w:rPr>
        <w:t xml:space="preserve"> porté principalement sur la mise à jour des indices de la pauvreté multidimensionnelle, tels que définis par l’approche d’OPHI</w:t>
      </w:r>
      <w:r w:rsidR="000A2A38">
        <w:rPr>
          <w:rStyle w:val="Appelnotedebasdep"/>
          <w:rFonts w:asciiTheme="majorBidi" w:eastAsia="Calibri" w:hAnsiTheme="majorBidi" w:cstheme="majorBidi"/>
          <w:sz w:val="24"/>
          <w:szCs w:val="24"/>
        </w:rPr>
        <w:footnoteReference w:id="2"/>
      </w:r>
      <w:r>
        <w:rPr>
          <w:rFonts w:asciiTheme="majorBidi" w:eastAsia="Calibri" w:hAnsiTheme="majorBidi" w:cstheme="majorBidi"/>
          <w:sz w:val="24"/>
          <w:szCs w:val="24"/>
        </w:rPr>
        <w:t>, aux niveaux national, urbain, rural et régional.</w:t>
      </w:r>
    </w:p>
    <w:p w:rsidR="0006649C" w:rsidRDefault="0006649C" w:rsidP="0006649C">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L’</w:t>
      </w:r>
      <w:r w:rsidRPr="0013617C">
        <w:rPr>
          <w:rFonts w:asciiTheme="majorBidi" w:eastAsia="Calibri" w:hAnsiTheme="majorBidi" w:cstheme="majorBidi"/>
          <w:sz w:val="24"/>
          <w:szCs w:val="24"/>
        </w:rPr>
        <w:t xml:space="preserve">approche </w:t>
      </w:r>
      <w:r>
        <w:rPr>
          <w:rFonts w:asciiTheme="majorBidi" w:eastAsia="Calibri" w:hAnsiTheme="majorBidi" w:cstheme="majorBidi"/>
          <w:sz w:val="24"/>
          <w:szCs w:val="24"/>
        </w:rPr>
        <w:t xml:space="preserve">d’OPHI </w:t>
      </w:r>
      <w:r w:rsidRPr="0013617C">
        <w:rPr>
          <w:rFonts w:asciiTheme="majorBidi" w:eastAsia="Calibri" w:hAnsiTheme="majorBidi" w:cstheme="majorBidi"/>
          <w:sz w:val="24"/>
          <w:szCs w:val="24"/>
        </w:rPr>
        <w:t xml:space="preserve">fonde la mesure de la pauvreté multidimensionnelle sur un large faisceau de </w:t>
      </w:r>
      <w:r>
        <w:rPr>
          <w:rFonts w:asciiTheme="majorBidi" w:eastAsia="Calibri" w:hAnsiTheme="majorBidi" w:cstheme="majorBidi"/>
          <w:sz w:val="24"/>
          <w:szCs w:val="24"/>
        </w:rPr>
        <w:t>besoin</w:t>
      </w:r>
      <w:r w:rsidRPr="0013617C">
        <w:rPr>
          <w:rFonts w:asciiTheme="majorBidi" w:eastAsia="Calibri" w:hAnsiTheme="majorBidi" w:cstheme="majorBidi"/>
          <w:sz w:val="24"/>
          <w:szCs w:val="24"/>
        </w:rPr>
        <w:t>s dont l</w:t>
      </w:r>
      <w:r>
        <w:rPr>
          <w:rFonts w:asciiTheme="majorBidi" w:eastAsia="Calibri" w:hAnsiTheme="majorBidi" w:cstheme="majorBidi"/>
          <w:sz w:val="24"/>
          <w:szCs w:val="24"/>
        </w:rPr>
        <w:t xml:space="preserve">’absence de satisfaction constitue des facteurs de prévalence ou de manifestation </w:t>
      </w:r>
      <w:r w:rsidRPr="0013617C">
        <w:rPr>
          <w:rFonts w:asciiTheme="majorBidi" w:eastAsia="Calibri" w:hAnsiTheme="majorBidi" w:cstheme="majorBidi"/>
          <w:sz w:val="24"/>
          <w:szCs w:val="24"/>
        </w:rPr>
        <w:t>de pauvreté ou de</w:t>
      </w:r>
      <w:r>
        <w:rPr>
          <w:rFonts w:asciiTheme="majorBidi" w:eastAsia="Calibri" w:hAnsiTheme="majorBidi" w:cstheme="majorBidi"/>
          <w:sz w:val="24"/>
          <w:szCs w:val="24"/>
        </w:rPr>
        <w:t>s facteurs de</w:t>
      </w:r>
      <w:r w:rsidRPr="0013617C">
        <w:rPr>
          <w:rFonts w:asciiTheme="majorBidi" w:eastAsia="Calibri" w:hAnsiTheme="majorBidi" w:cstheme="majorBidi"/>
          <w:sz w:val="24"/>
          <w:szCs w:val="24"/>
        </w:rPr>
        <w:t xml:space="preserve"> sa reproduction sociale. Ces </w:t>
      </w:r>
      <w:r>
        <w:rPr>
          <w:rFonts w:asciiTheme="majorBidi" w:eastAsia="Calibri" w:hAnsiTheme="majorBidi" w:cstheme="majorBidi"/>
          <w:sz w:val="24"/>
          <w:szCs w:val="24"/>
        </w:rPr>
        <w:t>besoins</w:t>
      </w:r>
      <w:r w:rsidRPr="0013617C">
        <w:rPr>
          <w:rFonts w:asciiTheme="majorBidi" w:eastAsia="Calibri" w:hAnsiTheme="majorBidi" w:cstheme="majorBidi"/>
          <w:sz w:val="24"/>
          <w:szCs w:val="24"/>
        </w:rPr>
        <w:t xml:space="preserve"> portent sur </w:t>
      </w:r>
      <w:r>
        <w:rPr>
          <w:rFonts w:asciiTheme="majorBidi" w:eastAsia="Calibri" w:hAnsiTheme="majorBidi" w:cstheme="majorBidi"/>
          <w:sz w:val="24"/>
          <w:szCs w:val="24"/>
        </w:rPr>
        <w:t xml:space="preserve">l’accès aux services sociaux de base - l’eau, l’électricité et l’assainissement -, les conditions de logement, </w:t>
      </w:r>
      <w:r w:rsidRPr="0013617C">
        <w:rPr>
          <w:rFonts w:asciiTheme="majorBidi" w:eastAsia="Calibri" w:hAnsiTheme="majorBidi" w:cstheme="majorBidi"/>
          <w:sz w:val="24"/>
          <w:szCs w:val="24"/>
        </w:rPr>
        <w:t>l’éduc</w:t>
      </w:r>
      <w:r>
        <w:rPr>
          <w:rFonts w:asciiTheme="majorBidi" w:eastAsia="Calibri" w:hAnsiTheme="majorBidi" w:cstheme="majorBidi"/>
          <w:sz w:val="24"/>
          <w:szCs w:val="24"/>
        </w:rPr>
        <w:t>ation,</w:t>
      </w:r>
      <w:r w:rsidRPr="0013617C">
        <w:rPr>
          <w:rFonts w:asciiTheme="majorBidi" w:eastAsia="Calibri" w:hAnsiTheme="majorBidi" w:cstheme="majorBidi"/>
          <w:sz w:val="24"/>
          <w:szCs w:val="24"/>
        </w:rPr>
        <w:t xml:space="preserve"> la santé</w:t>
      </w:r>
      <w:r>
        <w:rPr>
          <w:rFonts w:asciiTheme="majorBidi" w:eastAsia="Calibri" w:hAnsiTheme="majorBidi" w:cstheme="majorBidi"/>
          <w:sz w:val="24"/>
          <w:szCs w:val="24"/>
        </w:rPr>
        <w:t xml:space="preserve"> et </w:t>
      </w:r>
      <w:r w:rsidRPr="0013617C">
        <w:rPr>
          <w:rFonts w:asciiTheme="majorBidi" w:eastAsia="Calibri" w:hAnsiTheme="majorBidi" w:cstheme="majorBidi"/>
          <w:sz w:val="24"/>
          <w:szCs w:val="24"/>
        </w:rPr>
        <w:t xml:space="preserve">les moyens de communication. </w:t>
      </w:r>
      <w:r>
        <w:rPr>
          <w:rFonts w:asciiTheme="majorBidi" w:eastAsia="Calibri" w:hAnsiTheme="majorBidi" w:cstheme="majorBidi"/>
          <w:sz w:val="24"/>
          <w:szCs w:val="24"/>
        </w:rPr>
        <w:t xml:space="preserve">Ce sont là </w:t>
      </w:r>
      <w:r w:rsidRPr="0013617C">
        <w:rPr>
          <w:rFonts w:asciiTheme="majorBidi" w:eastAsia="Calibri" w:hAnsiTheme="majorBidi" w:cstheme="majorBidi"/>
          <w:sz w:val="24"/>
          <w:szCs w:val="24"/>
        </w:rPr>
        <w:t>les principaux objectifs retenus par l’agenda 2030 du développement durable.</w:t>
      </w:r>
    </w:p>
    <w:p w:rsidR="00E05FCC" w:rsidRDefault="00082973" w:rsidP="00082973">
      <w:pPr>
        <w:jc w:val="both"/>
        <w:rPr>
          <w:rFonts w:asciiTheme="majorBidi" w:hAnsiTheme="majorBidi" w:cstheme="majorBidi"/>
          <w:sz w:val="24"/>
          <w:szCs w:val="24"/>
        </w:rPr>
      </w:pPr>
      <w:r>
        <w:rPr>
          <w:rFonts w:asciiTheme="majorBidi" w:hAnsiTheme="majorBidi" w:cstheme="majorBidi"/>
          <w:sz w:val="24"/>
          <w:szCs w:val="24"/>
        </w:rPr>
        <w:t>Le schéma discursif de cette a</w:t>
      </w:r>
      <w:r w:rsidR="00E05FCC">
        <w:rPr>
          <w:rFonts w:asciiTheme="majorBidi" w:hAnsiTheme="majorBidi" w:cstheme="majorBidi"/>
          <w:sz w:val="24"/>
          <w:szCs w:val="24"/>
        </w:rPr>
        <w:t>pproche consiste à :</w:t>
      </w:r>
    </w:p>
    <w:p w:rsidR="0009440F" w:rsidRPr="00142045" w:rsidRDefault="00492F19" w:rsidP="0009440F">
      <w:pPr>
        <w:spacing w:after="160" w:line="240" w:lineRule="auto"/>
        <w:jc w:val="both"/>
        <w:rPr>
          <w:rFonts w:asciiTheme="majorBidi" w:eastAsia="Calibri" w:hAnsiTheme="majorBidi" w:cstheme="majorBidi"/>
          <w:sz w:val="24"/>
          <w:szCs w:val="24"/>
        </w:rPr>
      </w:pPr>
      <w:r w:rsidRPr="00492F19">
        <w:rPr>
          <w:rFonts w:asciiTheme="majorBidi" w:eastAsia="Calibri" w:hAnsiTheme="majorBidi" w:cstheme="majorBidi"/>
          <w:sz w:val="24"/>
          <w:szCs w:val="24"/>
        </w:rPr>
        <w:t xml:space="preserve"> </w:t>
      </w:r>
      <w:r w:rsidR="002C3659" w:rsidRPr="00492F19">
        <w:rPr>
          <w:rFonts w:asciiTheme="majorBidi" w:eastAsia="Calibri" w:hAnsiTheme="majorBidi" w:cstheme="majorBidi"/>
          <w:sz w:val="24"/>
          <w:szCs w:val="24"/>
        </w:rPr>
        <w:t>(i) identifier les privations sur la base des besoins non satisfaits dans les dom</w:t>
      </w:r>
      <w:r>
        <w:rPr>
          <w:rFonts w:asciiTheme="majorBidi" w:eastAsia="Calibri" w:hAnsiTheme="majorBidi" w:cstheme="majorBidi"/>
          <w:sz w:val="24"/>
          <w:szCs w:val="24"/>
        </w:rPr>
        <w:t>a</w:t>
      </w:r>
      <w:r w:rsidR="002C3659" w:rsidRPr="00492F19">
        <w:rPr>
          <w:rFonts w:asciiTheme="majorBidi" w:eastAsia="Calibri" w:hAnsiTheme="majorBidi" w:cstheme="majorBidi"/>
          <w:sz w:val="24"/>
          <w:szCs w:val="24"/>
        </w:rPr>
        <w:t>ines susmentionnés (accès aux services sociaux de base</w:t>
      </w:r>
      <w:r>
        <w:rPr>
          <w:rFonts w:asciiTheme="majorBidi" w:eastAsia="Calibri" w:hAnsiTheme="majorBidi" w:cstheme="majorBidi"/>
          <w:sz w:val="24"/>
          <w:szCs w:val="24"/>
        </w:rPr>
        <w:t xml:space="preserve">, conditions de logement, éducation et </w:t>
      </w:r>
      <w:r w:rsidR="002C3659" w:rsidRPr="00492F19">
        <w:rPr>
          <w:rFonts w:asciiTheme="majorBidi" w:eastAsia="Calibri" w:hAnsiTheme="majorBidi" w:cstheme="majorBidi"/>
          <w:sz w:val="24"/>
          <w:szCs w:val="24"/>
        </w:rPr>
        <w:t>santé). Dans l’ensemble 10 privations sont identifiées</w:t>
      </w:r>
      <w:r w:rsidR="0009440F">
        <w:rPr>
          <w:rFonts w:asciiTheme="majorBidi" w:eastAsia="Calibri" w:hAnsiTheme="majorBidi" w:cstheme="majorBidi"/>
          <w:sz w:val="24"/>
          <w:szCs w:val="24"/>
        </w:rPr>
        <w:t xml:space="preserve"> </w:t>
      </w:r>
      <w:r w:rsidR="0009440F">
        <w:rPr>
          <w:rFonts w:asciiTheme="majorBidi" w:hAnsiTheme="majorBidi" w:cstheme="majorBidi"/>
          <w:sz w:val="24"/>
          <w:szCs w:val="24"/>
        </w:rPr>
        <w:t xml:space="preserve"> (Cf. tableau ci-après)</w:t>
      </w:r>
      <w:r w:rsidR="0009440F" w:rsidRPr="004B6D6F">
        <w:rPr>
          <w:rFonts w:asciiTheme="majorBidi" w:hAnsiTheme="majorBidi" w:cstheme="majorBidi"/>
          <w:sz w:val="24"/>
          <w:szCs w:val="24"/>
        </w:rPr>
        <w:t>.</w:t>
      </w:r>
    </w:p>
    <w:p w:rsidR="004953E1" w:rsidRPr="00492F19" w:rsidRDefault="002C3659" w:rsidP="00E0552D">
      <w:pPr>
        <w:jc w:val="both"/>
        <w:rPr>
          <w:rFonts w:asciiTheme="majorBidi" w:eastAsia="Calibri" w:hAnsiTheme="majorBidi" w:cstheme="majorBidi"/>
          <w:sz w:val="24"/>
          <w:szCs w:val="24"/>
        </w:rPr>
      </w:pPr>
      <w:r w:rsidRPr="00492F19">
        <w:rPr>
          <w:rFonts w:asciiTheme="majorBidi" w:eastAsia="Calibri" w:hAnsiTheme="majorBidi" w:cstheme="majorBidi"/>
          <w:sz w:val="24"/>
          <w:szCs w:val="24"/>
        </w:rPr>
        <w:lastRenderedPageBreak/>
        <w:t>(ii) établir un score de privation agrégeant les 10 privations élémentaires moyennant le schéma de pondération suivant: un poids 1/6 pour les 4 privations en termes d’éducation (2) et de santé (2), et un poids de 1/18 pour les 6 privations en termes de conditions de vie;</w:t>
      </w:r>
    </w:p>
    <w:p w:rsidR="004953E1" w:rsidRPr="00492F19" w:rsidRDefault="002C3659" w:rsidP="00E0552D">
      <w:pPr>
        <w:jc w:val="both"/>
        <w:rPr>
          <w:rFonts w:asciiTheme="majorBidi" w:eastAsia="Calibri" w:hAnsiTheme="majorBidi" w:cstheme="majorBidi"/>
          <w:sz w:val="24"/>
          <w:szCs w:val="24"/>
        </w:rPr>
      </w:pPr>
      <w:r w:rsidRPr="00492F19">
        <w:rPr>
          <w:rFonts w:asciiTheme="majorBidi" w:eastAsia="Calibri" w:hAnsiTheme="majorBidi" w:cstheme="majorBidi"/>
          <w:sz w:val="24"/>
          <w:szCs w:val="24"/>
        </w:rPr>
        <w:t xml:space="preserve">(iii) fixer le seuil de pauvreté: une personne est considérée multidimensionnellement pauvre si son score de privation est  supérieur au seuil de pauvreté, fixé conventionnellement par cette approche à 33%. </w:t>
      </w:r>
    </w:p>
    <w:p w:rsidR="00E05FCC" w:rsidRPr="00492F19" w:rsidRDefault="002C3659" w:rsidP="00492F19">
      <w:pPr>
        <w:rPr>
          <w:rFonts w:asciiTheme="majorBidi" w:eastAsia="Calibri" w:hAnsiTheme="majorBidi" w:cstheme="majorBidi"/>
          <w:sz w:val="24"/>
          <w:szCs w:val="24"/>
        </w:rPr>
      </w:pPr>
      <w:r w:rsidRPr="00492F19">
        <w:rPr>
          <w:rFonts w:asciiTheme="majorBidi" w:eastAsia="Calibri" w:hAnsiTheme="majorBidi" w:cstheme="majorBidi"/>
          <w:sz w:val="24"/>
          <w:szCs w:val="24"/>
        </w:rPr>
        <w:t>(iv) Calculer les</w:t>
      </w:r>
      <w:r w:rsidRPr="00492F19">
        <w:rPr>
          <w:rFonts w:asciiTheme="majorBidi" w:eastAsia="Calibri" w:hAnsiTheme="majorBidi" w:cstheme="majorBidi"/>
          <w:b/>
          <w:bCs/>
          <w:sz w:val="24"/>
          <w:szCs w:val="24"/>
        </w:rPr>
        <w:t xml:space="preserve"> </w:t>
      </w:r>
      <w:r w:rsidR="00E05FCC" w:rsidRPr="00492F19">
        <w:rPr>
          <w:rFonts w:asciiTheme="majorBidi" w:hAnsiTheme="majorBidi" w:cstheme="majorBidi"/>
          <w:sz w:val="24"/>
          <w:szCs w:val="24"/>
        </w:rPr>
        <w:t>indices de la pauvreté multidimensionnelle à savoir :</w:t>
      </w:r>
    </w:p>
    <w:p w:rsid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 xml:space="preserve">le taux </w:t>
      </w:r>
      <w:r w:rsidR="00142045">
        <w:rPr>
          <w:rFonts w:asciiTheme="majorBidi" w:eastAsia="Calibri" w:hAnsiTheme="majorBidi" w:cstheme="majorBidi"/>
          <w:sz w:val="24"/>
          <w:szCs w:val="24"/>
        </w:rPr>
        <w:t>de pauvreté multidimensionnelle : i</w:t>
      </w:r>
      <w:r w:rsidRPr="00E05FCC">
        <w:rPr>
          <w:rFonts w:asciiTheme="majorBidi" w:eastAsia="Calibri" w:hAnsiTheme="majorBidi" w:cstheme="majorBidi"/>
          <w:sz w:val="24"/>
          <w:szCs w:val="24"/>
        </w:rPr>
        <w:t xml:space="preserve">l donne la proportion des personnes pauvres, cumulant un nombre de privations supérieur au seuil de pauvreté - au moins 30% des privations élémentaires auxquelles sont exposés les ménages -. Il exprime le rapport du nombre des pauvres au nombre total de la population. </w:t>
      </w:r>
    </w:p>
    <w:p w:rsidR="00E05FCC" w:rsidRP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l’intensité moyenne de privation : cet indice renseigne sur les manques que vivent les pauvres d’une manière simultanée. Il a le mérite de rendre compte de l’acuité de privation au sein de la population en situation de pauvreté multidimensionnelle.</w:t>
      </w:r>
    </w:p>
    <w:p w:rsidR="005C727E" w:rsidRPr="00E05FCC" w:rsidRDefault="00E05FCC" w:rsidP="00492F19">
      <w:pPr>
        <w:pStyle w:val="Paragraphedeliste"/>
        <w:numPr>
          <w:ilvl w:val="0"/>
          <w:numId w:val="44"/>
        </w:numPr>
        <w:spacing w:after="160" w:line="259" w:lineRule="auto"/>
        <w:ind w:left="1418"/>
        <w:jc w:val="both"/>
        <w:rPr>
          <w:rFonts w:asciiTheme="majorBidi" w:eastAsia="Calibri" w:hAnsiTheme="majorBidi" w:cstheme="majorBidi"/>
          <w:sz w:val="24"/>
          <w:szCs w:val="24"/>
        </w:rPr>
      </w:pPr>
      <w:r w:rsidRPr="00E05FCC">
        <w:rPr>
          <w:rFonts w:asciiTheme="majorBidi" w:eastAsia="Calibri" w:hAnsiTheme="majorBidi" w:cstheme="majorBidi"/>
          <w:sz w:val="24"/>
          <w:szCs w:val="24"/>
        </w:rPr>
        <w:t>l'indice de pauvreté multidimensionnelle (</w:t>
      </w:r>
      <w:r w:rsidRPr="00185C65">
        <w:rPr>
          <w:rFonts w:asciiTheme="majorBidi" w:eastAsia="Calibri" w:hAnsiTheme="majorBidi" w:cstheme="majorBidi"/>
          <w:sz w:val="24"/>
          <w:szCs w:val="24"/>
        </w:rPr>
        <w:t>IPM</w:t>
      </w:r>
      <w:r w:rsidRPr="00E05FCC">
        <w:rPr>
          <w:rFonts w:asciiTheme="majorBidi" w:eastAsia="Calibri" w:hAnsiTheme="majorBidi" w:cstheme="majorBidi"/>
          <w:sz w:val="24"/>
          <w:szCs w:val="24"/>
        </w:rPr>
        <w:t>) : il extrapole l'intensité de la privation à l'ensemble de la populat</w:t>
      </w:r>
      <w:r>
        <w:rPr>
          <w:rFonts w:asciiTheme="majorBidi" w:eastAsia="Calibri" w:hAnsiTheme="majorBidi" w:cstheme="majorBidi"/>
          <w:sz w:val="24"/>
          <w:szCs w:val="24"/>
        </w:rPr>
        <w:t>ion, qu'elle soit pauvre ou non.</w:t>
      </w:r>
      <w:r w:rsidR="00D504AD" w:rsidRPr="00E05FCC">
        <w:rPr>
          <w:rFonts w:asciiTheme="majorBidi" w:hAnsiTheme="majorBidi" w:cstheme="majorBidi"/>
          <w:sz w:val="24"/>
          <w:szCs w:val="24"/>
        </w:rPr>
        <w:t xml:space="preserve"> </w:t>
      </w:r>
    </w:p>
    <w:p w:rsidR="00185C65" w:rsidRPr="00185C65" w:rsidRDefault="00185C65" w:rsidP="00185C65">
      <w:pPr>
        <w:spacing w:after="160"/>
        <w:jc w:val="both"/>
        <w:rPr>
          <w:rFonts w:asciiTheme="majorBidi" w:eastAsia="Calibri" w:hAnsiTheme="majorBidi" w:cstheme="majorBidi"/>
          <w:b/>
          <w:bCs/>
          <w:sz w:val="26"/>
          <w:szCs w:val="26"/>
        </w:rPr>
      </w:pPr>
      <w:r w:rsidRPr="00185C65">
        <w:rPr>
          <w:rFonts w:asciiTheme="majorBidi" w:eastAsia="Calibri" w:hAnsiTheme="majorBidi" w:cstheme="majorBidi"/>
          <w:b/>
          <w:bCs/>
          <w:sz w:val="26"/>
          <w:szCs w:val="26"/>
        </w:rPr>
        <w:t xml:space="preserve">Dimensions, composantes, indicateurs, seuils et pondérations de l’IPM   </w:t>
      </w:r>
    </w:p>
    <w:tbl>
      <w:tblPr>
        <w:tblW w:w="949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993"/>
        <w:gridCol w:w="2409"/>
        <w:gridCol w:w="4869"/>
        <w:gridCol w:w="507"/>
        <w:gridCol w:w="720"/>
      </w:tblGrid>
      <w:tr w:rsidR="00185C65" w:rsidRPr="000B4677" w:rsidTr="008113A8">
        <w:trPr>
          <w:trHeight w:val="389"/>
        </w:trPr>
        <w:tc>
          <w:tcPr>
            <w:tcW w:w="993"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Dimension</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Composante</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Indicateur : définition de la privation</w:t>
            </w:r>
          </w:p>
        </w:tc>
        <w:tc>
          <w:tcPr>
            <w:tcW w:w="1227" w:type="dxa"/>
            <w:gridSpan w:val="2"/>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Pondération</w:t>
            </w:r>
          </w:p>
        </w:tc>
      </w:tr>
      <w:tr w:rsidR="00185C65" w:rsidRPr="000B4677" w:rsidTr="008113A8">
        <w:trPr>
          <w:trHeight w:val="504"/>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Education</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 Scolarisation des enfants </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un des enfants en âge de scolarisation 6-14 ans ne fréquente pas l’école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485"/>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b/>
                <w:bCs/>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Scolarisation des adultes</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aucun membre du ménage âgé de 15 ans et plus n’a complété cinq années de scolarisation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shd w:val="clear" w:color="auto" w:fill="FFFFFF" w:themeFill="background1"/>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p>
        </w:tc>
      </w:tr>
      <w:tr w:rsidR="00185C65" w:rsidRPr="000B4677" w:rsidTr="008113A8">
        <w:trPr>
          <w:trHeight w:val="1043"/>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Santé</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Handicap</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ind w:left="136"/>
              <w:rPr>
                <w:rFonts w:asciiTheme="majorBidi" w:eastAsia="Calibri" w:hAnsiTheme="majorBidi" w:cstheme="majorBidi"/>
                <w:sz w:val="20"/>
                <w:szCs w:val="20"/>
              </w:rPr>
            </w:pPr>
            <w:r w:rsidRPr="000B4677">
              <w:rPr>
                <w:rFonts w:asciiTheme="majorBidi" w:eastAsia="Calibri" w:hAnsiTheme="majorBidi" w:cstheme="majorBidi"/>
                <w:sz w:val="20"/>
                <w:szCs w:val="20"/>
              </w:rPr>
              <w:t>Si un membre du ménage est dans l’incapacité de    réaliser l’une des fonctions organiques suivantes : vision, audition, marche, capacité cognitive (se souvenir ou se concentrer), soins corporels et communication</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481"/>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b/>
                <w:bCs/>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Mortalité infantile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Si un enfant de moins de 12 mois est décédé dans le ménage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1/6</w:t>
            </w:r>
          </w:p>
        </w:tc>
        <w:tc>
          <w:tcPr>
            <w:tcW w:w="720" w:type="dxa"/>
            <w:vMerge/>
            <w:shd w:val="clear" w:color="auto" w:fill="FFFFFF" w:themeFill="background1"/>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p>
        </w:tc>
      </w:tr>
      <w:tr w:rsidR="00185C65" w:rsidRPr="000B4677" w:rsidTr="008113A8">
        <w:trPr>
          <w:trHeight w:val="534"/>
        </w:trPr>
        <w:tc>
          <w:tcPr>
            <w:tcW w:w="993" w:type="dxa"/>
            <w:vMerge w:val="restart"/>
            <w:shd w:val="clear" w:color="auto" w:fill="FFFFFF" w:themeFill="background1"/>
            <w:tcMar>
              <w:top w:w="6" w:type="dxa"/>
              <w:left w:w="6" w:type="dxa"/>
              <w:bottom w:w="0" w:type="dxa"/>
              <w:right w:w="6" w:type="dxa"/>
            </w:tcMar>
            <w:textDirection w:val="btLr"/>
            <w:vAlign w:val="center"/>
            <w:hideMark/>
          </w:tcPr>
          <w:p w:rsidR="00185C65" w:rsidRPr="000B4677" w:rsidRDefault="00185C65" w:rsidP="008113A8">
            <w:pPr>
              <w:spacing w:after="160" w:line="259" w:lineRule="auto"/>
              <w:ind w:left="113" w:right="113"/>
              <w:jc w:val="center"/>
              <w:rPr>
                <w:rFonts w:asciiTheme="majorBidi" w:eastAsia="Calibri" w:hAnsiTheme="majorBidi" w:cstheme="majorBidi"/>
                <w:b/>
                <w:bCs/>
                <w:sz w:val="20"/>
                <w:szCs w:val="20"/>
              </w:rPr>
            </w:pPr>
            <w:r w:rsidRPr="000B4677">
              <w:rPr>
                <w:rFonts w:asciiTheme="majorBidi" w:eastAsia="Calibri" w:hAnsiTheme="majorBidi" w:cstheme="majorBidi"/>
                <w:b/>
                <w:bCs/>
                <w:sz w:val="20"/>
                <w:szCs w:val="20"/>
              </w:rPr>
              <w:t>Conditions de vie</w:t>
            </w: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Eau potable</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Si le ménage n’a pas accès à l’eau propre à moins de 30 minutes de marche de chez lui</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val="restart"/>
            <w:shd w:val="clear" w:color="auto" w:fill="FFFFFF" w:themeFill="background1"/>
            <w:tcMar>
              <w:top w:w="6" w:type="dxa"/>
              <w:left w:w="6" w:type="dxa"/>
              <w:bottom w:w="0" w:type="dxa"/>
              <w:right w:w="6" w:type="dxa"/>
            </w:tcMar>
            <w:vAlign w:val="center"/>
            <w:hideMark/>
          </w:tcPr>
          <w:p w:rsidR="00185C65" w:rsidRPr="000B4677" w:rsidRDefault="00185C65" w:rsidP="003731D2">
            <w:pPr>
              <w:spacing w:after="160" w:line="259" w:lineRule="auto"/>
              <w:jc w:val="center"/>
              <w:rPr>
                <w:rFonts w:asciiTheme="majorBidi" w:eastAsia="Calibri" w:hAnsiTheme="majorBidi" w:cstheme="majorBidi"/>
                <w:sz w:val="23"/>
                <w:szCs w:val="23"/>
              </w:rPr>
            </w:pPr>
            <w:r w:rsidRPr="000B4677">
              <w:rPr>
                <w:rFonts w:asciiTheme="majorBidi" w:eastAsia="Calibri" w:hAnsiTheme="majorBidi" w:cstheme="majorBidi"/>
                <w:sz w:val="23"/>
                <w:szCs w:val="23"/>
              </w:rPr>
              <w:t>1/3</w:t>
            </w:r>
          </w:p>
        </w:tc>
      </w:tr>
      <w:tr w:rsidR="00185C65" w:rsidRPr="000B4677" w:rsidTr="008113A8">
        <w:trPr>
          <w:trHeight w:val="317"/>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Electricité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Si le ménage n’a pas d’électricité</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414"/>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Assainissement</w:t>
            </w:r>
          </w:p>
        </w:tc>
        <w:tc>
          <w:tcPr>
            <w:tcW w:w="4869" w:type="dxa"/>
            <w:shd w:val="clear" w:color="auto" w:fill="FFFFFF" w:themeFill="background1"/>
            <w:tcMar>
              <w:top w:w="15" w:type="dxa"/>
              <w:left w:w="141" w:type="dxa"/>
              <w:bottom w:w="0" w:type="dxa"/>
              <w:right w:w="141" w:type="dxa"/>
            </w:tcMar>
            <w:hideMark/>
          </w:tcPr>
          <w:p w:rsidR="00185C65" w:rsidRPr="000B4677" w:rsidRDefault="00185C65" w:rsidP="007F6D24">
            <w:pPr>
              <w:autoSpaceDE w:val="0"/>
              <w:autoSpaceDN w:val="0"/>
              <w:adjustRightInd w:val="0"/>
              <w:spacing w:line="240" w:lineRule="auto"/>
              <w:ind w:left="-141"/>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007F6D24" w:rsidRPr="007F6D24">
              <w:rPr>
                <w:rFonts w:asciiTheme="majorBidi" w:hAnsiTheme="majorBidi" w:cstheme="majorBidi"/>
                <w:sz w:val="20"/>
                <w:szCs w:val="20"/>
              </w:rPr>
              <w:t xml:space="preserve">Si le ménage ne dispose pas de toilettes privées ou d’un système d’assainissement sain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376"/>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xml:space="preserve">Revêtement du sol </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autoSpaceDE w:val="0"/>
              <w:autoSpaceDN w:val="0"/>
              <w:adjustRightInd w:val="0"/>
              <w:spacing w:after="0" w:line="240" w:lineRule="auto"/>
              <w:rPr>
                <w:rFonts w:asciiTheme="majorBidi" w:eastAsia="Calibri" w:hAnsiTheme="majorBidi" w:cstheme="majorBidi"/>
                <w:sz w:val="20"/>
                <w:szCs w:val="20"/>
              </w:rPr>
            </w:pPr>
            <w:r>
              <w:rPr>
                <w:rFonts w:asciiTheme="majorBidi" w:eastAsia="Calibri" w:hAnsiTheme="majorBidi" w:cstheme="majorBidi"/>
                <w:sz w:val="20"/>
                <w:szCs w:val="20"/>
              </w:rPr>
              <w:t xml:space="preserve"> S</w:t>
            </w:r>
            <w:r w:rsidRPr="000B4677">
              <w:rPr>
                <w:rFonts w:asciiTheme="majorBidi" w:eastAsia="Calibri" w:hAnsiTheme="majorBidi" w:cstheme="majorBidi"/>
                <w:sz w:val="20"/>
                <w:szCs w:val="20"/>
              </w:rPr>
              <w:t xml:space="preserve">i le plancher du logement est  sale, en sable ou </w:t>
            </w:r>
            <w:r w:rsidR="003E7180">
              <w:rPr>
                <w:rFonts w:asciiTheme="majorBidi" w:eastAsia="Calibri" w:hAnsiTheme="majorBidi" w:cstheme="majorBidi"/>
                <w:sz w:val="20"/>
                <w:szCs w:val="20"/>
              </w:rPr>
              <w:t xml:space="preserve">en </w:t>
            </w:r>
            <w:r w:rsidRPr="000B4677">
              <w:rPr>
                <w:rFonts w:asciiTheme="majorBidi" w:eastAsia="Calibri" w:hAnsiTheme="majorBidi" w:cstheme="majorBidi"/>
                <w:sz w:val="20"/>
                <w:szCs w:val="20"/>
              </w:rPr>
              <w:t xml:space="preserve">terre battue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531"/>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Mode de cuisson</w:t>
            </w:r>
          </w:p>
        </w:tc>
        <w:tc>
          <w:tcPr>
            <w:tcW w:w="4869" w:type="dxa"/>
            <w:shd w:val="clear" w:color="auto" w:fill="FFFFFF" w:themeFill="background1"/>
            <w:tcMar>
              <w:top w:w="6" w:type="dxa"/>
              <w:left w:w="6" w:type="dxa"/>
              <w:bottom w:w="0" w:type="dxa"/>
              <w:right w:w="6" w:type="dxa"/>
            </w:tcMar>
            <w:vAlign w:val="center"/>
            <w:hideMark/>
          </w:tcPr>
          <w:p w:rsidR="00185C65" w:rsidRPr="000B4677" w:rsidRDefault="00185C65" w:rsidP="008113A8">
            <w:pPr>
              <w:autoSpaceDE w:val="0"/>
              <w:autoSpaceDN w:val="0"/>
              <w:adjustRightInd w:val="0"/>
              <w:spacing w:after="0" w:line="240" w:lineRule="auto"/>
              <w:rPr>
                <w:rFonts w:asciiTheme="majorBidi" w:eastAsia="Calibri" w:hAnsiTheme="majorBidi" w:cstheme="majorBidi"/>
                <w:sz w:val="20"/>
                <w:szCs w:val="20"/>
              </w:rPr>
            </w:pPr>
            <w:r>
              <w:rPr>
                <w:rFonts w:asciiTheme="majorBidi" w:eastAsia="Calibri" w:hAnsiTheme="majorBidi" w:cstheme="majorBidi"/>
                <w:sz w:val="20"/>
                <w:szCs w:val="20"/>
              </w:rPr>
              <w:t xml:space="preserve"> </w:t>
            </w:r>
            <w:r w:rsidRPr="000B4677">
              <w:rPr>
                <w:rFonts w:asciiTheme="majorBidi" w:eastAsia="Calibri" w:hAnsiTheme="majorBidi" w:cstheme="majorBidi"/>
                <w:sz w:val="20"/>
                <w:szCs w:val="20"/>
              </w:rPr>
              <w:t xml:space="preserve">Si le ménage cuisine avec du bois, charbon ou fumier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r w:rsidR="00185C65" w:rsidRPr="000B4677" w:rsidTr="008113A8">
        <w:trPr>
          <w:trHeight w:val="820"/>
        </w:trPr>
        <w:tc>
          <w:tcPr>
            <w:tcW w:w="993"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p>
        </w:tc>
        <w:tc>
          <w:tcPr>
            <w:tcW w:w="2409"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Détention d’actifs</w:t>
            </w:r>
          </w:p>
        </w:tc>
        <w:tc>
          <w:tcPr>
            <w:tcW w:w="4869" w:type="dxa"/>
            <w:shd w:val="clear" w:color="auto" w:fill="FFFFFF" w:themeFill="background1"/>
            <w:tcMar>
              <w:top w:w="15" w:type="dxa"/>
              <w:left w:w="141" w:type="dxa"/>
              <w:bottom w:w="0" w:type="dxa"/>
              <w:right w:w="141" w:type="dxa"/>
            </w:tcMar>
            <w:hideMark/>
          </w:tcPr>
          <w:p w:rsidR="00185C65" w:rsidRPr="000B4677" w:rsidRDefault="003E7180" w:rsidP="003E7180">
            <w:pPr>
              <w:spacing w:after="160" w:line="259" w:lineRule="auto"/>
              <w:rPr>
                <w:rFonts w:asciiTheme="majorBidi" w:eastAsia="Calibri" w:hAnsiTheme="majorBidi" w:cstheme="majorBidi"/>
                <w:sz w:val="20"/>
                <w:szCs w:val="20"/>
              </w:rPr>
            </w:pPr>
            <w:r>
              <w:rPr>
                <w:rFonts w:asciiTheme="majorBidi" w:eastAsia="Calibri" w:hAnsiTheme="majorBidi" w:cstheme="majorBidi"/>
                <w:sz w:val="20"/>
                <w:szCs w:val="20"/>
              </w:rPr>
              <w:t>Si l</w:t>
            </w:r>
            <w:r w:rsidR="00185C65" w:rsidRPr="000B4677">
              <w:rPr>
                <w:rFonts w:asciiTheme="majorBidi" w:eastAsia="Calibri" w:hAnsiTheme="majorBidi" w:cstheme="majorBidi"/>
                <w:sz w:val="20"/>
                <w:szCs w:val="20"/>
              </w:rPr>
              <w:t xml:space="preserve">e ménage ne possède ni voiture ou ni tracteur/camion et ne possède pas au moins deux des biens suivants : téléphone, télévision, radio, moto, bicyclette et réfrigérateur </w:t>
            </w:r>
          </w:p>
        </w:tc>
        <w:tc>
          <w:tcPr>
            <w:tcW w:w="507" w:type="dxa"/>
            <w:shd w:val="clear" w:color="auto" w:fill="FFFFFF" w:themeFill="background1"/>
            <w:tcMar>
              <w:top w:w="6" w:type="dxa"/>
              <w:left w:w="6" w:type="dxa"/>
              <w:bottom w:w="0" w:type="dxa"/>
              <w:right w:w="6" w:type="dxa"/>
            </w:tcMar>
            <w:vAlign w:val="center"/>
            <w:hideMark/>
          </w:tcPr>
          <w:p w:rsidR="00185C65" w:rsidRPr="000B4677" w:rsidRDefault="00185C65" w:rsidP="008113A8">
            <w:pPr>
              <w:spacing w:after="160" w:line="259" w:lineRule="auto"/>
              <w:rPr>
                <w:rFonts w:asciiTheme="majorBidi" w:eastAsia="Calibri" w:hAnsiTheme="majorBidi" w:cstheme="majorBidi"/>
                <w:sz w:val="20"/>
                <w:szCs w:val="20"/>
              </w:rPr>
            </w:pPr>
            <w:r w:rsidRPr="000B4677">
              <w:rPr>
                <w:rFonts w:asciiTheme="majorBidi" w:eastAsia="Calibri" w:hAnsiTheme="majorBidi" w:cstheme="majorBidi"/>
                <w:sz w:val="20"/>
                <w:szCs w:val="20"/>
              </w:rPr>
              <w:t> 1/18</w:t>
            </w:r>
          </w:p>
        </w:tc>
        <w:tc>
          <w:tcPr>
            <w:tcW w:w="720" w:type="dxa"/>
            <w:vMerge/>
            <w:shd w:val="clear" w:color="auto" w:fill="FFFFFF" w:themeFill="background1"/>
            <w:vAlign w:val="center"/>
            <w:hideMark/>
          </w:tcPr>
          <w:p w:rsidR="00185C65" w:rsidRPr="000B4677" w:rsidRDefault="00185C65" w:rsidP="008113A8">
            <w:pPr>
              <w:spacing w:after="160" w:line="259" w:lineRule="auto"/>
              <w:rPr>
                <w:rFonts w:asciiTheme="majorBidi" w:eastAsia="Calibri" w:hAnsiTheme="majorBidi" w:cstheme="majorBidi"/>
                <w:sz w:val="23"/>
                <w:szCs w:val="23"/>
              </w:rPr>
            </w:pPr>
          </w:p>
        </w:tc>
      </w:tr>
    </w:tbl>
    <w:p w:rsidR="0023026D" w:rsidRDefault="0023026D" w:rsidP="00D504AD">
      <w:pPr>
        <w:spacing w:before="120" w:after="160" w:line="240" w:lineRule="auto"/>
        <w:jc w:val="both"/>
        <w:rPr>
          <w:rFonts w:asciiTheme="majorBidi" w:eastAsia="Calibri" w:hAnsiTheme="majorBidi" w:cstheme="majorBidi"/>
          <w:sz w:val="24"/>
          <w:szCs w:val="24"/>
        </w:rPr>
      </w:pPr>
    </w:p>
    <w:p w:rsidR="005C727E" w:rsidRPr="0013617C" w:rsidRDefault="005C727E" w:rsidP="00D504AD">
      <w:pPr>
        <w:spacing w:before="12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Pour </w:t>
      </w:r>
      <w:r w:rsidR="00D504AD">
        <w:rPr>
          <w:rFonts w:asciiTheme="majorBidi" w:eastAsia="Calibri" w:hAnsiTheme="majorBidi" w:cstheme="majorBidi"/>
          <w:sz w:val="24"/>
          <w:szCs w:val="24"/>
        </w:rPr>
        <w:t xml:space="preserve">analyser </w:t>
      </w:r>
      <w:r w:rsidRPr="0013617C">
        <w:rPr>
          <w:rFonts w:asciiTheme="majorBidi" w:eastAsia="Calibri" w:hAnsiTheme="majorBidi" w:cstheme="majorBidi"/>
          <w:sz w:val="24"/>
          <w:szCs w:val="24"/>
        </w:rPr>
        <w:t xml:space="preserve">la dynamique de la pauvreté multidimensionnelle à l’échelle de toutes les subdivisions territoriales, cette approche a été implémentée sur l’exhaustivité des données du RGPH de 2014 et de 2004. </w:t>
      </w:r>
    </w:p>
    <w:p w:rsidR="00185C65" w:rsidRDefault="00185C65" w:rsidP="00A52E8B">
      <w:pPr>
        <w:spacing w:after="160" w:line="240" w:lineRule="auto"/>
        <w:jc w:val="both"/>
        <w:rPr>
          <w:rFonts w:asciiTheme="majorBidi" w:eastAsia="Calibri" w:hAnsiTheme="majorBidi" w:cstheme="majorBidi"/>
          <w:b/>
          <w:bCs/>
          <w:sz w:val="24"/>
          <w:szCs w:val="24"/>
        </w:rPr>
      </w:pPr>
    </w:p>
    <w:p w:rsidR="00C37837" w:rsidRPr="0013617C" w:rsidRDefault="00A52E8B" w:rsidP="00A52E8B">
      <w:pPr>
        <w:spacing w:after="160" w:line="240" w:lineRule="auto"/>
        <w:jc w:val="both"/>
        <w:rPr>
          <w:rFonts w:asciiTheme="majorBidi" w:eastAsia="Calibri" w:hAnsiTheme="majorBidi" w:cstheme="majorBidi"/>
          <w:b/>
          <w:bCs/>
          <w:sz w:val="24"/>
          <w:szCs w:val="24"/>
        </w:rPr>
      </w:pPr>
      <w:r>
        <w:rPr>
          <w:rFonts w:asciiTheme="majorBidi" w:eastAsia="Calibri" w:hAnsiTheme="majorBidi" w:cstheme="majorBidi"/>
          <w:b/>
          <w:bCs/>
          <w:sz w:val="24"/>
          <w:szCs w:val="24"/>
        </w:rPr>
        <w:t xml:space="preserve">Paysage et dynamique </w:t>
      </w:r>
      <w:r w:rsidR="00C37837" w:rsidRPr="0013617C">
        <w:rPr>
          <w:rFonts w:asciiTheme="majorBidi" w:eastAsia="Calibri" w:hAnsiTheme="majorBidi" w:cstheme="majorBidi"/>
          <w:b/>
          <w:bCs/>
          <w:sz w:val="24"/>
          <w:szCs w:val="24"/>
        </w:rPr>
        <w:t xml:space="preserve">de la pauvreté multidimensionnelle </w:t>
      </w:r>
    </w:p>
    <w:p w:rsidR="00C37837" w:rsidRPr="0013617C" w:rsidRDefault="00C37837" w:rsidP="0017388C">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Au plan national</w:t>
      </w:r>
    </w:p>
    <w:p w:rsidR="0017388C" w:rsidRPr="0013617C" w:rsidRDefault="00D504AD" w:rsidP="00D504AD">
      <w:pPr>
        <w:autoSpaceDE w:val="0"/>
        <w:autoSpaceDN w:val="0"/>
        <w:adjustRightInd w:val="0"/>
        <w:spacing w:after="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Avec une baisse de 9,4% par an, </w:t>
      </w:r>
      <w:r w:rsidRPr="0013617C">
        <w:rPr>
          <w:rFonts w:asciiTheme="majorBidi" w:eastAsia="Calibri" w:hAnsiTheme="majorBidi" w:cstheme="majorBidi"/>
          <w:sz w:val="24"/>
          <w:szCs w:val="24"/>
        </w:rPr>
        <w:t>l’effectif global de la population en situation de pauvreté multidimensionnelle</w:t>
      </w:r>
      <w:r>
        <w:rPr>
          <w:rFonts w:asciiTheme="majorBidi" w:eastAsia="Calibri" w:hAnsiTheme="majorBidi" w:cstheme="majorBidi"/>
          <w:sz w:val="24"/>
          <w:szCs w:val="24"/>
        </w:rPr>
        <w:t xml:space="preserve"> est passé de </w:t>
      </w:r>
      <w:r w:rsidRPr="0013617C">
        <w:rPr>
          <w:rFonts w:asciiTheme="majorBidi" w:eastAsia="Calibri" w:hAnsiTheme="majorBidi" w:cstheme="majorBidi"/>
          <w:sz w:val="24"/>
          <w:szCs w:val="24"/>
        </w:rPr>
        <w:t>7,5 million individus</w:t>
      </w:r>
      <w:r>
        <w:rPr>
          <w:rFonts w:asciiTheme="majorBidi" w:eastAsia="Calibri" w:hAnsiTheme="majorBidi" w:cstheme="majorBidi"/>
          <w:sz w:val="24"/>
          <w:szCs w:val="24"/>
        </w:rPr>
        <w:t xml:space="preserve"> en 2004 à  </w:t>
      </w:r>
      <w:r w:rsidRPr="0013617C">
        <w:rPr>
          <w:rFonts w:asciiTheme="majorBidi" w:eastAsia="Calibri" w:hAnsiTheme="majorBidi" w:cstheme="majorBidi"/>
          <w:sz w:val="24"/>
          <w:szCs w:val="24"/>
        </w:rPr>
        <w:t>2,8 million d’individus</w:t>
      </w:r>
      <w:r w:rsidR="00142045">
        <w:rPr>
          <w:rFonts w:asciiTheme="majorBidi" w:eastAsia="Calibri" w:hAnsiTheme="majorBidi" w:cstheme="majorBidi"/>
          <w:sz w:val="24"/>
          <w:szCs w:val="24"/>
        </w:rPr>
        <w:t xml:space="preserve"> </w:t>
      </w:r>
      <w:r>
        <w:rPr>
          <w:rFonts w:asciiTheme="majorBidi" w:eastAsia="Calibri" w:hAnsiTheme="majorBidi" w:cstheme="majorBidi"/>
          <w:sz w:val="24"/>
          <w:szCs w:val="24"/>
        </w:rPr>
        <w:t>e</w:t>
      </w:r>
      <w:r w:rsidR="00C37837" w:rsidRPr="0013617C">
        <w:rPr>
          <w:rFonts w:asciiTheme="majorBidi" w:eastAsia="Calibri" w:hAnsiTheme="majorBidi" w:cstheme="majorBidi"/>
          <w:sz w:val="24"/>
          <w:szCs w:val="24"/>
        </w:rPr>
        <w:t>n 2014</w:t>
      </w:r>
      <w:r>
        <w:rPr>
          <w:rFonts w:asciiTheme="majorBidi" w:eastAsia="Calibri" w:hAnsiTheme="majorBidi" w:cstheme="majorBidi"/>
          <w:sz w:val="24"/>
          <w:szCs w:val="24"/>
        </w:rPr>
        <w:t>.</w:t>
      </w:r>
      <w:r w:rsidR="00142045">
        <w:rPr>
          <w:rFonts w:asciiTheme="majorBidi" w:eastAsia="Calibri" w:hAnsiTheme="majorBidi" w:cstheme="majorBidi"/>
          <w:sz w:val="24"/>
          <w:szCs w:val="24"/>
        </w:rPr>
        <w:t xml:space="preserve"> </w:t>
      </w:r>
      <w:r w:rsidRPr="0013617C">
        <w:rPr>
          <w:rFonts w:asciiTheme="majorBidi" w:eastAsia="Calibri" w:hAnsiTheme="majorBidi" w:cstheme="majorBidi"/>
          <w:sz w:val="24"/>
          <w:szCs w:val="24"/>
        </w:rPr>
        <w:t>L</w:t>
      </w:r>
      <w:r w:rsidR="00C37837" w:rsidRPr="0013617C">
        <w:rPr>
          <w:rFonts w:asciiTheme="majorBidi" w:eastAsia="Calibri" w:hAnsiTheme="majorBidi" w:cstheme="majorBidi"/>
          <w:sz w:val="24"/>
          <w:szCs w:val="24"/>
        </w:rPr>
        <w:t xml:space="preserve">’incidence de la pauvreté multidimensionnelle </w:t>
      </w:r>
      <w:r>
        <w:rPr>
          <w:rFonts w:asciiTheme="majorBidi" w:eastAsia="Calibri" w:hAnsiTheme="majorBidi" w:cstheme="majorBidi"/>
          <w:sz w:val="24"/>
          <w:szCs w:val="24"/>
        </w:rPr>
        <w:t xml:space="preserve">est ainsi passée de 25,0% à 8,2% entre les deux périodes au niveau national, de </w:t>
      </w:r>
      <w:r w:rsidRPr="0013617C">
        <w:rPr>
          <w:rFonts w:asciiTheme="majorBidi" w:eastAsia="Calibri" w:hAnsiTheme="majorBidi" w:cstheme="majorBidi"/>
          <w:sz w:val="24"/>
          <w:szCs w:val="24"/>
        </w:rPr>
        <w:t xml:space="preserve">de 9,1% à 2,0% en milieu urbain, et de 44,6% à 17,7% en milieu rural. </w:t>
      </w:r>
      <w:r w:rsidR="00C37837" w:rsidRPr="0013617C">
        <w:rPr>
          <w:rFonts w:asciiTheme="majorBidi" w:eastAsia="Calibri" w:hAnsiTheme="majorBidi" w:cstheme="majorBidi"/>
          <w:sz w:val="24"/>
          <w:szCs w:val="24"/>
        </w:rPr>
        <w:t>La pauvreté multidimensionnelle demeure pr</w:t>
      </w:r>
      <w:r>
        <w:rPr>
          <w:rFonts w:asciiTheme="majorBidi" w:eastAsia="Calibri" w:hAnsiTheme="majorBidi" w:cstheme="majorBidi"/>
          <w:sz w:val="24"/>
          <w:szCs w:val="24"/>
        </w:rPr>
        <w:t>incipalement un phénomène rural.</w:t>
      </w:r>
      <w:r w:rsidR="00142045">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En 2014, </w:t>
      </w:r>
      <w:r w:rsidR="00C37837" w:rsidRPr="0013617C">
        <w:rPr>
          <w:rFonts w:asciiTheme="majorBidi" w:eastAsia="Calibri" w:hAnsiTheme="majorBidi" w:cstheme="majorBidi"/>
          <w:sz w:val="24"/>
          <w:szCs w:val="24"/>
        </w:rPr>
        <w:t>85,4% des personnes multidimensionnellement pauvres vivent dans le milieu rural</w:t>
      </w:r>
      <w:r>
        <w:rPr>
          <w:rFonts w:asciiTheme="majorBidi" w:eastAsia="Calibri" w:hAnsiTheme="majorBidi" w:cstheme="majorBidi"/>
          <w:sz w:val="24"/>
          <w:szCs w:val="24"/>
        </w:rPr>
        <w:t xml:space="preserve"> contre 80,0% en 2004</w:t>
      </w:r>
      <w:r w:rsidR="00C37837" w:rsidRPr="0013617C">
        <w:rPr>
          <w:rFonts w:asciiTheme="majorBidi" w:eastAsia="Calibri" w:hAnsiTheme="majorBidi" w:cstheme="majorBidi"/>
          <w:sz w:val="24"/>
          <w:szCs w:val="24"/>
        </w:rPr>
        <w:t xml:space="preserve">.  </w:t>
      </w:r>
    </w:p>
    <w:p w:rsidR="0017388C" w:rsidRPr="0013617C" w:rsidRDefault="0017388C" w:rsidP="0017388C">
      <w:pPr>
        <w:autoSpaceDE w:val="0"/>
        <w:autoSpaceDN w:val="0"/>
        <w:adjustRightInd w:val="0"/>
        <w:spacing w:after="0" w:line="240" w:lineRule="auto"/>
        <w:jc w:val="both"/>
        <w:rPr>
          <w:rFonts w:asciiTheme="majorBidi" w:eastAsia="Calibri" w:hAnsiTheme="majorBidi" w:cstheme="majorBidi"/>
          <w:sz w:val="24"/>
          <w:szCs w:val="24"/>
        </w:rPr>
      </w:pPr>
    </w:p>
    <w:p w:rsidR="00C37837" w:rsidRPr="0013617C" w:rsidRDefault="00C37837" w:rsidP="00D504AD">
      <w:pPr>
        <w:autoSpaceDE w:val="0"/>
        <w:autoSpaceDN w:val="0"/>
        <w:adjustRightInd w:val="0"/>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La décomposition de la pauvreté multidimensionnelle par </w:t>
      </w:r>
      <w:r w:rsidR="00D504AD">
        <w:rPr>
          <w:rFonts w:asciiTheme="majorBidi" w:eastAsia="Calibri" w:hAnsiTheme="majorBidi" w:cstheme="majorBidi"/>
          <w:sz w:val="24"/>
          <w:szCs w:val="24"/>
        </w:rPr>
        <w:t xml:space="preserve">domaine </w:t>
      </w:r>
      <w:r w:rsidRPr="0013617C">
        <w:rPr>
          <w:rFonts w:asciiTheme="majorBidi" w:eastAsia="Calibri" w:hAnsiTheme="majorBidi" w:cstheme="majorBidi"/>
          <w:sz w:val="24"/>
          <w:szCs w:val="24"/>
        </w:rPr>
        <w:t>de privation renseigne sur les sources à l’origine de ce phénomène. La privation en termes de scolarisation des adultes explique à elle seule 34% de la pauvreté au niveau national. La non-scolarisation des enfants contribue à hauteur de 21,3% à l’IPM. Dans l’ensemble les déficits en termes d’éducation expliquent un peu plus de la moitié de la pauvreté multidimensionnelle (55,3%). Quant aux privations en termes d</w:t>
      </w:r>
      <w:r w:rsidR="00421DA6" w:rsidRPr="0013617C">
        <w:rPr>
          <w:rFonts w:asciiTheme="majorBidi" w:eastAsia="Calibri" w:hAnsiTheme="majorBidi" w:cstheme="majorBidi"/>
          <w:sz w:val="24"/>
          <w:szCs w:val="24"/>
        </w:rPr>
        <w:t>’accès aux infrastructures sociales de base, elles expliquent 19,7</w:t>
      </w:r>
      <w:r w:rsidRPr="0013617C">
        <w:rPr>
          <w:rFonts w:asciiTheme="majorBidi" w:eastAsia="Calibri" w:hAnsiTheme="majorBidi" w:cstheme="majorBidi"/>
          <w:sz w:val="24"/>
          <w:szCs w:val="24"/>
        </w:rPr>
        <w:t xml:space="preserve">% de la pauvreté multidimensionnelle. Cette contribution s’élève à </w:t>
      </w:r>
      <w:r w:rsidR="009F4BC1">
        <w:rPr>
          <w:rFonts w:asciiTheme="majorBidi" w:eastAsia="Calibri" w:hAnsiTheme="majorBidi" w:cstheme="majorBidi"/>
          <w:sz w:val="24"/>
          <w:szCs w:val="24"/>
        </w:rPr>
        <w:t>14,1</w:t>
      </w:r>
      <w:r w:rsidR="00421DA6" w:rsidRPr="0013617C">
        <w:rPr>
          <w:rFonts w:asciiTheme="majorBidi" w:eastAsia="Calibri" w:hAnsiTheme="majorBidi" w:cstheme="majorBidi"/>
          <w:sz w:val="24"/>
          <w:szCs w:val="24"/>
        </w:rPr>
        <w:t xml:space="preserve">% </w:t>
      </w:r>
      <w:r w:rsidRPr="0013617C">
        <w:rPr>
          <w:rFonts w:asciiTheme="majorBidi" w:eastAsia="Calibri" w:hAnsiTheme="majorBidi" w:cstheme="majorBidi"/>
          <w:sz w:val="24"/>
          <w:szCs w:val="24"/>
        </w:rPr>
        <w:t xml:space="preserve">pour </w:t>
      </w:r>
      <w:r w:rsidR="00421DA6" w:rsidRPr="0013617C">
        <w:rPr>
          <w:rFonts w:asciiTheme="majorBidi" w:eastAsia="Calibri" w:hAnsiTheme="majorBidi" w:cstheme="majorBidi"/>
          <w:sz w:val="24"/>
          <w:szCs w:val="24"/>
        </w:rPr>
        <w:t>les privations en termes de conditions d’</w:t>
      </w:r>
      <w:r w:rsidR="00711408" w:rsidRPr="0013617C">
        <w:rPr>
          <w:rFonts w:asciiTheme="majorBidi" w:eastAsia="Calibri" w:hAnsiTheme="majorBidi" w:cstheme="majorBidi"/>
          <w:sz w:val="24"/>
          <w:szCs w:val="24"/>
        </w:rPr>
        <w:t>habitat</w:t>
      </w:r>
      <w:r w:rsidR="00421DA6" w:rsidRPr="0013617C">
        <w:rPr>
          <w:rFonts w:asciiTheme="majorBidi" w:eastAsia="Calibri" w:hAnsiTheme="majorBidi" w:cstheme="majorBidi"/>
          <w:sz w:val="24"/>
          <w:szCs w:val="24"/>
        </w:rPr>
        <w:t xml:space="preserve"> et à 10,9% </w:t>
      </w:r>
      <w:r w:rsidR="00711408" w:rsidRPr="0013617C">
        <w:rPr>
          <w:rFonts w:asciiTheme="majorBidi" w:eastAsia="Calibri" w:hAnsiTheme="majorBidi" w:cstheme="majorBidi"/>
          <w:sz w:val="24"/>
          <w:szCs w:val="24"/>
        </w:rPr>
        <w:t xml:space="preserve">en termes de </w:t>
      </w:r>
      <w:r w:rsidRPr="0013617C">
        <w:rPr>
          <w:rFonts w:asciiTheme="majorBidi" w:eastAsia="Calibri" w:hAnsiTheme="majorBidi" w:cstheme="majorBidi"/>
          <w:sz w:val="24"/>
          <w:szCs w:val="24"/>
        </w:rPr>
        <w:t xml:space="preserve">santé. </w:t>
      </w:r>
    </w:p>
    <w:p w:rsidR="00C37837" w:rsidRDefault="00C37837" w:rsidP="0017388C">
      <w:pPr>
        <w:autoSpaceDE w:val="0"/>
        <w:autoSpaceDN w:val="0"/>
        <w:adjustRightInd w:val="0"/>
        <w:spacing w:before="120" w:after="160" w:line="240" w:lineRule="auto"/>
        <w:jc w:val="center"/>
        <w:rPr>
          <w:rFonts w:asciiTheme="majorBidi" w:eastAsia="Calibri" w:hAnsiTheme="majorBidi" w:cstheme="majorBidi"/>
          <w:sz w:val="24"/>
          <w:szCs w:val="24"/>
        </w:rPr>
      </w:pPr>
      <w:r w:rsidRPr="0013617C">
        <w:rPr>
          <w:rFonts w:asciiTheme="majorBidi" w:eastAsia="Calibri" w:hAnsiTheme="majorBidi" w:cstheme="majorBidi"/>
          <w:b/>
          <w:bCs/>
          <w:sz w:val="24"/>
          <w:szCs w:val="24"/>
        </w:rPr>
        <w:t>Décomposition de l</w:t>
      </w:r>
      <w:r w:rsidR="00F86BC4" w:rsidRPr="0013617C">
        <w:rPr>
          <w:rFonts w:asciiTheme="majorBidi" w:eastAsia="Calibri" w:hAnsiTheme="majorBidi" w:cstheme="majorBidi"/>
          <w:b/>
          <w:bCs/>
          <w:sz w:val="24"/>
          <w:szCs w:val="24"/>
        </w:rPr>
        <w:t xml:space="preserve">a pauvreté multidimensionnelle </w:t>
      </w:r>
      <w:r w:rsidRPr="0013617C">
        <w:rPr>
          <w:rFonts w:asciiTheme="majorBidi" w:eastAsia="Calibri" w:hAnsiTheme="majorBidi" w:cstheme="majorBidi"/>
          <w:b/>
          <w:bCs/>
          <w:sz w:val="24"/>
          <w:szCs w:val="24"/>
        </w:rPr>
        <w:t>par source de privation</w:t>
      </w:r>
      <w:r w:rsidRPr="0013617C">
        <w:rPr>
          <w:rFonts w:asciiTheme="majorBidi" w:eastAsia="Calibri" w:hAnsiTheme="majorBidi" w:cstheme="majorBidi"/>
          <w:sz w:val="24"/>
          <w:szCs w:val="24"/>
        </w:rPr>
        <w:t>(en %)</w:t>
      </w:r>
    </w:p>
    <w:p w:rsidR="00DD00B1" w:rsidRDefault="00DD00B1" w:rsidP="0017388C">
      <w:pPr>
        <w:autoSpaceDE w:val="0"/>
        <w:autoSpaceDN w:val="0"/>
        <w:adjustRightInd w:val="0"/>
        <w:spacing w:before="120" w:after="160" w:line="240" w:lineRule="auto"/>
        <w:jc w:val="center"/>
        <w:rPr>
          <w:rFonts w:asciiTheme="majorBidi" w:eastAsia="Calibri" w:hAnsiTheme="majorBidi" w:cstheme="majorBidi"/>
          <w:sz w:val="24"/>
          <w:szCs w:val="24"/>
        </w:rPr>
      </w:pPr>
      <w:r>
        <w:rPr>
          <w:noProof/>
          <w:lang w:eastAsia="fr-FR"/>
        </w:rPr>
        <w:drawing>
          <wp:inline distT="0" distB="0" distL="0" distR="0">
            <wp:extent cx="4997450" cy="1784350"/>
            <wp:effectExtent l="0" t="0" r="12700" b="2540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504AD" w:rsidRDefault="00D504AD" w:rsidP="00D504AD">
      <w:pPr>
        <w:autoSpaceDE w:val="0"/>
        <w:autoSpaceDN w:val="0"/>
        <w:adjustRightInd w:val="0"/>
        <w:spacing w:before="120" w:after="160" w:line="240" w:lineRule="auto"/>
        <w:jc w:val="both"/>
        <w:rPr>
          <w:rFonts w:asciiTheme="majorBidi" w:eastAsia="Calibri" w:hAnsiTheme="majorBidi" w:cstheme="majorBidi"/>
          <w:sz w:val="24"/>
          <w:szCs w:val="24"/>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0B63C0" w:rsidRPr="0013617C" w:rsidRDefault="000B63C0" w:rsidP="000B63C0">
      <w:pPr>
        <w:autoSpaceDE w:val="0"/>
        <w:autoSpaceDN w:val="0"/>
        <w:adjustRightInd w:val="0"/>
        <w:spacing w:before="120"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 milieu urbain, 60,8% de la pauvreté multidimensionnelle est due aux déficiences en termes d’éducation des adultes (36,8%) et des enfants (24,0%). Les privations en termes de santé contribuent à hauteur de 24,5% à la pauvreté urbaine. Quant à la pauvreté rurale, elle s’explique principalement par les privations en termes de d’éducation (54,5%), d’accès aux infrastructures sociales de base (21,2%) et de conditions d’habitation (15,3%).  </w:t>
      </w:r>
    </w:p>
    <w:p w:rsidR="00492F19" w:rsidRDefault="00492F19" w:rsidP="0017388C">
      <w:pPr>
        <w:shd w:val="clear" w:color="auto" w:fill="FFFFFF"/>
        <w:spacing w:before="120" w:after="0" w:line="240" w:lineRule="auto"/>
        <w:jc w:val="both"/>
        <w:rPr>
          <w:rFonts w:asciiTheme="majorBidi" w:eastAsia="Calibri" w:hAnsiTheme="majorBidi" w:cstheme="majorBidi"/>
          <w:b/>
          <w:bCs/>
          <w:sz w:val="24"/>
          <w:szCs w:val="24"/>
        </w:rPr>
      </w:pPr>
    </w:p>
    <w:p w:rsidR="00C21763" w:rsidRDefault="00C21763" w:rsidP="0017388C">
      <w:pPr>
        <w:shd w:val="clear" w:color="auto" w:fill="FFFFFF"/>
        <w:spacing w:before="120" w:after="0" w:line="240" w:lineRule="auto"/>
        <w:jc w:val="both"/>
        <w:rPr>
          <w:rFonts w:asciiTheme="majorBidi" w:eastAsia="Calibri" w:hAnsiTheme="majorBidi" w:cstheme="majorBidi"/>
          <w:b/>
          <w:bCs/>
          <w:sz w:val="24"/>
          <w:szCs w:val="24"/>
        </w:rPr>
      </w:pPr>
    </w:p>
    <w:p w:rsidR="00C21763" w:rsidRDefault="00C21763" w:rsidP="0017388C">
      <w:pPr>
        <w:shd w:val="clear" w:color="auto" w:fill="FFFFFF"/>
        <w:spacing w:before="120" w:after="0" w:line="240" w:lineRule="auto"/>
        <w:jc w:val="both"/>
        <w:rPr>
          <w:rFonts w:asciiTheme="majorBidi" w:eastAsia="Calibri" w:hAnsiTheme="majorBidi" w:cstheme="majorBidi"/>
          <w:b/>
          <w:bCs/>
          <w:sz w:val="24"/>
          <w:szCs w:val="24"/>
        </w:rPr>
      </w:pPr>
    </w:p>
    <w:p w:rsidR="00C37837" w:rsidRPr="0013617C" w:rsidRDefault="00C37837" w:rsidP="0017388C">
      <w:pPr>
        <w:shd w:val="clear" w:color="auto" w:fill="FFFFFF"/>
        <w:spacing w:before="120"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b/>
          <w:bCs/>
          <w:sz w:val="24"/>
          <w:szCs w:val="24"/>
        </w:rPr>
        <w:lastRenderedPageBreak/>
        <w:t>Niveau régional</w:t>
      </w:r>
    </w:p>
    <w:p w:rsidR="0017388C" w:rsidRPr="0013617C" w:rsidRDefault="0017388C" w:rsidP="0017388C">
      <w:pPr>
        <w:spacing w:after="160" w:line="240" w:lineRule="auto"/>
        <w:jc w:val="both"/>
        <w:rPr>
          <w:rFonts w:asciiTheme="majorBidi" w:eastAsia="Calibri" w:hAnsiTheme="majorBidi" w:cstheme="majorBidi"/>
          <w:sz w:val="4"/>
          <w:szCs w:val="4"/>
        </w:rPr>
      </w:pPr>
    </w:p>
    <w:p w:rsidR="00D504AD" w:rsidRDefault="00D504AD" w:rsidP="00D504AD">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Entre 2004 et 2014, l’incidence de la pauvreté multidimensionnelle a baissé dans toutes les régions</w:t>
      </w:r>
      <w:r>
        <w:rPr>
          <w:rFonts w:asciiTheme="majorBidi" w:eastAsia="Calibri" w:hAnsiTheme="majorBidi" w:cstheme="majorBidi"/>
          <w:sz w:val="24"/>
          <w:szCs w:val="24"/>
        </w:rPr>
        <w:t xml:space="preserve"> du royaume</w:t>
      </w:r>
      <w:r w:rsidRPr="0013617C">
        <w:rPr>
          <w:rFonts w:asciiTheme="majorBidi" w:eastAsia="Calibri" w:hAnsiTheme="majorBidi" w:cstheme="majorBidi"/>
          <w:sz w:val="24"/>
          <w:szCs w:val="24"/>
        </w:rPr>
        <w:t xml:space="preserve">. En termes de variation absolue, ce sont les régions les plus pauvres en 2004 qui ont </w:t>
      </w:r>
      <w:r>
        <w:rPr>
          <w:rFonts w:asciiTheme="majorBidi" w:eastAsia="Calibri" w:hAnsiTheme="majorBidi" w:cstheme="majorBidi"/>
          <w:sz w:val="24"/>
          <w:szCs w:val="24"/>
        </w:rPr>
        <w:t>connu l</w:t>
      </w:r>
      <w:r w:rsidRPr="0013617C">
        <w:rPr>
          <w:rFonts w:asciiTheme="majorBidi" w:eastAsia="Calibri" w:hAnsiTheme="majorBidi" w:cstheme="majorBidi"/>
          <w:sz w:val="24"/>
          <w:szCs w:val="24"/>
        </w:rPr>
        <w:t xml:space="preserve">e recul </w:t>
      </w:r>
      <w:r>
        <w:rPr>
          <w:rFonts w:asciiTheme="majorBidi" w:eastAsia="Calibri" w:hAnsiTheme="majorBidi" w:cstheme="majorBidi"/>
          <w:sz w:val="24"/>
          <w:szCs w:val="24"/>
        </w:rPr>
        <w:t xml:space="preserve">le plus important </w:t>
      </w:r>
      <w:r w:rsidRPr="0013617C">
        <w:rPr>
          <w:rFonts w:asciiTheme="majorBidi" w:eastAsia="Calibri" w:hAnsiTheme="majorBidi" w:cstheme="majorBidi"/>
          <w:sz w:val="24"/>
          <w:szCs w:val="24"/>
        </w:rPr>
        <w:t xml:space="preserve">de la pauvreté, à savoir les régions de Marrakech-Safi, </w:t>
      </w:r>
      <w:r>
        <w:rPr>
          <w:rFonts w:asciiTheme="majorBidi" w:eastAsia="Calibri" w:hAnsiTheme="majorBidi" w:cstheme="majorBidi"/>
          <w:sz w:val="24"/>
          <w:szCs w:val="24"/>
        </w:rPr>
        <w:t xml:space="preserve">de 34,0% à 11,3%, </w:t>
      </w:r>
      <w:r w:rsidRPr="0013617C">
        <w:rPr>
          <w:rFonts w:asciiTheme="majorBidi" w:eastAsia="Calibri" w:hAnsiTheme="majorBidi" w:cstheme="majorBidi"/>
          <w:sz w:val="24"/>
          <w:szCs w:val="24"/>
        </w:rPr>
        <w:t>Tanger-Tétouan-Al Hoceima</w:t>
      </w:r>
      <w:r>
        <w:rPr>
          <w:rFonts w:asciiTheme="majorBidi" w:eastAsia="Calibri" w:hAnsiTheme="majorBidi" w:cstheme="majorBidi"/>
          <w:sz w:val="24"/>
          <w:szCs w:val="24"/>
        </w:rPr>
        <w:t>, de 30,3% à 9,5%</w:t>
      </w:r>
      <w:r w:rsidRPr="0013617C">
        <w:rPr>
          <w:rFonts w:asciiTheme="majorBidi" w:eastAsia="Calibri" w:hAnsiTheme="majorBidi" w:cstheme="majorBidi"/>
          <w:sz w:val="24"/>
          <w:szCs w:val="24"/>
        </w:rPr>
        <w:t xml:space="preserve"> et Béni </w:t>
      </w:r>
      <w:r>
        <w:rPr>
          <w:rFonts w:asciiTheme="majorBidi" w:eastAsia="Calibri" w:hAnsiTheme="majorBidi" w:cstheme="majorBidi"/>
          <w:sz w:val="24"/>
          <w:szCs w:val="24"/>
        </w:rPr>
        <w:t xml:space="preserve">Mellal-Khénifra, de 31,0% à 13,4%. </w:t>
      </w:r>
    </w:p>
    <w:p w:rsidR="00D504AD" w:rsidRDefault="00D504AD" w:rsidP="00D504AD">
      <w:pPr>
        <w:spacing w:after="0" w:line="240" w:lineRule="auto"/>
        <w:jc w:val="both"/>
        <w:rPr>
          <w:rFonts w:asciiTheme="majorBidi" w:eastAsia="Calibri" w:hAnsiTheme="majorBidi" w:cstheme="majorBidi"/>
          <w:sz w:val="24"/>
          <w:szCs w:val="24"/>
        </w:rPr>
      </w:pPr>
    </w:p>
    <w:p w:rsidR="00C37837" w:rsidRDefault="00D504AD" w:rsidP="00D504AD">
      <w:pPr>
        <w:spacing w:after="160" w:line="240" w:lineRule="auto"/>
        <w:jc w:val="both"/>
        <w:rPr>
          <w:rFonts w:asciiTheme="majorBidi" w:eastAsia="Calibri" w:hAnsiTheme="majorBidi" w:cstheme="majorBidi"/>
          <w:sz w:val="24"/>
          <w:szCs w:val="24"/>
        </w:rPr>
      </w:pPr>
      <w:r>
        <w:rPr>
          <w:rFonts w:asciiTheme="majorBidi" w:eastAsia="Calibri" w:hAnsiTheme="majorBidi" w:cstheme="majorBidi"/>
          <w:sz w:val="24"/>
          <w:szCs w:val="24"/>
        </w:rPr>
        <w:t>En 2014, l</w:t>
      </w:r>
      <w:r w:rsidR="00C37837" w:rsidRPr="0013617C">
        <w:rPr>
          <w:rFonts w:asciiTheme="majorBidi" w:eastAsia="Calibri" w:hAnsiTheme="majorBidi" w:cstheme="majorBidi"/>
          <w:sz w:val="24"/>
          <w:szCs w:val="24"/>
        </w:rPr>
        <w:t>e classement des régions selon l’incidence de la pauvreté multidimensionnelle indique que la moitié des régions enregistrent un taux de pauvreté supérieur à la moyenne nationale (8,2%). La région la plus pauvre est Béni Mellal-Khénifra (13,4%), suivie de Marrakech-Safi (11,3%), Dr</w:t>
      </w:r>
      <w:r w:rsidR="00F86BC4" w:rsidRPr="0013617C">
        <w:rPr>
          <w:rFonts w:asciiTheme="majorBidi" w:eastAsia="Calibri" w:hAnsiTheme="majorBidi" w:cstheme="majorBidi"/>
          <w:sz w:val="24"/>
          <w:szCs w:val="24"/>
        </w:rPr>
        <w:t>â</w:t>
      </w:r>
      <w:r w:rsidR="00C37837" w:rsidRPr="0013617C">
        <w:rPr>
          <w:rFonts w:asciiTheme="majorBidi" w:eastAsia="Calibri" w:hAnsiTheme="majorBidi" w:cstheme="majorBidi"/>
          <w:sz w:val="24"/>
          <w:szCs w:val="24"/>
        </w:rPr>
        <w:t xml:space="preserve">a-Tafilalet (10%), Fès-Meknès(9,6%), </w:t>
      </w:r>
      <w:r w:rsidR="00F86BC4" w:rsidRPr="0013617C">
        <w:rPr>
          <w:rFonts w:asciiTheme="majorBidi" w:eastAsia="Calibri" w:hAnsiTheme="majorBidi" w:cstheme="majorBidi"/>
          <w:sz w:val="24"/>
          <w:szCs w:val="24"/>
        </w:rPr>
        <w:t>L’o</w:t>
      </w:r>
      <w:r w:rsidR="00C37837" w:rsidRPr="0013617C">
        <w:rPr>
          <w:rFonts w:asciiTheme="majorBidi" w:eastAsia="Calibri" w:hAnsiTheme="majorBidi" w:cstheme="majorBidi"/>
          <w:sz w:val="24"/>
          <w:szCs w:val="24"/>
        </w:rPr>
        <w:t>riental (9,5%) et Tanger-Tétouan-Al Hoceima (9,5%). Inversement, les régions les moins pauvres,  marquées par une incidence inférieure à la moyenne nationale, sont Laâyoune-Sakia Al Hamra (1,7%), Dakhla-Oued Eddahab (3,8%), Casablanca-Settat (4,1%), Rabat-Salé-Kenitra (6,1%), Guelmim-Oued-Noun (6,2%) et Souss-Massa (7,2%).</w:t>
      </w:r>
    </w:p>
    <w:p w:rsidR="00AF61A1" w:rsidRDefault="00AF61A1" w:rsidP="00D504AD">
      <w:pPr>
        <w:spacing w:after="160" w:line="240" w:lineRule="auto"/>
        <w:jc w:val="center"/>
        <w:rPr>
          <w:rFonts w:asciiTheme="majorBidi" w:eastAsia="Calibri" w:hAnsiTheme="majorBidi" w:cstheme="majorBidi"/>
          <w:b/>
          <w:bCs/>
          <w:sz w:val="24"/>
          <w:szCs w:val="24"/>
        </w:rPr>
      </w:pPr>
    </w:p>
    <w:p w:rsidR="00D504AD" w:rsidRPr="0013617C" w:rsidRDefault="00D504AD" w:rsidP="00D504AD">
      <w:pPr>
        <w:spacing w:after="160" w:line="240" w:lineRule="auto"/>
        <w:jc w:val="center"/>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Évolution de l’incidence de la pauvreté entre 2004 et 2014</w:t>
      </w:r>
    </w:p>
    <w:p w:rsidR="00D504AD" w:rsidRDefault="00D504AD" w:rsidP="00D504A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noProof/>
          <w:sz w:val="24"/>
          <w:szCs w:val="24"/>
          <w:lang w:eastAsia="fr-FR"/>
        </w:rPr>
        <w:drawing>
          <wp:inline distT="0" distB="0" distL="0" distR="0">
            <wp:extent cx="5715000" cy="1879600"/>
            <wp:effectExtent l="0" t="0" r="19050" b="2540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504AD" w:rsidRDefault="00D504AD" w:rsidP="00C8687B">
      <w:pPr>
        <w:spacing w:after="160" w:line="240" w:lineRule="auto"/>
        <w:jc w:val="both"/>
        <w:rPr>
          <w:rFonts w:asciiTheme="majorBidi" w:eastAsia="Calibri" w:hAnsiTheme="majorBidi" w:cstheme="majorBidi"/>
          <w:sz w:val="20"/>
          <w:szCs w:val="20"/>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C8687B" w:rsidRPr="0013617C" w:rsidRDefault="00C8687B" w:rsidP="00C8687B">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Si le taux de pauvreté classe la région Béni Mellal-Khénifra comme la plus pauvre, c’est la région Marrakech-Safi qui abrite le plus grand nombre des pauvres au Maroc. Sa contribution relative à la pauvreté multidimensionnelle à l’échelle nationale atteint 18,5% en 2014, suivie par les régions Fès-Meknès (14,7%), Béni Mellal-Khénifra (12,3%) et Tanger-Tétouan-Al Hoceima (12,3%). Ces quatre régions regroupent 57,8% de la population multidimensionnellement pauvre.  </w:t>
      </w:r>
    </w:p>
    <w:p w:rsidR="00C3000A" w:rsidRPr="000B63C0" w:rsidRDefault="00C3000A" w:rsidP="003731D2">
      <w:pPr>
        <w:spacing w:after="0" w:line="240" w:lineRule="auto"/>
        <w:jc w:val="both"/>
        <w:rPr>
          <w:rFonts w:asciiTheme="majorBidi" w:eastAsia="Calibri" w:hAnsiTheme="majorBidi" w:cstheme="majorBidi"/>
          <w:sz w:val="24"/>
          <w:szCs w:val="24"/>
        </w:rPr>
      </w:pPr>
      <w:r w:rsidRPr="0013617C">
        <w:rPr>
          <w:rFonts w:ascii="Times New Roman" w:hAnsi="Times New Roman"/>
          <w:sz w:val="24"/>
          <w:szCs w:val="24"/>
        </w:rPr>
        <w:t>L’étude décompose aussi la pauvreté multidimensionnelle des régions par source de privation. Ainsi la contribution des privations en termes d’éducation oscille entre 28,7% à Darâa-Tafilalet et 43,4% à Dakhla-Oued Ed-Dahab. Les déficiences en termes de scolarisation des enfants contribuent à la pauvreté multidimensionnelle à hauteur de 13,4% à Dakhla-Oued Ed-Dahab contre 27,3% à Casablanca-Settat. Les privations en terme</w:t>
      </w:r>
      <w:r w:rsidR="003731D2">
        <w:rPr>
          <w:rFonts w:ascii="Times New Roman" w:hAnsi="Times New Roman"/>
          <w:sz w:val="24"/>
          <w:szCs w:val="24"/>
        </w:rPr>
        <w:t xml:space="preserve"> </w:t>
      </w:r>
      <w:r w:rsidRPr="0013617C">
        <w:rPr>
          <w:rFonts w:ascii="Times New Roman" w:hAnsi="Times New Roman"/>
          <w:sz w:val="24"/>
          <w:szCs w:val="24"/>
        </w:rPr>
        <w:t>d’accès à l’eau</w:t>
      </w:r>
      <w:r w:rsidR="00DD00B1">
        <w:rPr>
          <w:rFonts w:ascii="Times New Roman" w:hAnsi="Times New Roman"/>
          <w:sz w:val="24"/>
          <w:szCs w:val="24"/>
        </w:rPr>
        <w:t>,</w:t>
      </w:r>
      <w:r w:rsidRPr="0013617C">
        <w:rPr>
          <w:rFonts w:ascii="Times New Roman" w:hAnsi="Times New Roman"/>
          <w:sz w:val="24"/>
          <w:szCs w:val="24"/>
        </w:rPr>
        <w:t xml:space="preserve"> à l’électricité et à l’assainissement expliquent 10,8% de la pau</w:t>
      </w:r>
      <w:r w:rsidR="00E44F38">
        <w:rPr>
          <w:rFonts w:ascii="Times New Roman" w:hAnsi="Times New Roman"/>
          <w:sz w:val="24"/>
          <w:szCs w:val="24"/>
        </w:rPr>
        <w:t>vreté à Laâyoune-Sakia Al Hamra</w:t>
      </w:r>
      <w:r w:rsidRPr="0013617C">
        <w:rPr>
          <w:rFonts w:ascii="Times New Roman" w:hAnsi="Times New Roman"/>
          <w:sz w:val="24"/>
          <w:szCs w:val="24"/>
        </w:rPr>
        <w:t>, co</w:t>
      </w:r>
      <w:r w:rsidR="00DD00B1">
        <w:rPr>
          <w:rFonts w:ascii="Times New Roman" w:hAnsi="Times New Roman"/>
          <w:sz w:val="24"/>
          <w:szCs w:val="24"/>
        </w:rPr>
        <w:t>ntre 24,6% à Beni Mellal-Khénifra</w:t>
      </w:r>
      <w:r w:rsidRPr="0013617C">
        <w:rPr>
          <w:rFonts w:ascii="Times New Roman" w:hAnsi="Times New Roman"/>
          <w:sz w:val="24"/>
          <w:szCs w:val="24"/>
        </w:rPr>
        <w:t>. Quant aux privations en termes de condition</w:t>
      </w:r>
      <w:r w:rsidR="00E44F38">
        <w:rPr>
          <w:rFonts w:ascii="Times New Roman" w:hAnsi="Times New Roman"/>
          <w:sz w:val="24"/>
          <w:szCs w:val="24"/>
        </w:rPr>
        <w:t>s</w:t>
      </w:r>
      <w:r w:rsidRPr="0013617C">
        <w:rPr>
          <w:rFonts w:ascii="Times New Roman" w:hAnsi="Times New Roman"/>
          <w:sz w:val="24"/>
          <w:szCs w:val="24"/>
        </w:rPr>
        <w:t xml:space="preserve"> d’habitat</w:t>
      </w:r>
      <w:r w:rsidR="00E44F38">
        <w:rPr>
          <w:rFonts w:ascii="Times New Roman" w:hAnsi="Times New Roman"/>
          <w:sz w:val="24"/>
          <w:szCs w:val="24"/>
        </w:rPr>
        <w:t>,</w:t>
      </w:r>
      <w:r w:rsidRPr="0013617C">
        <w:rPr>
          <w:rFonts w:ascii="Times New Roman" w:hAnsi="Times New Roman"/>
          <w:sz w:val="24"/>
          <w:szCs w:val="24"/>
        </w:rPr>
        <w:t xml:space="preserve"> elles expliquent 4,4% de la pauvreté à Laâyoune-Sakia AL Hamra, contre 20,7% à Darâa-Tafilalet. </w:t>
      </w:r>
    </w:p>
    <w:p w:rsidR="002C6E8A" w:rsidRDefault="002C6E8A" w:rsidP="002B3365">
      <w:pPr>
        <w:jc w:val="both"/>
        <w:rPr>
          <w:rFonts w:asciiTheme="majorBidi" w:eastAsia="Calibri" w:hAnsiTheme="majorBidi" w:cstheme="majorBidi"/>
          <w:b/>
          <w:bCs/>
          <w:sz w:val="24"/>
          <w:szCs w:val="24"/>
        </w:rPr>
      </w:pPr>
    </w:p>
    <w:p w:rsidR="00C3000A" w:rsidRPr="0013617C" w:rsidRDefault="00C3000A" w:rsidP="002B3365">
      <w:pPr>
        <w:jc w:val="both"/>
        <w:rPr>
          <w:rFonts w:ascii="Times New Roman" w:hAnsi="Times New Roman"/>
          <w:sz w:val="24"/>
          <w:szCs w:val="24"/>
        </w:rPr>
      </w:pPr>
      <w:r w:rsidRPr="0013617C">
        <w:rPr>
          <w:rFonts w:asciiTheme="majorBidi" w:eastAsia="Calibri" w:hAnsiTheme="majorBidi" w:cstheme="majorBidi"/>
          <w:b/>
          <w:bCs/>
          <w:sz w:val="24"/>
          <w:szCs w:val="24"/>
        </w:rPr>
        <w:lastRenderedPageBreak/>
        <w:t xml:space="preserve">Décomposition de la pauvreté multidimensionnelle </w:t>
      </w:r>
      <w:r w:rsidR="002B3365" w:rsidRPr="0013617C">
        <w:rPr>
          <w:rFonts w:asciiTheme="majorBidi" w:eastAsia="Calibri" w:hAnsiTheme="majorBidi" w:cstheme="majorBidi"/>
          <w:b/>
          <w:bCs/>
          <w:sz w:val="24"/>
          <w:szCs w:val="24"/>
        </w:rPr>
        <w:t xml:space="preserve">par région et </w:t>
      </w:r>
      <w:r w:rsidRPr="0013617C">
        <w:rPr>
          <w:rFonts w:asciiTheme="majorBidi" w:eastAsia="Calibri" w:hAnsiTheme="majorBidi" w:cstheme="majorBidi"/>
          <w:b/>
          <w:bCs/>
          <w:sz w:val="24"/>
          <w:szCs w:val="24"/>
        </w:rPr>
        <w:t>par source de privation</w:t>
      </w:r>
    </w:p>
    <w:p w:rsidR="00C3000A" w:rsidRPr="0013617C" w:rsidRDefault="00C3000A" w:rsidP="00C3000A">
      <w:pPr>
        <w:tabs>
          <w:tab w:val="left" w:pos="1070"/>
        </w:tabs>
        <w:spacing w:after="0"/>
        <w:jc w:val="both"/>
        <w:rPr>
          <w:rFonts w:ascii="Times New Roman" w:hAnsi="Times New Roman"/>
          <w:sz w:val="24"/>
          <w:szCs w:val="24"/>
        </w:rPr>
      </w:pPr>
      <w:r w:rsidRPr="0013617C">
        <w:rPr>
          <w:noProof/>
          <w:lang w:eastAsia="fr-FR"/>
        </w:rPr>
        <w:drawing>
          <wp:inline distT="0" distB="0" distL="0" distR="0">
            <wp:extent cx="6153665" cy="2702011"/>
            <wp:effectExtent l="0" t="0" r="19050" b="22225"/>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id="{FD0C0FEF-0CAB-4C84-B858-26C9264E20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504AD" w:rsidRDefault="00D504AD" w:rsidP="00D504AD">
      <w:pPr>
        <w:spacing w:after="160" w:line="240" w:lineRule="auto"/>
        <w:rPr>
          <w:rFonts w:asciiTheme="majorBidi" w:eastAsia="Calibri" w:hAnsiTheme="majorBidi" w:cstheme="majorBidi"/>
          <w:b/>
          <w:bCs/>
          <w:sz w:val="24"/>
          <w:szCs w:val="24"/>
        </w:rPr>
      </w:pPr>
      <w:r w:rsidRPr="00F35370">
        <w:rPr>
          <w:rFonts w:asciiTheme="majorBidi" w:eastAsia="Calibri" w:hAnsiTheme="majorBidi" w:cstheme="majorBidi"/>
          <w:sz w:val="20"/>
          <w:szCs w:val="20"/>
        </w:rPr>
        <w:t xml:space="preserve">Source : </w:t>
      </w:r>
      <w:r>
        <w:rPr>
          <w:rFonts w:asciiTheme="majorBidi" w:eastAsia="Calibri" w:hAnsiTheme="majorBidi" w:cstheme="majorBidi"/>
          <w:sz w:val="20"/>
          <w:szCs w:val="20"/>
        </w:rPr>
        <w:t xml:space="preserve">HCP, </w:t>
      </w:r>
      <w:r w:rsidRPr="00F35370">
        <w:rPr>
          <w:rFonts w:asciiTheme="majorBidi" w:eastAsia="Calibri" w:hAnsiTheme="majorBidi" w:cstheme="majorBidi"/>
          <w:sz w:val="20"/>
          <w:szCs w:val="20"/>
        </w:rPr>
        <w:t>RGPH 2004 &amp; 2014</w:t>
      </w:r>
    </w:p>
    <w:p w:rsidR="00C37837" w:rsidRPr="0013617C" w:rsidRDefault="00C37837" w:rsidP="0017388C">
      <w:pPr>
        <w:spacing w:after="160" w:line="240" w:lineRule="auto"/>
        <w:rPr>
          <w:rFonts w:asciiTheme="majorBidi" w:eastAsia="Calibri" w:hAnsiTheme="majorBidi" w:cstheme="majorBidi"/>
          <w:b/>
          <w:bCs/>
          <w:sz w:val="24"/>
          <w:szCs w:val="24"/>
        </w:rPr>
      </w:pPr>
      <w:r w:rsidRPr="0013617C">
        <w:rPr>
          <w:rFonts w:asciiTheme="majorBidi" w:eastAsia="Calibri" w:hAnsiTheme="majorBidi" w:cstheme="majorBidi"/>
          <w:b/>
          <w:bCs/>
          <w:sz w:val="24"/>
          <w:szCs w:val="24"/>
        </w:rPr>
        <w:t>Niveau provincial</w:t>
      </w:r>
    </w:p>
    <w:p w:rsidR="00C37837" w:rsidRDefault="00C37837" w:rsidP="00361F2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Entre 2004 et 2014, l’incidence de la pauvreté multidimensionnelle a été réduite dans </w:t>
      </w:r>
      <w:r w:rsidR="00E44F38">
        <w:rPr>
          <w:rFonts w:asciiTheme="majorBidi" w:eastAsia="Calibri" w:hAnsiTheme="majorBidi" w:cstheme="majorBidi"/>
          <w:sz w:val="24"/>
          <w:szCs w:val="24"/>
        </w:rPr>
        <w:t>toutes les provinces à l’</w:t>
      </w:r>
      <w:r w:rsidRPr="0013617C">
        <w:rPr>
          <w:rFonts w:asciiTheme="majorBidi" w:eastAsia="Calibri" w:hAnsiTheme="majorBidi" w:cstheme="majorBidi"/>
          <w:sz w:val="24"/>
          <w:szCs w:val="24"/>
        </w:rPr>
        <w:t xml:space="preserve">exception </w:t>
      </w:r>
      <w:r w:rsidR="00E44F38">
        <w:rPr>
          <w:rFonts w:asciiTheme="majorBidi" w:eastAsia="Calibri" w:hAnsiTheme="majorBidi" w:cstheme="majorBidi"/>
          <w:sz w:val="24"/>
          <w:szCs w:val="24"/>
        </w:rPr>
        <w:t xml:space="preserve">de </w:t>
      </w:r>
      <w:r w:rsidRPr="0013617C">
        <w:rPr>
          <w:rFonts w:asciiTheme="majorBidi" w:eastAsia="Calibri" w:hAnsiTheme="majorBidi" w:cstheme="majorBidi"/>
          <w:sz w:val="24"/>
          <w:szCs w:val="24"/>
        </w:rPr>
        <w:t xml:space="preserve">la province de Figuig où l’incidence de pauvreté est passée de 28% en 2004 à 34,5% en 2014, soit une hausse relative de 23,5%. Cette </w:t>
      </w:r>
      <w:r w:rsidR="00361F2D">
        <w:rPr>
          <w:rFonts w:asciiTheme="majorBidi" w:eastAsia="Calibri" w:hAnsiTheme="majorBidi" w:cstheme="majorBidi"/>
          <w:sz w:val="24"/>
          <w:szCs w:val="24"/>
        </w:rPr>
        <w:t xml:space="preserve">hausse est due </w:t>
      </w:r>
      <w:r w:rsidRPr="0013617C">
        <w:rPr>
          <w:rFonts w:asciiTheme="majorBidi" w:eastAsia="Calibri" w:hAnsiTheme="majorBidi" w:cstheme="majorBidi"/>
          <w:sz w:val="24"/>
          <w:szCs w:val="24"/>
        </w:rPr>
        <w:t xml:space="preserve">principalement </w:t>
      </w:r>
      <w:r w:rsidR="00361F2D">
        <w:rPr>
          <w:rFonts w:asciiTheme="majorBidi" w:eastAsia="Calibri" w:hAnsiTheme="majorBidi" w:cstheme="majorBidi"/>
          <w:sz w:val="24"/>
          <w:szCs w:val="24"/>
        </w:rPr>
        <w:t>à la montée d</w:t>
      </w:r>
      <w:r w:rsidRPr="0013617C">
        <w:rPr>
          <w:rFonts w:asciiTheme="majorBidi" w:eastAsia="Calibri" w:hAnsiTheme="majorBidi" w:cstheme="majorBidi"/>
          <w:sz w:val="24"/>
          <w:szCs w:val="24"/>
        </w:rPr>
        <w:t xml:space="preserve">u poids démographique des zones rurales de cette province, passant de 35% en 2004 à 51% en 2014. </w:t>
      </w:r>
      <w:r w:rsidR="00E44F38">
        <w:rPr>
          <w:rFonts w:asciiTheme="majorBidi" w:eastAsia="Calibri" w:hAnsiTheme="majorBidi" w:cstheme="majorBidi"/>
          <w:sz w:val="24"/>
          <w:szCs w:val="24"/>
        </w:rPr>
        <w:t>Avec ce poids, le taux de pauvreté dans les zones rurales du Figuig est passé de 57,7% à 63,9%. En revanche, dans les zones urbaines, ce taux est passé de 11,6% à 4,0%.</w:t>
      </w:r>
    </w:p>
    <w:p w:rsidR="00F35370" w:rsidRPr="000B4677" w:rsidRDefault="00F35370" w:rsidP="00F35370">
      <w:pPr>
        <w:spacing w:after="0"/>
        <w:jc w:val="center"/>
        <w:rPr>
          <w:rFonts w:asciiTheme="majorBidi" w:eastAsia="Calibri" w:hAnsiTheme="majorBidi" w:cstheme="majorBidi"/>
          <w:color w:val="000000"/>
        </w:rPr>
      </w:pPr>
      <w:r w:rsidRPr="000B4677">
        <w:rPr>
          <w:rFonts w:asciiTheme="majorBidi" w:eastAsia="Calibri" w:hAnsiTheme="majorBidi" w:cstheme="majorBidi"/>
          <w:b/>
          <w:bCs/>
        </w:rPr>
        <w:t>Évolution du taux de pauvreté multidimensionnelle entre 2004 et 2014 par province</w:t>
      </w:r>
    </w:p>
    <w:p w:rsidR="00F35370" w:rsidRPr="000B4677" w:rsidRDefault="00F35370" w:rsidP="00F35370">
      <w:pPr>
        <w:spacing w:before="120" w:after="120"/>
        <w:jc w:val="both"/>
        <w:rPr>
          <w:rFonts w:asciiTheme="majorBidi" w:eastAsia="Calibri" w:hAnsiTheme="majorBidi" w:cstheme="majorBidi"/>
          <w:noProof/>
          <w:color w:val="000000"/>
          <w:sz w:val="26"/>
          <w:szCs w:val="26"/>
          <w:lang w:eastAsia="fr-FR"/>
        </w:rPr>
      </w:pPr>
      <w:r w:rsidRPr="000B4677">
        <w:rPr>
          <w:rFonts w:asciiTheme="majorBidi" w:eastAsia="Calibri" w:hAnsiTheme="majorBidi" w:cstheme="majorBidi"/>
          <w:noProof/>
          <w:color w:val="0070C0"/>
          <w:shd w:val="clear" w:color="auto" w:fill="FF0000"/>
          <w:lang w:eastAsia="fr-FR"/>
        </w:rPr>
        <w:drawing>
          <wp:inline distT="0" distB="0" distL="0" distR="0">
            <wp:extent cx="6064300" cy="2370125"/>
            <wp:effectExtent l="0" t="0" r="12700" b="1143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35370">
        <w:rPr>
          <w:rFonts w:asciiTheme="majorBidi" w:eastAsia="Calibri" w:hAnsiTheme="majorBidi" w:cstheme="majorBidi"/>
          <w:sz w:val="20"/>
          <w:szCs w:val="20"/>
        </w:rPr>
        <w:t>Source : RGPH, 2004 &amp; 2014</w:t>
      </w:r>
    </w:p>
    <w:p w:rsidR="0009440F" w:rsidRDefault="0009440F" w:rsidP="0017388C">
      <w:pPr>
        <w:spacing w:after="0" w:line="240" w:lineRule="auto"/>
        <w:jc w:val="both"/>
        <w:rPr>
          <w:rFonts w:asciiTheme="majorBidi" w:eastAsia="Calibri" w:hAnsiTheme="majorBidi" w:cstheme="majorBidi"/>
          <w:sz w:val="24"/>
          <w:szCs w:val="24"/>
        </w:rPr>
      </w:pPr>
      <w:bookmarkStart w:id="0" w:name="_GoBack"/>
      <w:bookmarkEnd w:id="0"/>
    </w:p>
    <w:p w:rsidR="00C37837"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La baisse tendancielle de la pauvreté provinciale entre 2004 et 2014 est fortement variable selon les provinces. En termes de variation relative, cette baisse est supérieure à 80% dans les provinces de Skhirate-Témara, Nouaceur, Aousserd, Mediouna, Casablanca, Essemara, Rabat, Boujdour, Laâyoune et Oued-Ed-Dahab. Elle se situe entre 50% et 80% dans 59 provinces, et </w:t>
      </w:r>
      <w:r w:rsidRPr="0013617C">
        <w:rPr>
          <w:rFonts w:asciiTheme="majorBidi" w:eastAsia="Calibri" w:hAnsiTheme="majorBidi" w:cstheme="majorBidi"/>
          <w:sz w:val="24"/>
          <w:szCs w:val="24"/>
        </w:rPr>
        <w:lastRenderedPageBreak/>
        <w:t xml:space="preserve">entre 26% et 49,7% dans le reste des provinces, à savoir Boulemane, Jerada, Taounate, Azilal et Assa-Zaga. </w:t>
      </w:r>
    </w:p>
    <w:p w:rsidR="00D504AD" w:rsidRDefault="00D504AD" w:rsidP="0017388C">
      <w:pPr>
        <w:spacing w:after="0" w:line="240" w:lineRule="auto"/>
        <w:jc w:val="both"/>
        <w:rPr>
          <w:rFonts w:asciiTheme="majorBidi" w:eastAsia="Calibri" w:hAnsiTheme="majorBidi" w:cstheme="majorBidi"/>
          <w:sz w:val="24"/>
          <w:szCs w:val="24"/>
        </w:rPr>
      </w:pPr>
    </w:p>
    <w:p w:rsidR="00D504AD" w:rsidRPr="0013617C" w:rsidRDefault="00D504AD" w:rsidP="00D504AD">
      <w:pPr>
        <w:spacing w:before="120" w:after="12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En 2014, les dix provinces les plus pauvres selon l’approche multidimensionnelle enregistrent une incidence de pauvreté supérieure à deux fois la moyenne nationale. Il s’agit des provinces de Figuig (34,5%), Azilal (28,8%), Taounate (23,4%), Chichaoua (23,1%), Essaouira (22,1%), Youssoufia (18,8%), Chefchaouen (18,8%), Midelt (17,3%), Guercif (17,3%) et Boulemane (17,1%). Inversement, les vingt provinces les moins pauvres enregistrent un taux de pauvreté inférieur à la moitié de la moyenne nationale. Il s’agit principalement de Rabat (0,9%), Casablanca (1%), Laâyoune (1,3%), Es-Semara(1,6%), Mohammedia (1,7%), Skhirate-Témara (2,1%), Noiceur (2,1%), Inezgane Ait Melloul (2,3%), Salé (2,4%) et Fès (2,5%).</w:t>
      </w:r>
    </w:p>
    <w:p w:rsidR="00D504AD" w:rsidRPr="0013617C" w:rsidRDefault="00D504AD" w:rsidP="0017388C">
      <w:pPr>
        <w:spacing w:after="0" w:line="240" w:lineRule="auto"/>
        <w:jc w:val="both"/>
        <w:rPr>
          <w:rFonts w:asciiTheme="majorBidi" w:eastAsia="Calibri" w:hAnsiTheme="majorBidi" w:cstheme="majorBidi"/>
          <w:sz w:val="24"/>
          <w:szCs w:val="24"/>
        </w:rPr>
      </w:pPr>
    </w:p>
    <w:p w:rsidR="00C37837" w:rsidRPr="0013617C" w:rsidRDefault="00C37837" w:rsidP="0017388C">
      <w:pPr>
        <w:shd w:val="clear" w:color="auto" w:fill="FFFFFF"/>
        <w:spacing w:after="160" w:line="240" w:lineRule="auto"/>
        <w:rPr>
          <w:rFonts w:asciiTheme="majorBidi" w:eastAsia="Calibri" w:hAnsiTheme="majorBidi" w:cstheme="majorBidi"/>
          <w:sz w:val="24"/>
          <w:szCs w:val="24"/>
        </w:rPr>
      </w:pPr>
      <w:r w:rsidRPr="0013617C">
        <w:rPr>
          <w:rFonts w:asciiTheme="majorBidi" w:eastAsia="Calibri" w:hAnsiTheme="majorBidi" w:cstheme="majorBidi"/>
          <w:b/>
          <w:bCs/>
          <w:sz w:val="24"/>
          <w:szCs w:val="24"/>
        </w:rPr>
        <w:t>Niveau communal</w:t>
      </w:r>
    </w:p>
    <w:p w:rsidR="00C37837" w:rsidRPr="0013617C"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A </w:t>
      </w:r>
      <w:r w:rsidR="000F5D3D" w:rsidRPr="0013617C">
        <w:rPr>
          <w:rFonts w:asciiTheme="majorBidi" w:eastAsia="Calibri" w:hAnsiTheme="majorBidi" w:cstheme="majorBidi"/>
          <w:sz w:val="24"/>
          <w:szCs w:val="24"/>
        </w:rPr>
        <w:t>ce niveau</w:t>
      </w:r>
      <w:r w:rsidRPr="0013617C">
        <w:rPr>
          <w:rFonts w:asciiTheme="majorBidi" w:eastAsia="Calibri" w:hAnsiTheme="majorBidi" w:cstheme="majorBidi"/>
          <w:sz w:val="24"/>
          <w:szCs w:val="24"/>
        </w:rPr>
        <w:t>, sur un total de 168</w:t>
      </w:r>
      <w:r w:rsidR="00C57A3D" w:rsidRPr="0013617C">
        <w:rPr>
          <w:rFonts w:asciiTheme="majorBidi" w:eastAsia="Calibri" w:hAnsiTheme="majorBidi" w:cstheme="majorBidi"/>
          <w:sz w:val="24"/>
          <w:szCs w:val="24"/>
        </w:rPr>
        <w:t>3</w:t>
      </w:r>
      <w:r w:rsidRPr="0013617C">
        <w:rPr>
          <w:rFonts w:asciiTheme="majorBidi" w:eastAsia="Calibri" w:hAnsiTheme="majorBidi" w:cstheme="majorBidi"/>
          <w:sz w:val="24"/>
          <w:szCs w:val="24"/>
        </w:rPr>
        <w:t xml:space="preserve"> communes et centres urbains, 438 ont un taux de pauvreté multidimensionnelle inférieur à 5%, 300 un taux entre 5% et 10%, 447 un taux entre 10% et 20%, 274 entre 20% et 30%, 113 entre 30% et 40% et 111 un taux supérieur à 40%.  </w:t>
      </w:r>
    </w:p>
    <w:p w:rsidR="00C37837" w:rsidRPr="0013617C" w:rsidRDefault="00C37837" w:rsidP="0017388C">
      <w:pPr>
        <w:spacing w:after="0" w:line="240" w:lineRule="auto"/>
        <w:jc w:val="both"/>
        <w:rPr>
          <w:rFonts w:asciiTheme="majorBidi" w:eastAsia="Calibri" w:hAnsiTheme="majorBidi" w:cstheme="majorBidi"/>
          <w:sz w:val="24"/>
          <w:szCs w:val="24"/>
        </w:rPr>
      </w:pPr>
    </w:p>
    <w:p w:rsidR="00C37837" w:rsidRPr="0013617C" w:rsidRDefault="00C37837" w:rsidP="0017388C">
      <w:pPr>
        <w:spacing w:after="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En milieu rural, sur les 1279 communes, le taux de pauvreté multidimensionnelle est inférieur à 10% dans 337 communes, et se situe entre 10% et 20% dans 444 communes. Il oscille dans une fourchette comprise entre 20% et 30% dans 274 communes, entre 30% et 40% dans 113 communes, entre 40% et 50% dans 55 communes, et est supérieur à 50% dans 56 communes. </w:t>
      </w:r>
    </w:p>
    <w:p w:rsidR="00C37837" w:rsidRPr="0013617C" w:rsidRDefault="00C37837" w:rsidP="0017388C">
      <w:pPr>
        <w:spacing w:after="0" w:line="240" w:lineRule="auto"/>
        <w:jc w:val="both"/>
        <w:rPr>
          <w:rFonts w:asciiTheme="majorBidi" w:eastAsia="Calibri" w:hAnsiTheme="majorBidi" w:cstheme="majorBidi"/>
          <w:sz w:val="24"/>
          <w:szCs w:val="24"/>
        </w:rPr>
      </w:pPr>
    </w:p>
    <w:p w:rsidR="00C37837" w:rsidRPr="0013617C" w:rsidRDefault="00C37837" w:rsidP="00AF190D">
      <w:pPr>
        <w:spacing w:after="160" w:line="240" w:lineRule="auto"/>
        <w:jc w:val="both"/>
        <w:rPr>
          <w:rFonts w:asciiTheme="majorBidi" w:eastAsia="Calibri" w:hAnsiTheme="majorBidi" w:cstheme="majorBidi"/>
          <w:sz w:val="24"/>
          <w:szCs w:val="24"/>
        </w:rPr>
      </w:pPr>
      <w:r w:rsidRPr="0013617C">
        <w:rPr>
          <w:rFonts w:asciiTheme="majorBidi" w:eastAsia="Calibri" w:hAnsiTheme="majorBidi" w:cstheme="majorBidi"/>
          <w:sz w:val="24"/>
          <w:szCs w:val="24"/>
        </w:rPr>
        <w:t xml:space="preserve">A l’échelle urbaine, sur les 404 communes et centres urbains, 363  ont un taux de pauvreté inférieur à 5%. Parmi les 41 communes restantes, 38 ont un taux entre 5% et 10% et 3 communes ont un taux compris entre 10% et 15%. </w:t>
      </w:r>
    </w:p>
    <w:p w:rsidR="00C37837" w:rsidRPr="0013617C" w:rsidRDefault="00C37837" w:rsidP="0017388C">
      <w:pPr>
        <w:tabs>
          <w:tab w:val="left" w:pos="1503"/>
        </w:tabs>
        <w:spacing w:after="160" w:line="240" w:lineRule="auto"/>
        <w:jc w:val="both"/>
        <w:rPr>
          <w:rFonts w:ascii="Times New Roman" w:eastAsia="Calibri" w:hAnsi="Times New Roman" w:cs="Times New Roman"/>
          <w:sz w:val="24"/>
          <w:szCs w:val="24"/>
        </w:rPr>
      </w:pPr>
      <w:r w:rsidRPr="0013617C">
        <w:rPr>
          <w:rFonts w:ascii="Times New Roman" w:eastAsia="Calibri" w:hAnsi="Times New Roman" w:cs="Times New Roman"/>
          <w:sz w:val="24"/>
          <w:szCs w:val="24"/>
        </w:rPr>
        <w:t xml:space="preserve">Entre 2004 et 2014, sur les 1683 communes et centres urbains, la pauvreté a enregistré une baisse dans 1662 communes et centres urbains (98,8%) et une hausse dans 21 communes (1,2%). En termes relatifs, cette baisse a été supérieure à 70% dans 43,4% des communes, entre 50% et 70% dans 38,6% des communes, de moins de 50% dans 16,8% des communes. </w:t>
      </w:r>
    </w:p>
    <w:p w:rsidR="00C37837" w:rsidRPr="0013617C" w:rsidRDefault="00C37837" w:rsidP="001A36AC">
      <w:pPr>
        <w:autoSpaceDE w:val="0"/>
        <w:autoSpaceDN w:val="0"/>
        <w:adjustRightInd w:val="0"/>
        <w:spacing w:after="0" w:line="240" w:lineRule="auto"/>
        <w:jc w:val="both"/>
        <w:rPr>
          <w:rFonts w:ascii="Times New Roman" w:eastAsia="Calibri" w:hAnsi="Times New Roman" w:cs="Times New Roman"/>
          <w:sz w:val="24"/>
          <w:szCs w:val="24"/>
        </w:rPr>
      </w:pPr>
      <w:r w:rsidRPr="0013617C">
        <w:rPr>
          <w:rFonts w:ascii="Times New Roman" w:eastAsia="Calibri" w:hAnsi="Times New Roman" w:cs="Times New Roman"/>
          <w:sz w:val="24"/>
          <w:szCs w:val="24"/>
        </w:rPr>
        <w:t xml:space="preserve">Au cours de cette période, le taux de pauvreté des communes rurales cibles de l’INDH est passé de  51,4% en 2004 à 21,4% en 2014. Par période de ciblage, ce taux est passé de 54,0% à  24,1% pour les communes ciblées en 2005, et de 48,7% à 18,9% pour les communes ciblées à partir de 2011. Dans le reste des communes rurales, le taux de pauvreté multidimensionnelle est passé de 38,6% en 2004 à 13,4% en 2014. Au total, la pauvreté multidimensionnelle a été réduite, en termes de variation absolue, de 30 points de pourcentage dans les communes rurales cibles de l’INDH contre 25,2 points dans les communes rurales non cibles. </w:t>
      </w:r>
    </w:p>
    <w:p w:rsidR="00C37837" w:rsidRPr="0013617C" w:rsidRDefault="00C37837" w:rsidP="0017388C">
      <w:pPr>
        <w:autoSpaceDE w:val="0"/>
        <w:autoSpaceDN w:val="0"/>
        <w:adjustRightInd w:val="0"/>
        <w:spacing w:after="0" w:line="240" w:lineRule="auto"/>
        <w:jc w:val="both"/>
        <w:rPr>
          <w:rFonts w:ascii="Times New Roman" w:eastAsia="Calibri" w:hAnsi="Times New Roman" w:cs="Times New Roman"/>
          <w:sz w:val="24"/>
          <w:szCs w:val="24"/>
        </w:rPr>
      </w:pPr>
    </w:p>
    <w:p w:rsidR="003E7180" w:rsidRDefault="003E7180"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21763" w:rsidRDefault="00C21763"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09440F" w:rsidRDefault="0009440F" w:rsidP="00920035">
      <w:pPr>
        <w:autoSpaceDE w:val="0"/>
        <w:autoSpaceDN w:val="0"/>
        <w:adjustRightInd w:val="0"/>
        <w:spacing w:after="0" w:line="240" w:lineRule="auto"/>
        <w:jc w:val="center"/>
        <w:rPr>
          <w:rFonts w:ascii="Times New Roman" w:eastAsia="Calibri" w:hAnsi="Times New Roman" w:cs="Times New Roman"/>
          <w:b/>
          <w:bCs/>
          <w:sz w:val="24"/>
          <w:szCs w:val="24"/>
        </w:rPr>
      </w:pPr>
    </w:p>
    <w:p w:rsidR="00C37837" w:rsidRPr="0013617C" w:rsidRDefault="00C37837" w:rsidP="00920035">
      <w:pPr>
        <w:autoSpaceDE w:val="0"/>
        <w:autoSpaceDN w:val="0"/>
        <w:adjustRightInd w:val="0"/>
        <w:spacing w:after="0" w:line="240" w:lineRule="auto"/>
        <w:jc w:val="center"/>
        <w:rPr>
          <w:rFonts w:ascii="Times New Roman" w:eastAsia="Calibri" w:hAnsi="Times New Roman" w:cs="Times New Roman"/>
          <w:b/>
          <w:bCs/>
          <w:sz w:val="24"/>
          <w:szCs w:val="24"/>
        </w:rPr>
      </w:pPr>
      <w:r w:rsidRPr="0013617C">
        <w:rPr>
          <w:rFonts w:ascii="Times New Roman" w:eastAsia="Calibri" w:hAnsi="Times New Roman" w:cs="Times New Roman"/>
          <w:b/>
          <w:bCs/>
          <w:sz w:val="24"/>
          <w:szCs w:val="24"/>
        </w:rPr>
        <w:lastRenderedPageBreak/>
        <w:t xml:space="preserve">Changement du taux de pauvreté </w:t>
      </w:r>
      <w:r w:rsidR="00920035" w:rsidRPr="0013617C">
        <w:rPr>
          <w:rFonts w:ascii="Times New Roman" w:eastAsia="Calibri" w:hAnsi="Times New Roman" w:cs="Times New Roman"/>
          <w:b/>
          <w:bCs/>
          <w:sz w:val="24"/>
          <w:szCs w:val="24"/>
        </w:rPr>
        <w:t xml:space="preserve">multidimensionnelle </w:t>
      </w:r>
      <w:r w:rsidRPr="0013617C">
        <w:rPr>
          <w:rFonts w:ascii="Times New Roman" w:eastAsia="Calibri" w:hAnsi="Times New Roman" w:cs="Times New Roman"/>
          <w:sz w:val="24"/>
          <w:szCs w:val="24"/>
        </w:rPr>
        <w:t>(en %)</w:t>
      </w:r>
      <w:r w:rsidRPr="0013617C">
        <w:rPr>
          <w:rFonts w:ascii="Times New Roman" w:eastAsia="Calibri" w:hAnsi="Times New Roman" w:cs="Times New Roman"/>
          <w:b/>
          <w:bCs/>
          <w:sz w:val="24"/>
          <w:szCs w:val="24"/>
        </w:rPr>
        <w:t>entre 2004 et 2014 selonles communes cibles ou non de l’INDH</w:t>
      </w:r>
    </w:p>
    <w:p w:rsidR="00C37837" w:rsidRPr="0013617C" w:rsidRDefault="00C37837" w:rsidP="0017388C">
      <w:pPr>
        <w:autoSpaceDE w:val="0"/>
        <w:autoSpaceDN w:val="0"/>
        <w:adjustRightInd w:val="0"/>
        <w:spacing w:after="0" w:line="240" w:lineRule="auto"/>
        <w:jc w:val="both"/>
        <w:rPr>
          <w:rFonts w:ascii="Times New Roman" w:eastAsia="Calibri" w:hAnsi="Times New Roman" w:cs="Times New Roman"/>
          <w:sz w:val="24"/>
          <w:szCs w:val="24"/>
        </w:rPr>
      </w:pPr>
      <w:r w:rsidRPr="0013617C">
        <w:rPr>
          <w:rFonts w:ascii="Calibri" w:eastAsia="Calibri" w:hAnsi="Calibri" w:cs="Arial"/>
          <w:noProof/>
          <w:sz w:val="24"/>
          <w:szCs w:val="24"/>
          <w:lang w:eastAsia="fr-FR"/>
        </w:rPr>
        <w:drawing>
          <wp:inline distT="0" distB="0" distL="0" distR="0">
            <wp:extent cx="5793475" cy="2470245"/>
            <wp:effectExtent l="0" t="0" r="17145" b="2540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7837" w:rsidRPr="003731D2" w:rsidRDefault="00F77B5F" w:rsidP="0017388C">
      <w:pPr>
        <w:autoSpaceDE w:val="0"/>
        <w:autoSpaceDN w:val="0"/>
        <w:adjustRightInd w:val="0"/>
        <w:spacing w:after="0" w:line="240" w:lineRule="auto"/>
        <w:jc w:val="both"/>
        <w:rPr>
          <w:rFonts w:ascii="Times New Roman" w:eastAsia="Calibri" w:hAnsi="Times New Roman" w:cs="Times New Roman"/>
        </w:rPr>
      </w:pPr>
      <w:r w:rsidRPr="003731D2">
        <w:rPr>
          <w:rFonts w:ascii="Times New Roman" w:eastAsia="Calibri" w:hAnsi="Times New Roman" w:cs="Times New Roman"/>
        </w:rPr>
        <w:t>Source : HCP, RGPH 2014 &amp; 2004</w:t>
      </w:r>
    </w:p>
    <w:p w:rsidR="00F77B5F" w:rsidRDefault="00F77B5F" w:rsidP="0017388C">
      <w:pPr>
        <w:autoSpaceDE w:val="0"/>
        <w:autoSpaceDN w:val="0"/>
        <w:adjustRightInd w:val="0"/>
        <w:spacing w:after="0" w:line="240" w:lineRule="auto"/>
        <w:jc w:val="both"/>
        <w:rPr>
          <w:rFonts w:ascii="Times New Roman" w:eastAsia="Calibri" w:hAnsi="Times New Roman" w:cs="Times New Roman"/>
          <w:sz w:val="24"/>
          <w:szCs w:val="24"/>
        </w:rPr>
      </w:pPr>
    </w:p>
    <w:p w:rsidR="00492F19" w:rsidRDefault="00492F19" w:rsidP="00F77B5F">
      <w:pPr>
        <w:autoSpaceDE w:val="0"/>
        <w:autoSpaceDN w:val="0"/>
        <w:adjustRightInd w:val="0"/>
        <w:spacing w:after="0" w:line="240" w:lineRule="auto"/>
        <w:jc w:val="both"/>
        <w:rPr>
          <w:rFonts w:ascii="Times New Roman" w:eastAsia="Calibri" w:hAnsi="Times New Roman" w:cs="Times New Roman"/>
          <w:b/>
          <w:bCs/>
          <w:sz w:val="24"/>
          <w:szCs w:val="24"/>
        </w:rPr>
      </w:pPr>
    </w:p>
    <w:p w:rsidR="00F77B5F" w:rsidRDefault="00F77B5F" w:rsidP="00F77B5F">
      <w:pPr>
        <w:autoSpaceDE w:val="0"/>
        <w:autoSpaceDN w:val="0"/>
        <w:adjustRightInd w:val="0"/>
        <w:spacing w:after="0" w:line="240" w:lineRule="auto"/>
        <w:jc w:val="both"/>
        <w:rPr>
          <w:rFonts w:ascii="Times New Roman" w:eastAsia="Calibri" w:hAnsi="Times New Roman" w:cs="Times New Roman"/>
          <w:b/>
          <w:bCs/>
          <w:sz w:val="24"/>
          <w:szCs w:val="24"/>
        </w:rPr>
      </w:pPr>
      <w:r w:rsidRPr="00F77B5F">
        <w:rPr>
          <w:rFonts w:ascii="Times New Roman" w:eastAsia="Calibri" w:hAnsi="Times New Roman" w:cs="Times New Roman"/>
          <w:b/>
          <w:bCs/>
          <w:sz w:val="24"/>
          <w:szCs w:val="24"/>
        </w:rPr>
        <w:t>Typologie des ménages pauvres: noyau dur de la pauvreté</w:t>
      </w:r>
    </w:p>
    <w:p w:rsidR="00F77B5F" w:rsidRDefault="00F77B5F" w:rsidP="00F77B5F">
      <w:pPr>
        <w:autoSpaceDE w:val="0"/>
        <w:autoSpaceDN w:val="0"/>
        <w:adjustRightInd w:val="0"/>
        <w:spacing w:after="0" w:line="240" w:lineRule="auto"/>
        <w:jc w:val="both"/>
        <w:rPr>
          <w:rFonts w:ascii="Times New Roman" w:eastAsia="Calibri" w:hAnsi="Times New Roman" w:cs="Times New Roman"/>
          <w:b/>
          <w:bCs/>
          <w:sz w:val="24"/>
          <w:szCs w:val="24"/>
        </w:rPr>
      </w:pPr>
    </w:p>
    <w:p w:rsidR="000D3235" w:rsidRDefault="00F77B5F" w:rsidP="000D3235">
      <w:pPr>
        <w:autoSpaceDE w:val="0"/>
        <w:autoSpaceDN w:val="0"/>
        <w:adjustRightInd w:val="0"/>
        <w:spacing w:after="0" w:line="240" w:lineRule="auto"/>
        <w:jc w:val="both"/>
        <w:rPr>
          <w:rFonts w:ascii="Times New Roman" w:eastAsia="Calibri" w:hAnsi="Times New Roman" w:cs="Times New Roman"/>
          <w:sz w:val="24"/>
          <w:szCs w:val="24"/>
        </w:rPr>
      </w:pPr>
      <w:r w:rsidRPr="00F77B5F">
        <w:rPr>
          <w:rFonts w:ascii="Times New Roman" w:eastAsia="Calibri" w:hAnsi="Times New Roman" w:cs="Times New Roman"/>
          <w:sz w:val="24"/>
          <w:szCs w:val="24"/>
        </w:rPr>
        <w:t xml:space="preserve">Sur la base des résultats des cartographies de la pauvreté multidimensionnelle et de la pauvreté monétaire, le HCP a réalisé une typologie des ménages selon ces deux formes de pauvreté. Elle consiste à déterminer </w:t>
      </w:r>
      <w:r>
        <w:rPr>
          <w:rFonts w:ascii="Times New Roman" w:eastAsia="Calibri" w:hAnsi="Times New Roman" w:cs="Times New Roman"/>
          <w:sz w:val="24"/>
          <w:szCs w:val="24"/>
        </w:rPr>
        <w:t>le noyau dur de la pauvreté</w:t>
      </w:r>
      <w:r w:rsidR="00DF79CF">
        <w:rPr>
          <w:rFonts w:ascii="Times New Roman" w:eastAsia="Calibri" w:hAnsi="Times New Roman" w:cs="Times New Roman"/>
          <w:sz w:val="24"/>
          <w:szCs w:val="24"/>
        </w:rPr>
        <w:t>,</w:t>
      </w:r>
      <w:r w:rsidR="00604D6C">
        <w:rPr>
          <w:rFonts w:ascii="Times New Roman" w:eastAsia="Calibri" w:hAnsi="Times New Roman" w:cs="Times New Roman"/>
          <w:sz w:val="24"/>
          <w:szCs w:val="24"/>
        </w:rPr>
        <w:t xml:space="preserve"> représenté par </w:t>
      </w:r>
      <w:r w:rsidRPr="00F77B5F">
        <w:rPr>
          <w:rFonts w:ascii="Times New Roman" w:eastAsia="Calibri" w:hAnsi="Times New Roman" w:cs="Times New Roman"/>
          <w:sz w:val="24"/>
          <w:szCs w:val="24"/>
        </w:rPr>
        <w:t>la</w:t>
      </w:r>
      <w:r w:rsidR="00604D6C">
        <w:rPr>
          <w:rFonts w:ascii="Times New Roman" w:eastAsia="Calibri" w:hAnsi="Times New Roman" w:cs="Times New Roman"/>
          <w:sz w:val="24"/>
          <w:szCs w:val="24"/>
        </w:rPr>
        <w:t xml:space="preserve"> catég</w:t>
      </w:r>
      <w:r w:rsidR="000D3235">
        <w:rPr>
          <w:rFonts w:ascii="Times New Roman" w:eastAsia="Calibri" w:hAnsi="Times New Roman" w:cs="Times New Roman"/>
          <w:sz w:val="24"/>
          <w:szCs w:val="24"/>
        </w:rPr>
        <w:t>o</w:t>
      </w:r>
      <w:r w:rsidR="00604D6C">
        <w:rPr>
          <w:rFonts w:ascii="Times New Roman" w:eastAsia="Calibri" w:hAnsi="Times New Roman" w:cs="Times New Roman"/>
          <w:sz w:val="24"/>
          <w:szCs w:val="24"/>
        </w:rPr>
        <w:t xml:space="preserve">rie des ménages </w:t>
      </w:r>
      <w:r w:rsidRPr="00F77B5F">
        <w:rPr>
          <w:rFonts w:ascii="Times New Roman" w:eastAsia="Calibri" w:hAnsi="Times New Roman" w:cs="Times New Roman"/>
          <w:sz w:val="24"/>
          <w:szCs w:val="24"/>
        </w:rPr>
        <w:t xml:space="preserve">qui </w:t>
      </w:r>
      <w:r w:rsidR="00DF79CF">
        <w:rPr>
          <w:rFonts w:ascii="Times New Roman" w:eastAsia="Calibri" w:hAnsi="Times New Roman" w:cs="Times New Roman"/>
          <w:sz w:val="24"/>
          <w:szCs w:val="24"/>
        </w:rPr>
        <w:t>cumulent les deux</w:t>
      </w:r>
      <w:r w:rsidR="000A2A38">
        <w:rPr>
          <w:rFonts w:ascii="Times New Roman" w:eastAsia="Calibri" w:hAnsi="Times New Roman" w:cs="Times New Roman"/>
          <w:sz w:val="24"/>
          <w:szCs w:val="24"/>
        </w:rPr>
        <w:t xml:space="preserve"> formes de la </w:t>
      </w:r>
      <w:r w:rsidR="00DF79CF">
        <w:rPr>
          <w:rFonts w:ascii="Times New Roman" w:eastAsia="Calibri" w:hAnsi="Times New Roman" w:cs="Times New Roman"/>
          <w:sz w:val="24"/>
          <w:szCs w:val="24"/>
        </w:rPr>
        <w:t>sources de pauvreté</w:t>
      </w:r>
      <w:r w:rsidR="00604D6C">
        <w:rPr>
          <w:rFonts w:ascii="Times New Roman" w:eastAsia="Calibri" w:hAnsi="Times New Roman" w:cs="Times New Roman"/>
          <w:sz w:val="24"/>
          <w:szCs w:val="24"/>
        </w:rPr>
        <w:t xml:space="preserve">, </w:t>
      </w:r>
      <w:r w:rsidRPr="00F77B5F">
        <w:rPr>
          <w:rFonts w:ascii="Times New Roman" w:eastAsia="Calibri" w:hAnsi="Times New Roman" w:cs="Times New Roman"/>
          <w:sz w:val="24"/>
          <w:szCs w:val="24"/>
        </w:rPr>
        <w:t xml:space="preserve">la </w:t>
      </w:r>
      <w:r w:rsidR="000D3235">
        <w:rPr>
          <w:rFonts w:ascii="Times New Roman" w:eastAsia="Calibri" w:hAnsi="Times New Roman" w:cs="Times New Roman"/>
          <w:sz w:val="24"/>
          <w:szCs w:val="24"/>
        </w:rPr>
        <w:t xml:space="preserve">catégorie des ménages </w:t>
      </w:r>
      <w:r w:rsidRPr="00F77B5F">
        <w:rPr>
          <w:rFonts w:ascii="Times New Roman" w:eastAsia="Calibri" w:hAnsi="Times New Roman" w:cs="Times New Roman"/>
          <w:sz w:val="24"/>
          <w:szCs w:val="24"/>
        </w:rPr>
        <w:t xml:space="preserve">qui sont pauvres </w:t>
      </w:r>
      <w:r w:rsidR="00604D6C">
        <w:rPr>
          <w:rFonts w:ascii="Times New Roman" w:eastAsia="Calibri" w:hAnsi="Times New Roman" w:cs="Times New Roman"/>
          <w:sz w:val="24"/>
          <w:szCs w:val="24"/>
        </w:rPr>
        <w:t>selon l’approche multidimensionnelle</w:t>
      </w:r>
      <w:r w:rsidRPr="00F77B5F">
        <w:rPr>
          <w:rFonts w:ascii="Times New Roman" w:eastAsia="Calibri" w:hAnsi="Times New Roman" w:cs="Times New Roman"/>
          <w:sz w:val="24"/>
          <w:szCs w:val="24"/>
        </w:rPr>
        <w:t xml:space="preserve"> et non pauvres selon l’approche monétaire</w:t>
      </w:r>
      <w:r w:rsidR="000D3235">
        <w:rPr>
          <w:rFonts w:ascii="Times New Roman" w:eastAsia="Calibri" w:hAnsi="Times New Roman" w:cs="Times New Roman"/>
          <w:sz w:val="24"/>
          <w:szCs w:val="24"/>
        </w:rPr>
        <w:t>,</w:t>
      </w:r>
      <w:r w:rsidRPr="00F77B5F">
        <w:rPr>
          <w:rFonts w:ascii="Times New Roman" w:eastAsia="Calibri" w:hAnsi="Times New Roman" w:cs="Times New Roman"/>
          <w:sz w:val="24"/>
          <w:szCs w:val="24"/>
        </w:rPr>
        <w:t xml:space="preserve"> et vice-versa</w:t>
      </w:r>
      <w:r w:rsidR="000D3235">
        <w:rPr>
          <w:rFonts w:ascii="Times New Roman" w:eastAsia="Calibri" w:hAnsi="Times New Roman" w:cs="Times New Roman"/>
          <w:sz w:val="24"/>
          <w:szCs w:val="24"/>
        </w:rPr>
        <w:t xml:space="preserve"> la catégorie des ménages pauvres selon l’approche monétaire et non pauvres selon l’approche multidimensionnelle</w:t>
      </w:r>
      <w:r w:rsidR="00604D6C">
        <w:rPr>
          <w:rFonts w:ascii="Times New Roman" w:eastAsia="Calibri" w:hAnsi="Times New Roman" w:cs="Times New Roman"/>
          <w:sz w:val="24"/>
          <w:szCs w:val="24"/>
        </w:rPr>
        <w:t xml:space="preserve">. </w:t>
      </w:r>
      <w:r w:rsidR="000D3235">
        <w:rPr>
          <w:rFonts w:ascii="Times New Roman" w:eastAsia="Calibri" w:hAnsi="Times New Roman" w:cs="Times New Roman"/>
          <w:sz w:val="24"/>
          <w:szCs w:val="24"/>
        </w:rPr>
        <w:t xml:space="preserve">Le poids démographique de ces </w:t>
      </w:r>
      <w:r w:rsidR="00604D6C">
        <w:rPr>
          <w:rFonts w:ascii="Times New Roman" w:eastAsia="Calibri" w:hAnsi="Times New Roman" w:cs="Times New Roman"/>
          <w:sz w:val="24"/>
          <w:szCs w:val="24"/>
        </w:rPr>
        <w:t xml:space="preserve">trois groupes </w:t>
      </w:r>
      <w:r w:rsidR="000D3235">
        <w:rPr>
          <w:rFonts w:ascii="Times New Roman" w:eastAsia="Calibri" w:hAnsi="Times New Roman" w:cs="Times New Roman"/>
          <w:sz w:val="24"/>
          <w:szCs w:val="24"/>
        </w:rPr>
        <w:t>détermine le taux de pauvreté globale.</w:t>
      </w:r>
    </w:p>
    <w:p w:rsidR="000D3235" w:rsidRDefault="000D3235" w:rsidP="000D3235">
      <w:pPr>
        <w:autoSpaceDE w:val="0"/>
        <w:autoSpaceDN w:val="0"/>
        <w:adjustRightInd w:val="0"/>
        <w:spacing w:after="0" w:line="240" w:lineRule="auto"/>
        <w:jc w:val="both"/>
        <w:rPr>
          <w:rFonts w:ascii="Times New Roman" w:eastAsia="Calibri" w:hAnsi="Times New Roman" w:cs="Times New Roman"/>
          <w:sz w:val="24"/>
          <w:szCs w:val="24"/>
        </w:rPr>
      </w:pPr>
    </w:p>
    <w:p w:rsidR="00F77B5F" w:rsidRDefault="000D3235" w:rsidP="00D504A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somme, </w:t>
      </w:r>
      <w:r w:rsidRPr="000D3235">
        <w:rPr>
          <w:rFonts w:ascii="Times New Roman" w:eastAsia="Calibri" w:hAnsi="Times New Roman" w:cs="Times New Roman"/>
          <w:sz w:val="24"/>
          <w:szCs w:val="24"/>
        </w:rPr>
        <w:t>la distribution</w:t>
      </w:r>
      <w:r>
        <w:rPr>
          <w:rFonts w:ascii="Times New Roman" w:eastAsia="Calibri" w:hAnsi="Times New Roman" w:cs="Times New Roman"/>
          <w:sz w:val="24"/>
          <w:szCs w:val="24"/>
        </w:rPr>
        <w:t xml:space="preserve"> des pauvretés et de leur cumul montre que </w:t>
      </w:r>
      <w:r w:rsidR="00D504AD">
        <w:rPr>
          <w:rFonts w:ascii="Times New Roman" w:eastAsia="Calibri" w:hAnsi="Times New Roman" w:cs="Times New Roman"/>
          <w:sz w:val="24"/>
          <w:szCs w:val="24"/>
        </w:rPr>
        <w:t xml:space="preserve">3,5 million de personnes </w:t>
      </w:r>
      <w:r w:rsidRPr="000D3235">
        <w:rPr>
          <w:rFonts w:ascii="Times New Roman" w:eastAsia="Calibri" w:hAnsi="Times New Roman" w:cs="Times New Roman"/>
          <w:sz w:val="24"/>
          <w:szCs w:val="24"/>
        </w:rPr>
        <w:t>connaissent une seule pauvreté</w:t>
      </w:r>
      <w:r w:rsidR="00D504AD">
        <w:rPr>
          <w:rFonts w:ascii="Times New Roman" w:eastAsia="Calibri" w:hAnsi="Times New Roman" w:cs="Times New Roman"/>
          <w:sz w:val="24"/>
          <w:szCs w:val="24"/>
        </w:rPr>
        <w:t xml:space="preserve"> (10,3 % de la population)</w:t>
      </w:r>
      <w:r>
        <w:rPr>
          <w:rFonts w:ascii="Times New Roman" w:eastAsia="Calibri" w:hAnsi="Times New Roman" w:cs="Times New Roman"/>
          <w:sz w:val="24"/>
          <w:szCs w:val="24"/>
        </w:rPr>
        <w:t xml:space="preserve">: </w:t>
      </w:r>
      <w:r w:rsidR="00D504AD">
        <w:rPr>
          <w:rFonts w:ascii="Times New Roman" w:eastAsia="Calibri" w:hAnsi="Times New Roman" w:cs="Times New Roman"/>
          <w:sz w:val="24"/>
          <w:szCs w:val="24"/>
        </w:rPr>
        <w:t xml:space="preserve">2,3 million </w:t>
      </w:r>
      <w:r w:rsidR="00BA2C3D">
        <w:rPr>
          <w:rFonts w:ascii="Times New Roman" w:eastAsia="Calibri" w:hAnsi="Times New Roman" w:cs="Times New Roman"/>
          <w:sz w:val="24"/>
          <w:szCs w:val="24"/>
        </w:rPr>
        <w:t xml:space="preserve"> la pauvreté multidimensionnelle </w:t>
      </w:r>
      <w:r w:rsidR="00D504AD">
        <w:rPr>
          <w:rFonts w:ascii="Times New Roman" w:eastAsia="Calibri" w:hAnsi="Times New Roman" w:cs="Times New Roman"/>
          <w:sz w:val="24"/>
          <w:szCs w:val="24"/>
        </w:rPr>
        <w:t xml:space="preserve">(6,8%) </w:t>
      </w:r>
      <w:r w:rsidR="00BA2C3D">
        <w:rPr>
          <w:rFonts w:ascii="Times New Roman" w:eastAsia="Calibri" w:hAnsi="Times New Roman" w:cs="Times New Roman"/>
          <w:sz w:val="24"/>
          <w:szCs w:val="24"/>
        </w:rPr>
        <w:t xml:space="preserve">et </w:t>
      </w:r>
      <w:r w:rsidR="00D504AD">
        <w:rPr>
          <w:rFonts w:ascii="Times New Roman" w:eastAsia="Calibri" w:hAnsi="Times New Roman" w:cs="Times New Roman"/>
          <w:sz w:val="24"/>
          <w:szCs w:val="24"/>
        </w:rPr>
        <w:t xml:space="preserve">1,2 million </w:t>
      </w:r>
      <w:r w:rsidR="00BA2C3D">
        <w:rPr>
          <w:rFonts w:ascii="Times New Roman" w:eastAsia="Calibri" w:hAnsi="Times New Roman" w:cs="Times New Roman"/>
          <w:sz w:val="24"/>
          <w:szCs w:val="24"/>
        </w:rPr>
        <w:t>la pauvreté monétaire</w:t>
      </w:r>
      <w:r w:rsidR="00D504AD">
        <w:rPr>
          <w:rFonts w:ascii="Times New Roman" w:eastAsia="Calibri" w:hAnsi="Times New Roman" w:cs="Times New Roman"/>
          <w:sz w:val="24"/>
          <w:szCs w:val="24"/>
        </w:rPr>
        <w:t xml:space="preserve"> (3,5%)</w:t>
      </w:r>
      <w:r w:rsidR="00BA2C3D">
        <w:rPr>
          <w:rFonts w:ascii="Times New Roman" w:eastAsia="Calibri" w:hAnsi="Times New Roman" w:cs="Times New Roman"/>
          <w:sz w:val="24"/>
          <w:szCs w:val="24"/>
        </w:rPr>
        <w:t xml:space="preserve">. Le noyau dur de la pauvreté est constitué de </w:t>
      </w:r>
      <w:r w:rsidR="00D504AD">
        <w:rPr>
          <w:rFonts w:ascii="Times New Roman" w:eastAsia="Calibri" w:hAnsi="Times New Roman" w:cs="Times New Roman"/>
          <w:sz w:val="24"/>
          <w:szCs w:val="24"/>
        </w:rPr>
        <w:t>463 mille personnes (</w:t>
      </w:r>
      <w:r w:rsidR="00BA2C3D">
        <w:rPr>
          <w:rFonts w:ascii="Times New Roman" w:eastAsia="Calibri" w:hAnsi="Times New Roman" w:cs="Times New Roman"/>
          <w:sz w:val="24"/>
          <w:szCs w:val="24"/>
        </w:rPr>
        <w:t>1,4%</w:t>
      </w:r>
      <w:r w:rsidR="00D504AD">
        <w:rPr>
          <w:rFonts w:ascii="Times New Roman" w:eastAsia="Calibri" w:hAnsi="Times New Roman" w:cs="Times New Roman"/>
          <w:sz w:val="24"/>
          <w:szCs w:val="24"/>
        </w:rPr>
        <w:t xml:space="preserve"> de la population)</w:t>
      </w:r>
      <w:r w:rsidR="00BA2C3D">
        <w:rPr>
          <w:rFonts w:ascii="Times New Roman" w:eastAsia="Calibri" w:hAnsi="Times New Roman" w:cs="Times New Roman"/>
          <w:sz w:val="24"/>
          <w:szCs w:val="24"/>
        </w:rPr>
        <w:t xml:space="preserve">, frappées à la fois par la pauvreté multidimensionnelle et la pauvreté monétaire. </w:t>
      </w:r>
      <w:r w:rsidR="002F5F58">
        <w:rPr>
          <w:rFonts w:ascii="Times New Roman" w:eastAsia="Calibri" w:hAnsi="Times New Roman" w:cs="Times New Roman"/>
          <w:sz w:val="24"/>
          <w:szCs w:val="24"/>
        </w:rPr>
        <w:t xml:space="preserve">Avec ces trois indices, </w:t>
      </w:r>
      <w:r w:rsidR="00D504AD">
        <w:rPr>
          <w:rFonts w:ascii="Times New Roman" w:eastAsia="Calibri" w:hAnsi="Times New Roman" w:cs="Times New Roman"/>
          <w:sz w:val="24"/>
          <w:szCs w:val="24"/>
        </w:rPr>
        <w:t xml:space="preserve">le volume de la pauvreté sous ses formes monétaire et multidimensionnelle est de 3,9 millions de personnes, soit un </w:t>
      </w:r>
      <w:r w:rsidR="002F5F58">
        <w:rPr>
          <w:rFonts w:ascii="Times New Roman" w:eastAsia="Calibri" w:hAnsi="Times New Roman" w:cs="Times New Roman"/>
          <w:sz w:val="24"/>
          <w:szCs w:val="24"/>
        </w:rPr>
        <w:t>taux de pauvreté global</w:t>
      </w:r>
      <w:r w:rsidR="00D504AD">
        <w:rPr>
          <w:rFonts w:ascii="Times New Roman" w:eastAsia="Calibri" w:hAnsi="Times New Roman" w:cs="Times New Roman"/>
          <w:sz w:val="24"/>
          <w:szCs w:val="24"/>
        </w:rPr>
        <w:t>e</w:t>
      </w:r>
      <w:r w:rsidR="002F5F58">
        <w:rPr>
          <w:rFonts w:ascii="Times New Roman" w:eastAsia="Calibri" w:hAnsi="Times New Roman" w:cs="Times New Roman"/>
          <w:sz w:val="24"/>
          <w:szCs w:val="24"/>
        </w:rPr>
        <w:t xml:space="preserve"> de 11,7% à l’échelle nationale</w:t>
      </w:r>
      <w:r w:rsidR="005740EE">
        <w:rPr>
          <w:rFonts w:ascii="Times New Roman" w:eastAsia="Calibri" w:hAnsi="Times New Roman" w:cs="Times New Roman"/>
          <w:sz w:val="24"/>
          <w:szCs w:val="24"/>
        </w:rPr>
        <w:t>, 3,9% dans les villes et 23,7% dans la campagne</w:t>
      </w:r>
      <w:r w:rsidR="002F5F58">
        <w:rPr>
          <w:rFonts w:ascii="Times New Roman" w:eastAsia="Calibri" w:hAnsi="Times New Roman" w:cs="Times New Roman"/>
          <w:sz w:val="24"/>
          <w:szCs w:val="24"/>
        </w:rPr>
        <w:t>.</w:t>
      </w:r>
    </w:p>
    <w:p w:rsidR="002F5F58" w:rsidRDefault="002F5F58" w:rsidP="00BA2C3D">
      <w:pPr>
        <w:autoSpaceDE w:val="0"/>
        <w:autoSpaceDN w:val="0"/>
        <w:adjustRightInd w:val="0"/>
        <w:spacing w:after="0" w:line="240" w:lineRule="auto"/>
        <w:jc w:val="both"/>
        <w:rPr>
          <w:rFonts w:ascii="Times New Roman" w:eastAsia="Calibri" w:hAnsi="Times New Roman" w:cs="Times New Roman"/>
          <w:sz w:val="24"/>
          <w:szCs w:val="24"/>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09440F" w:rsidRDefault="0009440F" w:rsidP="002C6E8A">
      <w:pPr>
        <w:autoSpaceDE w:val="0"/>
        <w:autoSpaceDN w:val="0"/>
        <w:adjustRightInd w:val="0"/>
        <w:spacing w:after="0" w:line="240" w:lineRule="auto"/>
        <w:rPr>
          <w:rFonts w:ascii="Times New Roman" w:eastAsia="Calibri" w:hAnsi="Times New Roman" w:cs="Times New Roman"/>
          <w:b/>
          <w:bCs/>
          <w:sz w:val="26"/>
          <w:szCs w:val="26"/>
        </w:rPr>
      </w:pPr>
    </w:p>
    <w:p w:rsidR="003E7180" w:rsidRPr="003E7180" w:rsidRDefault="002C6E8A" w:rsidP="002C6E8A">
      <w:pPr>
        <w:autoSpaceDE w:val="0"/>
        <w:autoSpaceDN w:val="0"/>
        <w:adjustRightInd w:val="0"/>
        <w:spacing w:after="0" w:line="240" w:lineRule="auto"/>
        <w:rPr>
          <w:rFonts w:ascii="Times New Roman" w:eastAsia="Calibri" w:hAnsi="Times New Roman" w:cs="Times New Roman"/>
          <w:b/>
          <w:bCs/>
          <w:sz w:val="26"/>
          <w:szCs w:val="26"/>
        </w:rPr>
      </w:pPr>
      <w:r>
        <w:rPr>
          <w:rFonts w:ascii="Times New Roman" w:eastAsia="Calibri" w:hAnsi="Times New Roman" w:cs="Times New Roman"/>
          <w:b/>
          <w:bCs/>
          <w:sz w:val="26"/>
          <w:szCs w:val="26"/>
        </w:rPr>
        <w:lastRenderedPageBreak/>
        <w:t xml:space="preserve">                   </w:t>
      </w:r>
      <w:r w:rsidR="003E7180" w:rsidRPr="003E7180">
        <w:rPr>
          <w:rFonts w:ascii="Times New Roman" w:eastAsia="Calibri" w:hAnsi="Times New Roman" w:cs="Times New Roman"/>
          <w:b/>
          <w:bCs/>
          <w:sz w:val="26"/>
          <w:szCs w:val="26"/>
        </w:rPr>
        <w:t>Distribution des formes de pauvreté et de leur cumul</w:t>
      </w:r>
    </w:p>
    <w:p w:rsidR="001D76FB" w:rsidRDefault="000C0DD9" w:rsidP="007D2DD6">
      <w:pPr>
        <w:autoSpaceDE w:val="0"/>
        <w:autoSpaceDN w:val="0"/>
        <w:adjustRightInd w:val="0"/>
        <w:spacing w:after="0" w:line="240" w:lineRule="auto"/>
        <w:jc w:val="both"/>
        <w:rPr>
          <w:rFonts w:ascii="Times New Roman" w:eastAsia="Calibri" w:hAnsi="Times New Roman" w:cs="Times New Roman"/>
          <w:sz w:val="24"/>
          <w:szCs w:val="24"/>
        </w:rPr>
      </w:pPr>
      <w:r w:rsidRPr="000C0DD9">
        <w:rPr>
          <w:noProof/>
          <w:lang w:eastAsia="fr-FR"/>
        </w:rPr>
        <w:pict>
          <v:rect id="Rectangle 7" o:spid="_x0000_s1026" style="position:absolute;left:0;text-align:left;margin-left:86.65pt;margin-top:274.3pt;width:280.5pt;height:26.2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" fillcolor="white [3201]" strokecolor="black [3200]" strokeweight="2pt">
            <v:path arrowok="t"/>
            <v:textbox>
              <w:txbxContent>
                <w:p w:rsidR="007D2DD6" w:rsidRPr="007D2DD6" w:rsidRDefault="007D2DD6" w:rsidP="007D2DD6">
                  <w:pPr>
                    <w:jc w:val="center"/>
                    <w:rPr>
                      <w:rFonts w:asciiTheme="majorBidi" w:hAnsiTheme="majorBidi" w:cstheme="majorBidi"/>
                      <w:b/>
                      <w:bCs/>
                      <w:sz w:val="28"/>
                      <w:szCs w:val="28"/>
                    </w:rPr>
                  </w:pPr>
                  <w:r w:rsidRPr="007D2DD6">
                    <w:rPr>
                      <w:rFonts w:asciiTheme="majorBidi" w:hAnsiTheme="majorBidi" w:cstheme="majorBidi"/>
                      <w:b/>
                      <w:bCs/>
                      <w:sz w:val="28"/>
                      <w:szCs w:val="28"/>
                    </w:rPr>
                    <w:t xml:space="preserve">Pauvreté globale : </w:t>
                  </w:r>
                  <w:r w:rsidRPr="007A0F68">
                    <w:rPr>
                      <w:rFonts w:asciiTheme="majorBidi" w:hAnsiTheme="majorBidi" w:cstheme="majorBidi"/>
                      <w:b/>
                      <w:bCs/>
                      <w:color w:val="FF0000"/>
                      <w:sz w:val="28"/>
                      <w:szCs w:val="28"/>
                    </w:rPr>
                    <w:t>11,7%</w:t>
                  </w:r>
                </w:p>
              </w:txbxContent>
            </v:textbox>
          </v:rect>
        </w:pict>
      </w:r>
      <w:r w:rsidRPr="000C0DD9">
        <w:rPr>
          <w:noProof/>
          <w:lang w:eastAsia="fr-FR"/>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9" o:spid="_x0000_s1027" type="#_x0000_t61" style="position:absolute;left:0;text-align:left;margin-left:242.65pt;margin-top:2.8pt;width:193.4pt;height:54.25pt;z-index:25166336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" adj="6300,24300" fillcolor="#4f81bd [3204]" strokecolor="black [3213]">
            <v:stroke joinstyle="round"/>
            <v:path arrowok="t"/>
            <v:textbox>
              <w:txbxContent>
                <w:p w:rsidR="007D2DD6" w:rsidRPr="007A0F68" w:rsidRDefault="007D2DD6" w:rsidP="007A0F68">
                  <w:pPr>
                    <w:pStyle w:val="NormalWeb"/>
                    <w:shd w:val="clear" w:color="auto" w:fill="FFFFFF" w:themeFill="background1"/>
                    <w:spacing w:before="0" w:beforeAutospacing="0" w:after="0" w:afterAutospacing="0"/>
                    <w:textAlignment w:val="baseline"/>
                    <w:rPr>
                      <w:sz w:val="28"/>
                      <w:szCs w:val="28"/>
                    </w:rPr>
                  </w:pPr>
                  <w:r w:rsidRPr="007A0F68">
                    <w:rPr>
                      <w:b/>
                      <w:bCs/>
                      <w:color w:val="000000" w:themeColor="text1"/>
                      <w:kern w:val="24"/>
                      <w:sz w:val="28"/>
                      <w:szCs w:val="28"/>
                    </w:rPr>
                    <w:t>Pauvreté multidimensionnelle</w:t>
                  </w:r>
                </w:p>
                <w:p w:rsidR="007D2DD6" w:rsidRDefault="007D2DD6" w:rsidP="007A0F68">
                  <w:pPr>
                    <w:pStyle w:val="NormalWeb"/>
                    <w:shd w:val="clear" w:color="auto" w:fill="FFFFFF" w:themeFill="background1"/>
                    <w:spacing w:before="0" w:beforeAutospacing="0" w:after="0" w:afterAutospacing="0"/>
                    <w:jc w:val="center"/>
                    <w:textAlignment w:val="baseline"/>
                  </w:pPr>
                  <w:r>
                    <w:rPr>
                      <w:b/>
                      <w:bCs/>
                      <w:color w:val="C00000"/>
                      <w:kern w:val="24"/>
                      <w:sz w:val="36"/>
                      <w:szCs w:val="36"/>
                      <w:u w:val="single"/>
                    </w:rPr>
                    <w:t>8,2%</w:t>
                  </w:r>
                </w:p>
              </w:txbxContent>
            </v:textbox>
          </v:shape>
        </w:pict>
      </w:r>
      <w:r>
        <w:rPr>
          <w:rFonts w:ascii="Times New Roman" w:eastAsia="Calibri" w:hAnsi="Times New Roman" w:cs="Times New Roman"/>
          <w:noProof/>
          <w:sz w:val="24"/>
          <w:szCs w:val="24"/>
          <w:lang w:eastAsia="fr-FR"/>
        </w:rPr>
        <w:pict>
          <v:shape id="Speech Bubble: Rectangle 8" o:spid="_x0000_s1028" type="#_x0000_t61" style="position:absolute;left:0;text-align:left;margin-left:31.9pt;margin-top:13.3pt;width:172.5pt;height:48.0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" adj="6300,24300" fillcolor="#4f81bd [3204]" strokecolor="black [3213]">
            <v:stroke joinstyle="round"/>
            <v:path arrowok="t"/>
            <v:textbox>
              <w:txbxContent>
                <w:p w:rsidR="001D76FB" w:rsidRPr="007A0F68" w:rsidRDefault="001D76FB" w:rsidP="007A0F68">
                  <w:pPr>
                    <w:pStyle w:val="NormalWeb"/>
                    <w:shd w:val="clear" w:color="auto" w:fill="FFFFFF" w:themeFill="background1"/>
                    <w:spacing w:before="0" w:beforeAutospacing="0" w:after="0" w:afterAutospacing="0"/>
                    <w:jc w:val="center"/>
                    <w:textAlignment w:val="baseline"/>
                    <w:rPr>
                      <w:sz w:val="28"/>
                      <w:szCs w:val="28"/>
                    </w:rPr>
                  </w:pPr>
                  <w:r w:rsidRPr="007A0F68">
                    <w:rPr>
                      <w:b/>
                      <w:bCs/>
                      <w:color w:val="000000" w:themeColor="text1"/>
                      <w:kern w:val="24"/>
                      <w:sz w:val="28"/>
                      <w:szCs w:val="28"/>
                    </w:rPr>
                    <w:t>Pauvreté monétaire</w:t>
                  </w:r>
                </w:p>
                <w:p w:rsidR="001D76FB" w:rsidRDefault="001D76FB" w:rsidP="007A0F68">
                  <w:pPr>
                    <w:pStyle w:val="NormalWeb"/>
                    <w:shd w:val="clear" w:color="auto" w:fill="FFFFFF" w:themeFill="background1"/>
                    <w:spacing w:before="0" w:beforeAutospacing="0" w:after="0" w:afterAutospacing="0"/>
                    <w:jc w:val="center"/>
                    <w:textAlignment w:val="baseline"/>
                  </w:pPr>
                  <w:r>
                    <w:rPr>
                      <w:b/>
                      <w:bCs/>
                      <w:color w:val="C00000"/>
                      <w:kern w:val="24"/>
                      <w:sz w:val="36"/>
                      <w:szCs w:val="36"/>
                      <w:u w:val="single"/>
                    </w:rPr>
                    <w:t>4,9%</w:t>
                  </w:r>
                </w:p>
              </w:txbxContent>
            </v:textbox>
          </v:shape>
        </w:pict>
      </w:r>
      <w:r>
        <w:rPr>
          <w:rFonts w:ascii="Times New Roman" w:eastAsia="Calibri" w:hAnsi="Times New Roman" w:cs="Times New Roman"/>
          <w:noProof/>
          <w:sz w:val="24"/>
          <w:szCs w:val="24"/>
          <w:lang w:eastAsia="fr-FR"/>
        </w:rPr>
        <w:pict>
          <v:shapetype id="_x0000_t202" coordsize="21600,21600" o:spt="202" path="m,l,21600r21600,l21600,xe">
            <v:stroke joinstyle="miter"/>
            <v:path gradientshapeok="t" o:connecttype="rect"/>
          </v:shapetype>
          <v:shape id="TextBox 2" o:spid="_x0000_s1029" type="#_x0000_t202" style="position:absolute;left:0;text-align:left;margin-left:179.6pt;margin-top:123.55pt;width:92.25pt;height:74.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" filled="f" stroked="f">
            <v:path arrowok="t"/>
            <v:textbox>
              <w:txbxContent>
                <w:p w:rsidR="001D76FB" w:rsidRPr="001D76FB" w:rsidRDefault="001D76FB" w:rsidP="001D76FB">
                  <w:pPr>
                    <w:pStyle w:val="NormalWeb"/>
                    <w:spacing w:before="0" w:beforeAutospacing="0" w:after="0" w:afterAutospacing="0"/>
                    <w:jc w:val="center"/>
                    <w:rPr>
                      <w:sz w:val="28"/>
                      <w:szCs w:val="28"/>
                    </w:rPr>
                  </w:pPr>
                  <w:r w:rsidRPr="001D76FB">
                    <w:rPr>
                      <w:b/>
                      <w:bCs/>
                      <w:color w:val="000000" w:themeColor="text1"/>
                      <w:kern w:val="24"/>
                      <w:sz w:val="28"/>
                      <w:szCs w:val="28"/>
                    </w:rPr>
                    <w:t>Double pauvreté</w:t>
                  </w:r>
                </w:p>
                <w:p w:rsidR="001D76FB" w:rsidRPr="001D76FB" w:rsidRDefault="001D76FB" w:rsidP="001D76FB">
                  <w:pPr>
                    <w:pStyle w:val="NormalWeb"/>
                    <w:spacing w:before="0" w:beforeAutospacing="0" w:after="0" w:afterAutospacing="0"/>
                    <w:jc w:val="center"/>
                    <w:rPr>
                      <w:sz w:val="28"/>
                      <w:szCs w:val="28"/>
                    </w:rPr>
                  </w:pPr>
                  <w:r w:rsidRPr="001D76FB">
                    <w:rPr>
                      <w:b/>
                      <w:bCs/>
                      <w:color w:val="C00000"/>
                      <w:kern w:val="24"/>
                      <w:sz w:val="28"/>
                      <w:szCs w:val="28"/>
                      <w:u w:val="single"/>
                    </w:rPr>
                    <w:t>1,4%</w:t>
                  </w:r>
                </w:p>
              </w:txbxContent>
            </v:textbox>
          </v:shape>
        </w:pict>
      </w:r>
      <w:r w:rsidR="001D76FB" w:rsidRPr="001D76FB">
        <w:rPr>
          <w:rFonts w:ascii="Times New Roman" w:eastAsia="Calibri" w:hAnsi="Times New Roman" w:cs="Times New Roman"/>
          <w:noProof/>
          <w:sz w:val="24"/>
          <w:szCs w:val="24"/>
          <w:lang w:eastAsia="fr-FR"/>
        </w:rPr>
        <w:drawing>
          <wp:inline distT="0" distB="0" distL="0" distR="0">
            <wp:extent cx="5762625" cy="3800475"/>
            <wp:effectExtent l="0" t="0" r="0" b="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D76FB" w:rsidRDefault="001D76FB" w:rsidP="00BA2C3D">
      <w:pPr>
        <w:autoSpaceDE w:val="0"/>
        <w:autoSpaceDN w:val="0"/>
        <w:adjustRightInd w:val="0"/>
        <w:spacing w:after="0" w:line="240" w:lineRule="auto"/>
        <w:jc w:val="both"/>
        <w:rPr>
          <w:rFonts w:ascii="Times New Roman" w:eastAsia="Calibri" w:hAnsi="Times New Roman" w:cs="Times New Roman"/>
          <w:sz w:val="24"/>
          <w:szCs w:val="24"/>
        </w:rPr>
      </w:pPr>
    </w:p>
    <w:p w:rsidR="002C6E8A" w:rsidRDefault="002C6E8A" w:rsidP="007D2DD6">
      <w:pPr>
        <w:autoSpaceDE w:val="0"/>
        <w:autoSpaceDN w:val="0"/>
        <w:adjustRightInd w:val="0"/>
        <w:spacing w:after="0" w:line="240" w:lineRule="auto"/>
        <w:jc w:val="both"/>
        <w:rPr>
          <w:rFonts w:ascii="Times New Roman" w:eastAsia="Calibri" w:hAnsi="Times New Roman" w:cs="Times New Roman"/>
          <w:sz w:val="24"/>
          <w:szCs w:val="24"/>
        </w:rPr>
      </w:pPr>
    </w:p>
    <w:p w:rsidR="0009440F" w:rsidRDefault="0009440F" w:rsidP="007D2DD6">
      <w:pPr>
        <w:autoSpaceDE w:val="0"/>
        <w:autoSpaceDN w:val="0"/>
        <w:adjustRightInd w:val="0"/>
        <w:spacing w:after="0" w:line="240" w:lineRule="auto"/>
        <w:jc w:val="both"/>
        <w:rPr>
          <w:rFonts w:ascii="Times New Roman" w:eastAsia="Calibri" w:hAnsi="Times New Roman" w:cs="Times New Roman"/>
          <w:sz w:val="24"/>
          <w:szCs w:val="24"/>
        </w:rPr>
      </w:pPr>
    </w:p>
    <w:p w:rsidR="00D504AD" w:rsidRDefault="002F5F58" w:rsidP="007D2DD6">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 noyau dur de la pauvreté est de 3,2% en milieu rural contre 0,2% en milieu urbain. </w:t>
      </w:r>
      <w:r w:rsidR="00ED68EC">
        <w:rPr>
          <w:rFonts w:ascii="Times New Roman" w:eastAsia="Calibri" w:hAnsi="Times New Roman" w:cs="Times New Roman"/>
          <w:sz w:val="24"/>
          <w:szCs w:val="24"/>
        </w:rPr>
        <w:t xml:space="preserve">Il est plus répandu dans les régions de Darâa-Tafilalet (3,7%) et de Beni Mellal-Khénifra (3,5%). A l’échelle provinciale, cette double pauvreté </w:t>
      </w:r>
      <w:r w:rsidR="008D473A">
        <w:rPr>
          <w:rFonts w:ascii="Times New Roman" w:eastAsia="Calibri" w:hAnsi="Times New Roman" w:cs="Times New Roman"/>
          <w:sz w:val="24"/>
          <w:szCs w:val="24"/>
        </w:rPr>
        <w:t>est plus pron</w:t>
      </w:r>
      <w:r w:rsidR="00D504AD">
        <w:rPr>
          <w:rFonts w:ascii="Times New Roman" w:eastAsia="Calibri" w:hAnsi="Times New Roman" w:cs="Times New Roman"/>
          <w:sz w:val="24"/>
          <w:szCs w:val="24"/>
        </w:rPr>
        <w:t>o</w:t>
      </w:r>
      <w:r w:rsidR="008D473A">
        <w:rPr>
          <w:rFonts w:ascii="Times New Roman" w:eastAsia="Calibri" w:hAnsi="Times New Roman" w:cs="Times New Roman"/>
          <w:sz w:val="24"/>
          <w:szCs w:val="24"/>
        </w:rPr>
        <w:t>ncée à Azilal (10,4%), suivie par Figuig (8,6%), Midelt (6,2%) et Tinghir (5,7%).</w:t>
      </w:r>
      <w:r w:rsidR="00EB5490">
        <w:rPr>
          <w:rFonts w:ascii="Times New Roman" w:eastAsia="Calibri" w:hAnsi="Times New Roman" w:cs="Times New Roman"/>
          <w:sz w:val="24"/>
          <w:szCs w:val="24"/>
        </w:rPr>
        <w:t xml:space="preserve"> Au niveau communal</w:t>
      </w:r>
      <w:r w:rsidR="00B37BFB">
        <w:rPr>
          <w:rFonts w:ascii="Times New Roman" w:eastAsia="Calibri" w:hAnsi="Times New Roman" w:cs="Times New Roman"/>
          <w:sz w:val="24"/>
          <w:szCs w:val="24"/>
        </w:rPr>
        <w:t>, la double pauvreté est supérieure à 20% dans 16 communes, entre 10% et 20% dans 69 communes, et</w:t>
      </w:r>
      <w:r w:rsidR="00EB5490">
        <w:rPr>
          <w:rFonts w:ascii="Times New Roman" w:eastAsia="Calibri" w:hAnsi="Times New Roman" w:cs="Times New Roman"/>
          <w:sz w:val="24"/>
          <w:szCs w:val="24"/>
        </w:rPr>
        <w:t xml:space="preserve"> entre 5% et 10% dans 181 communes.</w:t>
      </w:r>
    </w:p>
    <w:p w:rsidR="00D504AD" w:rsidRDefault="00D504AD" w:rsidP="007D2DD6">
      <w:pPr>
        <w:autoSpaceDE w:val="0"/>
        <w:autoSpaceDN w:val="0"/>
        <w:adjustRightInd w:val="0"/>
        <w:spacing w:after="0" w:line="240" w:lineRule="auto"/>
        <w:jc w:val="both"/>
        <w:rPr>
          <w:rFonts w:ascii="Times New Roman" w:eastAsia="Calibri" w:hAnsi="Times New Roman" w:cs="Times New Roman"/>
          <w:sz w:val="24"/>
          <w:szCs w:val="24"/>
        </w:rPr>
      </w:pPr>
    </w:p>
    <w:p w:rsidR="00D504AD" w:rsidRDefault="00D504AD" w:rsidP="00D504AD">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S’agissant du taux de pauvreté globale, il marque des disparités importantes aux échelles territoriales :</w:t>
      </w:r>
    </w:p>
    <w:p w:rsidR="00C21763" w:rsidRDefault="00C21763"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 niveau régional, il atteint 20,7% à Darâa-Tafilalet, 19,1% à Beni Mellal-Khénifra, 14,3% à Marrakech-Safi, 13,4% à Fès-Meknès et 13,1% à L’oriental. </w:t>
      </w: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5740EE" w:rsidRDefault="00D504AD" w:rsidP="003731D2">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 l’échelle provinciale, la pauvreté globale est plus répandue dans les provinces Figuig (40,5%), Azilal (39,1%), Taounate (29,4%), Zagoura (27,8%), Essaouira (27,3%), Guercif (26,7%), Chichaoua (26,6%), Tinghir (26,2%), Boulmane (25,5%), Midelt (25,2%), Moulay Yacoub (24,1%), Youss</w:t>
      </w:r>
      <w:r w:rsidR="003731D2">
        <w:rPr>
          <w:rFonts w:ascii="Times New Roman" w:eastAsia="Calibri" w:hAnsi="Times New Roman" w:cs="Times New Roman"/>
          <w:sz w:val="24"/>
          <w:szCs w:val="24"/>
        </w:rPr>
        <w:t>ou</w:t>
      </w:r>
      <w:r>
        <w:rPr>
          <w:rFonts w:ascii="Times New Roman" w:eastAsia="Calibri" w:hAnsi="Times New Roman" w:cs="Times New Roman"/>
          <w:sz w:val="24"/>
          <w:szCs w:val="24"/>
        </w:rPr>
        <w:t xml:space="preserve">fia (24,0%), Tata (23,4%), Jerada (21,6%), Chefchaouen (21,2%) Khénifra (20,1%) et Taourirt (20,0%). </w:t>
      </w:r>
    </w:p>
    <w:p w:rsidR="00D504AD" w:rsidRDefault="00D504AD" w:rsidP="00D504A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C30A85" w:rsidRPr="00C30A85" w:rsidRDefault="00C30A85" w:rsidP="003E7180">
      <w:pPr>
        <w:spacing w:after="0" w:line="240" w:lineRule="auto"/>
        <w:jc w:val="both"/>
        <w:rPr>
          <w:rFonts w:asciiTheme="majorBidi" w:eastAsia="Calibri" w:hAnsiTheme="majorBidi" w:cstheme="majorBidi"/>
          <w:color w:val="00B050"/>
          <w:sz w:val="24"/>
          <w:szCs w:val="24"/>
        </w:rPr>
      </w:pPr>
      <w:r>
        <w:rPr>
          <w:rFonts w:asciiTheme="majorBidi" w:eastAsia="Calibri" w:hAnsiTheme="majorBidi" w:cstheme="majorBidi"/>
          <w:sz w:val="24"/>
          <w:szCs w:val="24"/>
        </w:rPr>
        <w:tab/>
      </w:r>
      <w:r w:rsidR="00D504AD" w:rsidRPr="00AD750D">
        <w:rPr>
          <w:rFonts w:asciiTheme="majorBidi" w:eastAsia="Calibri" w:hAnsiTheme="majorBidi" w:cstheme="majorBidi"/>
          <w:sz w:val="24"/>
          <w:szCs w:val="24"/>
        </w:rPr>
        <w:t>Au plan communal,</w:t>
      </w:r>
      <w:r w:rsidRPr="00AD750D">
        <w:rPr>
          <w:rFonts w:asciiTheme="majorBidi" w:eastAsia="Calibri" w:hAnsiTheme="majorBidi" w:cstheme="majorBidi"/>
          <w:sz w:val="24"/>
          <w:szCs w:val="24"/>
        </w:rPr>
        <w:t xml:space="preserve"> sur un total de 1683 communes et centres urbains, 224 ont un taux de pauvreté globale inférieur à 5%, 223 un taux entre 5% et 10%, 477 un taux entre 10% et 20%, 363 entre 20% et 30%, 207 entre 30% et 40% et 189 un taux supérieur à 40%.  </w:t>
      </w:r>
    </w:p>
    <w:p w:rsidR="00F77B5F" w:rsidRDefault="00F77B5F" w:rsidP="00F77B5F">
      <w:pPr>
        <w:autoSpaceDE w:val="0"/>
        <w:autoSpaceDN w:val="0"/>
        <w:adjustRightInd w:val="0"/>
        <w:spacing w:after="0" w:line="240" w:lineRule="auto"/>
        <w:jc w:val="both"/>
        <w:rPr>
          <w:rFonts w:ascii="Times New Roman" w:eastAsia="Calibri" w:hAnsi="Times New Roman" w:cs="Times New Roman"/>
          <w:sz w:val="24"/>
          <w:szCs w:val="24"/>
        </w:rPr>
      </w:pPr>
    </w:p>
    <w:p w:rsidR="00F77B5F" w:rsidRDefault="00F77B5F">
      <w:pPr>
        <w:rPr>
          <w:rFonts w:asciiTheme="majorBidi" w:eastAsia="Calibri" w:hAnsiTheme="majorBidi" w:cstheme="majorBidi"/>
          <w:b/>
          <w:bCs/>
          <w:sz w:val="24"/>
          <w:szCs w:val="24"/>
        </w:rPr>
      </w:pPr>
    </w:p>
    <w:sectPr w:rsidR="00F77B5F" w:rsidSect="00581AD7">
      <w:footerReference w:type="default" r:id="rId2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BE3" w:rsidRDefault="00811BE3" w:rsidP="00C37837">
      <w:pPr>
        <w:spacing w:after="0" w:line="240" w:lineRule="auto"/>
      </w:pPr>
      <w:r>
        <w:separator/>
      </w:r>
    </w:p>
  </w:endnote>
  <w:endnote w:type="continuationSeparator" w:id="1">
    <w:p w:rsidR="00811BE3" w:rsidRDefault="00811BE3" w:rsidP="00C37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761598"/>
      <w:docPartObj>
        <w:docPartGallery w:val="Page Numbers (Bottom of Page)"/>
        <w:docPartUnique/>
      </w:docPartObj>
    </w:sdtPr>
    <w:sdtContent>
      <w:p w:rsidR="0017388C" w:rsidRDefault="000C0DD9">
        <w:pPr>
          <w:pStyle w:val="Pieddepage"/>
          <w:jc w:val="right"/>
        </w:pPr>
        <w:r>
          <w:fldChar w:fldCharType="begin"/>
        </w:r>
        <w:r w:rsidR="0017388C">
          <w:instrText>PAGE   \* MERGEFORMAT</w:instrText>
        </w:r>
        <w:r>
          <w:fldChar w:fldCharType="separate"/>
        </w:r>
        <w:r w:rsidR="009D05EA">
          <w:rPr>
            <w:noProof/>
          </w:rPr>
          <w:t>2</w:t>
        </w:r>
        <w:r>
          <w:fldChar w:fldCharType="end"/>
        </w:r>
      </w:p>
    </w:sdtContent>
  </w:sdt>
  <w:p w:rsidR="0017388C" w:rsidRDefault="0017388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BE3" w:rsidRDefault="00811BE3" w:rsidP="00C37837">
      <w:pPr>
        <w:spacing w:after="0" w:line="240" w:lineRule="auto"/>
      </w:pPr>
      <w:r>
        <w:separator/>
      </w:r>
    </w:p>
  </w:footnote>
  <w:footnote w:type="continuationSeparator" w:id="1">
    <w:p w:rsidR="00811BE3" w:rsidRDefault="00811BE3" w:rsidP="00C37837">
      <w:pPr>
        <w:spacing w:after="0" w:line="240" w:lineRule="auto"/>
      </w:pPr>
      <w:r>
        <w:continuationSeparator/>
      </w:r>
    </w:p>
  </w:footnote>
  <w:footnote w:id="2">
    <w:p w:rsidR="000A2A38" w:rsidRPr="00581AD7" w:rsidRDefault="000A2A38">
      <w:pPr>
        <w:pStyle w:val="Notedebasdepage"/>
        <w:rPr>
          <w:lang w:val="en-US"/>
        </w:rPr>
      </w:pPr>
      <w:r>
        <w:rPr>
          <w:rStyle w:val="Appelnotedebasdep"/>
        </w:rPr>
        <w:footnoteRef/>
      </w:r>
      <w:r w:rsidRPr="00581AD7">
        <w:rPr>
          <w:lang w:val="en-US"/>
        </w:rPr>
        <w:t xml:space="preserve"> OPHI : Oxford Poverty and Human Development Initiative, Université d’Oxford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art2891"/>
      </v:shape>
    </w:pict>
  </w:numPicBullet>
  <w:numPicBullet w:numPicBulletId="1">
    <w:pict>
      <v:shape id="_x0000_i1029" type="#_x0000_t75" style="width:10.5pt;height:12.75pt" o:bullet="t">
        <v:imagedata r:id="rId2" o:title="art2892"/>
      </v:shape>
    </w:pict>
  </w:numPicBullet>
  <w:abstractNum w:abstractNumId="0">
    <w:nsid w:val="084E39EF"/>
    <w:multiLevelType w:val="hybridMultilevel"/>
    <w:tmpl w:val="C6FEBB4E"/>
    <w:lvl w:ilvl="0" w:tplc="28640930">
      <w:start w:val="1"/>
      <w:numFmt w:val="lowerRoman"/>
      <w:lvlText w:val="(%1)"/>
      <w:lvlJc w:val="left"/>
      <w:pPr>
        <w:ind w:left="1080" w:hanging="720"/>
      </w:pPr>
      <w:rPr>
        <w:rFonts w:eastAsiaTheme="minorHAns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A5B7B52"/>
    <w:multiLevelType w:val="multilevel"/>
    <w:tmpl w:val="665C6BB0"/>
    <w:lvl w:ilvl="0">
      <w:start w:val="1"/>
      <w:numFmt w:val="decimal"/>
      <w:lvlText w:val="%1"/>
      <w:lvlJc w:val="left"/>
      <w:pPr>
        <w:ind w:left="77" w:hanging="360"/>
      </w:pPr>
      <w:rPr>
        <w:rFonts w:hint="default"/>
      </w:rPr>
    </w:lvl>
    <w:lvl w:ilvl="1">
      <w:start w:val="1"/>
      <w:numFmt w:val="decimal"/>
      <w:lvlText w:val="%1-%2"/>
      <w:lvlJc w:val="left"/>
      <w:pPr>
        <w:ind w:left="1505" w:hanging="360"/>
      </w:pPr>
      <w:rPr>
        <w:rFonts w:hint="default"/>
        <w:b/>
        <w:bCs/>
      </w:rPr>
    </w:lvl>
    <w:lvl w:ilvl="2">
      <w:start w:val="1"/>
      <w:numFmt w:val="decimal"/>
      <w:lvlText w:val="%1-%2.%3"/>
      <w:lvlJc w:val="left"/>
      <w:pPr>
        <w:ind w:left="3293" w:hanging="720"/>
      </w:pPr>
      <w:rPr>
        <w:rFonts w:hint="default"/>
      </w:rPr>
    </w:lvl>
    <w:lvl w:ilvl="3">
      <w:start w:val="1"/>
      <w:numFmt w:val="decimal"/>
      <w:lvlText w:val="%1-%2.%3.%4"/>
      <w:lvlJc w:val="left"/>
      <w:pPr>
        <w:ind w:left="4721" w:hanging="720"/>
      </w:pPr>
      <w:rPr>
        <w:rFonts w:hint="default"/>
      </w:rPr>
    </w:lvl>
    <w:lvl w:ilvl="4">
      <w:start w:val="1"/>
      <w:numFmt w:val="decimal"/>
      <w:lvlText w:val="%1-%2.%3.%4.%5"/>
      <w:lvlJc w:val="left"/>
      <w:pPr>
        <w:ind w:left="6509" w:hanging="1080"/>
      </w:pPr>
      <w:rPr>
        <w:rFonts w:hint="default"/>
      </w:rPr>
    </w:lvl>
    <w:lvl w:ilvl="5">
      <w:start w:val="1"/>
      <w:numFmt w:val="decimal"/>
      <w:lvlText w:val="%1-%2.%3.%4.%5.%6"/>
      <w:lvlJc w:val="left"/>
      <w:pPr>
        <w:ind w:left="7937" w:hanging="1080"/>
      </w:pPr>
      <w:rPr>
        <w:rFonts w:hint="default"/>
      </w:rPr>
    </w:lvl>
    <w:lvl w:ilvl="6">
      <w:start w:val="1"/>
      <w:numFmt w:val="decimal"/>
      <w:lvlText w:val="%1-%2.%3.%4.%5.%6.%7"/>
      <w:lvlJc w:val="left"/>
      <w:pPr>
        <w:ind w:left="9725" w:hanging="1440"/>
      </w:pPr>
      <w:rPr>
        <w:rFonts w:hint="default"/>
      </w:rPr>
    </w:lvl>
    <w:lvl w:ilvl="7">
      <w:start w:val="1"/>
      <w:numFmt w:val="decimal"/>
      <w:lvlText w:val="%1-%2.%3.%4.%5.%6.%7.%8"/>
      <w:lvlJc w:val="left"/>
      <w:pPr>
        <w:ind w:left="11153" w:hanging="1440"/>
      </w:pPr>
      <w:rPr>
        <w:rFonts w:hint="default"/>
      </w:rPr>
    </w:lvl>
    <w:lvl w:ilvl="8">
      <w:start w:val="1"/>
      <w:numFmt w:val="decimal"/>
      <w:lvlText w:val="%1-%2.%3.%4.%5.%6.%7.%8.%9"/>
      <w:lvlJc w:val="left"/>
      <w:pPr>
        <w:ind w:left="12941" w:hanging="1800"/>
      </w:pPr>
      <w:rPr>
        <w:rFonts w:hint="default"/>
      </w:rPr>
    </w:lvl>
  </w:abstractNum>
  <w:abstractNum w:abstractNumId="2">
    <w:nsid w:val="0B64393A"/>
    <w:multiLevelType w:val="hybridMultilevel"/>
    <w:tmpl w:val="2556C182"/>
    <w:lvl w:ilvl="0" w:tplc="040C0001">
      <w:start w:val="1"/>
      <w:numFmt w:val="bullet"/>
      <w:lvlText w:val=""/>
      <w:lvlJc w:val="left"/>
      <w:pPr>
        <w:ind w:left="2970" w:hanging="360"/>
      </w:pPr>
      <w:rPr>
        <w:rFonts w:ascii="Symbol" w:hAnsi="Symbol" w:hint="default"/>
      </w:rPr>
    </w:lvl>
    <w:lvl w:ilvl="1" w:tplc="040C0003" w:tentative="1">
      <w:start w:val="1"/>
      <w:numFmt w:val="bullet"/>
      <w:lvlText w:val="o"/>
      <w:lvlJc w:val="left"/>
      <w:pPr>
        <w:ind w:left="3690" w:hanging="360"/>
      </w:pPr>
      <w:rPr>
        <w:rFonts w:ascii="Courier New" w:hAnsi="Courier New" w:cs="Courier New" w:hint="default"/>
      </w:rPr>
    </w:lvl>
    <w:lvl w:ilvl="2" w:tplc="040C0005" w:tentative="1">
      <w:start w:val="1"/>
      <w:numFmt w:val="bullet"/>
      <w:lvlText w:val=""/>
      <w:lvlJc w:val="left"/>
      <w:pPr>
        <w:ind w:left="4410" w:hanging="360"/>
      </w:pPr>
      <w:rPr>
        <w:rFonts w:ascii="Wingdings" w:hAnsi="Wingdings" w:hint="default"/>
      </w:rPr>
    </w:lvl>
    <w:lvl w:ilvl="3" w:tplc="040C0001" w:tentative="1">
      <w:start w:val="1"/>
      <w:numFmt w:val="bullet"/>
      <w:lvlText w:val=""/>
      <w:lvlJc w:val="left"/>
      <w:pPr>
        <w:ind w:left="5130" w:hanging="360"/>
      </w:pPr>
      <w:rPr>
        <w:rFonts w:ascii="Symbol" w:hAnsi="Symbol" w:hint="default"/>
      </w:rPr>
    </w:lvl>
    <w:lvl w:ilvl="4" w:tplc="040C0003" w:tentative="1">
      <w:start w:val="1"/>
      <w:numFmt w:val="bullet"/>
      <w:lvlText w:val="o"/>
      <w:lvlJc w:val="left"/>
      <w:pPr>
        <w:ind w:left="5850" w:hanging="360"/>
      </w:pPr>
      <w:rPr>
        <w:rFonts w:ascii="Courier New" w:hAnsi="Courier New" w:cs="Courier New" w:hint="default"/>
      </w:rPr>
    </w:lvl>
    <w:lvl w:ilvl="5" w:tplc="040C0005" w:tentative="1">
      <w:start w:val="1"/>
      <w:numFmt w:val="bullet"/>
      <w:lvlText w:val=""/>
      <w:lvlJc w:val="left"/>
      <w:pPr>
        <w:ind w:left="6570" w:hanging="360"/>
      </w:pPr>
      <w:rPr>
        <w:rFonts w:ascii="Wingdings" w:hAnsi="Wingdings" w:hint="default"/>
      </w:rPr>
    </w:lvl>
    <w:lvl w:ilvl="6" w:tplc="040C0001" w:tentative="1">
      <w:start w:val="1"/>
      <w:numFmt w:val="bullet"/>
      <w:lvlText w:val=""/>
      <w:lvlJc w:val="left"/>
      <w:pPr>
        <w:ind w:left="7290" w:hanging="360"/>
      </w:pPr>
      <w:rPr>
        <w:rFonts w:ascii="Symbol" w:hAnsi="Symbol" w:hint="default"/>
      </w:rPr>
    </w:lvl>
    <w:lvl w:ilvl="7" w:tplc="040C0003" w:tentative="1">
      <w:start w:val="1"/>
      <w:numFmt w:val="bullet"/>
      <w:lvlText w:val="o"/>
      <w:lvlJc w:val="left"/>
      <w:pPr>
        <w:ind w:left="8010" w:hanging="360"/>
      </w:pPr>
      <w:rPr>
        <w:rFonts w:ascii="Courier New" w:hAnsi="Courier New" w:cs="Courier New" w:hint="default"/>
      </w:rPr>
    </w:lvl>
    <w:lvl w:ilvl="8" w:tplc="040C0005" w:tentative="1">
      <w:start w:val="1"/>
      <w:numFmt w:val="bullet"/>
      <w:lvlText w:val=""/>
      <w:lvlJc w:val="left"/>
      <w:pPr>
        <w:ind w:left="8730" w:hanging="360"/>
      </w:pPr>
      <w:rPr>
        <w:rFonts w:ascii="Wingdings" w:hAnsi="Wingdings" w:hint="default"/>
      </w:rPr>
    </w:lvl>
  </w:abstractNum>
  <w:abstractNum w:abstractNumId="3">
    <w:nsid w:val="0DAD51EE"/>
    <w:multiLevelType w:val="multilevel"/>
    <w:tmpl w:val="257439EC"/>
    <w:lvl w:ilvl="0">
      <w:start w:val="1"/>
      <w:numFmt w:val="decimal"/>
      <w:lvlText w:val="%1"/>
      <w:lvlJc w:val="left"/>
      <w:pPr>
        <w:ind w:left="360" w:hanging="360"/>
      </w:pPr>
      <w:rPr>
        <w:rFonts w:hint="default"/>
      </w:rPr>
    </w:lvl>
    <w:lvl w:ilvl="1">
      <w:start w:val="1"/>
      <w:numFmt w:val="decimal"/>
      <w:lvlText w:val="%1.%2"/>
      <w:lvlJc w:val="left"/>
      <w:pPr>
        <w:ind w:left="1920" w:hanging="360"/>
      </w:pPr>
      <w:rPr>
        <w:rFonts w:hint="default"/>
        <w:b/>
        <w:bCs/>
      </w:rPr>
    </w:lvl>
    <w:lvl w:ilvl="2">
      <w:start w:val="1"/>
      <w:numFmt w:val="decimal"/>
      <w:lvlText w:val="%1.%2.%3"/>
      <w:lvlJc w:val="left"/>
      <w:pPr>
        <w:ind w:left="4968" w:hanging="720"/>
      </w:pPr>
      <w:rPr>
        <w:rFonts w:hint="default"/>
      </w:rPr>
    </w:lvl>
    <w:lvl w:ilvl="3">
      <w:start w:val="1"/>
      <w:numFmt w:val="decimal"/>
      <w:lvlText w:val="%1.%2.%3.%4"/>
      <w:lvlJc w:val="left"/>
      <w:pPr>
        <w:ind w:left="7092" w:hanging="720"/>
      </w:pPr>
      <w:rPr>
        <w:rFonts w:hint="default"/>
      </w:rPr>
    </w:lvl>
    <w:lvl w:ilvl="4">
      <w:start w:val="1"/>
      <w:numFmt w:val="decimal"/>
      <w:lvlText w:val="%1.%2.%3.%4.%5"/>
      <w:lvlJc w:val="left"/>
      <w:pPr>
        <w:ind w:left="9576" w:hanging="1080"/>
      </w:pPr>
      <w:rPr>
        <w:rFonts w:hint="default"/>
      </w:rPr>
    </w:lvl>
    <w:lvl w:ilvl="5">
      <w:start w:val="1"/>
      <w:numFmt w:val="decimal"/>
      <w:lvlText w:val="%1.%2.%3.%4.%5.%6"/>
      <w:lvlJc w:val="left"/>
      <w:pPr>
        <w:ind w:left="11700" w:hanging="1080"/>
      </w:pPr>
      <w:rPr>
        <w:rFonts w:hint="default"/>
      </w:rPr>
    </w:lvl>
    <w:lvl w:ilvl="6">
      <w:start w:val="1"/>
      <w:numFmt w:val="decimal"/>
      <w:lvlText w:val="%1.%2.%3.%4.%5.%6.%7"/>
      <w:lvlJc w:val="left"/>
      <w:pPr>
        <w:ind w:left="14184" w:hanging="1440"/>
      </w:pPr>
      <w:rPr>
        <w:rFonts w:hint="default"/>
      </w:rPr>
    </w:lvl>
    <w:lvl w:ilvl="7">
      <w:start w:val="1"/>
      <w:numFmt w:val="decimal"/>
      <w:lvlText w:val="%1.%2.%3.%4.%5.%6.%7.%8"/>
      <w:lvlJc w:val="left"/>
      <w:pPr>
        <w:ind w:left="16308" w:hanging="1440"/>
      </w:pPr>
      <w:rPr>
        <w:rFonts w:hint="default"/>
      </w:rPr>
    </w:lvl>
    <w:lvl w:ilvl="8">
      <w:start w:val="1"/>
      <w:numFmt w:val="decimal"/>
      <w:lvlText w:val="%1.%2.%3.%4.%5.%6.%7.%8.%9"/>
      <w:lvlJc w:val="left"/>
      <w:pPr>
        <w:ind w:left="18792" w:hanging="1800"/>
      </w:pPr>
      <w:rPr>
        <w:rFonts w:hint="default"/>
      </w:rPr>
    </w:lvl>
  </w:abstractNum>
  <w:abstractNum w:abstractNumId="4">
    <w:nsid w:val="0DB46655"/>
    <w:multiLevelType w:val="hybridMultilevel"/>
    <w:tmpl w:val="AFDE4D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B531D8"/>
    <w:multiLevelType w:val="hybridMultilevel"/>
    <w:tmpl w:val="CCF0A596"/>
    <w:lvl w:ilvl="0" w:tplc="0AC22150">
      <w:start w:val="1"/>
      <w:numFmt w:val="bullet"/>
      <w:lvlText w:val=""/>
      <w:lvlPicBulletId w:val="0"/>
      <w:lvlJc w:val="left"/>
      <w:pPr>
        <w:tabs>
          <w:tab w:val="num" w:pos="720"/>
        </w:tabs>
        <w:ind w:left="720" w:hanging="360"/>
      </w:pPr>
      <w:rPr>
        <w:rFonts w:ascii="Symbol" w:hAnsi="Symbol" w:hint="default"/>
      </w:rPr>
    </w:lvl>
    <w:lvl w:ilvl="1" w:tplc="44003464">
      <w:start w:val="3465"/>
      <w:numFmt w:val="bullet"/>
      <w:lvlText w:val=""/>
      <w:lvlPicBulletId w:val="1"/>
      <w:lvlJc w:val="left"/>
      <w:pPr>
        <w:tabs>
          <w:tab w:val="num" w:pos="1440"/>
        </w:tabs>
        <w:ind w:left="1440" w:hanging="360"/>
      </w:pPr>
      <w:rPr>
        <w:rFonts w:ascii="Symbol" w:hAnsi="Symbol" w:hint="default"/>
      </w:rPr>
    </w:lvl>
    <w:lvl w:ilvl="2" w:tplc="5AACD21E" w:tentative="1">
      <w:start w:val="1"/>
      <w:numFmt w:val="bullet"/>
      <w:lvlText w:val=""/>
      <w:lvlPicBulletId w:val="0"/>
      <w:lvlJc w:val="left"/>
      <w:pPr>
        <w:tabs>
          <w:tab w:val="num" w:pos="2160"/>
        </w:tabs>
        <w:ind w:left="2160" w:hanging="360"/>
      </w:pPr>
      <w:rPr>
        <w:rFonts w:ascii="Symbol" w:hAnsi="Symbol" w:hint="default"/>
      </w:rPr>
    </w:lvl>
    <w:lvl w:ilvl="3" w:tplc="5E766BE8" w:tentative="1">
      <w:start w:val="1"/>
      <w:numFmt w:val="bullet"/>
      <w:lvlText w:val=""/>
      <w:lvlPicBulletId w:val="0"/>
      <w:lvlJc w:val="left"/>
      <w:pPr>
        <w:tabs>
          <w:tab w:val="num" w:pos="2880"/>
        </w:tabs>
        <w:ind w:left="2880" w:hanging="360"/>
      </w:pPr>
      <w:rPr>
        <w:rFonts w:ascii="Symbol" w:hAnsi="Symbol" w:hint="default"/>
      </w:rPr>
    </w:lvl>
    <w:lvl w:ilvl="4" w:tplc="38EC20AC" w:tentative="1">
      <w:start w:val="1"/>
      <w:numFmt w:val="bullet"/>
      <w:lvlText w:val=""/>
      <w:lvlPicBulletId w:val="0"/>
      <w:lvlJc w:val="left"/>
      <w:pPr>
        <w:tabs>
          <w:tab w:val="num" w:pos="3600"/>
        </w:tabs>
        <w:ind w:left="3600" w:hanging="360"/>
      </w:pPr>
      <w:rPr>
        <w:rFonts w:ascii="Symbol" w:hAnsi="Symbol" w:hint="default"/>
      </w:rPr>
    </w:lvl>
    <w:lvl w:ilvl="5" w:tplc="D464AF56" w:tentative="1">
      <w:start w:val="1"/>
      <w:numFmt w:val="bullet"/>
      <w:lvlText w:val=""/>
      <w:lvlPicBulletId w:val="0"/>
      <w:lvlJc w:val="left"/>
      <w:pPr>
        <w:tabs>
          <w:tab w:val="num" w:pos="4320"/>
        </w:tabs>
        <w:ind w:left="4320" w:hanging="360"/>
      </w:pPr>
      <w:rPr>
        <w:rFonts w:ascii="Symbol" w:hAnsi="Symbol" w:hint="default"/>
      </w:rPr>
    </w:lvl>
    <w:lvl w:ilvl="6" w:tplc="148EF2C8" w:tentative="1">
      <w:start w:val="1"/>
      <w:numFmt w:val="bullet"/>
      <w:lvlText w:val=""/>
      <w:lvlPicBulletId w:val="0"/>
      <w:lvlJc w:val="left"/>
      <w:pPr>
        <w:tabs>
          <w:tab w:val="num" w:pos="5040"/>
        </w:tabs>
        <w:ind w:left="5040" w:hanging="360"/>
      </w:pPr>
      <w:rPr>
        <w:rFonts w:ascii="Symbol" w:hAnsi="Symbol" w:hint="default"/>
      </w:rPr>
    </w:lvl>
    <w:lvl w:ilvl="7" w:tplc="8886DE6E" w:tentative="1">
      <w:start w:val="1"/>
      <w:numFmt w:val="bullet"/>
      <w:lvlText w:val=""/>
      <w:lvlPicBulletId w:val="0"/>
      <w:lvlJc w:val="left"/>
      <w:pPr>
        <w:tabs>
          <w:tab w:val="num" w:pos="5760"/>
        </w:tabs>
        <w:ind w:left="5760" w:hanging="360"/>
      </w:pPr>
      <w:rPr>
        <w:rFonts w:ascii="Symbol" w:hAnsi="Symbol" w:hint="default"/>
      </w:rPr>
    </w:lvl>
    <w:lvl w:ilvl="8" w:tplc="BB30C962"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13B36D68"/>
    <w:multiLevelType w:val="hybridMultilevel"/>
    <w:tmpl w:val="593CB460"/>
    <w:lvl w:ilvl="0" w:tplc="4E80ED04">
      <w:start w:val="1"/>
      <w:numFmt w:val="bullet"/>
      <w:lvlText w:val="•"/>
      <w:lvlJc w:val="left"/>
      <w:pPr>
        <w:ind w:left="2355" w:hanging="360"/>
      </w:pPr>
      <w:rPr>
        <w:rFonts w:ascii="Times New Roman" w:hAnsi="Times New Roman"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7">
    <w:nsid w:val="147D4463"/>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8">
    <w:nsid w:val="1715389D"/>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9">
    <w:nsid w:val="18A358DA"/>
    <w:multiLevelType w:val="hybridMultilevel"/>
    <w:tmpl w:val="E77C3C00"/>
    <w:lvl w:ilvl="0" w:tplc="CCCC3B80">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nsid w:val="1AC36FC8"/>
    <w:multiLevelType w:val="hybridMultilevel"/>
    <w:tmpl w:val="3F644378"/>
    <w:lvl w:ilvl="0" w:tplc="BA0C15A8">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BB656BB"/>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2">
    <w:nsid w:val="1C1E60B9"/>
    <w:multiLevelType w:val="hybridMultilevel"/>
    <w:tmpl w:val="FA5E8C94"/>
    <w:lvl w:ilvl="0" w:tplc="7536FE70">
      <w:start w:val="1"/>
      <w:numFmt w:val="decimal"/>
      <w:lvlText w:val="%1-"/>
      <w:lvlJc w:val="left"/>
      <w:pPr>
        <w:ind w:left="1210" w:hanging="360"/>
      </w:pPr>
      <w:rPr>
        <w:rFonts w:hint="default"/>
        <w:b/>
        <w:bCs/>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13">
    <w:nsid w:val="1EAD0782"/>
    <w:multiLevelType w:val="hybridMultilevel"/>
    <w:tmpl w:val="9A4E48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C9398A"/>
    <w:multiLevelType w:val="hybridMultilevel"/>
    <w:tmpl w:val="3E20B922"/>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5">
    <w:nsid w:val="1FDE33F3"/>
    <w:multiLevelType w:val="hybridMultilevel"/>
    <w:tmpl w:val="AB9AB488"/>
    <w:lvl w:ilvl="0" w:tplc="7240689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F70664"/>
    <w:multiLevelType w:val="hybridMultilevel"/>
    <w:tmpl w:val="821263F2"/>
    <w:lvl w:ilvl="0" w:tplc="8B720C3A">
      <w:start w:val="1"/>
      <w:numFmt w:val="decimal"/>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nsid w:val="282C5182"/>
    <w:multiLevelType w:val="multilevel"/>
    <w:tmpl w:val="7694B07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E915C3"/>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nsid w:val="2BBD3557"/>
    <w:multiLevelType w:val="hybridMultilevel"/>
    <w:tmpl w:val="0A106D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2E204255"/>
    <w:multiLevelType w:val="hybridMultilevel"/>
    <w:tmpl w:val="2FB6C254"/>
    <w:lvl w:ilvl="0" w:tplc="C7905898">
      <w:start w:val="1"/>
      <w:numFmt w:val="decimal"/>
      <w:lvlText w:val="%1-"/>
      <w:lvlJc w:val="left"/>
      <w:pPr>
        <w:ind w:left="1069" w:hanging="360"/>
      </w:pPr>
      <w:rPr>
        <w:rFonts w:asciiTheme="majorBidi" w:eastAsiaTheme="minorHAnsi" w:hAnsiTheme="majorBidi" w:cstheme="majorBidi"/>
        <w:b/>
        <w:bCs/>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nsid w:val="2EB631A8"/>
    <w:multiLevelType w:val="hybridMultilevel"/>
    <w:tmpl w:val="7540B9A6"/>
    <w:lvl w:ilvl="0" w:tplc="C22834A4">
      <w:start w:val="1"/>
      <w:numFmt w:val="decimal"/>
      <w:lvlText w:val="%1-"/>
      <w:lvlJc w:val="left"/>
      <w:pPr>
        <w:ind w:left="1068"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2">
    <w:nsid w:val="2ED6073D"/>
    <w:multiLevelType w:val="hybridMultilevel"/>
    <w:tmpl w:val="C1103B1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2FBC0A6C"/>
    <w:multiLevelType w:val="hybridMultilevel"/>
    <w:tmpl w:val="9D960370"/>
    <w:lvl w:ilvl="0" w:tplc="1DDE2D9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4A43C6A"/>
    <w:multiLevelType w:val="hybridMultilevel"/>
    <w:tmpl w:val="08284A7A"/>
    <w:lvl w:ilvl="0" w:tplc="7CA2F8D8">
      <w:start w:val="1"/>
      <w:numFmt w:val="decimal"/>
      <w:lvlText w:val="%1-"/>
      <w:lvlJc w:val="left"/>
      <w:pPr>
        <w:ind w:left="1210" w:hanging="360"/>
      </w:pPr>
      <w:rPr>
        <w:rFonts w:hint="default"/>
      </w:rPr>
    </w:lvl>
    <w:lvl w:ilvl="1" w:tplc="040C0019" w:tentative="1">
      <w:start w:val="1"/>
      <w:numFmt w:val="lowerLetter"/>
      <w:lvlText w:val="%2."/>
      <w:lvlJc w:val="left"/>
      <w:pPr>
        <w:ind w:left="1930" w:hanging="360"/>
      </w:pPr>
    </w:lvl>
    <w:lvl w:ilvl="2" w:tplc="040C001B" w:tentative="1">
      <w:start w:val="1"/>
      <w:numFmt w:val="lowerRoman"/>
      <w:lvlText w:val="%3."/>
      <w:lvlJc w:val="right"/>
      <w:pPr>
        <w:ind w:left="2650" w:hanging="180"/>
      </w:pPr>
    </w:lvl>
    <w:lvl w:ilvl="3" w:tplc="040C000F" w:tentative="1">
      <w:start w:val="1"/>
      <w:numFmt w:val="decimal"/>
      <w:lvlText w:val="%4."/>
      <w:lvlJc w:val="left"/>
      <w:pPr>
        <w:ind w:left="3370" w:hanging="360"/>
      </w:pPr>
    </w:lvl>
    <w:lvl w:ilvl="4" w:tplc="040C0019" w:tentative="1">
      <w:start w:val="1"/>
      <w:numFmt w:val="lowerLetter"/>
      <w:lvlText w:val="%5."/>
      <w:lvlJc w:val="left"/>
      <w:pPr>
        <w:ind w:left="4090" w:hanging="360"/>
      </w:pPr>
    </w:lvl>
    <w:lvl w:ilvl="5" w:tplc="040C001B" w:tentative="1">
      <w:start w:val="1"/>
      <w:numFmt w:val="lowerRoman"/>
      <w:lvlText w:val="%6."/>
      <w:lvlJc w:val="right"/>
      <w:pPr>
        <w:ind w:left="4810" w:hanging="180"/>
      </w:pPr>
    </w:lvl>
    <w:lvl w:ilvl="6" w:tplc="040C000F" w:tentative="1">
      <w:start w:val="1"/>
      <w:numFmt w:val="decimal"/>
      <w:lvlText w:val="%7."/>
      <w:lvlJc w:val="left"/>
      <w:pPr>
        <w:ind w:left="5530" w:hanging="360"/>
      </w:pPr>
    </w:lvl>
    <w:lvl w:ilvl="7" w:tplc="040C0019" w:tentative="1">
      <w:start w:val="1"/>
      <w:numFmt w:val="lowerLetter"/>
      <w:lvlText w:val="%8."/>
      <w:lvlJc w:val="left"/>
      <w:pPr>
        <w:ind w:left="6250" w:hanging="360"/>
      </w:pPr>
    </w:lvl>
    <w:lvl w:ilvl="8" w:tplc="040C001B" w:tentative="1">
      <w:start w:val="1"/>
      <w:numFmt w:val="lowerRoman"/>
      <w:lvlText w:val="%9."/>
      <w:lvlJc w:val="right"/>
      <w:pPr>
        <w:ind w:left="6970" w:hanging="180"/>
      </w:pPr>
    </w:lvl>
  </w:abstractNum>
  <w:abstractNum w:abstractNumId="25">
    <w:nsid w:val="364E1984"/>
    <w:multiLevelType w:val="hybridMultilevel"/>
    <w:tmpl w:val="CF9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5345F3"/>
    <w:multiLevelType w:val="multilevel"/>
    <w:tmpl w:val="6814570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4842" w:hanging="720"/>
      </w:pPr>
      <w:rPr>
        <w:rFonts w:hint="default"/>
      </w:rPr>
    </w:lvl>
    <w:lvl w:ilvl="3">
      <w:start w:val="1"/>
      <w:numFmt w:val="decimal"/>
      <w:lvlText w:val="%1-%2.%3.%4"/>
      <w:lvlJc w:val="left"/>
      <w:pPr>
        <w:ind w:left="6903" w:hanging="720"/>
      </w:pPr>
      <w:rPr>
        <w:rFonts w:hint="default"/>
      </w:rPr>
    </w:lvl>
    <w:lvl w:ilvl="4">
      <w:start w:val="1"/>
      <w:numFmt w:val="decimal"/>
      <w:lvlText w:val="%1-%2.%3.%4.%5"/>
      <w:lvlJc w:val="left"/>
      <w:pPr>
        <w:ind w:left="9324" w:hanging="1080"/>
      </w:pPr>
      <w:rPr>
        <w:rFonts w:hint="default"/>
      </w:rPr>
    </w:lvl>
    <w:lvl w:ilvl="5">
      <w:start w:val="1"/>
      <w:numFmt w:val="decimal"/>
      <w:lvlText w:val="%1-%2.%3.%4.%5.%6"/>
      <w:lvlJc w:val="left"/>
      <w:pPr>
        <w:ind w:left="11385" w:hanging="1080"/>
      </w:pPr>
      <w:rPr>
        <w:rFonts w:hint="default"/>
      </w:rPr>
    </w:lvl>
    <w:lvl w:ilvl="6">
      <w:start w:val="1"/>
      <w:numFmt w:val="decimal"/>
      <w:lvlText w:val="%1-%2.%3.%4.%5.%6.%7"/>
      <w:lvlJc w:val="left"/>
      <w:pPr>
        <w:ind w:left="13806" w:hanging="1440"/>
      </w:pPr>
      <w:rPr>
        <w:rFonts w:hint="default"/>
      </w:rPr>
    </w:lvl>
    <w:lvl w:ilvl="7">
      <w:start w:val="1"/>
      <w:numFmt w:val="decimal"/>
      <w:lvlText w:val="%1-%2.%3.%4.%5.%6.%7.%8"/>
      <w:lvlJc w:val="left"/>
      <w:pPr>
        <w:ind w:left="15867" w:hanging="1440"/>
      </w:pPr>
      <w:rPr>
        <w:rFonts w:hint="default"/>
      </w:rPr>
    </w:lvl>
    <w:lvl w:ilvl="8">
      <w:start w:val="1"/>
      <w:numFmt w:val="decimal"/>
      <w:lvlText w:val="%1-%2.%3.%4.%5.%6.%7.%8.%9"/>
      <w:lvlJc w:val="left"/>
      <w:pPr>
        <w:ind w:left="18288" w:hanging="1800"/>
      </w:pPr>
      <w:rPr>
        <w:rFonts w:hint="default"/>
      </w:rPr>
    </w:lvl>
  </w:abstractNum>
  <w:abstractNum w:abstractNumId="27">
    <w:nsid w:val="3DFA65AC"/>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nsid w:val="40BB117E"/>
    <w:multiLevelType w:val="hybridMultilevel"/>
    <w:tmpl w:val="6520FA7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9">
    <w:nsid w:val="44A93B18"/>
    <w:multiLevelType w:val="multilevel"/>
    <w:tmpl w:val="7C6C9E7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459B18A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60F6441"/>
    <w:multiLevelType w:val="hybridMultilevel"/>
    <w:tmpl w:val="83D60B54"/>
    <w:lvl w:ilvl="0" w:tplc="38289F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8FC26A8"/>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3">
    <w:nsid w:val="4A6C51D2"/>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4">
    <w:nsid w:val="5ABA4FC0"/>
    <w:multiLevelType w:val="hybridMultilevel"/>
    <w:tmpl w:val="7540B9A6"/>
    <w:lvl w:ilvl="0" w:tplc="C22834A4">
      <w:start w:val="1"/>
      <w:numFmt w:val="decimal"/>
      <w:lvlText w:val="%1-"/>
      <w:lvlJc w:val="left"/>
      <w:pPr>
        <w:ind w:left="1069" w:hanging="360"/>
      </w:pPr>
      <w:rPr>
        <w:rFonts w:asciiTheme="majorBidi" w:eastAsiaTheme="minorHAnsi" w:hAnsiTheme="majorBidi" w:cstheme="majorBidi"/>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nsid w:val="62CE4CC5"/>
    <w:multiLevelType w:val="hybridMultilevel"/>
    <w:tmpl w:val="BF082050"/>
    <w:lvl w:ilvl="0" w:tplc="040C0013">
      <w:start w:val="1"/>
      <w:numFmt w:val="upperRoman"/>
      <w:lvlText w:val="%1."/>
      <w:lvlJc w:val="righ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36">
    <w:nsid w:val="6FFA298B"/>
    <w:multiLevelType w:val="hybridMultilevel"/>
    <w:tmpl w:val="083060E6"/>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7">
    <w:nsid w:val="722B37F6"/>
    <w:multiLevelType w:val="hybridMultilevel"/>
    <w:tmpl w:val="76EE02EA"/>
    <w:lvl w:ilvl="0" w:tplc="9072D4D4">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nsid w:val="72561408"/>
    <w:multiLevelType w:val="hybridMultilevel"/>
    <w:tmpl w:val="3BA6A96C"/>
    <w:lvl w:ilvl="0" w:tplc="BFB2AF3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2B976F4"/>
    <w:multiLevelType w:val="hybridMultilevel"/>
    <w:tmpl w:val="3000D3D2"/>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440" w:hanging="360"/>
      </w:pPr>
      <w:rPr>
        <w:rFont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34A3CEC"/>
    <w:multiLevelType w:val="multilevel"/>
    <w:tmpl w:val="665C6BB0"/>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b/>
        <w:bCs/>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1">
    <w:nsid w:val="767D5D53"/>
    <w:multiLevelType w:val="hybridMultilevel"/>
    <w:tmpl w:val="2FB6C254"/>
    <w:lvl w:ilvl="0" w:tplc="C7905898">
      <w:start w:val="1"/>
      <w:numFmt w:val="decimal"/>
      <w:lvlText w:val="%1-"/>
      <w:lvlJc w:val="left"/>
      <w:pPr>
        <w:ind w:left="1068" w:hanging="360"/>
      </w:pPr>
      <w:rPr>
        <w:rFonts w:asciiTheme="majorBidi" w:eastAsiaTheme="minorHAnsi" w:hAnsiTheme="majorBidi" w:cstheme="majorBidi"/>
        <w:b/>
        <w:bCs/>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1919"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nsid w:val="768F0C71"/>
    <w:multiLevelType w:val="hybridMultilevel"/>
    <w:tmpl w:val="A26C85E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3">
    <w:nsid w:val="778C1466"/>
    <w:multiLevelType w:val="hybridMultilevel"/>
    <w:tmpl w:val="0F00C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8FE6B84"/>
    <w:multiLevelType w:val="multilevel"/>
    <w:tmpl w:val="A1105CC6"/>
    <w:lvl w:ilvl="0">
      <w:start w:val="2"/>
      <w:numFmt w:val="decimal"/>
      <w:lvlText w:val="%1"/>
      <w:lvlJc w:val="left"/>
      <w:pPr>
        <w:ind w:left="360" w:hanging="360"/>
      </w:pPr>
      <w:rPr>
        <w:rFonts w:hint="default"/>
      </w:rPr>
    </w:lvl>
    <w:lvl w:ilvl="1">
      <w:start w:val="1"/>
      <w:numFmt w:val="decimal"/>
      <w:lvlText w:val="%1-%2"/>
      <w:lvlJc w:val="left"/>
      <w:pPr>
        <w:ind w:left="1919" w:hanging="360"/>
      </w:pPr>
      <w:rPr>
        <w:rFonts w:hint="default"/>
        <w:b/>
        <w:bCs/>
      </w:rPr>
    </w:lvl>
    <w:lvl w:ilvl="2">
      <w:start w:val="1"/>
      <w:numFmt w:val="decimal"/>
      <w:lvlText w:val="%1-%2.%3"/>
      <w:lvlJc w:val="left"/>
      <w:pPr>
        <w:ind w:left="3129" w:hanging="720"/>
      </w:pPr>
      <w:rPr>
        <w:rFonts w:hint="default"/>
      </w:rPr>
    </w:lvl>
    <w:lvl w:ilvl="3">
      <w:start w:val="1"/>
      <w:numFmt w:val="decimal"/>
      <w:lvlText w:val="%1-%2.%3.%4"/>
      <w:lvlJc w:val="left"/>
      <w:pPr>
        <w:ind w:left="7785" w:hanging="720"/>
      </w:pPr>
      <w:rPr>
        <w:rFonts w:hint="default"/>
      </w:rPr>
    </w:lvl>
    <w:lvl w:ilvl="4">
      <w:start w:val="1"/>
      <w:numFmt w:val="decimal"/>
      <w:lvlText w:val="%1-%2.%3.%4.%5"/>
      <w:lvlJc w:val="left"/>
      <w:pPr>
        <w:ind w:left="10500" w:hanging="1080"/>
      </w:pPr>
      <w:rPr>
        <w:rFonts w:hint="default"/>
      </w:rPr>
    </w:lvl>
    <w:lvl w:ilvl="5">
      <w:start w:val="1"/>
      <w:numFmt w:val="decimal"/>
      <w:lvlText w:val="%1-%2.%3.%4.%5.%6"/>
      <w:lvlJc w:val="left"/>
      <w:pPr>
        <w:ind w:left="12855" w:hanging="1080"/>
      </w:pPr>
      <w:rPr>
        <w:rFonts w:hint="default"/>
      </w:rPr>
    </w:lvl>
    <w:lvl w:ilvl="6">
      <w:start w:val="1"/>
      <w:numFmt w:val="decimal"/>
      <w:lvlText w:val="%1-%2.%3.%4.%5.%6.%7"/>
      <w:lvlJc w:val="left"/>
      <w:pPr>
        <w:ind w:left="15570" w:hanging="1440"/>
      </w:pPr>
      <w:rPr>
        <w:rFonts w:hint="default"/>
      </w:rPr>
    </w:lvl>
    <w:lvl w:ilvl="7">
      <w:start w:val="1"/>
      <w:numFmt w:val="decimal"/>
      <w:lvlText w:val="%1-%2.%3.%4.%5.%6.%7.%8"/>
      <w:lvlJc w:val="left"/>
      <w:pPr>
        <w:ind w:left="17925" w:hanging="1440"/>
      </w:pPr>
      <w:rPr>
        <w:rFonts w:hint="default"/>
      </w:rPr>
    </w:lvl>
    <w:lvl w:ilvl="8">
      <w:start w:val="1"/>
      <w:numFmt w:val="decimal"/>
      <w:lvlText w:val="%1-%2.%3.%4.%5.%6.%7.%8.%9"/>
      <w:lvlJc w:val="left"/>
      <w:pPr>
        <w:ind w:left="20640" w:hanging="1800"/>
      </w:pPr>
      <w:rPr>
        <w:rFonts w:hint="default"/>
      </w:rPr>
    </w:lvl>
  </w:abstractNum>
  <w:num w:numId="1">
    <w:abstractNumId w:val="6"/>
  </w:num>
  <w:num w:numId="2">
    <w:abstractNumId w:val="2"/>
  </w:num>
  <w:num w:numId="3">
    <w:abstractNumId w:val="14"/>
  </w:num>
  <w:num w:numId="4">
    <w:abstractNumId w:val="41"/>
  </w:num>
  <w:num w:numId="5">
    <w:abstractNumId w:val="29"/>
  </w:num>
  <w:num w:numId="6">
    <w:abstractNumId w:val="30"/>
  </w:num>
  <w:num w:numId="7">
    <w:abstractNumId w:val="10"/>
  </w:num>
  <w:num w:numId="8">
    <w:abstractNumId w:val="19"/>
  </w:num>
  <w:num w:numId="9">
    <w:abstractNumId w:val="21"/>
  </w:num>
  <w:num w:numId="10">
    <w:abstractNumId w:val="44"/>
  </w:num>
  <w:num w:numId="11">
    <w:abstractNumId w:val="26"/>
  </w:num>
  <w:num w:numId="12">
    <w:abstractNumId w:val="12"/>
  </w:num>
  <w:num w:numId="13">
    <w:abstractNumId w:val="24"/>
  </w:num>
  <w:num w:numId="14">
    <w:abstractNumId w:val="37"/>
  </w:num>
  <w:num w:numId="15">
    <w:abstractNumId w:val="17"/>
  </w:num>
  <w:num w:numId="16">
    <w:abstractNumId w:val="3"/>
  </w:num>
  <w:num w:numId="17">
    <w:abstractNumId w:val="31"/>
  </w:num>
  <w:num w:numId="18">
    <w:abstractNumId w:val="9"/>
  </w:num>
  <w:num w:numId="19">
    <w:abstractNumId w:val="22"/>
  </w:num>
  <w:num w:numId="20">
    <w:abstractNumId w:val="35"/>
  </w:num>
  <w:num w:numId="21">
    <w:abstractNumId w:val="34"/>
  </w:num>
  <w:num w:numId="22">
    <w:abstractNumId w:val="18"/>
  </w:num>
  <w:num w:numId="23">
    <w:abstractNumId w:val="20"/>
  </w:num>
  <w:num w:numId="24">
    <w:abstractNumId w:val="7"/>
  </w:num>
  <w:num w:numId="25">
    <w:abstractNumId w:val="8"/>
  </w:num>
  <w:num w:numId="26">
    <w:abstractNumId w:val="42"/>
  </w:num>
  <w:num w:numId="27">
    <w:abstractNumId w:val="16"/>
  </w:num>
  <w:num w:numId="28">
    <w:abstractNumId w:val="1"/>
  </w:num>
  <w:num w:numId="29">
    <w:abstractNumId w:val="40"/>
  </w:num>
  <w:num w:numId="30">
    <w:abstractNumId w:val="27"/>
  </w:num>
  <w:num w:numId="31">
    <w:abstractNumId w:val="23"/>
  </w:num>
  <w:num w:numId="32">
    <w:abstractNumId w:val="33"/>
  </w:num>
  <w:num w:numId="33">
    <w:abstractNumId w:val="11"/>
  </w:num>
  <w:num w:numId="34">
    <w:abstractNumId w:val="32"/>
  </w:num>
  <w:num w:numId="35">
    <w:abstractNumId w:val="43"/>
  </w:num>
  <w:num w:numId="36">
    <w:abstractNumId w:val="28"/>
  </w:num>
  <w:num w:numId="37">
    <w:abstractNumId w:val="38"/>
  </w:num>
  <w:num w:numId="38">
    <w:abstractNumId w:val="4"/>
  </w:num>
  <w:num w:numId="39">
    <w:abstractNumId w:val="13"/>
  </w:num>
  <w:num w:numId="40">
    <w:abstractNumId w:val="39"/>
  </w:num>
  <w:num w:numId="41">
    <w:abstractNumId w:val="25"/>
  </w:num>
  <w:num w:numId="42">
    <w:abstractNumId w:val="15"/>
  </w:num>
  <w:num w:numId="43">
    <w:abstractNumId w:val="0"/>
  </w:num>
  <w:num w:numId="44">
    <w:abstractNumId w:val="36"/>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37837"/>
    <w:rsid w:val="000128FB"/>
    <w:rsid w:val="00023A56"/>
    <w:rsid w:val="000376A3"/>
    <w:rsid w:val="00037970"/>
    <w:rsid w:val="0006649C"/>
    <w:rsid w:val="00067A4D"/>
    <w:rsid w:val="00077545"/>
    <w:rsid w:val="000807EC"/>
    <w:rsid w:val="00082973"/>
    <w:rsid w:val="0009440F"/>
    <w:rsid w:val="000948C6"/>
    <w:rsid w:val="000A2A38"/>
    <w:rsid w:val="000B0934"/>
    <w:rsid w:val="000B63C0"/>
    <w:rsid w:val="000B7718"/>
    <w:rsid w:val="000C0DD9"/>
    <w:rsid w:val="000C723B"/>
    <w:rsid w:val="000C7CE6"/>
    <w:rsid w:val="000D3235"/>
    <w:rsid w:val="000F5D3D"/>
    <w:rsid w:val="0013617C"/>
    <w:rsid w:val="00142045"/>
    <w:rsid w:val="00154DD6"/>
    <w:rsid w:val="00160AA9"/>
    <w:rsid w:val="0017388C"/>
    <w:rsid w:val="00183B60"/>
    <w:rsid w:val="00185C65"/>
    <w:rsid w:val="00195500"/>
    <w:rsid w:val="001A36AC"/>
    <w:rsid w:val="001C730F"/>
    <w:rsid w:val="001D76FB"/>
    <w:rsid w:val="0023026D"/>
    <w:rsid w:val="00244D33"/>
    <w:rsid w:val="00247A9C"/>
    <w:rsid w:val="002A2EAB"/>
    <w:rsid w:val="002B3365"/>
    <w:rsid w:val="002C3659"/>
    <w:rsid w:val="002C6E8A"/>
    <w:rsid w:val="002E45BD"/>
    <w:rsid w:val="002F5F58"/>
    <w:rsid w:val="0030539E"/>
    <w:rsid w:val="00361324"/>
    <w:rsid w:val="00361F2D"/>
    <w:rsid w:val="0036537E"/>
    <w:rsid w:val="003731D2"/>
    <w:rsid w:val="003C234F"/>
    <w:rsid w:val="003E7180"/>
    <w:rsid w:val="00401B7F"/>
    <w:rsid w:val="00421DA6"/>
    <w:rsid w:val="00421F48"/>
    <w:rsid w:val="00441697"/>
    <w:rsid w:val="0044508D"/>
    <w:rsid w:val="00465D77"/>
    <w:rsid w:val="00492F19"/>
    <w:rsid w:val="004953E1"/>
    <w:rsid w:val="004A1953"/>
    <w:rsid w:val="004E3394"/>
    <w:rsid w:val="00512DEE"/>
    <w:rsid w:val="00533AED"/>
    <w:rsid w:val="005740EE"/>
    <w:rsid w:val="00581AD7"/>
    <w:rsid w:val="00596FB8"/>
    <w:rsid w:val="005970B5"/>
    <w:rsid w:val="005C727E"/>
    <w:rsid w:val="005F1D8B"/>
    <w:rsid w:val="00604D6C"/>
    <w:rsid w:val="006226A3"/>
    <w:rsid w:val="006652CF"/>
    <w:rsid w:val="00693EE6"/>
    <w:rsid w:val="006B5228"/>
    <w:rsid w:val="006C7E10"/>
    <w:rsid w:val="006E3C57"/>
    <w:rsid w:val="0070216C"/>
    <w:rsid w:val="00711408"/>
    <w:rsid w:val="00793E93"/>
    <w:rsid w:val="00797A7A"/>
    <w:rsid w:val="007A0F68"/>
    <w:rsid w:val="007D2DD6"/>
    <w:rsid w:val="007F6D24"/>
    <w:rsid w:val="00811BE3"/>
    <w:rsid w:val="008779FD"/>
    <w:rsid w:val="008848E1"/>
    <w:rsid w:val="008B5BC8"/>
    <w:rsid w:val="008D473A"/>
    <w:rsid w:val="008D6428"/>
    <w:rsid w:val="009012A6"/>
    <w:rsid w:val="00920035"/>
    <w:rsid w:val="00934206"/>
    <w:rsid w:val="00940807"/>
    <w:rsid w:val="00972DB1"/>
    <w:rsid w:val="00986380"/>
    <w:rsid w:val="009D05EA"/>
    <w:rsid w:val="009E137E"/>
    <w:rsid w:val="009F4BC1"/>
    <w:rsid w:val="00A1719D"/>
    <w:rsid w:val="00A52E8B"/>
    <w:rsid w:val="00AA0A67"/>
    <w:rsid w:val="00AD750D"/>
    <w:rsid w:val="00AF190D"/>
    <w:rsid w:val="00AF61A1"/>
    <w:rsid w:val="00B37BFB"/>
    <w:rsid w:val="00B5423A"/>
    <w:rsid w:val="00B72ABF"/>
    <w:rsid w:val="00B84A27"/>
    <w:rsid w:val="00BA2C3D"/>
    <w:rsid w:val="00BA6D6C"/>
    <w:rsid w:val="00BC3A18"/>
    <w:rsid w:val="00BC685A"/>
    <w:rsid w:val="00BD01B2"/>
    <w:rsid w:val="00BD1444"/>
    <w:rsid w:val="00BE5A63"/>
    <w:rsid w:val="00C13BF9"/>
    <w:rsid w:val="00C21763"/>
    <w:rsid w:val="00C22D03"/>
    <w:rsid w:val="00C236DD"/>
    <w:rsid w:val="00C25380"/>
    <w:rsid w:val="00C3000A"/>
    <w:rsid w:val="00C30A85"/>
    <w:rsid w:val="00C37837"/>
    <w:rsid w:val="00C57A3D"/>
    <w:rsid w:val="00C7434D"/>
    <w:rsid w:val="00C746D3"/>
    <w:rsid w:val="00C8687B"/>
    <w:rsid w:val="00CC4502"/>
    <w:rsid w:val="00CC4E64"/>
    <w:rsid w:val="00D035BF"/>
    <w:rsid w:val="00D14FE7"/>
    <w:rsid w:val="00D21C9C"/>
    <w:rsid w:val="00D409EA"/>
    <w:rsid w:val="00D504AD"/>
    <w:rsid w:val="00D7763F"/>
    <w:rsid w:val="00D86D91"/>
    <w:rsid w:val="00DA6FD9"/>
    <w:rsid w:val="00DB1695"/>
    <w:rsid w:val="00DB5DDE"/>
    <w:rsid w:val="00DD00B1"/>
    <w:rsid w:val="00DF79CF"/>
    <w:rsid w:val="00E0552D"/>
    <w:rsid w:val="00E05FCC"/>
    <w:rsid w:val="00E114EB"/>
    <w:rsid w:val="00E34A15"/>
    <w:rsid w:val="00E44F38"/>
    <w:rsid w:val="00E56EE9"/>
    <w:rsid w:val="00E75117"/>
    <w:rsid w:val="00E847E7"/>
    <w:rsid w:val="00E97A7B"/>
    <w:rsid w:val="00EA381A"/>
    <w:rsid w:val="00EB5490"/>
    <w:rsid w:val="00ED68EC"/>
    <w:rsid w:val="00ED723F"/>
    <w:rsid w:val="00F305AC"/>
    <w:rsid w:val="00F35370"/>
    <w:rsid w:val="00F71E77"/>
    <w:rsid w:val="00F73F88"/>
    <w:rsid w:val="00F76B88"/>
    <w:rsid w:val="00F77B5F"/>
    <w:rsid w:val="00F86955"/>
    <w:rsid w:val="00F86BC4"/>
    <w:rsid w:val="00F957FD"/>
    <w:rsid w:val="00FA7965"/>
    <w:rsid w:val="00FE347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allout" idref="#Speech Bubble: Rectangle 9"/>
        <o:r id="V:Rule2" type="callout" idref="#Speech Bubble: Rectangl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7837"/>
    <w:rPr>
      <w:color w:val="0000FF"/>
      <w:u w:val="single"/>
    </w:rPr>
  </w:style>
  <w:style w:type="character" w:styleId="Lienhypertextesuivivisit">
    <w:name w:val="FollowedHyperlink"/>
    <w:basedOn w:val="Policepardfaut"/>
    <w:uiPriority w:val="99"/>
    <w:semiHidden/>
    <w:unhideWhenUsed/>
    <w:rsid w:val="00C37837"/>
    <w:rPr>
      <w:color w:val="800080"/>
      <w:u w:val="single"/>
    </w:rPr>
  </w:style>
  <w:style w:type="paragraph" w:customStyle="1" w:styleId="xl65">
    <w:name w:val="xl65"/>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C378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C378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C378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2">
    <w:name w:val="xl72"/>
    <w:basedOn w:val="Normal"/>
    <w:rsid w:val="00C378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3">
    <w:name w:val="xl73"/>
    <w:basedOn w:val="Normal"/>
    <w:rsid w:val="00C378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4">
    <w:name w:val="xl74"/>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5">
    <w:name w:val="xl75"/>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6">
    <w:name w:val="xl76"/>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7">
    <w:name w:val="xl77"/>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8">
    <w:name w:val="xl78"/>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9">
    <w:name w:val="xl79"/>
    <w:basedOn w:val="Normal"/>
    <w:rsid w:val="00C37837"/>
    <w:pPr>
      <w:pBdr>
        <w:left w:val="single" w:sz="4"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0">
    <w:name w:val="xl80"/>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1">
    <w:name w:val="xl81"/>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2">
    <w:name w:val="xl82"/>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3">
    <w:name w:val="xl83"/>
    <w:basedOn w:val="Normal"/>
    <w:rsid w:val="00C37837"/>
    <w:pPr>
      <w:pBdr>
        <w:left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4">
    <w:name w:val="xl84"/>
    <w:basedOn w:val="Normal"/>
    <w:rsid w:val="00C37837"/>
    <w:pPr>
      <w:pBdr>
        <w:left w:val="single" w:sz="8" w:space="0" w:color="auto"/>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5">
    <w:name w:val="xl85"/>
    <w:basedOn w:val="Normal"/>
    <w:rsid w:val="00C37837"/>
    <w:pPr>
      <w:pBdr>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6">
    <w:name w:val="xl86"/>
    <w:basedOn w:val="Normal"/>
    <w:rsid w:val="00C37837"/>
    <w:pPr>
      <w:pBdr>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7">
    <w:name w:val="xl87"/>
    <w:basedOn w:val="Normal"/>
    <w:rsid w:val="00C37837"/>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8">
    <w:name w:val="xl88"/>
    <w:basedOn w:val="Normal"/>
    <w:rsid w:val="00C37837"/>
    <w:pPr>
      <w:pBdr>
        <w:top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37837"/>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0">
    <w:name w:val="xl90"/>
    <w:basedOn w:val="Normal"/>
    <w:rsid w:val="00C37837"/>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91">
    <w:name w:val="xl91"/>
    <w:basedOn w:val="Normal"/>
    <w:rsid w:val="00C37837"/>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378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837"/>
    <w:rPr>
      <w:rFonts w:ascii="Tahoma" w:hAnsi="Tahoma" w:cs="Tahoma"/>
      <w:sz w:val="16"/>
      <w:szCs w:val="16"/>
    </w:rPr>
  </w:style>
  <w:style w:type="paragraph" w:styleId="En-tte">
    <w:name w:val="header"/>
    <w:basedOn w:val="Normal"/>
    <w:link w:val="En-tteCar"/>
    <w:uiPriority w:val="99"/>
    <w:unhideWhenUsed/>
    <w:rsid w:val="00C37837"/>
    <w:pPr>
      <w:tabs>
        <w:tab w:val="center" w:pos="4703"/>
        <w:tab w:val="right" w:pos="9406"/>
      </w:tabs>
      <w:spacing w:after="0" w:line="240" w:lineRule="auto"/>
    </w:pPr>
  </w:style>
  <w:style w:type="character" w:customStyle="1" w:styleId="En-tteCar">
    <w:name w:val="En-tête Car"/>
    <w:basedOn w:val="Policepardfaut"/>
    <w:link w:val="En-tte"/>
    <w:uiPriority w:val="99"/>
    <w:rsid w:val="00C37837"/>
  </w:style>
  <w:style w:type="paragraph" w:styleId="Pieddepage">
    <w:name w:val="footer"/>
    <w:basedOn w:val="Normal"/>
    <w:link w:val="PieddepageCar"/>
    <w:uiPriority w:val="99"/>
    <w:unhideWhenUsed/>
    <w:rsid w:val="00C378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7837"/>
  </w:style>
  <w:style w:type="numbering" w:customStyle="1" w:styleId="Aucuneliste1">
    <w:name w:val="Aucune liste1"/>
    <w:next w:val="Aucuneliste"/>
    <w:uiPriority w:val="99"/>
    <w:semiHidden/>
    <w:unhideWhenUsed/>
    <w:rsid w:val="00C37837"/>
  </w:style>
  <w:style w:type="paragraph" w:customStyle="1" w:styleId="Paragraphedeliste1">
    <w:name w:val="Paragraphe de liste1"/>
    <w:basedOn w:val="Normal"/>
    <w:next w:val="Paragraphedeliste"/>
    <w:qFormat/>
    <w:rsid w:val="00C37837"/>
    <w:pPr>
      <w:spacing w:after="160" w:line="259" w:lineRule="auto"/>
      <w:ind w:left="720"/>
      <w:contextualSpacing/>
    </w:pPr>
  </w:style>
  <w:style w:type="paragraph" w:customStyle="1" w:styleId="fn1">
    <w:name w:val="fn1"/>
    <w:basedOn w:val="Normal"/>
    <w:next w:val="Notedebasdepage"/>
    <w:link w:val="NotedebasdepageCar"/>
    <w:unhideWhenUsed/>
    <w:rsid w:val="00C37837"/>
    <w:pPr>
      <w:spacing w:after="0" w:line="240" w:lineRule="auto"/>
    </w:pPr>
    <w:rPr>
      <w:sz w:val="20"/>
      <w:szCs w:val="20"/>
    </w:rPr>
  </w:style>
  <w:style w:type="character" w:customStyle="1" w:styleId="NotedebasdepageCar">
    <w:name w:val="Note de bas de page Car"/>
    <w:aliases w:val="fn Car"/>
    <w:basedOn w:val="Policepardfaut"/>
    <w:link w:val="fn1"/>
    <w:rsid w:val="00C37837"/>
    <w:rPr>
      <w:sz w:val="20"/>
      <w:szCs w:val="20"/>
    </w:rPr>
  </w:style>
  <w:style w:type="character" w:styleId="Appelnotedebasdep">
    <w:name w:val="footnote reference"/>
    <w:basedOn w:val="Policepardfaut"/>
    <w:uiPriority w:val="99"/>
    <w:unhideWhenUsed/>
    <w:rsid w:val="00C37837"/>
    <w:rPr>
      <w:vertAlign w:val="superscript"/>
    </w:rPr>
  </w:style>
  <w:style w:type="character" w:customStyle="1" w:styleId="alt-edited">
    <w:name w:val="alt-edited"/>
    <w:basedOn w:val="Policepardfaut"/>
    <w:rsid w:val="00C37837"/>
  </w:style>
  <w:style w:type="paragraph" w:styleId="NormalWeb">
    <w:name w:val="Normal (Web)"/>
    <w:basedOn w:val="Normal"/>
    <w:uiPriority w:val="99"/>
    <w:semiHidden/>
    <w:unhideWhenUsed/>
    <w:rsid w:val="00C378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37837"/>
  </w:style>
  <w:style w:type="paragraph" w:customStyle="1" w:styleId="Default">
    <w:name w:val="Default"/>
    <w:rsid w:val="00C37837"/>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C37837"/>
    <w:rPr>
      <w:i/>
      <w:iCs/>
    </w:rPr>
  </w:style>
  <w:style w:type="paragraph" w:customStyle="1" w:styleId="CM24">
    <w:name w:val="CM24"/>
    <w:basedOn w:val="Default"/>
    <w:next w:val="Default"/>
    <w:uiPriority w:val="99"/>
    <w:rsid w:val="00C37837"/>
    <w:rPr>
      <w:rFonts w:ascii="Garamond" w:hAnsi="Garamond"/>
      <w:color w:val="auto"/>
    </w:rPr>
  </w:style>
  <w:style w:type="paragraph" w:customStyle="1" w:styleId="CM31">
    <w:name w:val="CM31"/>
    <w:basedOn w:val="Default"/>
    <w:next w:val="Default"/>
    <w:uiPriority w:val="99"/>
    <w:rsid w:val="00C37837"/>
    <w:rPr>
      <w:rFonts w:ascii="Garamond,Bold" w:hAnsi="Garamond,Bold"/>
      <w:color w:val="auto"/>
    </w:rPr>
  </w:style>
  <w:style w:type="paragraph" w:customStyle="1" w:styleId="CM36">
    <w:name w:val="CM36"/>
    <w:basedOn w:val="Default"/>
    <w:next w:val="Default"/>
    <w:uiPriority w:val="99"/>
    <w:rsid w:val="00C37837"/>
    <w:rPr>
      <w:rFonts w:ascii="Garamond,Bold" w:hAnsi="Garamond,Bold"/>
      <w:color w:val="auto"/>
    </w:rPr>
  </w:style>
  <w:style w:type="character" w:styleId="Marquedecommentaire">
    <w:name w:val="annotation reference"/>
    <w:basedOn w:val="Policepardfaut"/>
    <w:uiPriority w:val="99"/>
    <w:semiHidden/>
    <w:unhideWhenUsed/>
    <w:rsid w:val="00C37837"/>
    <w:rPr>
      <w:sz w:val="16"/>
      <w:szCs w:val="16"/>
    </w:rPr>
  </w:style>
  <w:style w:type="paragraph" w:customStyle="1" w:styleId="Commentaire1">
    <w:name w:val="Commentaire1"/>
    <w:basedOn w:val="Normal"/>
    <w:next w:val="Commentaire"/>
    <w:link w:val="CommentaireCar"/>
    <w:uiPriority w:val="99"/>
    <w:semiHidden/>
    <w:unhideWhenUsed/>
    <w:rsid w:val="00C37837"/>
    <w:pPr>
      <w:spacing w:after="160" w:line="240" w:lineRule="auto"/>
    </w:pPr>
    <w:rPr>
      <w:sz w:val="20"/>
      <w:szCs w:val="20"/>
    </w:rPr>
  </w:style>
  <w:style w:type="character" w:customStyle="1" w:styleId="CommentaireCar">
    <w:name w:val="Commentaire Car"/>
    <w:basedOn w:val="Policepardfaut"/>
    <w:link w:val="Commentaire1"/>
    <w:uiPriority w:val="99"/>
    <w:semiHidden/>
    <w:rsid w:val="00C37837"/>
    <w:rPr>
      <w:sz w:val="20"/>
      <w:szCs w:val="20"/>
    </w:rPr>
  </w:style>
  <w:style w:type="paragraph" w:customStyle="1" w:styleId="Objetducommentaire1">
    <w:name w:val="Objet du commentaire1"/>
    <w:basedOn w:val="Commentaire"/>
    <w:next w:val="Commentaire"/>
    <w:uiPriority w:val="99"/>
    <w:semiHidden/>
    <w:unhideWhenUsed/>
    <w:rsid w:val="00C37837"/>
    <w:pPr>
      <w:spacing w:after="160"/>
    </w:pPr>
    <w:rPr>
      <w:b/>
      <w:bCs/>
    </w:rPr>
  </w:style>
  <w:style w:type="character" w:customStyle="1" w:styleId="ObjetducommentaireCar">
    <w:name w:val="Objet du commentaire Car"/>
    <w:basedOn w:val="CommentaireCar"/>
    <w:link w:val="Objetducommentaire"/>
    <w:uiPriority w:val="99"/>
    <w:semiHidden/>
    <w:rsid w:val="00C37837"/>
    <w:rPr>
      <w:sz w:val="20"/>
      <w:szCs w:val="20"/>
    </w:rPr>
  </w:style>
  <w:style w:type="character" w:customStyle="1" w:styleId="hps">
    <w:name w:val="hps"/>
    <w:basedOn w:val="Policepardfaut"/>
    <w:rsid w:val="00C37837"/>
  </w:style>
  <w:style w:type="paragraph" w:customStyle="1" w:styleId="Rvision1">
    <w:name w:val="Révision1"/>
    <w:next w:val="Rvision"/>
    <w:hidden/>
    <w:uiPriority w:val="99"/>
    <w:semiHidden/>
    <w:rsid w:val="00C37837"/>
    <w:pPr>
      <w:spacing w:after="0" w:line="240" w:lineRule="auto"/>
    </w:pPr>
  </w:style>
  <w:style w:type="character" w:customStyle="1" w:styleId="st">
    <w:name w:val="st"/>
    <w:basedOn w:val="Policepardfaut"/>
    <w:rsid w:val="00C37837"/>
  </w:style>
  <w:style w:type="paragraph" w:styleId="Paragraphedeliste">
    <w:name w:val="List Paragraph"/>
    <w:basedOn w:val="Normal"/>
    <w:uiPriority w:val="34"/>
    <w:qFormat/>
    <w:rsid w:val="00C37837"/>
    <w:pPr>
      <w:ind w:left="720"/>
      <w:contextualSpacing/>
    </w:pPr>
  </w:style>
  <w:style w:type="paragraph" w:styleId="Notedebasdepage">
    <w:name w:val="footnote text"/>
    <w:basedOn w:val="Normal"/>
    <w:link w:val="NotedebasdepageCar1"/>
    <w:uiPriority w:val="99"/>
    <w:semiHidden/>
    <w:unhideWhenUsed/>
    <w:rsid w:val="00C37837"/>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C37837"/>
    <w:rPr>
      <w:sz w:val="20"/>
      <w:szCs w:val="20"/>
    </w:rPr>
  </w:style>
  <w:style w:type="paragraph" w:styleId="Commentaire">
    <w:name w:val="annotation text"/>
    <w:basedOn w:val="Normal"/>
    <w:link w:val="CommentaireCar1"/>
    <w:uiPriority w:val="99"/>
    <w:semiHidden/>
    <w:unhideWhenUsed/>
    <w:rsid w:val="00C37837"/>
    <w:pPr>
      <w:spacing w:line="240" w:lineRule="auto"/>
    </w:pPr>
    <w:rPr>
      <w:sz w:val="20"/>
      <w:szCs w:val="20"/>
    </w:rPr>
  </w:style>
  <w:style w:type="character" w:customStyle="1" w:styleId="CommentaireCar1">
    <w:name w:val="Commentaire Car1"/>
    <w:basedOn w:val="Policepardfaut"/>
    <w:link w:val="Commentaire"/>
    <w:uiPriority w:val="99"/>
    <w:semiHidden/>
    <w:rsid w:val="00C37837"/>
    <w:rPr>
      <w:sz w:val="20"/>
      <w:szCs w:val="20"/>
    </w:rPr>
  </w:style>
  <w:style w:type="paragraph" w:styleId="Objetducommentaire">
    <w:name w:val="annotation subject"/>
    <w:basedOn w:val="Commentaire"/>
    <w:next w:val="Commentaire"/>
    <w:link w:val="ObjetducommentaireCar"/>
    <w:uiPriority w:val="99"/>
    <w:semiHidden/>
    <w:unhideWhenUsed/>
    <w:rsid w:val="00C37837"/>
  </w:style>
  <w:style w:type="character" w:customStyle="1" w:styleId="ObjetducommentaireCar1">
    <w:name w:val="Objet du commentaire Car1"/>
    <w:basedOn w:val="CommentaireCar1"/>
    <w:uiPriority w:val="99"/>
    <w:semiHidden/>
    <w:rsid w:val="00C37837"/>
    <w:rPr>
      <w:b/>
      <w:bCs/>
      <w:sz w:val="20"/>
      <w:szCs w:val="20"/>
    </w:rPr>
  </w:style>
  <w:style w:type="paragraph" w:styleId="Rvision">
    <w:name w:val="Revision"/>
    <w:hidden/>
    <w:uiPriority w:val="99"/>
    <w:semiHidden/>
    <w:rsid w:val="00C3783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8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37837"/>
    <w:rPr>
      <w:color w:val="0000FF"/>
      <w:u w:val="single"/>
    </w:rPr>
  </w:style>
  <w:style w:type="character" w:styleId="Lienhypertextesuivivisit">
    <w:name w:val="FollowedHyperlink"/>
    <w:basedOn w:val="Policepardfaut"/>
    <w:uiPriority w:val="99"/>
    <w:semiHidden/>
    <w:unhideWhenUsed/>
    <w:rsid w:val="00C37837"/>
    <w:rPr>
      <w:color w:val="800080"/>
      <w:u w:val="single"/>
    </w:rPr>
  </w:style>
  <w:style w:type="paragraph" w:customStyle="1" w:styleId="xl65">
    <w:name w:val="xl65"/>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66">
    <w:name w:val="xl66"/>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7">
    <w:name w:val="xl67"/>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8">
    <w:name w:val="xl68"/>
    <w:basedOn w:val="Normal"/>
    <w:rsid w:val="00C37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69">
    <w:name w:val="xl69"/>
    <w:basedOn w:val="Normal"/>
    <w:rsid w:val="00C3783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0">
    <w:name w:val="xl70"/>
    <w:basedOn w:val="Normal"/>
    <w:rsid w:val="00C3783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l71">
    <w:name w:val="xl71"/>
    <w:basedOn w:val="Normal"/>
    <w:rsid w:val="00C3783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2">
    <w:name w:val="xl72"/>
    <w:basedOn w:val="Normal"/>
    <w:rsid w:val="00C3783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3">
    <w:name w:val="xl73"/>
    <w:basedOn w:val="Normal"/>
    <w:rsid w:val="00C3783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74">
    <w:name w:val="xl74"/>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5">
    <w:name w:val="xl75"/>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6">
    <w:name w:val="xl76"/>
    <w:basedOn w:val="Normal"/>
    <w:rsid w:val="00C37837"/>
    <w:pPr>
      <w:pBdr>
        <w:left w:val="single" w:sz="4" w:space="0" w:color="auto"/>
        <w:bottom w:val="single" w:sz="8"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7">
    <w:name w:val="xl77"/>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78">
    <w:name w:val="xl78"/>
    <w:basedOn w:val="Normal"/>
    <w:rsid w:val="00C37837"/>
    <w:pPr>
      <w:pBdr>
        <w:top w:val="single" w:sz="8" w:space="0" w:color="auto"/>
        <w:left w:val="single" w:sz="8"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79">
    <w:name w:val="xl79"/>
    <w:basedOn w:val="Normal"/>
    <w:rsid w:val="00C37837"/>
    <w:pPr>
      <w:pBdr>
        <w:left w:val="single" w:sz="4" w:space="0" w:color="auto"/>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0">
    <w:name w:val="xl80"/>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81">
    <w:name w:val="xl81"/>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2">
    <w:name w:val="xl82"/>
    <w:basedOn w:val="Normal"/>
    <w:rsid w:val="00C37837"/>
    <w:pPr>
      <w:pBdr>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3">
    <w:name w:val="xl83"/>
    <w:basedOn w:val="Normal"/>
    <w:rsid w:val="00C37837"/>
    <w:pPr>
      <w:pBdr>
        <w:left w:val="single" w:sz="4"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4">
    <w:name w:val="xl84"/>
    <w:basedOn w:val="Normal"/>
    <w:rsid w:val="00C37837"/>
    <w:pPr>
      <w:pBdr>
        <w:left w:val="single" w:sz="8" w:space="0" w:color="auto"/>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5">
    <w:name w:val="xl85"/>
    <w:basedOn w:val="Normal"/>
    <w:rsid w:val="00C37837"/>
    <w:pPr>
      <w:pBdr>
        <w:bottom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6">
    <w:name w:val="xl86"/>
    <w:basedOn w:val="Normal"/>
    <w:rsid w:val="00C37837"/>
    <w:pPr>
      <w:pBdr>
        <w:bottom w:val="single" w:sz="8" w:space="0" w:color="auto"/>
        <w:right w:val="single" w:sz="8"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fr-FR"/>
    </w:rPr>
  </w:style>
  <w:style w:type="paragraph" w:customStyle="1" w:styleId="xl87">
    <w:name w:val="xl87"/>
    <w:basedOn w:val="Normal"/>
    <w:rsid w:val="00C37837"/>
    <w:pPr>
      <w:pBdr>
        <w:top w:val="single" w:sz="4" w:space="0" w:color="auto"/>
        <w:left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8">
    <w:name w:val="xl88"/>
    <w:basedOn w:val="Normal"/>
    <w:rsid w:val="00C37837"/>
    <w:pPr>
      <w:pBdr>
        <w:top w:val="single" w:sz="4" w:space="0" w:color="auto"/>
        <w:bottom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89">
    <w:name w:val="xl89"/>
    <w:basedOn w:val="Normal"/>
    <w:rsid w:val="00C37837"/>
    <w:pPr>
      <w:pBdr>
        <w:top w:val="single" w:sz="4" w:space="0" w:color="auto"/>
        <w:bottom w:val="single" w:sz="4" w:space="0" w:color="auto"/>
        <w:right w:val="single" w:sz="4" w:space="0" w:color="auto"/>
      </w:pBdr>
      <w:shd w:val="clear" w:color="000000" w:fill="B1A0C7"/>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customStyle="1" w:styleId="xl90">
    <w:name w:val="xl90"/>
    <w:basedOn w:val="Normal"/>
    <w:rsid w:val="00C37837"/>
    <w:pPr>
      <w:pBdr>
        <w:top w:val="single" w:sz="4" w:space="0" w:color="auto"/>
        <w:left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customStyle="1" w:styleId="xl91">
    <w:name w:val="xl91"/>
    <w:basedOn w:val="Normal"/>
    <w:rsid w:val="00C37837"/>
    <w:pPr>
      <w:pBdr>
        <w:left w:val="single" w:sz="4" w:space="0" w:color="auto"/>
        <w:bottom w:val="single" w:sz="4" w:space="0" w:color="auto"/>
        <w:right w:val="single" w:sz="4" w:space="0" w:color="auto"/>
      </w:pBdr>
      <w:shd w:val="clear" w:color="000000" w:fill="B1A0C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378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837"/>
    <w:rPr>
      <w:rFonts w:ascii="Tahoma" w:hAnsi="Tahoma" w:cs="Tahoma"/>
      <w:sz w:val="16"/>
      <w:szCs w:val="16"/>
    </w:rPr>
  </w:style>
  <w:style w:type="paragraph" w:styleId="En-tte">
    <w:name w:val="header"/>
    <w:basedOn w:val="Normal"/>
    <w:link w:val="En-tteCar"/>
    <w:uiPriority w:val="99"/>
    <w:unhideWhenUsed/>
    <w:rsid w:val="00C37837"/>
    <w:pPr>
      <w:tabs>
        <w:tab w:val="center" w:pos="4703"/>
        <w:tab w:val="right" w:pos="9406"/>
      </w:tabs>
      <w:spacing w:after="0" w:line="240" w:lineRule="auto"/>
    </w:pPr>
  </w:style>
  <w:style w:type="character" w:customStyle="1" w:styleId="En-tteCar">
    <w:name w:val="En-tête Car"/>
    <w:basedOn w:val="Policepardfaut"/>
    <w:link w:val="En-tte"/>
    <w:uiPriority w:val="99"/>
    <w:rsid w:val="00C37837"/>
  </w:style>
  <w:style w:type="paragraph" w:styleId="Pieddepage">
    <w:name w:val="footer"/>
    <w:basedOn w:val="Normal"/>
    <w:link w:val="PieddepageCar"/>
    <w:uiPriority w:val="99"/>
    <w:unhideWhenUsed/>
    <w:rsid w:val="00C3783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37837"/>
  </w:style>
  <w:style w:type="numbering" w:customStyle="1" w:styleId="Aucuneliste1">
    <w:name w:val="Aucune liste1"/>
    <w:next w:val="Aucuneliste"/>
    <w:uiPriority w:val="99"/>
    <w:semiHidden/>
    <w:unhideWhenUsed/>
    <w:rsid w:val="00C37837"/>
  </w:style>
  <w:style w:type="paragraph" w:customStyle="1" w:styleId="Paragraphedeliste1">
    <w:name w:val="Paragraphe de liste1"/>
    <w:basedOn w:val="Normal"/>
    <w:next w:val="Paragraphedeliste"/>
    <w:qFormat/>
    <w:rsid w:val="00C37837"/>
    <w:pPr>
      <w:spacing w:after="160" w:line="259" w:lineRule="auto"/>
      <w:ind w:left="720"/>
      <w:contextualSpacing/>
    </w:pPr>
  </w:style>
  <w:style w:type="paragraph" w:customStyle="1" w:styleId="fn1">
    <w:name w:val="fn1"/>
    <w:basedOn w:val="Normal"/>
    <w:next w:val="Notedebasdepage"/>
    <w:link w:val="NotedebasdepageCar"/>
    <w:unhideWhenUsed/>
    <w:rsid w:val="00C37837"/>
    <w:pPr>
      <w:spacing w:after="0" w:line="240" w:lineRule="auto"/>
    </w:pPr>
    <w:rPr>
      <w:sz w:val="20"/>
      <w:szCs w:val="20"/>
    </w:rPr>
  </w:style>
  <w:style w:type="character" w:customStyle="1" w:styleId="NotedebasdepageCar">
    <w:name w:val="Note de bas de page Car"/>
    <w:aliases w:val="fn Car"/>
    <w:basedOn w:val="Policepardfaut"/>
    <w:link w:val="fn1"/>
    <w:rsid w:val="00C37837"/>
    <w:rPr>
      <w:sz w:val="20"/>
      <w:szCs w:val="20"/>
    </w:rPr>
  </w:style>
  <w:style w:type="character" w:styleId="Appelnotedebasdep">
    <w:name w:val="footnote reference"/>
    <w:basedOn w:val="Policepardfaut"/>
    <w:uiPriority w:val="99"/>
    <w:unhideWhenUsed/>
    <w:rsid w:val="00C37837"/>
    <w:rPr>
      <w:vertAlign w:val="superscript"/>
    </w:rPr>
  </w:style>
  <w:style w:type="character" w:customStyle="1" w:styleId="alt-edited">
    <w:name w:val="alt-edited"/>
    <w:basedOn w:val="Policepardfaut"/>
    <w:rsid w:val="00C37837"/>
  </w:style>
  <w:style w:type="paragraph" w:styleId="NormalWeb">
    <w:name w:val="Normal (Web)"/>
    <w:basedOn w:val="Normal"/>
    <w:uiPriority w:val="99"/>
    <w:semiHidden/>
    <w:unhideWhenUsed/>
    <w:rsid w:val="00C3783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37837"/>
  </w:style>
  <w:style w:type="paragraph" w:customStyle="1" w:styleId="Default">
    <w:name w:val="Default"/>
    <w:rsid w:val="00C37837"/>
    <w:pPr>
      <w:autoSpaceDE w:val="0"/>
      <w:autoSpaceDN w:val="0"/>
      <w:adjustRightInd w:val="0"/>
      <w:spacing w:after="0" w:line="240" w:lineRule="auto"/>
    </w:pPr>
    <w:rPr>
      <w:rFonts w:ascii="Arial" w:hAnsi="Arial" w:cs="Arial"/>
      <w:color w:val="000000"/>
      <w:sz w:val="24"/>
      <w:szCs w:val="24"/>
    </w:rPr>
  </w:style>
  <w:style w:type="character" w:styleId="Accentuation">
    <w:name w:val="Emphasis"/>
    <w:basedOn w:val="Policepardfaut"/>
    <w:uiPriority w:val="20"/>
    <w:qFormat/>
    <w:rsid w:val="00C37837"/>
    <w:rPr>
      <w:i/>
      <w:iCs/>
    </w:rPr>
  </w:style>
  <w:style w:type="paragraph" w:customStyle="1" w:styleId="CM24">
    <w:name w:val="CM24"/>
    <w:basedOn w:val="Default"/>
    <w:next w:val="Default"/>
    <w:uiPriority w:val="99"/>
    <w:rsid w:val="00C37837"/>
    <w:rPr>
      <w:rFonts w:ascii="Garamond" w:hAnsi="Garamond"/>
      <w:color w:val="auto"/>
    </w:rPr>
  </w:style>
  <w:style w:type="paragraph" w:customStyle="1" w:styleId="CM31">
    <w:name w:val="CM31"/>
    <w:basedOn w:val="Default"/>
    <w:next w:val="Default"/>
    <w:uiPriority w:val="99"/>
    <w:rsid w:val="00C37837"/>
    <w:rPr>
      <w:rFonts w:ascii="Garamond,Bold" w:hAnsi="Garamond,Bold"/>
      <w:color w:val="auto"/>
    </w:rPr>
  </w:style>
  <w:style w:type="paragraph" w:customStyle="1" w:styleId="CM36">
    <w:name w:val="CM36"/>
    <w:basedOn w:val="Default"/>
    <w:next w:val="Default"/>
    <w:uiPriority w:val="99"/>
    <w:rsid w:val="00C37837"/>
    <w:rPr>
      <w:rFonts w:ascii="Garamond,Bold" w:hAnsi="Garamond,Bold"/>
      <w:color w:val="auto"/>
    </w:rPr>
  </w:style>
  <w:style w:type="character" w:styleId="Marquedecommentaire">
    <w:name w:val="annotation reference"/>
    <w:basedOn w:val="Policepardfaut"/>
    <w:uiPriority w:val="99"/>
    <w:semiHidden/>
    <w:unhideWhenUsed/>
    <w:rsid w:val="00C37837"/>
    <w:rPr>
      <w:sz w:val="16"/>
      <w:szCs w:val="16"/>
    </w:rPr>
  </w:style>
  <w:style w:type="paragraph" w:customStyle="1" w:styleId="Commentaire1">
    <w:name w:val="Commentaire1"/>
    <w:basedOn w:val="Normal"/>
    <w:next w:val="Commentaire"/>
    <w:link w:val="CommentaireCar"/>
    <w:uiPriority w:val="99"/>
    <w:semiHidden/>
    <w:unhideWhenUsed/>
    <w:rsid w:val="00C37837"/>
    <w:pPr>
      <w:spacing w:after="160" w:line="240" w:lineRule="auto"/>
    </w:pPr>
    <w:rPr>
      <w:sz w:val="20"/>
      <w:szCs w:val="20"/>
    </w:rPr>
  </w:style>
  <w:style w:type="character" w:customStyle="1" w:styleId="CommentaireCar">
    <w:name w:val="Commentaire Car"/>
    <w:basedOn w:val="Policepardfaut"/>
    <w:link w:val="Commentaire1"/>
    <w:uiPriority w:val="99"/>
    <w:semiHidden/>
    <w:rsid w:val="00C37837"/>
    <w:rPr>
      <w:sz w:val="20"/>
      <w:szCs w:val="20"/>
    </w:rPr>
  </w:style>
  <w:style w:type="paragraph" w:customStyle="1" w:styleId="Objetducommentaire1">
    <w:name w:val="Objet du commentaire1"/>
    <w:basedOn w:val="Commentaire"/>
    <w:next w:val="Commentaire"/>
    <w:uiPriority w:val="99"/>
    <w:semiHidden/>
    <w:unhideWhenUsed/>
    <w:rsid w:val="00C37837"/>
    <w:pPr>
      <w:spacing w:after="160"/>
    </w:pPr>
    <w:rPr>
      <w:b/>
      <w:bCs/>
    </w:rPr>
  </w:style>
  <w:style w:type="character" w:customStyle="1" w:styleId="ObjetducommentaireCar">
    <w:name w:val="Objet du commentaire Car"/>
    <w:basedOn w:val="CommentaireCar"/>
    <w:link w:val="Objetducommentaire"/>
    <w:uiPriority w:val="99"/>
    <w:semiHidden/>
    <w:rsid w:val="00C37837"/>
    <w:rPr>
      <w:sz w:val="20"/>
      <w:szCs w:val="20"/>
    </w:rPr>
  </w:style>
  <w:style w:type="character" w:customStyle="1" w:styleId="hps">
    <w:name w:val="hps"/>
    <w:basedOn w:val="Policepardfaut"/>
    <w:rsid w:val="00C37837"/>
  </w:style>
  <w:style w:type="paragraph" w:customStyle="1" w:styleId="Rvision1">
    <w:name w:val="Révision1"/>
    <w:next w:val="Rvision"/>
    <w:hidden/>
    <w:uiPriority w:val="99"/>
    <w:semiHidden/>
    <w:rsid w:val="00C37837"/>
    <w:pPr>
      <w:spacing w:after="0" w:line="240" w:lineRule="auto"/>
    </w:pPr>
  </w:style>
  <w:style w:type="character" w:customStyle="1" w:styleId="st">
    <w:name w:val="st"/>
    <w:basedOn w:val="Policepardfaut"/>
    <w:rsid w:val="00C37837"/>
  </w:style>
  <w:style w:type="paragraph" w:styleId="Paragraphedeliste">
    <w:name w:val="List Paragraph"/>
    <w:basedOn w:val="Normal"/>
    <w:uiPriority w:val="34"/>
    <w:qFormat/>
    <w:rsid w:val="00C37837"/>
    <w:pPr>
      <w:ind w:left="720"/>
      <w:contextualSpacing/>
    </w:pPr>
  </w:style>
  <w:style w:type="paragraph" w:styleId="Notedebasdepage">
    <w:name w:val="footnote text"/>
    <w:basedOn w:val="Normal"/>
    <w:link w:val="NotedebasdepageCar1"/>
    <w:uiPriority w:val="99"/>
    <w:semiHidden/>
    <w:unhideWhenUsed/>
    <w:rsid w:val="00C37837"/>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C37837"/>
    <w:rPr>
      <w:sz w:val="20"/>
      <w:szCs w:val="20"/>
    </w:rPr>
  </w:style>
  <w:style w:type="paragraph" w:styleId="Commentaire">
    <w:name w:val="annotation text"/>
    <w:basedOn w:val="Normal"/>
    <w:link w:val="CommentaireCar1"/>
    <w:uiPriority w:val="99"/>
    <w:semiHidden/>
    <w:unhideWhenUsed/>
    <w:rsid w:val="00C37837"/>
    <w:pPr>
      <w:spacing w:line="240" w:lineRule="auto"/>
    </w:pPr>
    <w:rPr>
      <w:sz w:val="20"/>
      <w:szCs w:val="20"/>
    </w:rPr>
  </w:style>
  <w:style w:type="character" w:customStyle="1" w:styleId="CommentaireCar1">
    <w:name w:val="Commentaire Car1"/>
    <w:basedOn w:val="Policepardfaut"/>
    <w:link w:val="Commentaire"/>
    <w:uiPriority w:val="99"/>
    <w:semiHidden/>
    <w:rsid w:val="00C37837"/>
    <w:rPr>
      <w:sz w:val="20"/>
      <w:szCs w:val="20"/>
    </w:rPr>
  </w:style>
  <w:style w:type="paragraph" w:styleId="Objetducommentaire">
    <w:name w:val="annotation subject"/>
    <w:basedOn w:val="Commentaire"/>
    <w:next w:val="Commentaire"/>
    <w:link w:val="ObjetducommentaireCar"/>
    <w:uiPriority w:val="99"/>
    <w:semiHidden/>
    <w:unhideWhenUsed/>
    <w:rsid w:val="00C37837"/>
  </w:style>
  <w:style w:type="character" w:customStyle="1" w:styleId="ObjetducommentaireCar1">
    <w:name w:val="Objet du commentaire Car1"/>
    <w:basedOn w:val="CommentaireCar1"/>
    <w:uiPriority w:val="99"/>
    <w:semiHidden/>
    <w:rsid w:val="00C37837"/>
    <w:rPr>
      <w:b/>
      <w:bCs/>
      <w:sz w:val="20"/>
      <w:szCs w:val="20"/>
    </w:rPr>
  </w:style>
  <w:style w:type="paragraph" w:styleId="Rvision">
    <w:name w:val="Revision"/>
    <w:hidden/>
    <w:uiPriority w:val="99"/>
    <w:semiHidden/>
    <w:rsid w:val="00C37837"/>
    <w:pPr>
      <w:spacing w:after="0" w:line="240" w:lineRule="auto"/>
    </w:pPr>
  </w:style>
</w:styles>
</file>

<file path=word/webSettings.xml><?xml version="1.0" encoding="utf-8"?>
<w:webSettings xmlns:r="http://schemas.openxmlformats.org/officeDocument/2006/relationships" xmlns:w="http://schemas.openxmlformats.org/wordprocessingml/2006/main">
  <w:divs>
    <w:div w:id="837884822">
      <w:bodyDiv w:val="1"/>
      <w:marLeft w:val="0"/>
      <w:marRight w:val="0"/>
      <w:marTop w:val="0"/>
      <w:marBottom w:val="0"/>
      <w:divBdr>
        <w:top w:val="none" w:sz="0" w:space="0" w:color="auto"/>
        <w:left w:val="none" w:sz="0" w:space="0" w:color="auto"/>
        <w:bottom w:val="none" w:sz="0" w:space="0" w:color="auto"/>
        <w:right w:val="none" w:sz="0" w:space="0" w:color="auto"/>
      </w:divBdr>
      <w:divsChild>
        <w:div w:id="1440027702">
          <w:marLeft w:val="547"/>
          <w:marRight w:val="0"/>
          <w:marTop w:val="77"/>
          <w:marBottom w:val="0"/>
          <w:divBdr>
            <w:top w:val="none" w:sz="0" w:space="0" w:color="auto"/>
            <w:left w:val="none" w:sz="0" w:space="0" w:color="auto"/>
            <w:bottom w:val="none" w:sz="0" w:space="0" w:color="auto"/>
            <w:right w:val="none" w:sz="0" w:space="0" w:color="auto"/>
          </w:divBdr>
        </w:div>
        <w:div w:id="1530871142">
          <w:marLeft w:val="1166"/>
          <w:marRight w:val="0"/>
          <w:marTop w:val="77"/>
          <w:marBottom w:val="0"/>
          <w:divBdr>
            <w:top w:val="none" w:sz="0" w:space="0" w:color="auto"/>
            <w:left w:val="none" w:sz="0" w:space="0" w:color="auto"/>
            <w:bottom w:val="none" w:sz="0" w:space="0" w:color="auto"/>
            <w:right w:val="none" w:sz="0" w:space="0" w:color="auto"/>
          </w:divBdr>
        </w:div>
        <w:div w:id="2109887839">
          <w:marLeft w:val="1166"/>
          <w:marRight w:val="0"/>
          <w:marTop w:val="77"/>
          <w:marBottom w:val="0"/>
          <w:divBdr>
            <w:top w:val="none" w:sz="0" w:space="0" w:color="auto"/>
            <w:left w:val="none" w:sz="0" w:space="0" w:color="auto"/>
            <w:bottom w:val="none" w:sz="0" w:space="0" w:color="auto"/>
            <w:right w:val="none" w:sz="0" w:space="0" w:color="auto"/>
          </w:divBdr>
        </w:div>
        <w:div w:id="1913465398">
          <w:marLeft w:val="1166"/>
          <w:marRight w:val="0"/>
          <w:marTop w:val="77"/>
          <w:marBottom w:val="0"/>
          <w:divBdr>
            <w:top w:val="none" w:sz="0" w:space="0" w:color="auto"/>
            <w:left w:val="none" w:sz="0" w:space="0" w:color="auto"/>
            <w:bottom w:val="none" w:sz="0" w:space="0" w:color="auto"/>
            <w:right w:val="none" w:sz="0" w:space="0" w:color="auto"/>
          </w:divBdr>
        </w:div>
        <w:div w:id="1274439365">
          <w:marLeft w:val="1166"/>
          <w:marRight w:val="0"/>
          <w:marTop w:val="77"/>
          <w:marBottom w:val="0"/>
          <w:divBdr>
            <w:top w:val="none" w:sz="0" w:space="0" w:color="auto"/>
            <w:left w:val="none" w:sz="0" w:space="0" w:color="auto"/>
            <w:bottom w:val="none" w:sz="0" w:space="0" w:color="auto"/>
            <w:right w:val="none" w:sz="0" w:space="0" w:color="auto"/>
          </w:divBdr>
        </w:div>
      </w:divsChild>
    </w:div>
    <w:div w:id="1752584039">
      <w:bodyDiv w:val="1"/>
      <w:marLeft w:val="0"/>
      <w:marRight w:val="0"/>
      <w:marTop w:val="0"/>
      <w:marBottom w:val="0"/>
      <w:divBdr>
        <w:top w:val="none" w:sz="0" w:space="0" w:color="auto"/>
        <w:left w:val="none" w:sz="0" w:space="0" w:color="auto"/>
        <w:bottom w:val="none" w:sz="0" w:space="0" w:color="auto"/>
        <w:right w:val="none" w:sz="0" w:space="0" w:color="auto"/>
      </w:divBdr>
    </w:div>
    <w:div w:id="203603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diagramData" Target="diagrams/data1.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HCP\Downloads\contri%20region.xls"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FDAOUDIM\Desktop\carte_dossier\mpi_reg_2004_2014.xls"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4.xml.rels><?xml version="1.0" encoding="UTF-8" standalone="yes"?>
<Relationships xmlns="http://schemas.openxmlformats.org/package/2006/relationships"><Relationship Id="rId2" Type="http://schemas.openxmlformats.org/officeDocument/2006/relationships/oleObject" Target="file:///D:\carte_pauvret&#233;_multidimensionnelle_2014_2004\carte_MPI_2004_2014\carte%20de%20pauvret&#233;\mpi_province2004_2014.xls" TargetMode="External"/><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oleObject" Target="file:///D:\carte_pauvret&#233;_multidimensionnelle_2014_2004\graph_modifi&#233;%20(R&#233;cup&#233;r&#233;).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barChart>
        <c:barDir val="bar"/>
        <c:grouping val="percentStacked"/>
        <c:ser>
          <c:idx val="0"/>
          <c:order val="0"/>
          <c:tx>
            <c:strRef>
              <c:f>'[contri region.xls]Feuil1'!$C$8</c:f>
              <c:strCache>
                <c:ptCount val="1"/>
                <c:pt idx="0">
                  <c:v>Education des adultes</c:v>
                </c:pt>
              </c:strCache>
            </c:strRef>
          </c:tx>
          <c:spPr>
            <a:solidFill>
              <a:srgbClr val="0070C0"/>
            </a:solidFill>
          </c:spPr>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region.xls]Feuil1'!$C$9:$C$11</c:f>
              <c:numCache>
                <c:formatCode>0.0</c:formatCode>
                <c:ptCount val="3"/>
                <c:pt idx="0">
                  <c:v>33.973550000000003</c:v>
                </c:pt>
                <c:pt idx="1">
                  <c:v>36.796670000000013</c:v>
                </c:pt>
                <c:pt idx="2">
                  <c:v>34.35915</c:v>
                </c:pt>
              </c:numCache>
            </c:numRef>
          </c:val>
        </c:ser>
        <c:ser>
          <c:idx val="1"/>
          <c:order val="1"/>
          <c:tx>
            <c:strRef>
              <c:f>'[contri region.xls]Feuil1'!$D$8</c:f>
              <c:strCache>
                <c:ptCount val="1"/>
                <c:pt idx="0">
                  <c:v>Education des enfants</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region.xls]Feuil1'!$D$9:$D$11</c:f>
              <c:numCache>
                <c:formatCode>0.0</c:formatCode>
                <c:ptCount val="3"/>
                <c:pt idx="0">
                  <c:v>21.284829999999989</c:v>
                </c:pt>
                <c:pt idx="1">
                  <c:v>24.046739999999957</c:v>
                </c:pt>
                <c:pt idx="2">
                  <c:v>20.452929999999967</c:v>
                </c:pt>
              </c:numCache>
            </c:numRef>
          </c:val>
        </c:ser>
        <c:ser>
          <c:idx val="2"/>
          <c:order val="2"/>
          <c:tx>
            <c:strRef>
              <c:f>'[contri region.xls]Feuil1'!$E$8</c:f>
              <c:strCache>
                <c:ptCount val="1"/>
                <c:pt idx="0">
                  <c:v>Santé</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region.xls]Feuil1'!$E$9:$E$11</c:f>
              <c:numCache>
                <c:formatCode>0.0</c:formatCode>
                <c:ptCount val="3"/>
                <c:pt idx="0">
                  <c:v>10.891260000000001</c:v>
                </c:pt>
                <c:pt idx="1">
                  <c:v>24.5</c:v>
                </c:pt>
                <c:pt idx="2">
                  <c:v>8.7365000000000013</c:v>
                </c:pt>
              </c:numCache>
            </c:numRef>
          </c:val>
        </c:ser>
        <c:ser>
          <c:idx val="3"/>
          <c:order val="3"/>
          <c:tx>
            <c:strRef>
              <c:f>'[contri region.xls]Feuil1'!$F$8</c:f>
              <c:strCache>
                <c:ptCount val="1"/>
                <c:pt idx="0">
                  <c:v>Accès à l'eau, à l'électricité et à l'aissinissement </c:v>
                </c:pt>
              </c:strCache>
            </c:strRef>
          </c:tx>
          <c:dLbls>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region.xls]Feuil1'!$F$9:$F$11</c:f>
              <c:numCache>
                <c:formatCode>0.0</c:formatCode>
                <c:ptCount val="3"/>
                <c:pt idx="0">
                  <c:v>19.715230000000002</c:v>
                </c:pt>
                <c:pt idx="1">
                  <c:v>9.6690100000000001</c:v>
                </c:pt>
                <c:pt idx="2">
                  <c:v>21.166499999999989</c:v>
                </c:pt>
              </c:numCache>
            </c:numRef>
          </c:val>
        </c:ser>
        <c:ser>
          <c:idx val="4"/>
          <c:order val="4"/>
          <c:tx>
            <c:strRef>
              <c:f>'[contri region.xls]Feuil1'!$G$8</c:f>
              <c:strCache>
                <c:ptCount val="1"/>
                <c:pt idx="0">
                  <c:v>Conditions d'habitation</c:v>
                </c:pt>
              </c:strCache>
            </c:strRef>
          </c:tx>
          <c:spPr>
            <a:solidFill>
              <a:srgbClr val="FF0000"/>
            </a:solidFill>
          </c:spPr>
          <c:dLbls>
            <c:dLbl>
              <c:idx val="1"/>
              <c:layout>
                <c:manualLayout>
                  <c:x val="1.0461735485097415E-2"/>
                  <c:y val="-4.2839129094628401E-3"/>
                </c:manualLayout>
              </c:layout>
              <c:showVal val="1"/>
            </c:dLbl>
            <c:txPr>
              <a:bodyPr/>
              <a:lstStyle/>
              <a:p>
                <a:pPr>
                  <a:defRPr b="1"/>
                </a:pPr>
                <a:endParaRPr lang="fr-FR"/>
              </a:p>
            </c:txPr>
            <c:showVal val="1"/>
          </c:dLbls>
          <c:cat>
            <c:strRef>
              <c:f>'[contri region.xls]Feuil1'!$B$9:$B$11</c:f>
              <c:strCache>
                <c:ptCount val="3"/>
                <c:pt idx="0">
                  <c:v>Ensemble</c:v>
                </c:pt>
                <c:pt idx="1">
                  <c:v>Urbain </c:v>
                </c:pt>
                <c:pt idx="2">
                  <c:v>Rural</c:v>
                </c:pt>
              </c:strCache>
            </c:strRef>
          </c:cat>
          <c:val>
            <c:numRef>
              <c:f>'[contri region.xls]Feuil1'!$G$9:$G$11</c:f>
              <c:numCache>
                <c:formatCode>0.0</c:formatCode>
                <c:ptCount val="3"/>
                <c:pt idx="0">
                  <c:v>14.135110000000001</c:v>
                </c:pt>
                <c:pt idx="1">
                  <c:v>4.9875799999999995</c:v>
                </c:pt>
                <c:pt idx="2">
                  <c:v>15.284919999999998</c:v>
                </c:pt>
              </c:numCache>
            </c:numRef>
          </c:val>
        </c:ser>
        <c:overlap val="100"/>
        <c:axId val="68916352"/>
        <c:axId val="68917888"/>
      </c:barChart>
      <c:catAx>
        <c:axId val="68916352"/>
        <c:scaling>
          <c:orientation val="minMax"/>
        </c:scaling>
        <c:axPos val="l"/>
        <c:tickLblPos val="nextTo"/>
        <c:txPr>
          <a:bodyPr/>
          <a:lstStyle/>
          <a:p>
            <a:pPr>
              <a:defRPr b="1"/>
            </a:pPr>
            <a:endParaRPr lang="fr-FR"/>
          </a:p>
        </c:txPr>
        <c:crossAx val="68917888"/>
        <c:crosses val="autoZero"/>
        <c:auto val="1"/>
        <c:lblAlgn val="ctr"/>
        <c:lblOffset val="100"/>
      </c:catAx>
      <c:valAx>
        <c:axId val="68917888"/>
        <c:scaling>
          <c:orientation val="minMax"/>
        </c:scaling>
        <c:delete val="1"/>
        <c:axPos val="b"/>
        <c:numFmt formatCode="0%" sourceLinked="1"/>
        <c:tickLblPos val="none"/>
        <c:crossAx val="68916352"/>
        <c:crosses val="autoZero"/>
        <c:crossBetween val="between"/>
      </c:valAx>
    </c:plotArea>
    <c:legend>
      <c:legendPos val="r"/>
      <c:layout>
        <c:manualLayout>
          <c:xMode val="edge"/>
          <c:yMode val="edge"/>
          <c:x val="0.67616164243764365"/>
          <c:y val="9.6443789007979175E-2"/>
          <c:w val="0.32129706150136572"/>
          <c:h val="0.80711242198404032"/>
        </c:manualLayout>
      </c:layout>
      <c:txPr>
        <a:bodyPr/>
        <a:lstStyle/>
        <a:p>
          <a:pPr>
            <a:defRPr b="1"/>
          </a:pPr>
          <a:endParaRPr lang="fr-FR"/>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1.1345984560092966E-3"/>
          <c:w val="1"/>
          <c:h val="0.47847034324669224"/>
        </c:manualLayout>
      </c:layout>
      <c:lineChart>
        <c:grouping val="standard"/>
        <c:ser>
          <c:idx val="0"/>
          <c:order val="0"/>
          <c:tx>
            <c:strRef>
              <c:f>Sheet1!$C$28</c:f>
              <c:strCache>
                <c:ptCount val="1"/>
                <c:pt idx="0">
                  <c:v>2014</c:v>
                </c:pt>
              </c:strCache>
            </c:strRef>
          </c:tx>
          <c:spPr>
            <a:ln w="28575" cap="rnd">
              <a:solidFill>
                <a:srgbClr val="FF0000"/>
              </a:solidFill>
              <a:round/>
            </a:ln>
            <a:effectLst/>
          </c:spPr>
          <c:marker>
            <c:symbol val="none"/>
          </c:marker>
          <c:dLbls>
            <c:dLbl>
              <c:idx val="0"/>
              <c:layout>
                <c:manualLayout>
                  <c:x val="-3.3718801653326136E-2"/>
                  <c:y val="-3.7544021315206344E-2"/>
                </c:manualLayout>
              </c:layout>
              <c:dLblPos val="r"/>
              <c:showVal val="1"/>
            </c:dLbl>
            <c:dLbl>
              <c:idx val="1"/>
              <c:layout>
                <c:manualLayout>
                  <c:x val="-3.1497905362537756E-2"/>
                  <c:y val="-4.2907452931664404E-2"/>
                </c:manualLayout>
              </c:layout>
              <c:dLblPos val="r"/>
              <c:showVal val="1"/>
            </c:dLbl>
            <c:dLbl>
              <c:idx val="2"/>
              <c:layout>
                <c:manualLayout>
                  <c:x val="-3.1497905362537756E-2"/>
                  <c:y val="-4.8270884548122443E-2"/>
                </c:manualLayout>
              </c:layout>
              <c:dLblPos val="r"/>
              <c:showVal val="1"/>
            </c:dLbl>
            <c:dLbl>
              <c:idx val="3"/>
              <c:layout>
                <c:manualLayout>
                  <c:x val="-4.0381490525691503E-2"/>
                  <c:y val="-6.4361179397496582E-2"/>
                </c:manualLayout>
              </c:layout>
              <c:dLblPos val="r"/>
              <c:showVal val="1"/>
            </c:dLbl>
            <c:dLbl>
              <c:idx val="4"/>
              <c:layout>
                <c:manualLayout>
                  <c:x val="-3.4340652614746892E-2"/>
                  <c:y val="6.9724611013954774E-2"/>
                </c:manualLayout>
              </c:layout>
              <c:dLblPos val="r"/>
              <c:showVal val="1"/>
            </c:dLbl>
            <c:dLbl>
              <c:idx val="5"/>
              <c:layout>
                <c:manualLayout>
                  <c:x val="-3.1497905362537756E-2"/>
                  <c:y val="-5.8997747781038584E-2"/>
                </c:manualLayout>
              </c:layout>
              <c:dLblPos val="r"/>
              <c:showVal val="1"/>
            </c:dLbl>
            <c:dLbl>
              <c:idx val="6"/>
              <c:layout>
                <c:manualLayout>
                  <c:x val="-2.9898860033170049E-2"/>
                  <c:y val="5.3634316164580385E-2"/>
                </c:manualLayout>
              </c:layout>
              <c:dLblPos val="r"/>
              <c:showVal val="1"/>
            </c:dLbl>
            <c:dLbl>
              <c:idx val="7"/>
              <c:layout>
                <c:manualLayout>
                  <c:x val="-3.656154890553534E-2"/>
                  <c:y val="-2.6817158082290286E-2"/>
                </c:manualLayout>
              </c:layout>
              <c:dLblPos val="r"/>
              <c:showVal val="1"/>
            </c:dLbl>
            <c:dLbl>
              <c:idx val="8"/>
              <c:layout>
                <c:manualLayout>
                  <c:x val="-2.9277009071749422E-2"/>
                  <c:y val="-4.2907452931664404E-2"/>
                </c:manualLayout>
              </c:layout>
              <c:dLblPos val="r"/>
              <c:showVal val="1"/>
            </c:dLbl>
            <c:dLbl>
              <c:idx val="9"/>
              <c:layout>
                <c:manualLayout>
                  <c:x val="-3.3718801653326136E-2"/>
                  <c:y val="-4.2907452931664404E-2"/>
                </c:manualLayout>
              </c:layout>
              <c:dLblPos val="r"/>
              <c:showVal val="1"/>
            </c:dLbl>
            <c:dLbl>
              <c:idx val="10"/>
              <c:layout>
                <c:manualLayout>
                  <c:x val="-3.1497905362537756E-2"/>
                  <c:y val="-2.6817158082290286E-2"/>
                </c:manualLayout>
              </c:layout>
              <c:dLblPos val="r"/>
              <c:showVal val="1"/>
            </c:dLbl>
            <c:dLbl>
              <c:idx val="11"/>
              <c:layout>
                <c:manualLayout>
                  <c:x val="-2.2383661757844672E-2"/>
                  <c:y val="-5.8997747781038584E-2"/>
                </c:manualLayout>
              </c:layout>
              <c:dLblPos val="r"/>
              <c:showVal val="1"/>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Sheet1!$C$29:$C$40</c:f>
              <c:numCache>
                <c:formatCode>0.0</c:formatCode>
                <c:ptCount val="12"/>
                <c:pt idx="0">
                  <c:v>9.5297136306762695</c:v>
                </c:pt>
                <c:pt idx="1">
                  <c:v>9.5283079147338618</c:v>
                </c:pt>
                <c:pt idx="2">
                  <c:v>9.6248311996459961</c:v>
                </c:pt>
                <c:pt idx="3">
                  <c:v>6.0639834403991699</c:v>
                </c:pt>
                <c:pt idx="4">
                  <c:v>13.446479797363299</c:v>
                </c:pt>
                <c:pt idx="5">
                  <c:v>4.1406970024108904</c:v>
                </c:pt>
                <c:pt idx="6">
                  <c:v>11.32300472259522</c:v>
                </c:pt>
                <c:pt idx="7">
                  <c:v>9.9695873260498313</c:v>
                </c:pt>
                <c:pt idx="8">
                  <c:v>7.1742944717407227</c:v>
                </c:pt>
                <c:pt idx="9">
                  <c:v>6.1716957092285174</c:v>
                </c:pt>
                <c:pt idx="10">
                  <c:v>1.6613450050354004</c:v>
                </c:pt>
                <c:pt idx="11">
                  <c:v>3.7686038017272998</c:v>
                </c:pt>
              </c:numCache>
            </c:numRef>
          </c:val>
          <c:extLst xmlns:c16r2="http://schemas.microsoft.com/office/drawing/2015/06/chart">
            <c:ext xmlns:c16="http://schemas.microsoft.com/office/drawing/2014/chart" uri="{C3380CC4-5D6E-409C-BE32-E72D297353CC}">
              <c16:uniqueId val="{00000000-7382-450D-865D-28686DA0831F}"/>
            </c:ext>
          </c:extLst>
        </c:ser>
        <c:ser>
          <c:idx val="1"/>
          <c:order val="1"/>
          <c:tx>
            <c:strRef>
              <c:f>Sheet1!#REF!</c:f>
              <c:strCache>
                <c:ptCount val="1"/>
                <c:pt idx="0">
                  <c:v>#REF!</c:v>
                </c:pt>
              </c:strCache>
            </c:strRef>
          </c:tx>
          <c:spPr>
            <a:ln w="28575" cap="rnd">
              <a:solidFill>
                <a:schemeClr val="accent4"/>
              </a:solidFill>
              <a:round/>
            </a:ln>
            <a:effectLst/>
          </c:spPr>
          <c:marker>
            <c:symbol val="none"/>
          </c:marker>
          <c:dLbls>
            <c:delete val="1"/>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7382-450D-865D-28686DA0831F}"/>
            </c:ext>
          </c:extLst>
        </c:ser>
        <c:ser>
          <c:idx val="2"/>
          <c:order val="2"/>
          <c:tx>
            <c:strRef>
              <c:f>Sheet1!$D$28</c:f>
              <c:strCache>
                <c:ptCount val="1"/>
                <c:pt idx="0">
                  <c:v>2004</c:v>
                </c:pt>
              </c:strCache>
            </c:strRef>
          </c:tx>
          <c:spPr>
            <a:ln w="28575" cap="rnd">
              <a:solidFill>
                <a:srgbClr val="002060"/>
              </a:solidFill>
              <a:round/>
            </a:ln>
            <a:effectLst/>
          </c:spPr>
          <c:marker>
            <c:symbol val="none"/>
          </c:marker>
          <c:dLbls>
            <c:dLbl>
              <c:idx val="0"/>
              <c:layout>
                <c:manualLayout>
                  <c:x val="-1.6573482288439551E-2"/>
                  <c:y val="-2.6817158082290286E-2"/>
                </c:manualLayout>
              </c:layout>
              <c:dLblPos val="r"/>
              <c:showVal val="1"/>
            </c:dLbl>
            <c:dLbl>
              <c:idx val="1"/>
              <c:layout>
                <c:manualLayout>
                  <c:x val="-3.656154890553534E-2"/>
                  <c:y val="-3.7544021315206344E-2"/>
                </c:manualLayout>
              </c:layout>
              <c:dLblPos val="r"/>
              <c:showVal val="1"/>
            </c:dLbl>
            <c:dLbl>
              <c:idx val="2"/>
              <c:layout>
                <c:manualLayout>
                  <c:x val="-3.656154890553534E-2"/>
                  <c:y val="-3.2180589698748277E-2"/>
                </c:manualLayout>
              </c:layout>
              <c:dLblPos val="r"/>
              <c:showVal val="1"/>
            </c:dLbl>
            <c:dLbl>
              <c:idx val="3"/>
              <c:layout>
                <c:manualLayout>
                  <c:x val="-4.1003341487112155E-2"/>
                  <c:y val="-5.8997747781038522E-2"/>
                </c:manualLayout>
              </c:layout>
              <c:dLblPos val="r"/>
              <c:showVal val="1"/>
            </c:dLbl>
            <c:dLbl>
              <c:idx val="4"/>
              <c:layout>
                <c:manualLayout>
                  <c:x val="-5.4328719231842806E-2"/>
                  <c:y val="-1.6090294849374145E-2"/>
                </c:manualLayout>
              </c:layout>
              <c:dLblPos val="r"/>
              <c:showVal val="1"/>
            </c:dLbl>
            <c:dLbl>
              <c:idx val="5"/>
              <c:layout>
                <c:manualLayout>
                  <c:x val="-7.8758578430515327E-2"/>
                  <c:y val="-1.6090294849374145E-2"/>
                </c:manualLayout>
              </c:layout>
              <c:dLblPos val="r"/>
              <c:showVal val="1"/>
            </c:dLbl>
            <c:dLbl>
              <c:idx val="6"/>
              <c:layout>
                <c:manualLayout>
                  <c:x val="-7.4316785848938749E-2"/>
                  <c:y val="2.1453726465832202E-2"/>
                </c:manualLayout>
              </c:layout>
              <c:dLblPos val="r"/>
              <c:showVal val="1"/>
            </c:dLbl>
            <c:dLbl>
              <c:idx val="7"/>
              <c:layout>
                <c:manualLayout>
                  <c:x val="-7.2095889558150064E-2"/>
                  <c:y val="2.6817158082290286E-2"/>
                </c:manualLayout>
              </c:layout>
              <c:dLblPos val="r"/>
              <c:showVal val="1"/>
            </c:dLbl>
            <c:dLbl>
              <c:idx val="8"/>
              <c:layout>
                <c:manualLayout>
                  <c:x val="-4.1003341487112155E-2"/>
                  <c:y val="-3.7544021315206344E-2"/>
                </c:manualLayout>
              </c:layout>
              <c:dLblPos val="r"/>
              <c:showVal val="1"/>
            </c:dLbl>
            <c:dLbl>
              <c:idx val="9"/>
              <c:layout>
                <c:manualLayout>
                  <c:x val="-3.656154890553534E-2"/>
                  <c:y val="-4.8270884548122457E-2"/>
                </c:manualLayout>
              </c:layout>
              <c:dLblPos val="r"/>
              <c:showVal val="1"/>
            </c:dLbl>
            <c:dLbl>
              <c:idx val="10"/>
              <c:layout>
                <c:manualLayout>
                  <c:x val="-3.1497905362537756E-2"/>
                  <c:y val="-5.8997747781038536E-2"/>
                </c:manualLayout>
              </c:layout>
              <c:dLblPos val="r"/>
              <c:showVal val="1"/>
            </c:dLbl>
            <c:dLbl>
              <c:idx val="11"/>
              <c:layout>
                <c:manualLayout>
                  <c:x val="-3.9528981122731267E-2"/>
                  <c:y val="-1.6090294849374121E-2"/>
                </c:manualLayout>
              </c:layout>
              <c:dLblPos val="r"/>
              <c:showVal val="1"/>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5">
                        <a:lumMod val="50000"/>
                      </a:schemeClr>
                    </a:solidFill>
                    <a:latin typeface="+mn-lt"/>
                    <a:ea typeface="+mn-ea"/>
                    <a:cs typeface="+mn-cs"/>
                  </a:defRPr>
                </a:pPr>
                <a:endParaRPr lang="fr-FR"/>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Sheet1!$B$29:$B$40</c:f>
              <c:strCache>
                <c:ptCount val="12"/>
                <c:pt idx="0">
                  <c:v>Tanger-Tetouan-Al Hoceima</c:v>
                </c:pt>
                <c:pt idx="1">
                  <c:v>Oriental</c:v>
                </c:pt>
                <c:pt idx="2">
                  <c:v>Fès-Meknès</c:v>
                </c:pt>
                <c:pt idx="3">
                  <c:v>Rabat-Salé-Kénitra</c:v>
                </c:pt>
                <c:pt idx="4">
                  <c:v>Béni Mellal-Khénifra</c:v>
                </c:pt>
                <c:pt idx="5">
                  <c:v>Grand Casablanca-Settat</c:v>
                </c:pt>
                <c:pt idx="6">
                  <c:v>Marrakech-Safi</c:v>
                </c:pt>
                <c:pt idx="7">
                  <c:v>Draa-Tafilalet</c:v>
                </c:pt>
                <c:pt idx="8">
                  <c:v>Souss-Massa</c:v>
                </c:pt>
                <c:pt idx="9">
                  <c:v>Guelmim-Oued Noun</c:v>
                </c:pt>
                <c:pt idx="10">
                  <c:v>Laayoune-Sakia Al Hamra</c:v>
                </c:pt>
                <c:pt idx="11">
                  <c:v>Dakhla-Oued Eddahab</c:v>
                </c:pt>
              </c:strCache>
            </c:strRef>
          </c:cat>
          <c:val>
            <c:numRef>
              <c:f>Sheet1!$D$29:$D$40</c:f>
              <c:numCache>
                <c:formatCode>0.0</c:formatCode>
                <c:ptCount val="12"/>
                <c:pt idx="0">
                  <c:v>30.348915100097692</c:v>
                </c:pt>
                <c:pt idx="1">
                  <c:v>23.548534393310529</c:v>
                </c:pt>
                <c:pt idx="2">
                  <c:v>25.908561706542969</c:v>
                </c:pt>
                <c:pt idx="3">
                  <c:v>21.88450813293457</c:v>
                </c:pt>
                <c:pt idx="4">
                  <c:v>30.953041076660114</c:v>
                </c:pt>
                <c:pt idx="5">
                  <c:v>17.549640655517543</c:v>
                </c:pt>
                <c:pt idx="6">
                  <c:v>34.034744262695227</c:v>
                </c:pt>
                <c:pt idx="7">
                  <c:v>25.253252029418945</c:v>
                </c:pt>
                <c:pt idx="8">
                  <c:v>23.542726516723544</c:v>
                </c:pt>
                <c:pt idx="9">
                  <c:v>20.763046264648427</c:v>
                </c:pt>
                <c:pt idx="10">
                  <c:v>9.0171146392822266</c:v>
                </c:pt>
                <c:pt idx="11">
                  <c:v>19.71212387084957</c:v>
                </c:pt>
              </c:numCache>
            </c:numRef>
          </c:val>
          <c:extLst xmlns:c16r2="http://schemas.microsoft.com/office/drawing/2015/06/chart">
            <c:ext xmlns:c16="http://schemas.microsoft.com/office/drawing/2014/chart" uri="{C3380CC4-5D6E-409C-BE32-E72D297353CC}">
              <c16:uniqueId val="{00000002-7382-450D-865D-28686DA0831F}"/>
            </c:ext>
          </c:extLst>
        </c:ser>
        <c:dLbls>
          <c:showVal val="1"/>
        </c:dLbls>
        <c:hiLowLines/>
        <c:marker val="1"/>
        <c:axId val="72737536"/>
        <c:axId val="72739072"/>
      </c:lineChart>
      <c:catAx>
        <c:axId val="727375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72739072"/>
        <c:crosses val="autoZero"/>
        <c:auto val="1"/>
        <c:lblAlgn val="ctr"/>
        <c:lblOffset val="100"/>
      </c:catAx>
      <c:valAx>
        <c:axId val="72739072"/>
        <c:scaling>
          <c:orientation val="minMax"/>
        </c:scaling>
        <c:delete val="1"/>
        <c:axPos val="l"/>
        <c:numFmt formatCode="0.0" sourceLinked="1"/>
        <c:majorTickMark val="none"/>
        <c:tickLblPos val="none"/>
        <c:crossAx val="72737536"/>
        <c:crosses val="autoZero"/>
        <c:crossBetween val="between"/>
      </c:valAx>
      <c:spPr>
        <a:noFill/>
        <a:ln>
          <a:noFill/>
        </a:ln>
        <a:effectLst/>
      </c:spPr>
    </c:plotArea>
    <c:legend>
      <c:legendPos val="b"/>
      <c:legendEntry>
        <c:idx val="1"/>
        <c:delete val="1"/>
      </c:legendEntry>
      <c:layout>
        <c:manualLayout>
          <c:xMode val="edge"/>
          <c:yMode val="edge"/>
          <c:x val="6.3334653733965976E-2"/>
          <c:y val="0.9260809906036237"/>
          <c:w val="0.225079893987497"/>
          <c:h val="5.4559062755370896E-2"/>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manualLayout>
          <c:layoutTarget val="inner"/>
          <c:xMode val="edge"/>
          <c:yMode val="edge"/>
          <c:x val="0.21056323397641796"/>
          <c:y val="3.7162162162162192E-2"/>
          <c:w val="0.75318298958853713"/>
          <c:h val="0.81714407320706561"/>
        </c:manualLayout>
      </c:layout>
      <c:barChart>
        <c:barDir val="bar"/>
        <c:grouping val="stacked"/>
        <c:ser>
          <c:idx val="0"/>
          <c:order val="0"/>
          <c:tx>
            <c:strRef>
              <c:f>ensemble!$C$2</c:f>
              <c:strCache>
                <c:ptCount val="1"/>
                <c:pt idx="0">
                  <c:v>Scolarisation des Enfants</c:v>
                </c:pt>
              </c:strCache>
            </c:strRef>
          </c:tx>
          <c:spPr>
            <a:solidFill>
              <a:schemeClr val="accent1">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ensemble!$C$3:$C$14</c:f>
              <c:numCache>
                <c:formatCode>0.0%</c:formatCode>
                <c:ptCount val="12"/>
                <c:pt idx="0">
                  <c:v>0.21061410000000025</c:v>
                </c:pt>
                <c:pt idx="1">
                  <c:v>0.20957200000000001</c:v>
                </c:pt>
                <c:pt idx="2">
                  <c:v>0.20123759999999999</c:v>
                </c:pt>
                <c:pt idx="3">
                  <c:v>0.23304380000000022</c:v>
                </c:pt>
                <c:pt idx="4">
                  <c:v>0.17651440000000038</c:v>
                </c:pt>
                <c:pt idx="5">
                  <c:v>0.27257290000000051</c:v>
                </c:pt>
                <c:pt idx="6">
                  <c:v>0.22097459999999997</c:v>
                </c:pt>
                <c:pt idx="7">
                  <c:v>0.20571220000000032</c:v>
                </c:pt>
                <c:pt idx="8">
                  <c:v>0.18662730000000022</c:v>
                </c:pt>
                <c:pt idx="9">
                  <c:v>0.19915379999999988</c:v>
                </c:pt>
                <c:pt idx="10">
                  <c:v>0.25499509999999997</c:v>
                </c:pt>
                <c:pt idx="11">
                  <c:v>0.13379450000000001</c:v>
                </c:pt>
              </c:numCache>
            </c:numRef>
          </c:val>
          <c:extLst xmlns:c16r2="http://schemas.microsoft.com/office/drawing/2015/06/chart">
            <c:ext xmlns:c16="http://schemas.microsoft.com/office/drawing/2014/chart" uri="{C3380CC4-5D6E-409C-BE32-E72D297353CC}">
              <c16:uniqueId val="{00000000-168E-437B-AE48-E2F80606148A}"/>
            </c:ext>
          </c:extLst>
        </c:ser>
        <c:ser>
          <c:idx val="1"/>
          <c:order val="1"/>
          <c:tx>
            <c:strRef>
              <c:f>ensemble!$D$2</c:f>
              <c:strCache>
                <c:ptCount val="1"/>
                <c:pt idx="0">
                  <c:v>Education des Adultes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ensemble!$D$3:$D$14</c:f>
              <c:numCache>
                <c:formatCode>0.0%</c:formatCode>
                <c:ptCount val="12"/>
                <c:pt idx="0">
                  <c:v>0.36294060000000045</c:v>
                </c:pt>
                <c:pt idx="1">
                  <c:v>0.31826340000000031</c:v>
                </c:pt>
                <c:pt idx="2">
                  <c:v>0.33131870000000102</c:v>
                </c:pt>
                <c:pt idx="3">
                  <c:v>0.3561783000000005</c:v>
                </c:pt>
                <c:pt idx="4">
                  <c:v>0.30541340000000045</c:v>
                </c:pt>
                <c:pt idx="5">
                  <c:v>0.3615257000000005</c:v>
                </c:pt>
                <c:pt idx="6">
                  <c:v>0.35378470000000051</c:v>
                </c:pt>
                <c:pt idx="7">
                  <c:v>0.2872072</c:v>
                </c:pt>
                <c:pt idx="8">
                  <c:v>0.36005580000000031</c:v>
                </c:pt>
                <c:pt idx="9">
                  <c:v>0.34319870000000002</c:v>
                </c:pt>
                <c:pt idx="10">
                  <c:v>0.35305140000000002</c:v>
                </c:pt>
                <c:pt idx="11">
                  <c:v>0.4342802000000005</c:v>
                </c:pt>
              </c:numCache>
            </c:numRef>
          </c:val>
          <c:extLst xmlns:c16r2="http://schemas.microsoft.com/office/drawing/2015/06/chart">
            <c:ext xmlns:c16="http://schemas.microsoft.com/office/drawing/2014/chart" uri="{C3380CC4-5D6E-409C-BE32-E72D297353CC}">
              <c16:uniqueId val="{00000001-168E-437B-AE48-E2F80606148A}"/>
            </c:ext>
          </c:extLst>
        </c:ser>
        <c:ser>
          <c:idx val="2"/>
          <c:order val="2"/>
          <c:tx>
            <c:strRef>
              <c:f>ensemble!$E$2</c:f>
              <c:strCache>
                <c:ptCount val="1"/>
                <c:pt idx="0">
                  <c:v>Santé</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ensemble!$E$3:$E$14</c:f>
              <c:numCache>
                <c:formatCode>0.0%</c:formatCode>
                <c:ptCount val="12"/>
                <c:pt idx="0">
                  <c:v>0.1027888</c:v>
                </c:pt>
                <c:pt idx="1">
                  <c:v>9.6360000000000001E-2</c:v>
                </c:pt>
                <c:pt idx="2">
                  <c:v>9.3986300000000064E-2</c:v>
                </c:pt>
                <c:pt idx="3">
                  <c:v>0.11520920000000009</c:v>
                </c:pt>
                <c:pt idx="4">
                  <c:v>8.8508100000000201E-2</c:v>
                </c:pt>
                <c:pt idx="5">
                  <c:v>0.15038840000000028</c:v>
                </c:pt>
                <c:pt idx="6">
                  <c:v>0.10622550000000021</c:v>
                </c:pt>
                <c:pt idx="7">
                  <c:v>0.12228140000000012</c:v>
                </c:pt>
                <c:pt idx="8">
                  <c:v>0.1267325</c:v>
                </c:pt>
                <c:pt idx="9">
                  <c:v>0.1321397</c:v>
                </c:pt>
                <c:pt idx="10">
                  <c:v>0.24049840000000047</c:v>
                </c:pt>
                <c:pt idx="11">
                  <c:v>9.2066500000000023E-2</c:v>
                </c:pt>
              </c:numCache>
            </c:numRef>
          </c:val>
          <c:extLst xmlns:c16r2="http://schemas.microsoft.com/office/drawing/2015/06/chart">
            <c:ext xmlns:c16="http://schemas.microsoft.com/office/drawing/2014/chart" uri="{C3380CC4-5D6E-409C-BE32-E72D297353CC}">
              <c16:uniqueId val="{00000002-168E-437B-AE48-E2F80606148A}"/>
            </c:ext>
          </c:extLst>
        </c:ser>
        <c:ser>
          <c:idx val="3"/>
          <c:order val="3"/>
          <c:tx>
            <c:strRef>
              <c:f>ensemble!$F$2</c:f>
              <c:strCache>
                <c:ptCount val="1"/>
                <c:pt idx="0">
                  <c:v>Acces à l'eau , à l'electricité et à l'assainnissement</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ensemble!$F$3:$F$14</c:f>
              <c:numCache>
                <c:formatCode>0.0%</c:formatCode>
                <c:ptCount val="12"/>
                <c:pt idx="0">
                  <c:v>0.20036310000000004</c:v>
                </c:pt>
                <c:pt idx="1">
                  <c:v>0.22752730000000004</c:v>
                </c:pt>
                <c:pt idx="2">
                  <c:v>0.22269449999999999</c:v>
                </c:pt>
                <c:pt idx="3">
                  <c:v>0.18731040000000038</c:v>
                </c:pt>
                <c:pt idx="4">
                  <c:v>0.24611940000000038</c:v>
                </c:pt>
                <c:pt idx="5">
                  <c:v>0.15051040000000038</c:v>
                </c:pt>
                <c:pt idx="6">
                  <c:v>0.17370880000000022</c:v>
                </c:pt>
                <c:pt idx="7">
                  <c:v>0.1776008</c:v>
                </c:pt>
                <c:pt idx="8">
                  <c:v>0.17249030000000029</c:v>
                </c:pt>
                <c:pt idx="9">
                  <c:v>0.17860009999999998</c:v>
                </c:pt>
                <c:pt idx="10">
                  <c:v>0.10769360000000021</c:v>
                </c:pt>
                <c:pt idx="11">
                  <c:v>0.22118789999999997</c:v>
                </c:pt>
              </c:numCache>
            </c:numRef>
          </c:val>
          <c:extLst xmlns:c16r2="http://schemas.microsoft.com/office/drawing/2015/06/chart">
            <c:ext xmlns:c16="http://schemas.microsoft.com/office/drawing/2014/chart" uri="{C3380CC4-5D6E-409C-BE32-E72D297353CC}">
              <c16:uniqueId val="{00000003-168E-437B-AE48-E2F80606148A}"/>
            </c:ext>
          </c:extLst>
        </c:ser>
        <c:ser>
          <c:idx val="4"/>
          <c:order val="4"/>
          <c:tx>
            <c:strRef>
              <c:f>ensemble!$G$2</c:f>
              <c:strCache>
                <c:ptCount val="1"/>
                <c:pt idx="0">
                  <c:v>Conditions d'habitat</c:v>
                </c:pt>
              </c:strCache>
            </c:strRef>
          </c:tx>
          <c:spPr>
            <a:solidFill>
              <a:schemeClr val="accent6">
                <a:lumMod val="60000"/>
                <a:lumOff val="4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fr-F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ensemble!$B$3:$B$14</c:f>
              <c:strCache>
                <c:ptCount val="12"/>
                <c:pt idx="0">
                  <c:v>Tanger-Tetouan-Al Hoceima</c:v>
                </c:pt>
                <c:pt idx="1">
                  <c:v>L'oriental</c:v>
                </c:pt>
                <c:pt idx="2">
                  <c:v>Fès-Meknès</c:v>
                </c:pt>
                <c:pt idx="3">
                  <c:v>Rabat-Salé-Kénitra</c:v>
                </c:pt>
                <c:pt idx="4">
                  <c:v>Béni Mellal-Khénifra</c:v>
                </c:pt>
                <c:pt idx="5">
                  <c:v>Casablanca-Settat</c:v>
                </c:pt>
                <c:pt idx="6">
                  <c:v>Marrakech-Safi</c:v>
                </c:pt>
                <c:pt idx="7">
                  <c:v>Darâa-Tafilalet</c:v>
                </c:pt>
                <c:pt idx="8">
                  <c:v>Souss-Massa</c:v>
                </c:pt>
                <c:pt idx="9">
                  <c:v>Guelmim-Oued Noun</c:v>
                </c:pt>
                <c:pt idx="10">
                  <c:v>Laâyoune-Sakia El Hamra</c:v>
                </c:pt>
                <c:pt idx="11">
                  <c:v>Dakhla-Oued Eddahab</c:v>
                </c:pt>
              </c:strCache>
            </c:strRef>
          </c:cat>
          <c:val>
            <c:numRef>
              <c:f>ensemble!$G$3:$G$14</c:f>
              <c:numCache>
                <c:formatCode>0.0%</c:formatCode>
                <c:ptCount val="12"/>
                <c:pt idx="0">
                  <c:v>0.12329350000000021</c:v>
                </c:pt>
                <c:pt idx="1">
                  <c:v>0.14827740000000025</c:v>
                </c:pt>
                <c:pt idx="2">
                  <c:v>0.15076270000000025</c:v>
                </c:pt>
                <c:pt idx="3">
                  <c:v>0.1082584</c:v>
                </c:pt>
                <c:pt idx="4">
                  <c:v>0.18344480000000044</c:v>
                </c:pt>
                <c:pt idx="5">
                  <c:v>6.5002599999999994E-2</c:v>
                </c:pt>
                <c:pt idx="6">
                  <c:v>0.14530640000000025</c:v>
                </c:pt>
                <c:pt idx="7">
                  <c:v>0.20719830000000025</c:v>
                </c:pt>
                <c:pt idx="8">
                  <c:v>0.15409400000000029</c:v>
                </c:pt>
                <c:pt idx="9">
                  <c:v>0.14690760000000025</c:v>
                </c:pt>
                <c:pt idx="10">
                  <c:v>4.3761599999999998E-2</c:v>
                </c:pt>
                <c:pt idx="11">
                  <c:v>0.11867079999999999</c:v>
                </c:pt>
              </c:numCache>
            </c:numRef>
          </c:val>
          <c:extLst xmlns:c16r2="http://schemas.microsoft.com/office/drawing/2015/06/chart">
            <c:ext xmlns:c16="http://schemas.microsoft.com/office/drawing/2014/chart" uri="{C3380CC4-5D6E-409C-BE32-E72D297353CC}">
              <c16:uniqueId val="{00000004-168E-437B-AE48-E2F80606148A}"/>
            </c:ext>
          </c:extLst>
        </c:ser>
        <c:dLbls>
          <c:showVal val="1"/>
        </c:dLbls>
        <c:gapWidth val="95"/>
        <c:overlap val="100"/>
        <c:axId val="72858624"/>
        <c:axId val="73548544"/>
      </c:barChart>
      <c:catAx>
        <c:axId val="728586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crossAx val="73548544"/>
        <c:crosses val="autoZero"/>
        <c:auto val="1"/>
        <c:lblAlgn val="ctr"/>
        <c:lblOffset val="100"/>
      </c:catAx>
      <c:valAx>
        <c:axId val="73548544"/>
        <c:scaling>
          <c:orientation val="minMax"/>
          <c:max val="1"/>
        </c:scaling>
        <c:delete val="1"/>
        <c:axPos val="b"/>
        <c:numFmt formatCode="0.0%" sourceLinked="1"/>
        <c:majorTickMark val="none"/>
        <c:tickLblPos val="none"/>
        <c:crossAx val="72858624"/>
        <c:crosses val="autoZero"/>
        <c:crossBetween val="between"/>
      </c:valAx>
      <c:spPr>
        <a:noFill/>
        <a:ln>
          <a:noFill/>
        </a:ln>
        <a:effectLst/>
      </c:spPr>
    </c:plotArea>
    <c:legend>
      <c:legendPos val="b"/>
      <c:layout>
        <c:manualLayout>
          <c:xMode val="edge"/>
          <c:yMode val="edge"/>
          <c:x val="1.2733861439525505E-2"/>
          <c:y val="0.86809426401770962"/>
          <c:w val="0.97251817843011312"/>
          <c:h val="0.11338722784207134"/>
        </c:manualLayout>
      </c:layout>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manualLayout>
          <c:layoutTarget val="inner"/>
          <c:xMode val="edge"/>
          <c:yMode val="edge"/>
          <c:x val="3.3968049974264794E-2"/>
          <c:y val="5.1400554097404488E-2"/>
          <c:w val="0.96016048542044308"/>
          <c:h val="0.6968195396349649"/>
        </c:manualLayout>
      </c:layout>
      <c:barChart>
        <c:barDir val="col"/>
        <c:grouping val="clustered"/>
        <c:ser>
          <c:idx val="0"/>
          <c:order val="0"/>
          <c:tx>
            <c:strRef>
              <c:f>[mpi_province2004_2014.xls]Feuil2!$B$1</c:f>
              <c:strCache>
                <c:ptCount val="1"/>
                <c:pt idx="0">
                  <c:v>Taux de pauvrete en 2014</c:v>
                </c:pt>
              </c:strCache>
            </c:strRef>
          </c:tx>
          <c:cat>
            <c:strRef>
              <c:f>[mpi_province2004_2014.xls]Feuil2!$A$2:$A$76</c:f>
              <c:strCache>
                <c:ptCount val="75"/>
                <c:pt idx="0">
                  <c:v>Figuig</c:v>
                </c:pt>
                <c:pt idx="1">
                  <c:v>Azilal</c:v>
                </c:pt>
                <c:pt idx="2">
                  <c:v>Taounate</c:v>
                </c:pt>
                <c:pt idx="3">
                  <c:v>Chichaoua</c:v>
                </c:pt>
                <c:pt idx="4">
                  <c:v>Essaouira</c:v>
                </c:pt>
                <c:pt idx="5">
                  <c:v>Youssoufia</c:v>
                </c:pt>
                <c:pt idx="6">
                  <c:v>Chefchaouen</c:v>
                </c:pt>
                <c:pt idx="7">
                  <c:v>Midelt</c:v>
                </c:pt>
                <c:pt idx="8">
                  <c:v>Guercif</c:v>
                </c:pt>
                <c:pt idx="9">
                  <c:v>Boulemane</c:v>
                </c:pt>
                <c:pt idx="10">
                  <c:v>Khénifra</c:v>
                </c:pt>
                <c:pt idx="11">
                  <c:v>Taza</c:v>
                </c:pt>
                <c:pt idx="12">
                  <c:v>Al Haouz</c:v>
                </c:pt>
                <c:pt idx="13">
                  <c:v>Moulay Yacoub</c:v>
                </c:pt>
                <c:pt idx="14">
                  <c:v>Taourirt</c:v>
                </c:pt>
                <c:pt idx="15">
                  <c:v>Fahs-Anjra</c:v>
                </c:pt>
                <c:pt idx="16">
                  <c:v>Jerada</c:v>
                </c:pt>
                <c:pt idx="17">
                  <c:v>Ouezzane</c:v>
                </c:pt>
                <c:pt idx="18">
                  <c:v>Rehamna</c:v>
                </c:pt>
                <c:pt idx="19">
                  <c:v>Khémisset</c:v>
                </c:pt>
                <c:pt idx="20">
                  <c:v>Taroudannt</c:v>
                </c:pt>
                <c:pt idx="21">
                  <c:v>Al Hoceima</c:v>
                </c:pt>
                <c:pt idx="22">
                  <c:v>Sidi Bennour</c:v>
                </c:pt>
                <c:pt idx="23">
                  <c:v>Larache</c:v>
                </c:pt>
                <c:pt idx="24">
                  <c:v>Ifrane</c:v>
                </c:pt>
                <c:pt idx="25">
                  <c:v>Tinghir</c:v>
                </c:pt>
                <c:pt idx="26">
                  <c:v>Zagora</c:v>
                </c:pt>
                <c:pt idx="27">
                  <c:v>Driouch</c:v>
                </c:pt>
                <c:pt idx="28">
                  <c:v>Sidi Ifni</c:v>
                </c:pt>
                <c:pt idx="29">
                  <c:v>Assa-Zag</c:v>
                </c:pt>
                <c:pt idx="30">
                  <c:v>Safi</c:v>
                </c:pt>
                <c:pt idx="31">
                  <c:v>El Jadida</c:v>
                </c:pt>
                <c:pt idx="32">
                  <c:v>Tétouan</c:v>
                </c:pt>
                <c:pt idx="33">
                  <c:v>Sidi Slimane</c:v>
                </c:pt>
                <c:pt idx="34">
                  <c:v>Settat</c:v>
                </c:pt>
                <c:pt idx="35">
                  <c:v>Sidi Kacem</c:v>
                </c:pt>
                <c:pt idx="36">
                  <c:v>Béni Mellal</c:v>
                </c:pt>
                <c:pt idx="37">
                  <c:v>Tata</c:v>
                </c:pt>
                <c:pt idx="38">
                  <c:v>Kénitra</c:v>
                </c:pt>
                <c:pt idx="39">
                  <c:v>El KelÃ¢a des  Sraghna</c:v>
                </c:pt>
                <c:pt idx="40">
                  <c:v>Sefrou</c:v>
                </c:pt>
                <c:pt idx="41">
                  <c:v>El Hajeb</c:v>
                </c:pt>
                <c:pt idx="42">
                  <c:v>Ouarzazate</c:v>
                </c:pt>
                <c:pt idx="43">
                  <c:v>Khouribga</c:v>
                </c:pt>
                <c:pt idx="44">
                  <c:v>Tiznit</c:v>
                </c:pt>
                <c:pt idx="45">
                  <c:v>Chtouka- Ait Baha</c:v>
                </c:pt>
                <c:pt idx="46">
                  <c:v>Fquih Ben Salah</c:v>
                </c:pt>
                <c:pt idx="47">
                  <c:v>Nador</c:v>
                </c:pt>
                <c:pt idx="48">
                  <c:v>Benslimane</c:v>
                </c:pt>
                <c:pt idx="49">
                  <c:v>Berkane</c:v>
                </c:pt>
                <c:pt idx="50">
                  <c:v>Berrechid</c:v>
                </c:pt>
                <c:pt idx="51">
                  <c:v>Errachidia</c:v>
                </c:pt>
                <c:pt idx="52">
                  <c:v>Aousserd</c:v>
                </c:pt>
                <c:pt idx="53">
                  <c:v>Guelmim</c:v>
                </c:pt>
                <c:pt idx="54">
                  <c:v>Tarfaya</c:v>
                </c:pt>
                <c:pt idx="55">
                  <c:v>Oued-Ed-Dahab</c:v>
                </c:pt>
                <c:pt idx="56">
                  <c:v>Agadir Ida Ou Tanane</c:v>
                </c:pt>
                <c:pt idx="57">
                  <c:v>Tan-Tan</c:v>
                </c:pt>
                <c:pt idx="58">
                  <c:v>Mdiq - Fnidq</c:v>
                </c:pt>
                <c:pt idx="59">
                  <c:v>MeknÃ¨s</c:v>
                </c:pt>
                <c:pt idx="60">
                  <c:v>Mediouna</c:v>
                </c:pt>
                <c:pt idx="61">
                  <c:v>Oujda-Angad</c:v>
                </c:pt>
                <c:pt idx="62">
                  <c:v>Tanger -Assilah</c:v>
                </c:pt>
                <c:pt idx="63">
                  <c:v>Marrakech</c:v>
                </c:pt>
                <c:pt idx="64">
                  <c:v>Boujdour</c:v>
                </c:pt>
                <c:pt idx="65">
                  <c:v>FÃ¨s</c:v>
                </c:pt>
                <c:pt idx="66">
                  <c:v>Salé</c:v>
                </c:pt>
                <c:pt idx="67">
                  <c:v>Inezgane Ait Melloul</c:v>
                </c:pt>
                <c:pt idx="68">
                  <c:v>Nouaceur</c:v>
                </c:pt>
                <c:pt idx="69">
                  <c:v>Skhirate- Témara</c:v>
                </c:pt>
                <c:pt idx="70">
                  <c:v>Mohammadia</c:v>
                </c:pt>
                <c:pt idx="71">
                  <c:v>Es-Semara</c:v>
                </c:pt>
                <c:pt idx="72">
                  <c:v>Laayoune</c:v>
                </c:pt>
                <c:pt idx="73">
                  <c:v>Casablanca</c:v>
                </c:pt>
                <c:pt idx="74">
                  <c:v>Rabat</c:v>
                </c:pt>
              </c:strCache>
            </c:strRef>
          </c:cat>
          <c:val>
            <c:numRef>
              <c:f>[mpi_province2004_2014.xls]Feuil2!$B$2:$B$76</c:f>
              <c:numCache>
                <c:formatCode>0.0</c:formatCode>
                <c:ptCount val="75"/>
                <c:pt idx="0">
                  <c:v>34.540534973144524</c:v>
                </c:pt>
                <c:pt idx="1">
                  <c:v>28.793561935424787</c:v>
                </c:pt>
                <c:pt idx="2">
                  <c:v>23.350324630737266</c:v>
                </c:pt>
                <c:pt idx="3">
                  <c:v>23.089956283569283</c:v>
                </c:pt>
                <c:pt idx="4">
                  <c:v>22.124628067016644</c:v>
                </c:pt>
                <c:pt idx="5">
                  <c:v>18.845134735107422</c:v>
                </c:pt>
                <c:pt idx="6">
                  <c:v>18.832233428955078</c:v>
                </c:pt>
                <c:pt idx="7">
                  <c:v>17.288141250610312</c:v>
                </c:pt>
                <c:pt idx="8">
                  <c:v>17.251337051391602</c:v>
                </c:pt>
                <c:pt idx="9">
                  <c:v>17.07051467895505</c:v>
                </c:pt>
                <c:pt idx="10">
                  <c:v>16.570135116577127</c:v>
                </c:pt>
                <c:pt idx="11">
                  <c:v>15.115202903747559</c:v>
                </c:pt>
                <c:pt idx="12">
                  <c:v>14.973977088928224</c:v>
                </c:pt>
                <c:pt idx="13">
                  <c:v>14.170308113098145</c:v>
                </c:pt>
                <c:pt idx="14">
                  <c:v>14.138224601745591</c:v>
                </c:pt>
                <c:pt idx="15">
                  <c:v>13.8212890625</c:v>
                </c:pt>
                <c:pt idx="16">
                  <c:v>13.509735107421875</c:v>
                </c:pt>
                <c:pt idx="17">
                  <c:v>13.409829139709474</c:v>
                </c:pt>
                <c:pt idx="18">
                  <c:v>13.221729278564453</c:v>
                </c:pt>
                <c:pt idx="19">
                  <c:v>13.18660831451416</c:v>
                </c:pt>
                <c:pt idx="20">
                  <c:v>12.824901580810531</c:v>
                </c:pt>
                <c:pt idx="21">
                  <c:v>12.723154067993161</c:v>
                </c:pt>
                <c:pt idx="22">
                  <c:v>12.544204711914061</c:v>
                </c:pt>
                <c:pt idx="23">
                  <c:v>12.188958168029769</c:v>
                </c:pt>
                <c:pt idx="24">
                  <c:v>11.928777694702148</c:v>
                </c:pt>
                <c:pt idx="25">
                  <c:v>11.83682918548584</c:v>
                </c:pt>
                <c:pt idx="26">
                  <c:v>11.70043468475342</c:v>
                </c:pt>
                <c:pt idx="27">
                  <c:v>11.359447479248081</c:v>
                </c:pt>
                <c:pt idx="28">
                  <c:v>10.964321136474608</c:v>
                </c:pt>
                <c:pt idx="29">
                  <c:v>10.706201553344727</c:v>
                </c:pt>
                <c:pt idx="30">
                  <c:v>10.307189941406266</c:v>
                </c:pt>
                <c:pt idx="31">
                  <c:v>10.00030517578125</c:v>
                </c:pt>
                <c:pt idx="32">
                  <c:v>9.676210403442381</c:v>
                </c:pt>
                <c:pt idx="33">
                  <c:v>9.5982265472412127</c:v>
                </c:pt>
                <c:pt idx="34">
                  <c:v>9.3847799301147461</c:v>
                </c:pt>
                <c:pt idx="35">
                  <c:v>9.0229282379150391</c:v>
                </c:pt>
                <c:pt idx="36">
                  <c:v>8.8715610504150391</c:v>
                </c:pt>
                <c:pt idx="37">
                  <c:v>8.8142004013061488</c:v>
                </c:pt>
                <c:pt idx="38">
                  <c:v>8.2813062667846697</c:v>
                </c:pt>
                <c:pt idx="39">
                  <c:v>7.9297738075256374</c:v>
                </c:pt>
                <c:pt idx="40">
                  <c:v>7.8838768005371085</c:v>
                </c:pt>
                <c:pt idx="41">
                  <c:v>7.1754417419433594</c:v>
                </c:pt>
                <c:pt idx="42">
                  <c:v>7.1483178138732875</c:v>
                </c:pt>
                <c:pt idx="43">
                  <c:v>7.1330518722534109</c:v>
                </c:pt>
                <c:pt idx="44">
                  <c:v>6.9689350128173775</c:v>
                </c:pt>
                <c:pt idx="45">
                  <c:v>6.8068051338195801</c:v>
                </c:pt>
                <c:pt idx="46">
                  <c:v>6.0149898529052583</c:v>
                </c:pt>
                <c:pt idx="47">
                  <c:v>5.9826755523681694</c:v>
                </c:pt>
                <c:pt idx="48">
                  <c:v>5.8018465042114284</c:v>
                </c:pt>
                <c:pt idx="49">
                  <c:v>5.0198454856872594</c:v>
                </c:pt>
                <c:pt idx="50">
                  <c:v>4.9567499160766681</c:v>
                </c:pt>
                <c:pt idx="51">
                  <c:v>4.1770544052124015</c:v>
                </c:pt>
                <c:pt idx="52">
                  <c:v>4.1736226081848233</c:v>
                </c:pt>
                <c:pt idx="53">
                  <c:v>3.9200994968414311</c:v>
                </c:pt>
                <c:pt idx="54">
                  <c:v>3.8071844577789369</c:v>
                </c:pt>
                <c:pt idx="55">
                  <c:v>3.7599105834960942</c:v>
                </c:pt>
                <c:pt idx="56">
                  <c:v>3.6719403266906738</c:v>
                </c:pt>
                <c:pt idx="57">
                  <c:v>3.2187263965606689</c:v>
                </c:pt>
                <c:pt idx="58">
                  <c:v>3.1852715015411412</c:v>
                </c:pt>
                <c:pt idx="59">
                  <c:v>3.1603217124939027</c:v>
                </c:pt>
                <c:pt idx="60">
                  <c:v>2.9018402099609375</c:v>
                </c:pt>
                <c:pt idx="61">
                  <c:v>2.8645505905151372</c:v>
                </c:pt>
                <c:pt idx="62">
                  <c:v>2.8588244915008527</c:v>
                </c:pt>
                <c:pt idx="63">
                  <c:v>2.8172228336334184</c:v>
                </c:pt>
                <c:pt idx="64">
                  <c:v>2.7497749328613326</c:v>
                </c:pt>
                <c:pt idx="65">
                  <c:v>2.5397701263427734</c:v>
                </c:pt>
                <c:pt idx="66">
                  <c:v>2.3505830764770512</c:v>
                </c:pt>
                <c:pt idx="67">
                  <c:v>2.252467155456543</c:v>
                </c:pt>
                <c:pt idx="68">
                  <c:v>2.1390998363494873</c:v>
                </c:pt>
                <c:pt idx="69">
                  <c:v>2.1140570640563991</c:v>
                </c:pt>
                <c:pt idx="70">
                  <c:v>1.7419779300689697</c:v>
                </c:pt>
                <c:pt idx="71">
                  <c:v>1.6180403232574463</c:v>
                </c:pt>
                <c:pt idx="72">
                  <c:v>1.3424204587936399</c:v>
                </c:pt>
                <c:pt idx="73">
                  <c:v>0.95058029890060358</c:v>
                </c:pt>
                <c:pt idx="74">
                  <c:v>0.86115831136703491</c:v>
                </c:pt>
              </c:numCache>
            </c:numRef>
          </c:val>
        </c:ser>
        <c:ser>
          <c:idx val="1"/>
          <c:order val="1"/>
          <c:tx>
            <c:strRef>
              <c:f>[mpi_province2004_2014.xls]Feuil2!$C$1</c:f>
              <c:strCache>
                <c:ptCount val="1"/>
                <c:pt idx="0">
                  <c:v>Taux de pauvrete en 2004</c:v>
                </c:pt>
              </c:strCache>
            </c:strRef>
          </c:tx>
          <c:cat>
            <c:strRef>
              <c:f>[mpi_province2004_2014.xls]Feuil2!$A$2:$A$76</c:f>
              <c:strCache>
                <c:ptCount val="75"/>
                <c:pt idx="0">
                  <c:v>Figuig</c:v>
                </c:pt>
                <c:pt idx="1">
                  <c:v>Azilal</c:v>
                </c:pt>
                <c:pt idx="2">
                  <c:v>Taounate</c:v>
                </c:pt>
                <c:pt idx="3">
                  <c:v>Chichaoua</c:v>
                </c:pt>
                <c:pt idx="4">
                  <c:v>Essaouira</c:v>
                </c:pt>
                <c:pt idx="5">
                  <c:v>Youssoufia</c:v>
                </c:pt>
                <c:pt idx="6">
                  <c:v>Chefchaouen</c:v>
                </c:pt>
                <c:pt idx="7">
                  <c:v>Midelt</c:v>
                </c:pt>
                <c:pt idx="8">
                  <c:v>Guercif</c:v>
                </c:pt>
                <c:pt idx="9">
                  <c:v>Boulemane</c:v>
                </c:pt>
                <c:pt idx="10">
                  <c:v>Khénifra</c:v>
                </c:pt>
                <c:pt idx="11">
                  <c:v>Taza</c:v>
                </c:pt>
                <c:pt idx="12">
                  <c:v>Al Haouz</c:v>
                </c:pt>
                <c:pt idx="13">
                  <c:v>Moulay Yacoub</c:v>
                </c:pt>
                <c:pt idx="14">
                  <c:v>Taourirt</c:v>
                </c:pt>
                <c:pt idx="15">
                  <c:v>Fahs-Anjra</c:v>
                </c:pt>
                <c:pt idx="16">
                  <c:v>Jerada</c:v>
                </c:pt>
                <c:pt idx="17">
                  <c:v>Ouezzane</c:v>
                </c:pt>
                <c:pt idx="18">
                  <c:v>Rehamna</c:v>
                </c:pt>
                <c:pt idx="19">
                  <c:v>Khémisset</c:v>
                </c:pt>
                <c:pt idx="20">
                  <c:v>Taroudannt</c:v>
                </c:pt>
                <c:pt idx="21">
                  <c:v>Al Hoceima</c:v>
                </c:pt>
                <c:pt idx="22">
                  <c:v>Sidi Bennour</c:v>
                </c:pt>
                <c:pt idx="23">
                  <c:v>Larache</c:v>
                </c:pt>
                <c:pt idx="24">
                  <c:v>Ifrane</c:v>
                </c:pt>
                <c:pt idx="25">
                  <c:v>Tinghir</c:v>
                </c:pt>
                <c:pt idx="26">
                  <c:v>Zagora</c:v>
                </c:pt>
                <c:pt idx="27">
                  <c:v>Driouch</c:v>
                </c:pt>
                <c:pt idx="28">
                  <c:v>Sidi Ifni</c:v>
                </c:pt>
                <c:pt idx="29">
                  <c:v>Assa-Zag</c:v>
                </c:pt>
                <c:pt idx="30">
                  <c:v>Safi</c:v>
                </c:pt>
                <c:pt idx="31">
                  <c:v>El Jadida</c:v>
                </c:pt>
                <c:pt idx="32">
                  <c:v>Tétouan</c:v>
                </c:pt>
                <c:pt idx="33">
                  <c:v>Sidi Slimane</c:v>
                </c:pt>
                <c:pt idx="34">
                  <c:v>Settat</c:v>
                </c:pt>
                <c:pt idx="35">
                  <c:v>Sidi Kacem</c:v>
                </c:pt>
                <c:pt idx="36">
                  <c:v>Béni Mellal</c:v>
                </c:pt>
                <c:pt idx="37">
                  <c:v>Tata</c:v>
                </c:pt>
                <c:pt idx="38">
                  <c:v>Kénitra</c:v>
                </c:pt>
                <c:pt idx="39">
                  <c:v>El KelÃ¢a des  Sraghna</c:v>
                </c:pt>
                <c:pt idx="40">
                  <c:v>Sefrou</c:v>
                </c:pt>
                <c:pt idx="41">
                  <c:v>El Hajeb</c:v>
                </c:pt>
                <c:pt idx="42">
                  <c:v>Ouarzazate</c:v>
                </c:pt>
                <c:pt idx="43">
                  <c:v>Khouribga</c:v>
                </c:pt>
                <c:pt idx="44">
                  <c:v>Tiznit</c:v>
                </c:pt>
                <c:pt idx="45">
                  <c:v>Chtouka- Ait Baha</c:v>
                </c:pt>
                <c:pt idx="46">
                  <c:v>Fquih Ben Salah</c:v>
                </c:pt>
                <c:pt idx="47">
                  <c:v>Nador</c:v>
                </c:pt>
                <c:pt idx="48">
                  <c:v>Benslimane</c:v>
                </c:pt>
                <c:pt idx="49">
                  <c:v>Berkane</c:v>
                </c:pt>
                <c:pt idx="50">
                  <c:v>Berrechid</c:v>
                </c:pt>
                <c:pt idx="51">
                  <c:v>Errachidia</c:v>
                </c:pt>
                <c:pt idx="52">
                  <c:v>Aousserd</c:v>
                </c:pt>
                <c:pt idx="53">
                  <c:v>Guelmim</c:v>
                </c:pt>
                <c:pt idx="54">
                  <c:v>Tarfaya</c:v>
                </c:pt>
                <c:pt idx="55">
                  <c:v>Oued-Ed-Dahab</c:v>
                </c:pt>
                <c:pt idx="56">
                  <c:v>Agadir Ida Ou Tanane</c:v>
                </c:pt>
                <c:pt idx="57">
                  <c:v>Tan-Tan</c:v>
                </c:pt>
                <c:pt idx="58">
                  <c:v>Mdiq - Fnidq</c:v>
                </c:pt>
                <c:pt idx="59">
                  <c:v>MeknÃ¨s</c:v>
                </c:pt>
                <c:pt idx="60">
                  <c:v>Mediouna</c:v>
                </c:pt>
                <c:pt idx="61">
                  <c:v>Oujda-Angad</c:v>
                </c:pt>
                <c:pt idx="62">
                  <c:v>Tanger -Assilah</c:v>
                </c:pt>
                <c:pt idx="63">
                  <c:v>Marrakech</c:v>
                </c:pt>
                <c:pt idx="64">
                  <c:v>Boujdour</c:v>
                </c:pt>
                <c:pt idx="65">
                  <c:v>FÃ¨s</c:v>
                </c:pt>
                <c:pt idx="66">
                  <c:v>Salé</c:v>
                </c:pt>
                <c:pt idx="67">
                  <c:v>Inezgane Ait Melloul</c:v>
                </c:pt>
                <c:pt idx="68">
                  <c:v>Nouaceur</c:v>
                </c:pt>
                <c:pt idx="69">
                  <c:v>Skhirate- Témara</c:v>
                </c:pt>
                <c:pt idx="70">
                  <c:v>Mohammadia</c:v>
                </c:pt>
                <c:pt idx="71">
                  <c:v>Es-Semara</c:v>
                </c:pt>
                <c:pt idx="72">
                  <c:v>Laayoune</c:v>
                </c:pt>
                <c:pt idx="73">
                  <c:v>Casablanca</c:v>
                </c:pt>
                <c:pt idx="74">
                  <c:v>Rabat</c:v>
                </c:pt>
              </c:strCache>
            </c:strRef>
          </c:cat>
          <c:val>
            <c:numRef>
              <c:f>[mpi_province2004_2014.xls]Feuil2!$C$2:$C$76</c:f>
              <c:numCache>
                <c:formatCode>0.0</c:formatCode>
                <c:ptCount val="75"/>
                <c:pt idx="0">
                  <c:v>27.957614898681626</c:v>
                </c:pt>
                <c:pt idx="1">
                  <c:v>49.503044128417955</c:v>
                </c:pt>
                <c:pt idx="2">
                  <c:v>45.698444366455135</c:v>
                </c:pt>
                <c:pt idx="3">
                  <c:v>58.766162872314453</c:v>
                </c:pt>
                <c:pt idx="4">
                  <c:v>53.074508666992145</c:v>
                </c:pt>
                <c:pt idx="5">
                  <c:v>41.548866271972599</c:v>
                </c:pt>
                <c:pt idx="6">
                  <c:v>54.046787261962827</c:v>
                </c:pt>
                <c:pt idx="7">
                  <c:v>35.568305969238281</c:v>
                </c:pt>
                <c:pt idx="8">
                  <c:v>42.70651245117196</c:v>
                </c:pt>
                <c:pt idx="9">
                  <c:v>33.965301513671882</c:v>
                </c:pt>
                <c:pt idx="10">
                  <c:v>36.165271759033196</c:v>
                </c:pt>
                <c:pt idx="11">
                  <c:v>34.113414764404297</c:v>
                </c:pt>
                <c:pt idx="12">
                  <c:v>43.928260803222599</c:v>
                </c:pt>
                <c:pt idx="13">
                  <c:v>47.281169891357365</c:v>
                </c:pt>
                <c:pt idx="14">
                  <c:v>35.781688690185547</c:v>
                </c:pt>
                <c:pt idx="15">
                  <c:v>48.351467132568267</c:v>
                </c:pt>
                <c:pt idx="16">
                  <c:v>26.499980926513675</c:v>
                </c:pt>
                <c:pt idx="17">
                  <c:v>32.913612365722599</c:v>
                </c:pt>
                <c:pt idx="18">
                  <c:v>42.618225097656193</c:v>
                </c:pt>
                <c:pt idx="19">
                  <c:v>36.411369323730391</c:v>
                </c:pt>
                <c:pt idx="20">
                  <c:v>34.132244110107422</c:v>
                </c:pt>
                <c:pt idx="21">
                  <c:v>40.983535766601555</c:v>
                </c:pt>
                <c:pt idx="22">
                  <c:v>42.070877075195241</c:v>
                </c:pt>
                <c:pt idx="23">
                  <c:v>34.116668701171882</c:v>
                </c:pt>
                <c:pt idx="24">
                  <c:v>31.547462463378906</c:v>
                </c:pt>
                <c:pt idx="25">
                  <c:v>29.201517105102539</c:v>
                </c:pt>
                <c:pt idx="26">
                  <c:v>28.998502731323164</c:v>
                </c:pt>
                <c:pt idx="27">
                  <c:v>34.869941711425781</c:v>
                </c:pt>
                <c:pt idx="28">
                  <c:v>37.847282409667827</c:v>
                </c:pt>
                <c:pt idx="29">
                  <c:v>14.460981369018555</c:v>
                </c:pt>
                <c:pt idx="30">
                  <c:v>32.866226196289055</c:v>
                </c:pt>
                <c:pt idx="31">
                  <c:v>38.575813293457031</c:v>
                </c:pt>
                <c:pt idx="32">
                  <c:v>24.600175857543942</c:v>
                </c:pt>
                <c:pt idx="33">
                  <c:v>28.114667892456097</c:v>
                </c:pt>
                <c:pt idx="34">
                  <c:v>34.593856811523438</c:v>
                </c:pt>
                <c:pt idx="35">
                  <c:v>28.436983108520508</c:v>
                </c:pt>
                <c:pt idx="36">
                  <c:v>22.761219024658203</c:v>
                </c:pt>
                <c:pt idx="37">
                  <c:v>26.784954071044925</c:v>
                </c:pt>
                <c:pt idx="38">
                  <c:v>32.615997314453132</c:v>
                </c:pt>
                <c:pt idx="39">
                  <c:v>28.977670669555664</c:v>
                </c:pt>
                <c:pt idx="40">
                  <c:v>24.019002914428711</c:v>
                </c:pt>
                <c:pt idx="41">
                  <c:v>28.054847717285185</c:v>
                </c:pt>
                <c:pt idx="42">
                  <c:v>26.929920196533189</c:v>
                </c:pt>
                <c:pt idx="43">
                  <c:v>21.884952545166016</c:v>
                </c:pt>
                <c:pt idx="44">
                  <c:v>23.866243362426729</c:v>
                </c:pt>
                <c:pt idx="45">
                  <c:v>27.358663558959933</c:v>
                </c:pt>
                <c:pt idx="46">
                  <c:v>24.995351791381829</c:v>
                </c:pt>
                <c:pt idx="47">
                  <c:v>20.903297424316431</c:v>
                </c:pt>
                <c:pt idx="48">
                  <c:v>26.734012603759766</c:v>
                </c:pt>
                <c:pt idx="49">
                  <c:v>16.830972671508793</c:v>
                </c:pt>
                <c:pt idx="50">
                  <c:v>24.419792175292969</c:v>
                </c:pt>
                <c:pt idx="51">
                  <c:v>11.877578735351563</c:v>
                </c:pt>
                <c:pt idx="52">
                  <c:v>27.308633804321214</c:v>
                </c:pt>
                <c:pt idx="53">
                  <c:v>12.958463668823256</c:v>
                </c:pt>
                <c:pt idx="54">
                  <c:v>16.890459060668942</c:v>
                </c:pt>
                <c:pt idx="55">
                  <c:v>18.854726791381829</c:v>
                </c:pt>
                <c:pt idx="56">
                  <c:v>14.831913948059068</c:v>
                </c:pt>
                <c:pt idx="57">
                  <c:v>10.104599952697754</c:v>
                </c:pt>
                <c:pt idx="58">
                  <c:v>15.311595916748068</c:v>
                </c:pt>
                <c:pt idx="59">
                  <c:v>12.560158729553223</c:v>
                </c:pt>
                <c:pt idx="60">
                  <c:v>18.172607421875</c:v>
                </c:pt>
                <c:pt idx="61">
                  <c:v>10.627276420593248</c:v>
                </c:pt>
                <c:pt idx="62">
                  <c:v>13.55312442779541</c:v>
                </c:pt>
                <c:pt idx="63">
                  <c:v>12.484307289123535</c:v>
                </c:pt>
                <c:pt idx="64">
                  <c:v>15.300302505493164</c:v>
                </c:pt>
                <c:pt idx="65">
                  <c:v>11.81315803527832</c:v>
                </c:pt>
                <c:pt idx="66">
                  <c:v>10.567169189453118</c:v>
                </c:pt>
                <c:pt idx="67">
                  <c:v>10.09647274017334</c:v>
                </c:pt>
                <c:pt idx="68">
                  <c:v>15.7591552734375</c:v>
                </c:pt>
                <c:pt idx="69">
                  <c:v>16.052913665771484</c:v>
                </c:pt>
                <c:pt idx="70">
                  <c:v>8.1223630905151154</c:v>
                </c:pt>
                <c:pt idx="71">
                  <c:v>9.5677051544189524</c:v>
                </c:pt>
                <c:pt idx="72">
                  <c:v>7.2629146575927583</c:v>
                </c:pt>
                <c:pt idx="73">
                  <c:v>5.7131443023681694</c:v>
                </c:pt>
                <c:pt idx="74">
                  <c:v>5.0795598030090332</c:v>
                </c:pt>
              </c:numCache>
            </c:numRef>
          </c:val>
        </c:ser>
        <c:axId val="73655040"/>
        <c:axId val="73656576"/>
      </c:barChart>
      <c:catAx>
        <c:axId val="73655040"/>
        <c:scaling>
          <c:orientation val="minMax"/>
        </c:scaling>
        <c:axPos val="b"/>
        <c:tickLblPos val="nextTo"/>
        <c:txPr>
          <a:bodyPr/>
          <a:lstStyle/>
          <a:p>
            <a:pPr>
              <a:defRPr sz="500" b="1">
                <a:latin typeface="Times New Roman" pitchFamily="18" charset="0"/>
                <a:cs typeface="Times New Roman" pitchFamily="18" charset="0"/>
              </a:defRPr>
            </a:pPr>
            <a:endParaRPr lang="fr-FR"/>
          </a:p>
        </c:txPr>
        <c:crossAx val="73656576"/>
        <c:crosses val="autoZero"/>
        <c:auto val="1"/>
        <c:lblAlgn val="ctr"/>
        <c:lblOffset val="100"/>
      </c:catAx>
      <c:valAx>
        <c:axId val="73656576"/>
        <c:scaling>
          <c:orientation val="minMax"/>
          <c:max val="60"/>
        </c:scaling>
        <c:axPos val="l"/>
        <c:majorGridlines/>
        <c:numFmt formatCode="0" sourceLinked="0"/>
        <c:tickLblPos val="nextTo"/>
        <c:txPr>
          <a:bodyPr/>
          <a:lstStyle/>
          <a:p>
            <a:pPr>
              <a:defRPr sz="900"/>
            </a:pPr>
            <a:endParaRPr lang="fr-FR"/>
          </a:p>
        </c:txPr>
        <c:crossAx val="73655040"/>
        <c:crosses val="autoZero"/>
        <c:crossBetween val="between"/>
      </c:valAx>
    </c:plotArea>
    <c:legend>
      <c:legendPos val="b"/>
      <c:layout>
        <c:manualLayout>
          <c:xMode val="edge"/>
          <c:yMode val="edge"/>
          <c:x val="0.45284011240373273"/>
          <c:y val="0.16945223457725853"/>
          <c:w val="0.5349609496133324"/>
          <c:h val="7.9471420239136947E-2"/>
        </c:manualLayout>
      </c:layout>
      <c:txPr>
        <a:bodyPr/>
        <a:lstStyle/>
        <a:p>
          <a:pPr>
            <a:defRPr b="1"/>
          </a:pPr>
          <a:endParaRPr lang="fr-FR"/>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lrMapOvr bg1="lt1" tx1="dk1" bg2="lt2" tx2="dk2" accent1="accent1" accent2="accent2" accent3="accent3" accent4="accent4" accent5="accent5" accent6="accent6" hlink="hlink" folHlink="folHlink"/>
  <c:chart>
    <c:plotArea>
      <c:layout/>
      <c:barChart>
        <c:barDir val="col"/>
        <c:grouping val="clustered"/>
        <c:ser>
          <c:idx val="0"/>
          <c:order val="0"/>
          <c:tx>
            <c:strRef>
              <c:f>Feuil2!$D$22</c:f>
              <c:strCache>
                <c:ptCount val="1"/>
                <c:pt idx="0">
                  <c:v>2004</c:v>
                </c:pt>
              </c:strCache>
            </c:strRef>
          </c:tx>
          <c:spPr>
            <a:solidFill>
              <a:srgbClr val="0070C0"/>
            </a:solidFill>
          </c:spPr>
          <c:dLbls>
            <c:txPr>
              <a:bodyPr/>
              <a:lstStyle/>
              <a:p>
                <a:pPr>
                  <a:defRPr b="1">
                    <a:solidFill>
                      <a:srgbClr val="0070C0"/>
                    </a:solidFill>
                  </a:defRPr>
                </a:pPr>
                <a:endParaRPr lang="fr-FR"/>
              </a:p>
            </c:txPr>
            <c:showVal val="1"/>
          </c:dLbls>
          <c:cat>
            <c:strRef>
              <c:f>Feuil2!$C$23:$C$26</c:f>
              <c:strCache>
                <c:ptCount val="4"/>
                <c:pt idx="0">
                  <c:v>Communes rurales cibles (CRC) de l'INDH</c:v>
                </c:pt>
                <c:pt idx="1">
                  <c:v>CRC de l'INDH, 2005</c:v>
                </c:pt>
                <c:pt idx="2">
                  <c:v>CRC de l'INDH, 2011</c:v>
                </c:pt>
                <c:pt idx="3">
                  <c:v>Communes rurales non cibles </c:v>
                </c:pt>
              </c:strCache>
            </c:strRef>
          </c:cat>
          <c:val>
            <c:numRef>
              <c:f>Feuil2!$D$23:$D$26</c:f>
              <c:numCache>
                <c:formatCode>General</c:formatCode>
                <c:ptCount val="4"/>
                <c:pt idx="0">
                  <c:v>51.4</c:v>
                </c:pt>
                <c:pt idx="1">
                  <c:v>54</c:v>
                </c:pt>
                <c:pt idx="2">
                  <c:v>48.7</c:v>
                </c:pt>
                <c:pt idx="3">
                  <c:v>38.6</c:v>
                </c:pt>
              </c:numCache>
            </c:numRef>
          </c:val>
        </c:ser>
        <c:ser>
          <c:idx val="1"/>
          <c:order val="1"/>
          <c:tx>
            <c:strRef>
              <c:f>Feuil2!$E$22</c:f>
              <c:strCache>
                <c:ptCount val="1"/>
                <c:pt idx="0">
                  <c:v>2014</c:v>
                </c:pt>
              </c:strCache>
            </c:strRef>
          </c:tx>
          <c:spPr>
            <a:solidFill>
              <a:srgbClr val="FF0000"/>
            </a:solidFill>
          </c:spPr>
          <c:dLbls>
            <c:txPr>
              <a:bodyPr/>
              <a:lstStyle/>
              <a:p>
                <a:pPr>
                  <a:defRPr b="1">
                    <a:solidFill>
                      <a:srgbClr val="FF0000"/>
                    </a:solidFill>
                  </a:defRPr>
                </a:pPr>
                <a:endParaRPr lang="fr-FR"/>
              </a:p>
            </c:txPr>
            <c:showVal val="1"/>
          </c:dLbls>
          <c:cat>
            <c:strRef>
              <c:f>Feuil2!$C$23:$C$26</c:f>
              <c:strCache>
                <c:ptCount val="4"/>
                <c:pt idx="0">
                  <c:v>Communes rurales cibles (CRC) de l'INDH</c:v>
                </c:pt>
                <c:pt idx="1">
                  <c:v>CRC de l'INDH, 2005</c:v>
                </c:pt>
                <c:pt idx="2">
                  <c:v>CRC de l'INDH, 2011</c:v>
                </c:pt>
                <c:pt idx="3">
                  <c:v>Communes rurales non cibles </c:v>
                </c:pt>
              </c:strCache>
            </c:strRef>
          </c:cat>
          <c:val>
            <c:numRef>
              <c:f>Feuil2!$E$23:$E$26</c:f>
              <c:numCache>
                <c:formatCode>General</c:formatCode>
                <c:ptCount val="4"/>
                <c:pt idx="0">
                  <c:v>21.4</c:v>
                </c:pt>
                <c:pt idx="1">
                  <c:v>24.1</c:v>
                </c:pt>
                <c:pt idx="2">
                  <c:v>18.899999999999999</c:v>
                </c:pt>
                <c:pt idx="3">
                  <c:v>13.4</c:v>
                </c:pt>
              </c:numCache>
            </c:numRef>
          </c:val>
        </c:ser>
        <c:axId val="73661440"/>
        <c:axId val="73712384"/>
      </c:barChart>
      <c:catAx>
        <c:axId val="73661440"/>
        <c:scaling>
          <c:orientation val="minMax"/>
        </c:scaling>
        <c:axPos val="b"/>
        <c:tickLblPos val="nextTo"/>
        <c:txPr>
          <a:bodyPr/>
          <a:lstStyle/>
          <a:p>
            <a:pPr>
              <a:defRPr b="1">
                <a:solidFill>
                  <a:sysClr val="windowText" lastClr="000000"/>
                </a:solidFill>
              </a:defRPr>
            </a:pPr>
            <a:endParaRPr lang="fr-FR"/>
          </a:p>
        </c:txPr>
        <c:crossAx val="73712384"/>
        <c:crosses val="autoZero"/>
        <c:auto val="1"/>
        <c:lblAlgn val="ctr"/>
        <c:lblOffset val="100"/>
      </c:catAx>
      <c:valAx>
        <c:axId val="73712384"/>
        <c:scaling>
          <c:orientation val="minMax"/>
        </c:scaling>
        <c:delete val="1"/>
        <c:axPos val="l"/>
        <c:numFmt formatCode="General" sourceLinked="1"/>
        <c:tickLblPos val="none"/>
        <c:crossAx val="73661440"/>
        <c:crosses val="autoZero"/>
        <c:crossBetween val="between"/>
      </c:valAx>
    </c:plotArea>
    <c:legend>
      <c:legendPos val="b"/>
      <c:txPr>
        <a:bodyPr/>
        <a:lstStyle/>
        <a:p>
          <a:pPr>
            <a:defRPr b="1"/>
          </a:pPr>
          <a:endParaRPr lang="fr-FR"/>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83B293-C2FD-46F8-91DA-F9DD9D59012E}" type="doc">
      <dgm:prSet loTypeId="urn:microsoft.com/office/officeart/2005/8/layout/venn1" loCatId="relationship" qsTypeId="urn:microsoft.com/office/officeart/2005/8/quickstyle/simple1" qsCatId="simple" csTypeId="urn:microsoft.com/office/officeart/2005/8/colors/accent1_2" csCatId="accent1" phldr="1"/>
      <dgm:spPr/>
    </dgm:pt>
    <dgm:pt modelId="{645C165F-CB68-4C07-A800-EFB926D99283}">
      <dgm:prSet phldrT="[Text]" custT="1"/>
      <dgm:spPr>
        <a:solidFill>
          <a:srgbClr val="FF0000">
            <a:alpha val="50000"/>
          </a:srgbClr>
        </a:solidFill>
      </dgm:spPr>
      <dgm:t>
        <a:bodyPr/>
        <a:lstStyle/>
        <a:p>
          <a:pPr algn="ctr"/>
          <a:r>
            <a:rPr lang="en-US" sz="1400" b="1" dirty="0" err="1">
              <a:latin typeface="Times New Roman" panose="02020603050405020304" pitchFamily="18" charset="0"/>
              <a:cs typeface="Times New Roman" panose="02020603050405020304" pitchFamily="18" charset="0"/>
            </a:rPr>
            <a:t>Pauvreté</a:t>
          </a:r>
          <a:r>
            <a:rPr lang="en-US" sz="1400" b="1" dirty="0">
              <a:latin typeface="Times New Roman" panose="02020603050405020304" pitchFamily="18" charset="0"/>
              <a:cs typeface="Times New Roman" panose="02020603050405020304" pitchFamily="18" charset="0"/>
            </a:rPr>
            <a:t> </a:t>
          </a:r>
          <a:r>
            <a:rPr lang="en-US" sz="1400" b="1" dirty="0" err="1">
              <a:latin typeface="Times New Roman" panose="02020603050405020304" pitchFamily="18" charset="0"/>
              <a:cs typeface="Times New Roman" panose="02020603050405020304" pitchFamily="18" charset="0"/>
            </a:rPr>
            <a:t>monetaire</a:t>
          </a:r>
          <a:r>
            <a:rPr lang="en-US" sz="1400" b="1" dirty="0">
              <a:latin typeface="Times New Roman" panose="02020603050405020304" pitchFamily="18" charset="0"/>
              <a:cs typeface="Times New Roman" panose="02020603050405020304" pitchFamily="18" charset="0"/>
            </a:rPr>
            <a:t> </a:t>
          </a:r>
          <a:r>
            <a:rPr lang="en-US" sz="1400" b="1" dirty="0" err="1">
              <a:latin typeface="Times New Roman" panose="02020603050405020304" pitchFamily="18" charset="0"/>
              <a:cs typeface="Times New Roman" panose="02020603050405020304" pitchFamily="18" charset="0"/>
            </a:rPr>
            <a:t>uniquement</a:t>
          </a:r>
          <a:endParaRPr lang="en-US" sz="1400" b="1" dirty="0">
            <a:latin typeface="Times New Roman" panose="02020603050405020304" pitchFamily="18" charset="0"/>
            <a:cs typeface="Times New Roman" panose="02020603050405020304" pitchFamily="18" charset="0"/>
          </a:endParaRPr>
        </a:p>
        <a:p>
          <a:pPr algn="ctr"/>
          <a:r>
            <a:rPr lang="en-US" sz="1400" b="1" u="sng" dirty="0">
              <a:solidFill>
                <a:srgbClr val="C00000"/>
              </a:solidFill>
              <a:latin typeface="Times New Roman" panose="02020603050405020304" pitchFamily="18" charset="0"/>
              <a:cs typeface="Times New Roman" panose="02020603050405020304" pitchFamily="18" charset="0"/>
            </a:rPr>
            <a:t>3,5%</a:t>
          </a:r>
        </a:p>
      </dgm:t>
    </dgm:pt>
    <dgm:pt modelId="{E72E553F-EF7C-4329-BEDD-A061F48A6D28}" type="parTrans" cxnId="{0FB0A26D-FBF6-4ACF-B8C4-F5A21B8C308A}">
      <dgm:prSet/>
      <dgm:spPr/>
      <dgm:t>
        <a:bodyPr/>
        <a:lstStyle/>
        <a:p>
          <a:endParaRPr lang="en-US"/>
        </a:p>
      </dgm:t>
    </dgm:pt>
    <dgm:pt modelId="{8B23BF5C-6C7C-47D9-972B-12CC1D197E56}" type="sibTrans" cxnId="{0FB0A26D-FBF6-4ACF-B8C4-F5A21B8C308A}">
      <dgm:prSet/>
      <dgm:spPr/>
      <dgm:t>
        <a:bodyPr/>
        <a:lstStyle/>
        <a:p>
          <a:endParaRPr lang="en-US"/>
        </a:p>
      </dgm:t>
    </dgm:pt>
    <dgm:pt modelId="{11D049B9-9305-4E24-889E-F8620AF8EA25}">
      <dgm:prSet phldrT="[Text]" custT="1"/>
      <dgm:spPr>
        <a:solidFill>
          <a:srgbClr val="00B050">
            <a:alpha val="50000"/>
          </a:srgbClr>
        </a:solidFill>
        <a:ln w="25400" cap="flat" cmpd="sng" algn="ctr">
          <a:solidFill>
            <a:srgbClr val="FFFFFF">
              <a:hueOff val="0"/>
              <a:satOff val="0"/>
              <a:lumOff val="0"/>
              <a:alphaOff val="0"/>
            </a:srgbClr>
          </a:solidFill>
          <a:prstDash val="solid"/>
        </a:ln>
        <a:effectLst/>
      </dgm:spPr>
      <dgm:t>
        <a:bodyPr spcFirstLastPara="0" vert="horz" wrap="square" lIns="0" tIns="0" rIns="0" bIns="0" numCol="1" spcCol="1270" anchor="ctr" anchorCtr="1"/>
        <a:lstStyle/>
        <a:p>
          <a:pPr marL="0" lvl="0" indent="0" algn="ctr" defTabSz="800100">
            <a:lnSpc>
              <a:spcPct val="90000"/>
            </a:lnSpc>
            <a:spcBef>
              <a:spcPct val="0"/>
            </a:spcBef>
            <a:spcAft>
              <a:spcPct val="35000"/>
            </a:spcAft>
            <a:buNone/>
          </a:pP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Pauvreté</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multimensionnelle</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uniquement</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p>
        <a:p>
          <a:pPr marL="0" lvl="0" indent="0" algn="ctr" defTabSz="800100">
            <a:lnSpc>
              <a:spcPct val="90000"/>
            </a:lnSpc>
            <a:spcBef>
              <a:spcPct val="0"/>
            </a:spcBef>
            <a:spcAft>
              <a:spcPct val="35000"/>
            </a:spcAft>
            <a:buNone/>
          </a:pPr>
          <a:r>
            <a:rPr lang="en-US" sz="1400" b="1" u="sng" kern="1200" dirty="0">
              <a:solidFill>
                <a:srgbClr val="C00000"/>
              </a:solidFill>
              <a:latin typeface="Century Gothic"/>
              <a:ea typeface="+mn-ea"/>
              <a:cs typeface="+mn-cs"/>
            </a:rPr>
            <a:t>6,8%</a:t>
          </a:r>
          <a:r>
            <a:rPr lang="en-US" sz="2800" b="1" u="sng" kern="1200" dirty="0">
              <a:solidFill>
                <a:srgbClr val="C00000"/>
              </a:solidFill>
              <a:latin typeface="Century Gothic"/>
              <a:ea typeface="+mn-ea"/>
              <a:cs typeface="+mn-cs"/>
            </a:rPr>
            <a:t>           </a:t>
          </a:r>
        </a:p>
      </dgm:t>
    </dgm:pt>
    <dgm:pt modelId="{3B402368-8290-4EDE-9F13-2D89B3135A40}" type="sibTrans" cxnId="{9B896039-44EF-4E2C-91C5-32389BA5FF12}">
      <dgm:prSet/>
      <dgm:spPr/>
      <dgm:t>
        <a:bodyPr/>
        <a:lstStyle/>
        <a:p>
          <a:endParaRPr lang="en-US"/>
        </a:p>
      </dgm:t>
    </dgm:pt>
    <dgm:pt modelId="{7F083357-896C-4EDE-8BE1-825BD510B3C3}" type="parTrans" cxnId="{9B896039-44EF-4E2C-91C5-32389BA5FF12}">
      <dgm:prSet/>
      <dgm:spPr/>
      <dgm:t>
        <a:bodyPr/>
        <a:lstStyle/>
        <a:p>
          <a:endParaRPr lang="en-US"/>
        </a:p>
      </dgm:t>
    </dgm:pt>
    <dgm:pt modelId="{E21B203E-2173-41AD-89A6-34347F0DC461}" type="pres">
      <dgm:prSet presAssocID="{6683B293-C2FD-46F8-91DA-F9DD9D59012E}" presName="compositeShape" presStyleCnt="0">
        <dgm:presLayoutVars>
          <dgm:chMax val="7"/>
          <dgm:dir/>
          <dgm:resizeHandles val="exact"/>
        </dgm:presLayoutVars>
      </dgm:prSet>
      <dgm:spPr/>
    </dgm:pt>
    <dgm:pt modelId="{670952A2-53B2-4731-ABC1-949533074840}" type="pres">
      <dgm:prSet presAssocID="{645C165F-CB68-4C07-A800-EFB926D99283}" presName="circ1" presStyleLbl="vennNode1" presStyleIdx="0" presStyleCnt="2" custScaleX="105378" custScaleY="69987"/>
      <dgm:spPr/>
      <dgm:t>
        <a:bodyPr/>
        <a:lstStyle/>
        <a:p>
          <a:endParaRPr lang="fr-FR"/>
        </a:p>
      </dgm:t>
    </dgm:pt>
    <dgm:pt modelId="{D1546307-70B1-4918-8D0D-2232675F1D69}" type="pres">
      <dgm:prSet presAssocID="{645C165F-CB68-4C07-A800-EFB926D99283}" presName="circ1Tx" presStyleLbl="revTx" presStyleIdx="0" presStyleCnt="0">
        <dgm:presLayoutVars>
          <dgm:chMax val="0"/>
          <dgm:chPref val="0"/>
          <dgm:bulletEnabled val="1"/>
        </dgm:presLayoutVars>
      </dgm:prSet>
      <dgm:spPr/>
      <dgm:t>
        <a:bodyPr/>
        <a:lstStyle/>
        <a:p>
          <a:endParaRPr lang="fr-FR"/>
        </a:p>
      </dgm:t>
    </dgm:pt>
    <dgm:pt modelId="{F57FC322-6C0E-4D06-889D-9CE708EC7C12}" type="pres">
      <dgm:prSet presAssocID="{11D049B9-9305-4E24-889E-F8620AF8EA25}" presName="circ2" presStyleLbl="vennNode1" presStyleIdx="1" presStyleCnt="2" custScaleX="103220" custScaleY="67009"/>
      <dgm:spPr>
        <a:xfrm>
          <a:off x="3434080" y="453813"/>
          <a:ext cx="4511040" cy="4511039"/>
        </a:xfrm>
        <a:prstGeom prst="ellipse">
          <a:avLst/>
        </a:prstGeom>
      </dgm:spPr>
      <dgm:t>
        <a:bodyPr/>
        <a:lstStyle/>
        <a:p>
          <a:endParaRPr lang="fr-FR"/>
        </a:p>
      </dgm:t>
    </dgm:pt>
    <dgm:pt modelId="{6A7A20DA-5DED-49EA-801D-A91131D98BEB}" type="pres">
      <dgm:prSet presAssocID="{11D049B9-9305-4E24-889E-F8620AF8EA25}" presName="circ2Tx" presStyleLbl="revTx" presStyleIdx="0" presStyleCnt="0">
        <dgm:presLayoutVars>
          <dgm:chMax val="0"/>
          <dgm:chPref val="0"/>
          <dgm:bulletEnabled val="1"/>
        </dgm:presLayoutVars>
      </dgm:prSet>
      <dgm:spPr/>
      <dgm:t>
        <a:bodyPr/>
        <a:lstStyle/>
        <a:p>
          <a:endParaRPr lang="fr-FR"/>
        </a:p>
      </dgm:t>
    </dgm:pt>
  </dgm:ptLst>
  <dgm:cxnLst>
    <dgm:cxn modelId="{6DB7816E-8C14-4918-A564-1D6039195756}" type="presOf" srcId="{645C165F-CB68-4C07-A800-EFB926D99283}" destId="{670952A2-53B2-4731-ABC1-949533074840}" srcOrd="0" destOrd="0" presId="urn:microsoft.com/office/officeart/2005/8/layout/venn1"/>
    <dgm:cxn modelId="{0FB0A26D-FBF6-4ACF-B8C4-F5A21B8C308A}" srcId="{6683B293-C2FD-46F8-91DA-F9DD9D59012E}" destId="{645C165F-CB68-4C07-A800-EFB926D99283}" srcOrd="0" destOrd="0" parTransId="{E72E553F-EF7C-4329-BEDD-A061F48A6D28}" sibTransId="{8B23BF5C-6C7C-47D9-972B-12CC1D197E56}"/>
    <dgm:cxn modelId="{9B896039-44EF-4E2C-91C5-32389BA5FF12}" srcId="{6683B293-C2FD-46F8-91DA-F9DD9D59012E}" destId="{11D049B9-9305-4E24-889E-F8620AF8EA25}" srcOrd="1" destOrd="0" parTransId="{7F083357-896C-4EDE-8BE1-825BD510B3C3}" sibTransId="{3B402368-8290-4EDE-9F13-2D89B3135A40}"/>
    <dgm:cxn modelId="{CA8F153F-1871-4FB0-94D4-434645D52227}" type="presOf" srcId="{645C165F-CB68-4C07-A800-EFB926D99283}" destId="{D1546307-70B1-4918-8D0D-2232675F1D69}" srcOrd="1" destOrd="0" presId="urn:microsoft.com/office/officeart/2005/8/layout/venn1"/>
    <dgm:cxn modelId="{D6AA10F9-B669-41CD-B3B9-7A8DC24390F4}" type="presOf" srcId="{11D049B9-9305-4E24-889E-F8620AF8EA25}" destId="{6A7A20DA-5DED-49EA-801D-A91131D98BEB}" srcOrd="1" destOrd="0" presId="urn:microsoft.com/office/officeart/2005/8/layout/venn1"/>
    <dgm:cxn modelId="{0156B606-AB1E-4398-9416-6C6866559D9A}" type="presOf" srcId="{11D049B9-9305-4E24-889E-F8620AF8EA25}" destId="{F57FC322-6C0E-4D06-889D-9CE708EC7C12}" srcOrd="0" destOrd="0" presId="urn:microsoft.com/office/officeart/2005/8/layout/venn1"/>
    <dgm:cxn modelId="{D0A2E53A-DD0C-4F2A-AC52-EAF47CE2301E}" type="presOf" srcId="{6683B293-C2FD-46F8-91DA-F9DD9D59012E}" destId="{E21B203E-2173-41AD-89A6-34347F0DC461}" srcOrd="0" destOrd="0" presId="urn:microsoft.com/office/officeart/2005/8/layout/venn1"/>
    <dgm:cxn modelId="{0250DF43-5246-4D11-99BE-11A1A8663DB7}" type="presParOf" srcId="{E21B203E-2173-41AD-89A6-34347F0DC461}" destId="{670952A2-53B2-4731-ABC1-949533074840}" srcOrd="0" destOrd="0" presId="urn:microsoft.com/office/officeart/2005/8/layout/venn1"/>
    <dgm:cxn modelId="{31CD5C9E-B012-47CC-B3B2-67D14BCB58C4}" type="presParOf" srcId="{E21B203E-2173-41AD-89A6-34347F0DC461}" destId="{D1546307-70B1-4918-8D0D-2232675F1D69}" srcOrd="1" destOrd="0" presId="urn:microsoft.com/office/officeart/2005/8/layout/venn1"/>
    <dgm:cxn modelId="{308468D0-0421-49C8-B4C9-60B17DBB7647}" type="presParOf" srcId="{E21B203E-2173-41AD-89A6-34347F0DC461}" destId="{F57FC322-6C0E-4D06-889D-9CE708EC7C12}" srcOrd="2" destOrd="0" presId="urn:microsoft.com/office/officeart/2005/8/layout/venn1"/>
    <dgm:cxn modelId="{DE8C0C60-BA51-4EF8-8C16-A708D001A0B1}" type="presParOf" srcId="{E21B203E-2173-41AD-89A6-34347F0DC461}" destId="{6A7A20DA-5DED-49EA-801D-A91131D98BEB}" srcOrd="3" destOrd="0" presId="urn:microsoft.com/office/officeart/2005/8/layout/venn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0952A2-53B2-4731-ABC1-949533074840}">
      <dsp:nvSpPr>
        <dsp:cNvPr id="0" name=""/>
        <dsp:cNvSpPr/>
      </dsp:nvSpPr>
      <dsp:spPr>
        <a:xfrm>
          <a:off x="60912" y="781055"/>
          <a:ext cx="3370259" cy="2238364"/>
        </a:xfrm>
        <a:prstGeom prst="ellipse">
          <a:avLst/>
        </a:prstGeom>
        <a:solidFill>
          <a:srgbClr val="FF0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en-US" sz="1400" b="1" kern="1200" dirty="0" err="1">
              <a:latin typeface="Times New Roman" panose="02020603050405020304" pitchFamily="18" charset="0"/>
              <a:cs typeface="Times New Roman" panose="02020603050405020304" pitchFamily="18" charset="0"/>
            </a:rPr>
            <a:t>Pauvreté</a:t>
          </a:r>
          <a:r>
            <a:rPr lang="en-US" sz="1400" b="1" kern="1200" dirty="0">
              <a:latin typeface="Times New Roman" panose="02020603050405020304" pitchFamily="18" charset="0"/>
              <a:cs typeface="Times New Roman" panose="02020603050405020304" pitchFamily="18" charset="0"/>
            </a:rPr>
            <a:t> </a:t>
          </a:r>
          <a:r>
            <a:rPr lang="en-US" sz="1400" b="1" kern="1200" dirty="0" err="1">
              <a:latin typeface="Times New Roman" panose="02020603050405020304" pitchFamily="18" charset="0"/>
              <a:cs typeface="Times New Roman" panose="02020603050405020304" pitchFamily="18" charset="0"/>
            </a:rPr>
            <a:t>monetaire</a:t>
          </a:r>
          <a:r>
            <a:rPr lang="en-US" sz="1400" b="1" kern="1200" dirty="0">
              <a:latin typeface="Times New Roman" panose="02020603050405020304" pitchFamily="18" charset="0"/>
              <a:cs typeface="Times New Roman" panose="02020603050405020304" pitchFamily="18" charset="0"/>
            </a:rPr>
            <a:t> </a:t>
          </a:r>
          <a:r>
            <a:rPr lang="en-US" sz="1400" b="1" kern="1200" dirty="0" err="1">
              <a:latin typeface="Times New Roman" panose="02020603050405020304" pitchFamily="18" charset="0"/>
              <a:cs typeface="Times New Roman" panose="02020603050405020304" pitchFamily="18" charset="0"/>
            </a:rPr>
            <a:t>uniquement</a:t>
          </a:r>
          <a:endParaRPr lang="en-US" sz="1400" b="1" kern="1200" dirty="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en-US" sz="1400" b="1" u="sng" kern="1200" dirty="0">
              <a:solidFill>
                <a:srgbClr val="C00000"/>
              </a:solidFill>
              <a:latin typeface="Times New Roman" panose="02020603050405020304" pitchFamily="18" charset="0"/>
              <a:cs typeface="Times New Roman" panose="02020603050405020304" pitchFamily="18" charset="0"/>
            </a:rPr>
            <a:t>3,5%</a:t>
          </a:r>
        </a:p>
      </dsp:txBody>
      <dsp:txXfrm>
        <a:off x="531534" y="1045006"/>
        <a:ext cx="1943212" cy="1710461"/>
      </dsp:txXfrm>
    </dsp:sp>
    <dsp:sp modelId="{F57FC322-6C0E-4D06-889D-9CE708EC7C12}">
      <dsp:nvSpPr>
        <dsp:cNvPr id="0" name=""/>
        <dsp:cNvSpPr/>
      </dsp:nvSpPr>
      <dsp:spPr>
        <a:xfrm>
          <a:off x="2400471" y="828677"/>
          <a:ext cx="3301240" cy="2143119"/>
        </a:xfrm>
        <a:prstGeom prst="ellipse">
          <a:avLst/>
        </a:prstGeom>
        <a:solidFill>
          <a:srgbClr val="00B050">
            <a:alpha val="50000"/>
          </a:srgbClr>
        </a:solidFill>
        <a:ln w="25400" cap="flat" cmpd="sng" algn="ctr">
          <a:solidFill>
            <a:srgbClr val="FFFFFF">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marL="0" lvl="0" indent="0" algn="ctr" defTabSz="800100">
            <a:lnSpc>
              <a:spcPct val="90000"/>
            </a:lnSpc>
            <a:spcBef>
              <a:spcPct val="0"/>
            </a:spcBef>
            <a:spcAft>
              <a:spcPct val="35000"/>
            </a:spcAft>
            <a:buNone/>
          </a:pP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Pauvreté</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multimensionnelle</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r>
            <a:rPr lang="en-US" sz="1400" b="1" kern="1200" dirty="0" err="1">
              <a:solidFill>
                <a:srgbClr val="000000">
                  <a:hueOff val="0"/>
                  <a:satOff val="0"/>
                  <a:lumOff val="0"/>
                  <a:alphaOff val="0"/>
                </a:srgbClr>
              </a:solidFill>
              <a:latin typeface="Times New Roman" pitchFamily="18" charset="0"/>
              <a:ea typeface="+mn-ea"/>
              <a:cs typeface="Times New Roman" pitchFamily="18" charset="0"/>
            </a:rPr>
            <a:t>uniquement</a:t>
          </a:r>
          <a:r>
            <a:rPr lang="en-US" sz="1400" b="1" kern="1200" dirty="0">
              <a:solidFill>
                <a:srgbClr val="000000">
                  <a:hueOff val="0"/>
                  <a:satOff val="0"/>
                  <a:lumOff val="0"/>
                  <a:alphaOff val="0"/>
                </a:srgbClr>
              </a:solidFill>
              <a:latin typeface="Times New Roman" pitchFamily="18" charset="0"/>
              <a:ea typeface="+mn-ea"/>
              <a:cs typeface="Times New Roman" pitchFamily="18" charset="0"/>
            </a:rPr>
            <a:t>  </a:t>
          </a:r>
        </a:p>
        <a:p>
          <a:pPr marL="0" lvl="0" indent="0" algn="ctr" defTabSz="800100">
            <a:lnSpc>
              <a:spcPct val="90000"/>
            </a:lnSpc>
            <a:spcBef>
              <a:spcPct val="0"/>
            </a:spcBef>
            <a:spcAft>
              <a:spcPct val="35000"/>
            </a:spcAft>
            <a:buNone/>
          </a:pPr>
          <a:r>
            <a:rPr lang="en-US" sz="1400" b="1" u="sng" kern="1200" dirty="0">
              <a:solidFill>
                <a:srgbClr val="C00000"/>
              </a:solidFill>
              <a:latin typeface="Century Gothic"/>
              <a:ea typeface="+mn-ea"/>
              <a:cs typeface="+mn-cs"/>
            </a:rPr>
            <a:t>6,8%</a:t>
          </a:r>
          <a:r>
            <a:rPr lang="en-US" sz="2800" b="1" u="sng" kern="1200" dirty="0">
              <a:solidFill>
                <a:srgbClr val="C00000"/>
              </a:solidFill>
              <a:latin typeface="Century Gothic"/>
              <a:ea typeface="+mn-ea"/>
              <a:cs typeface="+mn-cs"/>
            </a:rPr>
            <a:t>           </a:t>
          </a:r>
        </a:p>
      </dsp:txBody>
      <dsp:txXfrm>
        <a:off x="3337310" y="1081397"/>
        <a:ext cx="1903418" cy="16376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52EE-9BAB-4BAF-9E61-829370D27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2675</Words>
  <Characters>14717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Finances</Company>
  <LinksUpToDate>false</LinksUpToDate>
  <CharactersWithSpaces>17358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2017-10-04T13:43:00Z</cp:lastPrinted>
  <dcterms:created xsi:type="dcterms:W3CDTF">2017-10-05T11:38:00Z</dcterms:created>
  <dcterms:modified xsi:type="dcterms:W3CDTF">2017-10-05T11:38:00Z</dcterms:modified>
</cp:coreProperties>
</file>