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7E" w:rsidRPr="004F14D0" w:rsidRDefault="006F1604" w:rsidP="00676F3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noProof/>
          <w:sz w:val="26"/>
          <w:szCs w:val="26"/>
          <w:lang w:eastAsia="fr-FR"/>
        </w:rPr>
        <w:pict>
          <v:rect id="_x0000_s1026" style="position:absolute;left:0;text-align:left;margin-left:-108pt;margin-top:-68.55pt;width:685.25pt;height:425.5pt;z-index:-251658752" o:preferrelative="t" filled="f" stroked="f" insetpen="t" o:cliptowrap="t">
            <v:imagedata r:id="rId7" o:title=""/>
            <v:path o:extrusionok="f"/>
            <o:lock v:ext="edit" aspectratio="t"/>
            <w10:wrap anchorx="page"/>
          </v:rect>
          <o:OLEObject Type="Embed" ProgID="PBrush" ShapeID="_x0000_s1026" DrawAspect="Content" ObjectID="_1573887663" r:id="rId8"/>
        </w:pict>
      </w:r>
    </w:p>
    <w:p w:rsidR="003A617E" w:rsidRPr="004F14D0" w:rsidRDefault="003A617E" w:rsidP="00676F31">
      <w:pPr>
        <w:autoSpaceDE w:val="0"/>
        <w:autoSpaceDN w:val="0"/>
        <w:adjustRightInd w:val="0"/>
        <w:spacing w:before="240"/>
        <w:rPr>
          <w:rFonts w:asciiTheme="majorBidi" w:hAnsiTheme="majorBidi" w:cstheme="majorBidi"/>
          <w:b/>
          <w:bCs/>
          <w:sz w:val="26"/>
          <w:szCs w:val="26"/>
        </w:rPr>
      </w:pPr>
    </w:p>
    <w:p w:rsidR="003A617E" w:rsidRPr="004F14D0" w:rsidRDefault="003A617E" w:rsidP="00CE308F">
      <w:pPr>
        <w:spacing w:before="240"/>
        <w:jc w:val="center"/>
        <w:rPr>
          <w:rFonts w:asciiTheme="majorBidi" w:hAnsiTheme="majorBidi" w:cstheme="majorBidi"/>
          <w:b/>
          <w:bCs/>
          <w:smallCaps/>
          <w:color w:val="0000FF"/>
          <w:sz w:val="28"/>
          <w:szCs w:val="28"/>
        </w:rPr>
      </w:pPr>
      <w:r w:rsidRPr="004F14D0">
        <w:rPr>
          <w:rFonts w:asciiTheme="majorBidi" w:hAnsiTheme="majorBidi" w:cstheme="majorBidi"/>
          <w:b/>
          <w:bCs/>
          <w:smallCaps/>
          <w:color w:val="0000FF"/>
          <w:sz w:val="28"/>
          <w:szCs w:val="28"/>
        </w:rPr>
        <w:t xml:space="preserve">Note d’information </w:t>
      </w:r>
      <w:r w:rsidRPr="004F14D0">
        <w:rPr>
          <w:rFonts w:asciiTheme="majorBidi" w:hAnsiTheme="majorBidi" w:cstheme="majorBidi"/>
          <w:b/>
          <w:bCs/>
          <w:smallCaps/>
          <w:color w:val="0000FF"/>
          <w:sz w:val="28"/>
          <w:szCs w:val="28"/>
        </w:rPr>
        <w:br/>
        <w:t>du Haut-Commissariat au Plan</w:t>
      </w:r>
      <w:r w:rsidRPr="004F14D0">
        <w:rPr>
          <w:rFonts w:asciiTheme="majorBidi" w:hAnsiTheme="majorBidi" w:cstheme="majorBidi"/>
          <w:b/>
          <w:bCs/>
          <w:smallCaps/>
          <w:color w:val="0000FF"/>
          <w:sz w:val="28"/>
          <w:szCs w:val="28"/>
        </w:rPr>
        <w:br/>
        <w:t>A l’occasion de la journée internationale</w:t>
      </w:r>
      <w:r w:rsidRPr="004F14D0">
        <w:rPr>
          <w:rFonts w:asciiTheme="majorBidi" w:hAnsiTheme="majorBidi" w:cstheme="majorBidi"/>
          <w:b/>
          <w:bCs/>
          <w:smallCaps/>
          <w:color w:val="0000FF"/>
          <w:sz w:val="28"/>
          <w:szCs w:val="28"/>
        </w:rPr>
        <w:br/>
        <w:t xml:space="preserve">des personnes handicapées </w:t>
      </w:r>
      <w:r w:rsidR="00CE308F">
        <w:rPr>
          <w:rFonts w:asciiTheme="majorBidi" w:hAnsiTheme="majorBidi" w:cstheme="majorBidi" w:hint="cs"/>
          <w:b/>
          <w:bCs/>
          <w:smallCaps/>
          <w:color w:val="0000FF"/>
          <w:sz w:val="28"/>
          <w:szCs w:val="28"/>
          <w:rtl/>
        </w:rPr>
        <w:br/>
      </w:r>
      <w:r w:rsidRPr="004F14D0">
        <w:rPr>
          <w:rFonts w:asciiTheme="majorBidi" w:hAnsiTheme="majorBidi" w:cstheme="majorBidi"/>
          <w:b/>
          <w:bCs/>
          <w:smallCaps/>
          <w:color w:val="0000FF"/>
          <w:sz w:val="28"/>
          <w:szCs w:val="28"/>
        </w:rPr>
        <w:t xml:space="preserve"> 3 décembre 2017</w:t>
      </w:r>
    </w:p>
    <w:p w:rsidR="000D594E" w:rsidRPr="00F84AEB" w:rsidRDefault="00452580" w:rsidP="002E7907">
      <w:pPr>
        <w:pStyle w:val="Paragraphedeliste"/>
        <w:spacing w:before="120" w:after="120" w:line="240" w:lineRule="auto"/>
        <w:ind w:left="0"/>
        <w:contextualSpacing w:val="0"/>
        <w:jc w:val="both"/>
        <w:rPr>
          <w:rFonts w:asciiTheme="majorBidi" w:hAnsiTheme="majorBidi" w:cstheme="majorBidi"/>
          <w:bCs/>
          <w:sz w:val="26"/>
          <w:szCs w:val="26"/>
        </w:rPr>
      </w:pPr>
      <w:r w:rsidRPr="00F84AEB">
        <w:rPr>
          <w:rFonts w:asciiTheme="majorBidi" w:hAnsiTheme="majorBidi" w:cstheme="majorBidi"/>
          <w:bCs/>
          <w:sz w:val="26"/>
          <w:szCs w:val="26"/>
        </w:rPr>
        <w:t xml:space="preserve">A </w:t>
      </w:r>
      <w:r>
        <w:rPr>
          <w:rFonts w:asciiTheme="majorBidi" w:hAnsiTheme="majorBidi" w:cstheme="majorBidi"/>
          <w:bCs/>
          <w:sz w:val="26"/>
          <w:szCs w:val="26"/>
        </w:rPr>
        <w:t>l’</w:t>
      </w:r>
      <w:r w:rsidRPr="00F84AEB">
        <w:rPr>
          <w:rFonts w:asciiTheme="majorBidi" w:hAnsiTheme="majorBidi" w:cstheme="majorBidi"/>
          <w:bCs/>
          <w:sz w:val="26"/>
          <w:szCs w:val="26"/>
        </w:rPr>
        <w:t>occasion</w:t>
      </w:r>
      <w:r w:rsidRPr="004F14D0">
        <w:rPr>
          <w:rFonts w:asciiTheme="majorBidi" w:hAnsiTheme="majorBidi" w:cstheme="majorBidi"/>
          <w:bCs/>
          <w:sz w:val="26"/>
          <w:szCs w:val="26"/>
        </w:rPr>
        <w:t xml:space="preserve"> </w:t>
      </w:r>
      <w:r>
        <w:rPr>
          <w:rFonts w:asciiTheme="majorBidi" w:hAnsiTheme="majorBidi" w:cstheme="majorBidi"/>
          <w:bCs/>
          <w:sz w:val="26"/>
          <w:szCs w:val="26"/>
        </w:rPr>
        <w:t>de</w:t>
      </w:r>
      <w:r w:rsidR="000D594E" w:rsidRPr="004F14D0">
        <w:rPr>
          <w:rFonts w:asciiTheme="majorBidi" w:hAnsiTheme="majorBidi" w:cstheme="majorBidi"/>
          <w:bCs/>
          <w:sz w:val="26"/>
          <w:szCs w:val="26"/>
        </w:rPr>
        <w:t xml:space="preserve"> </w:t>
      </w:r>
      <w:r w:rsidR="003A617E" w:rsidRPr="004F14D0">
        <w:rPr>
          <w:rFonts w:asciiTheme="majorBidi" w:hAnsiTheme="majorBidi" w:cstheme="majorBidi"/>
          <w:bCs/>
          <w:sz w:val="26"/>
          <w:szCs w:val="26"/>
        </w:rPr>
        <w:t>la journée internationale des personnes handicapées</w:t>
      </w:r>
      <w:r>
        <w:rPr>
          <w:rFonts w:asciiTheme="majorBidi" w:hAnsiTheme="majorBidi" w:cstheme="majorBidi"/>
          <w:bCs/>
          <w:sz w:val="26"/>
          <w:szCs w:val="26"/>
        </w:rPr>
        <w:t>,</w:t>
      </w:r>
      <w:r w:rsidR="000D594E" w:rsidRPr="004F14D0">
        <w:rPr>
          <w:rFonts w:asciiTheme="majorBidi" w:hAnsiTheme="majorBidi" w:cstheme="majorBidi"/>
          <w:bCs/>
          <w:sz w:val="26"/>
          <w:szCs w:val="26"/>
        </w:rPr>
        <w:t xml:space="preserve"> </w:t>
      </w:r>
      <w:r w:rsidRPr="00F84AEB">
        <w:rPr>
          <w:rFonts w:asciiTheme="majorBidi" w:hAnsiTheme="majorBidi" w:cstheme="majorBidi"/>
          <w:bCs/>
          <w:sz w:val="26"/>
          <w:szCs w:val="26"/>
        </w:rPr>
        <w:t xml:space="preserve">le </w:t>
      </w:r>
      <w:r w:rsidR="00285B8A" w:rsidRPr="00F84AEB">
        <w:rPr>
          <w:rFonts w:asciiTheme="majorBidi" w:hAnsiTheme="majorBidi" w:cstheme="majorBidi"/>
          <w:bCs/>
          <w:sz w:val="26"/>
          <w:szCs w:val="26"/>
        </w:rPr>
        <w:t>Haut-</w:t>
      </w:r>
      <w:r w:rsidR="00285B8A">
        <w:rPr>
          <w:rFonts w:asciiTheme="majorBidi" w:hAnsiTheme="majorBidi" w:cstheme="majorBidi"/>
          <w:bCs/>
          <w:sz w:val="26"/>
          <w:szCs w:val="26"/>
        </w:rPr>
        <w:t>C</w:t>
      </w:r>
      <w:r w:rsidR="00285B8A" w:rsidRPr="00F84AEB">
        <w:rPr>
          <w:rFonts w:asciiTheme="majorBidi" w:hAnsiTheme="majorBidi" w:cstheme="majorBidi"/>
          <w:bCs/>
          <w:sz w:val="26"/>
          <w:szCs w:val="26"/>
        </w:rPr>
        <w:t>ommissariat</w:t>
      </w:r>
      <w:r w:rsidRPr="00F84AEB">
        <w:rPr>
          <w:rFonts w:asciiTheme="majorBidi" w:hAnsiTheme="majorBidi" w:cstheme="majorBidi"/>
          <w:bCs/>
          <w:sz w:val="26"/>
          <w:szCs w:val="26"/>
        </w:rPr>
        <w:t xml:space="preserve"> au Plan</w:t>
      </w:r>
      <w:r w:rsidR="003A617E" w:rsidRPr="00F84AEB">
        <w:rPr>
          <w:rFonts w:asciiTheme="majorBidi" w:hAnsiTheme="majorBidi" w:cstheme="majorBidi"/>
          <w:bCs/>
          <w:sz w:val="26"/>
          <w:szCs w:val="26"/>
        </w:rPr>
        <w:t xml:space="preserve"> </w:t>
      </w:r>
      <w:r w:rsidR="00725CA1" w:rsidRPr="00F84AEB">
        <w:rPr>
          <w:rFonts w:asciiTheme="majorBidi" w:hAnsiTheme="majorBidi" w:cstheme="majorBidi"/>
          <w:bCs/>
          <w:sz w:val="26"/>
          <w:szCs w:val="26"/>
        </w:rPr>
        <w:t>r</w:t>
      </w:r>
      <w:r w:rsidR="00725CA1" w:rsidRPr="00F84AEB">
        <w:rPr>
          <w:rFonts w:ascii="Times New Roman" w:hAnsi="Times New Roman"/>
          <w:sz w:val="26"/>
          <w:szCs w:val="26"/>
        </w:rPr>
        <w:t>appelle que</w:t>
      </w:r>
      <w:r>
        <w:rPr>
          <w:rFonts w:ascii="Times New Roman" w:hAnsi="Times New Roman"/>
          <w:sz w:val="26"/>
          <w:szCs w:val="26"/>
        </w:rPr>
        <w:t xml:space="preserve"> </w:t>
      </w:r>
      <w:r w:rsidR="00725CA1" w:rsidRPr="00F84AEB">
        <w:rPr>
          <w:rFonts w:ascii="Times New Roman" w:hAnsi="Times New Roman"/>
          <w:sz w:val="26"/>
          <w:szCs w:val="26"/>
        </w:rPr>
        <w:t>le nombre de personnes en situation d’handica</w:t>
      </w:r>
      <w:r w:rsidR="002815A7" w:rsidRPr="00F84AEB">
        <w:rPr>
          <w:rFonts w:ascii="Times New Roman" w:hAnsi="Times New Roman"/>
          <w:sz w:val="26"/>
          <w:szCs w:val="26"/>
        </w:rPr>
        <w:t>p s’</w:t>
      </w:r>
      <w:r w:rsidR="00595C55" w:rsidRPr="00F84AEB">
        <w:rPr>
          <w:rFonts w:ascii="Times New Roman" w:hAnsi="Times New Roman"/>
          <w:sz w:val="26"/>
          <w:szCs w:val="26"/>
        </w:rPr>
        <w:t>élev</w:t>
      </w:r>
      <w:r w:rsidR="00595C55">
        <w:rPr>
          <w:rFonts w:ascii="Times New Roman" w:hAnsi="Times New Roman"/>
          <w:sz w:val="26"/>
          <w:szCs w:val="26"/>
        </w:rPr>
        <w:t xml:space="preserve">ait </w:t>
      </w:r>
      <w:r w:rsidR="000C0757">
        <w:rPr>
          <w:rFonts w:ascii="Times New Roman" w:hAnsi="Times New Roman"/>
          <w:sz w:val="26"/>
          <w:szCs w:val="26"/>
        </w:rPr>
        <w:t>en 2014</w:t>
      </w:r>
      <w:r w:rsidR="000C0757" w:rsidRPr="00F84AEB">
        <w:rPr>
          <w:rFonts w:ascii="Times New Roman" w:hAnsi="Times New Roman"/>
          <w:sz w:val="26"/>
          <w:szCs w:val="26"/>
        </w:rPr>
        <w:t xml:space="preserve"> </w:t>
      </w:r>
      <w:r w:rsidR="002815A7" w:rsidRPr="00F84AEB">
        <w:rPr>
          <w:rFonts w:ascii="Times New Roman" w:hAnsi="Times New Roman"/>
          <w:sz w:val="26"/>
          <w:szCs w:val="26"/>
        </w:rPr>
        <w:t>à 1.703.424 personnes</w:t>
      </w:r>
      <w:r w:rsidR="000C0757">
        <w:rPr>
          <w:rFonts w:ascii="Times New Roman" w:hAnsi="Times New Roman"/>
          <w:sz w:val="26"/>
          <w:szCs w:val="26"/>
        </w:rPr>
        <w:t xml:space="preserve">, avec un taux de prévalence de </w:t>
      </w:r>
      <w:r w:rsidR="00725CA1" w:rsidRPr="00F84AEB">
        <w:rPr>
          <w:rFonts w:ascii="Times New Roman" w:hAnsi="Times New Roman"/>
          <w:sz w:val="26"/>
          <w:szCs w:val="26"/>
        </w:rPr>
        <w:t xml:space="preserve">5,1% </w:t>
      </w:r>
      <w:r w:rsidR="000C0757">
        <w:rPr>
          <w:rFonts w:ascii="Times New Roman" w:hAnsi="Times New Roman"/>
          <w:sz w:val="26"/>
          <w:szCs w:val="26"/>
        </w:rPr>
        <w:t>au niveau national</w:t>
      </w:r>
      <w:r w:rsidR="00725CA1" w:rsidRPr="00F84AEB">
        <w:rPr>
          <w:rFonts w:ascii="Times New Roman" w:hAnsi="Times New Roman"/>
          <w:sz w:val="26"/>
          <w:szCs w:val="26"/>
        </w:rPr>
        <w:t>.</w:t>
      </w:r>
      <w:r w:rsidR="00725CA1" w:rsidRPr="00F84AEB" w:rsidDel="00725CA1">
        <w:rPr>
          <w:rFonts w:asciiTheme="majorBidi" w:hAnsiTheme="majorBidi" w:cstheme="majorBidi"/>
          <w:bCs/>
          <w:sz w:val="26"/>
          <w:szCs w:val="26"/>
        </w:rPr>
        <w:t xml:space="preserve"> </w:t>
      </w:r>
      <w:r>
        <w:rPr>
          <w:rFonts w:asciiTheme="majorBidi" w:hAnsiTheme="majorBidi" w:cstheme="majorBidi"/>
          <w:bCs/>
          <w:sz w:val="26"/>
          <w:szCs w:val="26"/>
        </w:rPr>
        <w:t xml:space="preserve">Parmi eux </w:t>
      </w:r>
      <w:r w:rsidR="00403D97" w:rsidRPr="00F84AEB">
        <w:rPr>
          <w:rFonts w:asciiTheme="majorBidi" w:hAnsiTheme="majorBidi" w:cstheme="majorBidi"/>
          <w:bCs/>
          <w:sz w:val="26"/>
          <w:szCs w:val="26"/>
        </w:rPr>
        <w:t>393.919 personnes souffr</w:t>
      </w:r>
      <w:r>
        <w:rPr>
          <w:rFonts w:asciiTheme="majorBidi" w:hAnsiTheme="majorBidi" w:cstheme="majorBidi"/>
          <w:bCs/>
          <w:sz w:val="26"/>
          <w:szCs w:val="26"/>
        </w:rPr>
        <w:t>ai</w:t>
      </w:r>
      <w:r w:rsidR="00403D97" w:rsidRPr="00F84AEB">
        <w:rPr>
          <w:rFonts w:asciiTheme="majorBidi" w:hAnsiTheme="majorBidi" w:cstheme="majorBidi"/>
          <w:bCs/>
          <w:sz w:val="26"/>
          <w:szCs w:val="26"/>
        </w:rPr>
        <w:t xml:space="preserve">ent </w:t>
      </w:r>
      <w:r w:rsidR="00B87653" w:rsidRPr="00F84AEB">
        <w:rPr>
          <w:rFonts w:asciiTheme="majorBidi" w:hAnsiTheme="majorBidi" w:cstheme="majorBidi"/>
          <w:bCs/>
          <w:sz w:val="26"/>
          <w:szCs w:val="26"/>
        </w:rPr>
        <w:t xml:space="preserve">d’une </w:t>
      </w:r>
      <w:r w:rsidR="00403D97" w:rsidRPr="00F84AEB">
        <w:rPr>
          <w:rFonts w:asciiTheme="majorBidi" w:hAnsiTheme="majorBidi" w:cstheme="majorBidi"/>
          <w:bCs/>
          <w:sz w:val="26"/>
          <w:szCs w:val="26"/>
          <w:u w:val="single"/>
        </w:rPr>
        <w:t>incapacité totale</w:t>
      </w:r>
      <w:r w:rsidR="00403D97" w:rsidRPr="00F84AEB">
        <w:rPr>
          <w:rFonts w:asciiTheme="majorBidi" w:hAnsiTheme="majorBidi" w:cstheme="majorBidi"/>
          <w:bCs/>
          <w:sz w:val="26"/>
          <w:szCs w:val="26"/>
        </w:rPr>
        <w:t xml:space="preserve"> à effectuer au moins une des six activités de la vie quotidienne (voir, entendre, marcher ou monter les escaliers, se rappeler ou se concentrer, prendre soin de soi et communiquer dans sa langue habituelle), </w:t>
      </w:r>
      <w:r>
        <w:rPr>
          <w:rFonts w:asciiTheme="majorBidi" w:hAnsiTheme="majorBidi" w:cstheme="majorBidi"/>
          <w:bCs/>
          <w:sz w:val="26"/>
          <w:szCs w:val="26"/>
        </w:rPr>
        <w:t>représentant</w:t>
      </w:r>
      <w:r w:rsidR="00403D97" w:rsidRPr="00F84AEB">
        <w:rPr>
          <w:rFonts w:asciiTheme="majorBidi" w:hAnsiTheme="majorBidi" w:cstheme="majorBidi"/>
          <w:bCs/>
          <w:sz w:val="26"/>
          <w:szCs w:val="26"/>
        </w:rPr>
        <w:t xml:space="preserve"> 23,1% </w:t>
      </w:r>
      <w:r w:rsidR="000C0757">
        <w:rPr>
          <w:rFonts w:asciiTheme="majorBidi" w:hAnsiTheme="majorBidi" w:cstheme="majorBidi"/>
          <w:bCs/>
          <w:sz w:val="26"/>
          <w:szCs w:val="26"/>
        </w:rPr>
        <w:t>de la population en situation d</w:t>
      </w:r>
      <w:r w:rsidR="002E7907">
        <w:rPr>
          <w:rFonts w:asciiTheme="majorBidi" w:hAnsiTheme="majorBidi" w:cstheme="majorBidi"/>
          <w:bCs/>
          <w:sz w:val="26"/>
          <w:szCs w:val="26"/>
        </w:rPr>
        <w:t>’</w:t>
      </w:r>
      <w:r w:rsidR="000C0757">
        <w:rPr>
          <w:rFonts w:asciiTheme="majorBidi" w:hAnsiTheme="majorBidi" w:cstheme="majorBidi"/>
          <w:bCs/>
          <w:sz w:val="26"/>
          <w:szCs w:val="26"/>
        </w:rPr>
        <w:t xml:space="preserve">handicap </w:t>
      </w:r>
      <w:r w:rsidR="002E7907">
        <w:rPr>
          <w:rFonts w:asciiTheme="majorBidi" w:hAnsiTheme="majorBidi" w:cstheme="majorBidi"/>
          <w:bCs/>
          <w:sz w:val="26"/>
          <w:szCs w:val="26"/>
        </w:rPr>
        <w:t>et</w:t>
      </w:r>
      <w:r w:rsidR="00403D97" w:rsidRPr="00F84AEB">
        <w:rPr>
          <w:rFonts w:asciiTheme="majorBidi" w:hAnsiTheme="majorBidi" w:cstheme="majorBidi"/>
          <w:bCs/>
          <w:sz w:val="26"/>
          <w:szCs w:val="26"/>
        </w:rPr>
        <w:t xml:space="preserve"> </w:t>
      </w:r>
      <w:r w:rsidR="00B87653" w:rsidRPr="00F84AEB">
        <w:rPr>
          <w:rFonts w:asciiTheme="majorBidi" w:hAnsiTheme="majorBidi" w:cstheme="majorBidi"/>
          <w:bCs/>
          <w:sz w:val="26"/>
          <w:szCs w:val="26"/>
        </w:rPr>
        <w:t xml:space="preserve">un taux de prévalence de </w:t>
      </w:r>
      <w:r w:rsidR="00403D97" w:rsidRPr="00F84AEB">
        <w:rPr>
          <w:rFonts w:asciiTheme="majorBidi" w:hAnsiTheme="majorBidi" w:cstheme="majorBidi"/>
          <w:bCs/>
          <w:sz w:val="26"/>
          <w:szCs w:val="26"/>
        </w:rPr>
        <w:t xml:space="preserve">1,2% </w:t>
      </w:r>
      <w:r w:rsidR="00B87653" w:rsidRPr="00F84AEB">
        <w:rPr>
          <w:rFonts w:asciiTheme="majorBidi" w:hAnsiTheme="majorBidi" w:cstheme="majorBidi"/>
          <w:bCs/>
          <w:sz w:val="26"/>
          <w:szCs w:val="26"/>
        </w:rPr>
        <w:t>au niveau national</w:t>
      </w:r>
      <w:r w:rsidR="00403D97" w:rsidRPr="00F84AEB">
        <w:rPr>
          <w:rFonts w:asciiTheme="majorBidi" w:hAnsiTheme="majorBidi" w:cstheme="majorBidi"/>
          <w:bCs/>
          <w:sz w:val="26"/>
          <w:szCs w:val="26"/>
        </w:rPr>
        <w:t>.</w:t>
      </w:r>
      <w:r w:rsidR="00DF72D1" w:rsidRPr="00F84AEB">
        <w:rPr>
          <w:rFonts w:asciiTheme="majorBidi" w:hAnsiTheme="majorBidi" w:cstheme="majorBidi"/>
          <w:bCs/>
          <w:sz w:val="26"/>
          <w:szCs w:val="26"/>
        </w:rPr>
        <w:t xml:space="preserve"> 51,7% de </w:t>
      </w:r>
      <w:r w:rsidR="006451B1" w:rsidRPr="00F84AEB">
        <w:rPr>
          <w:rFonts w:asciiTheme="majorBidi" w:hAnsiTheme="majorBidi" w:cstheme="majorBidi"/>
          <w:bCs/>
          <w:sz w:val="26"/>
          <w:szCs w:val="26"/>
        </w:rPr>
        <w:t>la</w:t>
      </w:r>
      <w:r w:rsidR="00DF72D1" w:rsidRPr="00F84AEB">
        <w:rPr>
          <w:rFonts w:asciiTheme="majorBidi" w:hAnsiTheme="majorBidi" w:cstheme="majorBidi"/>
          <w:bCs/>
          <w:sz w:val="26"/>
          <w:szCs w:val="26"/>
        </w:rPr>
        <w:t xml:space="preserve"> population à incapacité tota</w:t>
      </w:r>
      <w:r w:rsidR="005C499D" w:rsidRPr="00F84AEB">
        <w:rPr>
          <w:rFonts w:asciiTheme="majorBidi" w:hAnsiTheme="majorBidi" w:cstheme="majorBidi"/>
          <w:bCs/>
          <w:sz w:val="26"/>
          <w:szCs w:val="26"/>
        </w:rPr>
        <w:t>le s</w:t>
      </w:r>
      <w:r w:rsidR="00BA5936">
        <w:rPr>
          <w:rFonts w:asciiTheme="majorBidi" w:hAnsiTheme="majorBidi" w:cstheme="majorBidi"/>
          <w:bCs/>
          <w:sz w:val="26"/>
          <w:szCs w:val="26"/>
        </w:rPr>
        <w:t>on</w:t>
      </w:r>
      <w:r w:rsidR="005C499D" w:rsidRPr="00F84AEB">
        <w:rPr>
          <w:rFonts w:asciiTheme="majorBidi" w:hAnsiTheme="majorBidi" w:cstheme="majorBidi"/>
          <w:bCs/>
          <w:sz w:val="26"/>
          <w:szCs w:val="26"/>
        </w:rPr>
        <w:t>t de se</w:t>
      </w:r>
      <w:r w:rsidR="00DF72D1" w:rsidRPr="00F84AEB">
        <w:rPr>
          <w:rFonts w:asciiTheme="majorBidi" w:hAnsiTheme="majorBidi" w:cstheme="majorBidi"/>
          <w:bCs/>
          <w:sz w:val="26"/>
          <w:szCs w:val="26"/>
        </w:rPr>
        <w:t>xe masculin et 5</w:t>
      </w:r>
      <w:r w:rsidR="00E606E7">
        <w:rPr>
          <w:rFonts w:asciiTheme="majorBidi" w:hAnsiTheme="majorBidi" w:cstheme="majorBidi"/>
          <w:bCs/>
          <w:sz w:val="26"/>
          <w:szCs w:val="26"/>
        </w:rPr>
        <w:t>5</w:t>
      </w:r>
      <w:r w:rsidR="00DF72D1" w:rsidRPr="00F84AEB">
        <w:rPr>
          <w:rFonts w:asciiTheme="majorBidi" w:hAnsiTheme="majorBidi" w:cstheme="majorBidi"/>
          <w:bCs/>
          <w:sz w:val="26"/>
          <w:szCs w:val="26"/>
        </w:rPr>
        <w:t>,</w:t>
      </w:r>
      <w:r w:rsidR="00E606E7">
        <w:rPr>
          <w:rFonts w:asciiTheme="majorBidi" w:hAnsiTheme="majorBidi" w:cstheme="majorBidi"/>
          <w:bCs/>
          <w:sz w:val="26"/>
          <w:szCs w:val="26"/>
        </w:rPr>
        <w:t>6</w:t>
      </w:r>
      <w:r w:rsidR="00DF72D1" w:rsidRPr="00F84AEB">
        <w:rPr>
          <w:rFonts w:asciiTheme="majorBidi" w:hAnsiTheme="majorBidi" w:cstheme="majorBidi"/>
          <w:bCs/>
          <w:sz w:val="26"/>
          <w:szCs w:val="26"/>
        </w:rPr>
        <w:t xml:space="preserve">% </w:t>
      </w:r>
      <w:r w:rsidR="005C499D" w:rsidRPr="00F84AEB">
        <w:rPr>
          <w:rFonts w:asciiTheme="majorBidi" w:hAnsiTheme="majorBidi" w:cstheme="majorBidi"/>
          <w:bCs/>
          <w:sz w:val="26"/>
          <w:szCs w:val="26"/>
        </w:rPr>
        <w:t>vive</w:t>
      </w:r>
      <w:r w:rsidR="00BA5936">
        <w:rPr>
          <w:rFonts w:asciiTheme="majorBidi" w:hAnsiTheme="majorBidi" w:cstheme="majorBidi"/>
          <w:bCs/>
          <w:sz w:val="26"/>
          <w:szCs w:val="26"/>
        </w:rPr>
        <w:t>nt</w:t>
      </w:r>
      <w:r w:rsidR="005C499D" w:rsidRPr="00F84AEB">
        <w:rPr>
          <w:rFonts w:asciiTheme="majorBidi" w:hAnsiTheme="majorBidi" w:cstheme="majorBidi"/>
          <w:bCs/>
          <w:sz w:val="26"/>
          <w:szCs w:val="26"/>
        </w:rPr>
        <w:t xml:space="preserve"> </w:t>
      </w:r>
      <w:r w:rsidR="00DF72D1" w:rsidRPr="00F84AEB">
        <w:rPr>
          <w:rFonts w:asciiTheme="majorBidi" w:hAnsiTheme="majorBidi" w:cstheme="majorBidi"/>
          <w:bCs/>
          <w:sz w:val="26"/>
          <w:szCs w:val="26"/>
        </w:rPr>
        <w:t>en milieu urbain.</w:t>
      </w:r>
    </w:p>
    <w:p w:rsidR="00B708B9" w:rsidRPr="006451B1" w:rsidRDefault="00B708B9" w:rsidP="00B708B9">
      <w:pPr>
        <w:pStyle w:val="Paragraphedeliste"/>
        <w:spacing w:before="120" w:after="120" w:line="240" w:lineRule="auto"/>
        <w:ind w:left="0"/>
        <w:contextualSpacing w:val="0"/>
        <w:jc w:val="both"/>
        <w:rPr>
          <w:rFonts w:asciiTheme="majorBidi" w:hAnsiTheme="majorBidi" w:cstheme="majorBidi"/>
          <w:b/>
          <w:color w:val="0000FF"/>
          <w:sz w:val="32"/>
          <w:szCs w:val="32"/>
        </w:rPr>
      </w:pPr>
      <w:r>
        <w:rPr>
          <w:rFonts w:asciiTheme="majorBidi" w:hAnsiTheme="majorBidi" w:cstheme="majorBidi"/>
          <w:b/>
          <w:color w:val="0000FF"/>
          <w:sz w:val="32"/>
          <w:szCs w:val="32"/>
        </w:rPr>
        <w:t xml:space="preserve">Les personnes à incapacité totale en majorité </w:t>
      </w:r>
      <w:r w:rsidR="00431A8C">
        <w:rPr>
          <w:rFonts w:asciiTheme="majorBidi" w:hAnsiTheme="majorBidi" w:cstheme="majorBidi"/>
          <w:b/>
          <w:color w:val="0000FF"/>
          <w:sz w:val="32"/>
          <w:szCs w:val="32"/>
        </w:rPr>
        <w:t>inactives et sans instruction</w:t>
      </w:r>
    </w:p>
    <w:p w:rsidR="00B708B9" w:rsidRPr="004F14D0" w:rsidRDefault="00B708B9" w:rsidP="00BB2419">
      <w:pPr>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40,6%</w:t>
      </w:r>
      <w:r>
        <w:rPr>
          <w:rFonts w:asciiTheme="majorBidi" w:hAnsiTheme="majorBidi" w:cstheme="majorBidi"/>
          <w:sz w:val="26"/>
          <w:szCs w:val="26"/>
        </w:rPr>
        <w:t xml:space="preserve"> des personnes ayant au moins une incapacité totale (</w:t>
      </w:r>
      <w:r w:rsidRPr="004F14D0">
        <w:rPr>
          <w:rFonts w:asciiTheme="majorBidi" w:hAnsiTheme="majorBidi" w:cstheme="majorBidi"/>
          <w:sz w:val="26"/>
          <w:szCs w:val="26"/>
        </w:rPr>
        <w:t>160.183 personnes) sont âgées de 60 ans et plus, 44,6%</w:t>
      </w:r>
      <w:r>
        <w:rPr>
          <w:rFonts w:asciiTheme="majorBidi" w:hAnsiTheme="majorBidi" w:cstheme="majorBidi"/>
          <w:sz w:val="26"/>
          <w:szCs w:val="26"/>
        </w:rPr>
        <w:t xml:space="preserve"> en âge d’activité</w:t>
      </w:r>
      <w:r w:rsidRPr="004F14D0">
        <w:rPr>
          <w:rFonts w:asciiTheme="majorBidi" w:hAnsiTheme="majorBidi" w:cstheme="majorBidi"/>
          <w:sz w:val="26"/>
          <w:szCs w:val="26"/>
        </w:rPr>
        <w:t xml:space="preserve"> (175.626 personnes) et 14,8% âgées de moins de 15 ans (58.110 personnes).</w:t>
      </w:r>
    </w:p>
    <w:p w:rsidR="00B708B9" w:rsidRDefault="00B708B9" w:rsidP="00AD30A2">
      <w:pPr>
        <w:widowControl w:val="0"/>
        <w:autoSpaceDE w:val="0"/>
        <w:autoSpaceDN w:val="0"/>
        <w:adjustRightInd w:val="0"/>
        <w:spacing w:before="120" w:after="120" w:line="240" w:lineRule="auto"/>
        <w:jc w:val="both"/>
        <w:rPr>
          <w:rFonts w:asciiTheme="majorBidi" w:hAnsiTheme="majorBidi" w:cstheme="majorBidi"/>
          <w:sz w:val="26"/>
          <w:szCs w:val="26"/>
        </w:rPr>
      </w:pPr>
      <w:r>
        <w:rPr>
          <w:rFonts w:asciiTheme="majorBidi" w:hAnsiTheme="majorBidi" w:cstheme="majorBidi"/>
          <w:sz w:val="26"/>
          <w:szCs w:val="26"/>
        </w:rPr>
        <w:t xml:space="preserve">Plus de </w:t>
      </w:r>
      <w:r w:rsidRPr="005F1A0D">
        <w:rPr>
          <w:rFonts w:asciiTheme="majorBidi" w:hAnsiTheme="majorBidi" w:cstheme="majorBidi"/>
          <w:sz w:val="26"/>
          <w:szCs w:val="26"/>
        </w:rPr>
        <w:t>9 personnes</w:t>
      </w:r>
      <w:r>
        <w:rPr>
          <w:rFonts w:asciiTheme="majorBidi" w:hAnsiTheme="majorBidi" w:cstheme="majorBidi"/>
          <w:sz w:val="26"/>
          <w:szCs w:val="26"/>
        </w:rPr>
        <w:t xml:space="preserve"> à incapacité totale</w:t>
      </w:r>
      <w:r w:rsidRPr="005F1A0D">
        <w:rPr>
          <w:rFonts w:asciiTheme="majorBidi" w:hAnsiTheme="majorBidi" w:cstheme="majorBidi"/>
          <w:sz w:val="26"/>
          <w:szCs w:val="26"/>
        </w:rPr>
        <w:t xml:space="preserve"> sur 10 (94,7%) sont inactives</w:t>
      </w:r>
      <w:r>
        <w:rPr>
          <w:rFonts w:asciiTheme="majorBidi" w:hAnsiTheme="majorBidi" w:cstheme="majorBidi"/>
          <w:sz w:val="26"/>
          <w:szCs w:val="26"/>
        </w:rPr>
        <w:t>,</w:t>
      </w:r>
      <w:r w:rsidRPr="005F1A0D">
        <w:rPr>
          <w:rFonts w:asciiTheme="majorBidi" w:hAnsiTheme="majorBidi" w:cstheme="majorBidi"/>
          <w:sz w:val="26"/>
          <w:szCs w:val="26"/>
        </w:rPr>
        <w:t xml:space="preserve"> 3,9% </w:t>
      </w:r>
      <w:r w:rsidR="00BB2419">
        <w:rPr>
          <w:rFonts w:asciiTheme="majorBidi" w:hAnsiTheme="majorBidi" w:cstheme="majorBidi"/>
          <w:sz w:val="26"/>
          <w:szCs w:val="26"/>
        </w:rPr>
        <w:t xml:space="preserve">sont des </w:t>
      </w:r>
      <w:r w:rsidRPr="005F1A0D">
        <w:rPr>
          <w:rFonts w:asciiTheme="majorBidi" w:hAnsiTheme="majorBidi" w:cstheme="majorBidi"/>
          <w:sz w:val="26"/>
          <w:szCs w:val="26"/>
        </w:rPr>
        <w:t>actives occupées et 1,4% en chômage</w:t>
      </w:r>
      <w:r>
        <w:rPr>
          <w:rFonts w:asciiTheme="majorBidi" w:hAnsiTheme="majorBidi" w:cstheme="majorBidi"/>
          <w:sz w:val="26"/>
          <w:szCs w:val="26"/>
        </w:rPr>
        <w:t xml:space="preserve"> au lieu de 65,3%, </w:t>
      </w:r>
      <w:r w:rsidRPr="005F1A0D">
        <w:rPr>
          <w:rFonts w:asciiTheme="majorBidi" w:hAnsiTheme="majorBidi" w:cstheme="majorBidi"/>
          <w:sz w:val="26"/>
          <w:szCs w:val="26"/>
        </w:rPr>
        <w:t>29,1%</w:t>
      </w:r>
      <w:r>
        <w:rPr>
          <w:rFonts w:asciiTheme="majorBidi" w:hAnsiTheme="majorBidi" w:cstheme="majorBidi"/>
          <w:sz w:val="26"/>
          <w:szCs w:val="26"/>
        </w:rPr>
        <w:t xml:space="preserve"> et </w:t>
      </w:r>
      <w:r w:rsidRPr="005F1A0D">
        <w:rPr>
          <w:rFonts w:asciiTheme="majorBidi" w:hAnsiTheme="majorBidi" w:cstheme="majorBidi"/>
          <w:sz w:val="26"/>
          <w:szCs w:val="26"/>
        </w:rPr>
        <w:t>5,6%</w:t>
      </w:r>
      <w:r>
        <w:rPr>
          <w:rFonts w:asciiTheme="majorBidi" w:hAnsiTheme="majorBidi" w:cstheme="majorBidi"/>
          <w:sz w:val="26"/>
          <w:szCs w:val="26"/>
        </w:rPr>
        <w:t xml:space="preserve"> respectivement </w:t>
      </w:r>
      <w:r w:rsidR="00AD30A2">
        <w:rPr>
          <w:rFonts w:asciiTheme="majorBidi" w:hAnsiTheme="majorBidi" w:cstheme="majorBidi"/>
          <w:sz w:val="26"/>
          <w:szCs w:val="26"/>
        </w:rPr>
        <w:t xml:space="preserve">pour le </w:t>
      </w:r>
      <w:r>
        <w:rPr>
          <w:rFonts w:asciiTheme="majorBidi" w:hAnsiTheme="majorBidi" w:cstheme="majorBidi"/>
          <w:sz w:val="26"/>
          <w:szCs w:val="26"/>
        </w:rPr>
        <w:t>reste de la population.</w:t>
      </w:r>
      <w:r w:rsidR="00B32995">
        <w:rPr>
          <w:rFonts w:asciiTheme="majorBidi" w:hAnsiTheme="majorBidi" w:cstheme="majorBidi"/>
          <w:sz w:val="26"/>
          <w:szCs w:val="26"/>
        </w:rPr>
        <w:t xml:space="preserve">        </w:t>
      </w:r>
    </w:p>
    <w:p w:rsidR="0048173F" w:rsidRPr="004F14D0" w:rsidRDefault="005E4BBE" w:rsidP="002E7907">
      <w:pPr>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 xml:space="preserve">71,5% </w:t>
      </w:r>
      <w:r>
        <w:rPr>
          <w:rFonts w:asciiTheme="majorBidi" w:hAnsiTheme="majorBidi" w:cstheme="majorBidi"/>
          <w:sz w:val="26"/>
          <w:szCs w:val="26"/>
        </w:rPr>
        <w:t>de</w:t>
      </w:r>
      <w:r w:rsidR="002E7907">
        <w:rPr>
          <w:rFonts w:asciiTheme="majorBidi" w:hAnsiTheme="majorBidi" w:cstheme="majorBidi"/>
          <w:sz w:val="26"/>
          <w:szCs w:val="26"/>
        </w:rPr>
        <w:t xml:space="preserve">s personnes </w:t>
      </w:r>
      <w:r w:rsidR="0048173F" w:rsidRPr="004F14D0">
        <w:rPr>
          <w:rFonts w:asciiTheme="majorBidi" w:hAnsiTheme="majorBidi" w:cstheme="majorBidi"/>
          <w:sz w:val="26"/>
          <w:szCs w:val="26"/>
        </w:rPr>
        <w:t>ayant au moins une incapacité totale n’ont aucun niveau d’instruction</w:t>
      </w:r>
      <w:r w:rsidR="009954D4">
        <w:rPr>
          <w:rFonts w:asciiTheme="majorBidi" w:hAnsiTheme="majorBidi" w:cstheme="majorBidi"/>
          <w:sz w:val="26"/>
          <w:szCs w:val="26"/>
        </w:rPr>
        <w:t>,</w:t>
      </w:r>
      <w:r w:rsidR="0048173F" w:rsidRPr="004F14D0">
        <w:rPr>
          <w:rFonts w:asciiTheme="majorBidi" w:hAnsiTheme="majorBidi" w:cstheme="majorBidi"/>
          <w:sz w:val="26"/>
          <w:szCs w:val="26"/>
        </w:rPr>
        <w:t xml:space="preserve"> </w:t>
      </w:r>
      <w:r w:rsidR="0065718B" w:rsidRPr="004F14D0">
        <w:rPr>
          <w:rFonts w:asciiTheme="majorBidi" w:hAnsiTheme="majorBidi" w:cstheme="majorBidi"/>
          <w:sz w:val="26"/>
          <w:szCs w:val="26"/>
        </w:rPr>
        <w:t xml:space="preserve">14,7% ont le niveau primaire, 8,0% le secondaire et 1,2% le supérieur, </w:t>
      </w:r>
      <w:r w:rsidR="0065718B">
        <w:rPr>
          <w:rFonts w:asciiTheme="majorBidi" w:hAnsiTheme="majorBidi" w:cstheme="majorBidi"/>
          <w:sz w:val="26"/>
          <w:szCs w:val="26"/>
        </w:rPr>
        <w:t>au lieu de</w:t>
      </w:r>
      <w:r w:rsidR="0065718B" w:rsidRPr="004F14D0">
        <w:rPr>
          <w:rFonts w:asciiTheme="majorBidi" w:hAnsiTheme="majorBidi" w:cstheme="majorBidi"/>
          <w:sz w:val="26"/>
          <w:szCs w:val="26"/>
        </w:rPr>
        <w:t xml:space="preserve"> 36,5%</w:t>
      </w:r>
      <w:r w:rsidR="009954D4">
        <w:rPr>
          <w:rFonts w:asciiTheme="majorBidi" w:hAnsiTheme="majorBidi" w:cstheme="majorBidi"/>
          <w:sz w:val="26"/>
          <w:szCs w:val="26"/>
        </w:rPr>
        <w:t>,</w:t>
      </w:r>
      <w:r w:rsidR="0065718B" w:rsidRPr="004F14D0">
        <w:rPr>
          <w:rFonts w:asciiTheme="majorBidi" w:hAnsiTheme="majorBidi" w:cstheme="majorBidi"/>
          <w:sz w:val="26"/>
          <w:szCs w:val="26"/>
        </w:rPr>
        <w:t xml:space="preserve"> 28,2%, 25,5% et 6,2% respectivement parmi l</w:t>
      </w:r>
      <w:r w:rsidR="0065718B">
        <w:rPr>
          <w:rFonts w:asciiTheme="majorBidi" w:hAnsiTheme="majorBidi" w:cstheme="majorBidi"/>
          <w:sz w:val="26"/>
          <w:szCs w:val="26"/>
        </w:rPr>
        <w:t>e reste de la population</w:t>
      </w:r>
      <w:r w:rsidR="0048173F" w:rsidRPr="004F14D0">
        <w:rPr>
          <w:rFonts w:asciiTheme="majorBidi" w:hAnsiTheme="majorBidi" w:cstheme="majorBidi"/>
          <w:sz w:val="26"/>
          <w:szCs w:val="26"/>
        </w:rPr>
        <w:t xml:space="preserve">. </w:t>
      </w:r>
      <w:r w:rsidR="0065718B">
        <w:rPr>
          <w:rFonts w:asciiTheme="majorBidi" w:hAnsiTheme="majorBidi" w:cstheme="majorBidi"/>
          <w:sz w:val="26"/>
          <w:szCs w:val="26"/>
        </w:rPr>
        <w:t>Sachant qu’au niveau national 36,9% de la population en 2014 n’ont aucun niveau d’instruction, 28,</w:t>
      </w:r>
      <w:r w:rsidR="009954D4">
        <w:rPr>
          <w:rFonts w:asciiTheme="majorBidi" w:hAnsiTheme="majorBidi" w:cstheme="majorBidi"/>
          <w:sz w:val="26"/>
          <w:szCs w:val="26"/>
        </w:rPr>
        <w:t>0</w:t>
      </w:r>
      <w:r w:rsidR="0065718B">
        <w:rPr>
          <w:rFonts w:asciiTheme="majorBidi" w:hAnsiTheme="majorBidi" w:cstheme="majorBidi"/>
          <w:sz w:val="26"/>
          <w:szCs w:val="26"/>
        </w:rPr>
        <w:t xml:space="preserve">% le primaire, 24,3% le </w:t>
      </w:r>
      <w:r w:rsidR="009954D4">
        <w:rPr>
          <w:rFonts w:asciiTheme="majorBidi" w:hAnsiTheme="majorBidi" w:cstheme="majorBidi"/>
          <w:sz w:val="26"/>
          <w:szCs w:val="26"/>
        </w:rPr>
        <w:t>secondaire et 6,1% le supérieur.</w:t>
      </w:r>
    </w:p>
    <w:p w:rsidR="004F14D0" w:rsidRPr="006451B1" w:rsidRDefault="00E957F4" w:rsidP="00C96260">
      <w:pPr>
        <w:pStyle w:val="Paragraphedeliste"/>
        <w:spacing w:before="120" w:after="120" w:line="240" w:lineRule="auto"/>
        <w:ind w:left="0"/>
        <w:contextualSpacing w:val="0"/>
        <w:jc w:val="both"/>
        <w:rPr>
          <w:rFonts w:asciiTheme="majorBidi" w:hAnsiTheme="majorBidi" w:cstheme="majorBidi"/>
          <w:b/>
          <w:color w:val="0000FF"/>
          <w:sz w:val="32"/>
          <w:szCs w:val="32"/>
        </w:rPr>
      </w:pPr>
      <w:r>
        <w:rPr>
          <w:rFonts w:asciiTheme="majorBidi" w:hAnsiTheme="majorBidi" w:cstheme="majorBidi"/>
          <w:b/>
          <w:color w:val="0000FF"/>
          <w:sz w:val="32"/>
          <w:szCs w:val="32"/>
        </w:rPr>
        <w:t>P</w:t>
      </w:r>
      <w:r w:rsidR="00935B90">
        <w:rPr>
          <w:rFonts w:asciiTheme="majorBidi" w:hAnsiTheme="majorBidi" w:cstheme="majorBidi"/>
          <w:b/>
          <w:color w:val="0000FF"/>
          <w:sz w:val="32"/>
          <w:szCs w:val="32"/>
        </w:rPr>
        <w:t>lus de 135</w:t>
      </w:r>
      <w:r w:rsidR="00C96260">
        <w:rPr>
          <w:rFonts w:asciiTheme="majorBidi" w:hAnsiTheme="majorBidi" w:cstheme="majorBidi"/>
          <w:b/>
          <w:color w:val="0000FF"/>
          <w:sz w:val="32"/>
          <w:szCs w:val="32"/>
        </w:rPr>
        <w:t>00</w:t>
      </w:r>
      <w:r w:rsidR="00935B90">
        <w:rPr>
          <w:rFonts w:asciiTheme="majorBidi" w:hAnsiTheme="majorBidi" w:cstheme="majorBidi"/>
          <w:b/>
          <w:color w:val="0000FF"/>
          <w:sz w:val="32"/>
          <w:szCs w:val="32"/>
        </w:rPr>
        <w:t xml:space="preserve"> </w:t>
      </w:r>
      <w:r w:rsidR="004F14D0" w:rsidRPr="006451B1">
        <w:rPr>
          <w:rFonts w:asciiTheme="majorBidi" w:hAnsiTheme="majorBidi" w:cstheme="majorBidi"/>
          <w:b/>
          <w:color w:val="0000FF"/>
          <w:sz w:val="32"/>
          <w:szCs w:val="32"/>
        </w:rPr>
        <w:t xml:space="preserve">personnes </w:t>
      </w:r>
      <w:r w:rsidR="00E51771">
        <w:rPr>
          <w:rFonts w:asciiTheme="majorBidi" w:hAnsiTheme="majorBidi" w:cstheme="majorBidi"/>
          <w:b/>
          <w:color w:val="0000FF"/>
          <w:sz w:val="32"/>
          <w:szCs w:val="32"/>
        </w:rPr>
        <w:t>à</w:t>
      </w:r>
      <w:r w:rsidR="004F14D0" w:rsidRPr="006451B1">
        <w:rPr>
          <w:rFonts w:asciiTheme="majorBidi" w:hAnsiTheme="majorBidi" w:cstheme="majorBidi"/>
          <w:b/>
          <w:color w:val="0000FF"/>
          <w:sz w:val="32"/>
          <w:szCs w:val="32"/>
        </w:rPr>
        <w:t xml:space="preserve"> incapacité totale viv</w:t>
      </w:r>
      <w:r>
        <w:rPr>
          <w:rFonts w:asciiTheme="majorBidi" w:hAnsiTheme="majorBidi" w:cstheme="majorBidi"/>
          <w:b/>
          <w:color w:val="0000FF"/>
          <w:sz w:val="32"/>
          <w:szCs w:val="32"/>
        </w:rPr>
        <w:t>e</w:t>
      </w:r>
      <w:r w:rsidR="00703EAA">
        <w:rPr>
          <w:rFonts w:asciiTheme="majorBidi" w:hAnsiTheme="majorBidi" w:cstheme="majorBidi"/>
          <w:b/>
          <w:color w:val="0000FF"/>
          <w:sz w:val="32"/>
          <w:szCs w:val="32"/>
        </w:rPr>
        <w:t>nt</w:t>
      </w:r>
      <w:r w:rsidR="004F14D0" w:rsidRPr="006451B1">
        <w:rPr>
          <w:rFonts w:asciiTheme="majorBidi" w:hAnsiTheme="majorBidi" w:cstheme="majorBidi"/>
          <w:b/>
          <w:color w:val="0000FF"/>
          <w:sz w:val="32"/>
          <w:szCs w:val="32"/>
        </w:rPr>
        <w:t xml:space="preserve"> seule</w:t>
      </w:r>
      <w:r w:rsidR="00703EAA">
        <w:rPr>
          <w:rFonts w:asciiTheme="majorBidi" w:hAnsiTheme="majorBidi" w:cstheme="majorBidi"/>
          <w:b/>
          <w:color w:val="0000FF"/>
          <w:sz w:val="32"/>
          <w:szCs w:val="32"/>
        </w:rPr>
        <w:t>s</w:t>
      </w:r>
    </w:p>
    <w:p w:rsidR="00E957F4" w:rsidRDefault="000D594E" w:rsidP="002E7907">
      <w:pPr>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 xml:space="preserve">63,2% des personnes </w:t>
      </w:r>
      <w:r w:rsidR="007F3324">
        <w:rPr>
          <w:rFonts w:asciiTheme="majorBidi" w:hAnsiTheme="majorBidi" w:cstheme="majorBidi"/>
          <w:sz w:val="26"/>
          <w:szCs w:val="26"/>
        </w:rPr>
        <w:t>à</w:t>
      </w:r>
      <w:r w:rsidRPr="004F14D0">
        <w:rPr>
          <w:rFonts w:asciiTheme="majorBidi" w:hAnsiTheme="majorBidi" w:cstheme="majorBidi"/>
          <w:sz w:val="26"/>
          <w:szCs w:val="26"/>
        </w:rPr>
        <w:t xml:space="preserve"> incapacité totale </w:t>
      </w:r>
      <w:r w:rsidR="002E7907">
        <w:rPr>
          <w:rFonts w:asciiTheme="majorBidi" w:hAnsiTheme="majorBidi" w:cstheme="majorBidi"/>
          <w:sz w:val="26"/>
          <w:szCs w:val="26"/>
        </w:rPr>
        <w:t>vive</w:t>
      </w:r>
      <w:r w:rsidRPr="004F14D0">
        <w:rPr>
          <w:rFonts w:asciiTheme="majorBidi" w:hAnsiTheme="majorBidi" w:cstheme="majorBidi"/>
          <w:sz w:val="26"/>
          <w:szCs w:val="26"/>
        </w:rPr>
        <w:t xml:space="preserve">nt </w:t>
      </w:r>
      <w:r w:rsidR="002E7907">
        <w:rPr>
          <w:rFonts w:asciiTheme="majorBidi" w:hAnsiTheme="majorBidi" w:cstheme="majorBidi"/>
          <w:sz w:val="26"/>
          <w:szCs w:val="26"/>
        </w:rPr>
        <w:t>dans</w:t>
      </w:r>
      <w:r w:rsidRPr="004F14D0">
        <w:rPr>
          <w:rFonts w:asciiTheme="majorBidi" w:hAnsiTheme="majorBidi" w:cstheme="majorBidi"/>
          <w:sz w:val="26"/>
          <w:szCs w:val="26"/>
        </w:rPr>
        <w:t xml:space="preserve"> des ménages de 5 personnes et plus</w:t>
      </w:r>
      <w:r w:rsidR="00821986">
        <w:rPr>
          <w:rFonts w:asciiTheme="majorBidi" w:hAnsiTheme="majorBidi" w:cstheme="majorBidi"/>
          <w:sz w:val="26"/>
          <w:szCs w:val="26"/>
        </w:rPr>
        <w:t>,</w:t>
      </w:r>
      <w:r w:rsidRPr="004F14D0">
        <w:rPr>
          <w:rFonts w:asciiTheme="majorBidi" w:hAnsiTheme="majorBidi" w:cstheme="majorBidi"/>
          <w:sz w:val="26"/>
          <w:szCs w:val="26"/>
        </w:rPr>
        <w:t xml:space="preserve"> 14,1% </w:t>
      </w:r>
      <w:r w:rsidR="002E7907">
        <w:rPr>
          <w:rFonts w:asciiTheme="majorBidi" w:hAnsiTheme="majorBidi" w:cstheme="majorBidi"/>
          <w:sz w:val="26"/>
          <w:szCs w:val="26"/>
        </w:rPr>
        <w:t>dans</w:t>
      </w:r>
      <w:r w:rsidRPr="004F14D0">
        <w:rPr>
          <w:rFonts w:asciiTheme="majorBidi" w:hAnsiTheme="majorBidi" w:cstheme="majorBidi"/>
          <w:sz w:val="26"/>
          <w:szCs w:val="26"/>
        </w:rPr>
        <w:t xml:space="preserve"> des ménages de 4 personnes</w:t>
      </w:r>
      <w:r w:rsidR="00821986">
        <w:rPr>
          <w:rFonts w:asciiTheme="majorBidi" w:hAnsiTheme="majorBidi" w:cstheme="majorBidi"/>
          <w:sz w:val="26"/>
          <w:szCs w:val="26"/>
        </w:rPr>
        <w:t xml:space="preserve">, </w:t>
      </w:r>
      <w:r w:rsidRPr="004F14D0">
        <w:rPr>
          <w:rFonts w:asciiTheme="majorBidi" w:hAnsiTheme="majorBidi" w:cstheme="majorBidi"/>
          <w:sz w:val="26"/>
          <w:szCs w:val="26"/>
        </w:rPr>
        <w:t xml:space="preserve">11,1% </w:t>
      </w:r>
      <w:r w:rsidR="00821986" w:rsidRPr="004F14D0">
        <w:rPr>
          <w:rFonts w:asciiTheme="majorBidi" w:hAnsiTheme="majorBidi" w:cstheme="majorBidi"/>
          <w:sz w:val="26"/>
          <w:szCs w:val="26"/>
        </w:rPr>
        <w:t xml:space="preserve">des ménages de 3 personnes </w:t>
      </w:r>
      <w:r w:rsidRPr="004F14D0">
        <w:rPr>
          <w:rFonts w:asciiTheme="majorBidi" w:hAnsiTheme="majorBidi" w:cstheme="majorBidi"/>
          <w:sz w:val="26"/>
          <w:szCs w:val="26"/>
        </w:rPr>
        <w:t>et 8,2%</w:t>
      </w:r>
      <w:r w:rsidR="00821986">
        <w:rPr>
          <w:rFonts w:asciiTheme="majorBidi" w:hAnsiTheme="majorBidi" w:cstheme="majorBidi"/>
          <w:sz w:val="26"/>
          <w:szCs w:val="26"/>
        </w:rPr>
        <w:t xml:space="preserve"> </w:t>
      </w:r>
      <w:r w:rsidR="00821986" w:rsidRPr="004F14D0">
        <w:rPr>
          <w:rFonts w:asciiTheme="majorBidi" w:hAnsiTheme="majorBidi" w:cstheme="majorBidi"/>
          <w:sz w:val="26"/>
          <w:szCs w:val="26"/>
        </w:rPr>
        <w:t>de</w:t>
      </w:r>
      <w:r w:rsidR="00821986">
        <w:rPr>
          <w:rFonts w:asciiTheme="majorBidi" w:hAnsiTheme="majorBidi" w:cstheme="majorBidi"/>
          <w:sz w:val="26"/>
          <w:szCs w:val="26"/>
        </w:rPr>
        <w:t>s ménages de</w:t>
      </w:r>
      <w:r w:rsidR="00821986" w:rsidRPr="004F14D0">
        <w:rPr>
          <w:rFonts w:asciiTheme="majorBidi" w:hAnsiTheme="majorBidi" w:cstheme="majorBidi"/>
          <w:sz w:val="26"/>
          <w:szCs w:val="26"/>
        </w:rPr>
        <w:t xml:space="preserve"> deux personnes</w:t>
      </w:r>
      <w:r w:rsidR="002E7907">
        <w:rPr>
          <w:rFonts w:asciiTheme="majorBidi" w:hAnsiTheme="majorBidi" w:cstheme="majorBidi"/>
          <w:sz w:val="26"/>
          <w:szCs w:val="26"/>
        </w:rPr>
        <w:t>.</w:t>
      </w:r>
    </w:p>
    <w:p w:rsidR="000D594E" w:rsidRDefault="00821986" w:rsidP="00CF6DFF">
      <w:pPr>
        <w:widowControl w:val="0"/>
        <w:autoSpaceDE w:val="0"/>
        <w:autoSpaceDN w:val="0"/>
        <w:adjustRightInd w:val="0"/>
        <w:spacing w:before="120" w:after="120" w:line="240" w:lineRule="auto"/>
        <w:jc w:val="both"/>
        <w:rPr>
          <w:rFonts w:asciiTheme="majorBidi" w:hAnsiTheme="majorBidi" w:cstheme="majorBidi"/>
          <w:sz w:val="26"/>
          <w:szCs w:val="26"/>
        </w:rPr>
      </w:pPr>
      <w:r>
        <w:rPr>
          <w:rFonts w:asciiTheme="majorBidi" w:hAnsiTheme="majorBidi" w:cstheme="majorBidi"/>
          <w:sz w:val="26"/>
          <w:szCs w:val="26"/>
        </w:rPr>
        <w:t xml:space="preserve">Les </w:t>
      </w:r>
      <w:r w:rsidR="000D594E" w:rsidRPr="004F14D0">
        <w:rPr>
          <w:rFonts w:asciiTheme="majorBidi" w:hAnsiTheme="majorBidi" w:cstheme="majorBidi"/>
          <w:sz w:val="26"/>
          <w:szCs w:val="26"/>
        </w:rPr>
        <w:t xml:space="preserve">personnes </w:t>
      </w:r>
      <w:r>
        <w:rPr>
          <w:rFonts w:asciiTheme="majorBidi" w:hAnsiTheme="majorBidi" w:cstheme="majorBidi"/>
          <w:sz w:val="26"/>
          <w:szCs w:val="26"/>
        </w:rPr>
        <w:t>à</w:t>
      </w:r>
      <w:r w:rsidR="000D594E" w:rsidRPr="004F14D0">
        <w:rPr>
          <w:rFonts w:asciiTheme="majorBidi" w:hAnsiTheme="majorBidi" w:cstheme="majorBidi"/>
          <w:sz w:val="26"/>
          <w:szCs w:val="26"/>
        </w:rPr>
        <w:t xml:space="preserve"> incapacité totale vivant seul</w:t>
      </w:r>
      <w:r w:rsidR="005C606A">
        <w:rPr>
          <w:rFonts w:asciiTheme="majorBidi" w:hAnsiTheme="majorBidi" w:cstheme="majorBidi"/>
          <w:sz w:val="26"/>
          <w:szCs w:val="26"/>
        </w:rPr>
        <w:t>e</w:t>
      </w:r>
      <w:r w:rsidR="000D594E" w:rsidRPr="004F14D0">
        <w:rPr>
          <w:rFonts w:asciiTheme="majorBidi" w:hAnsiTheme="majorBidi" w:cstheme="majorBidi"/>
          <w:sz w:val="26"/>
          <w:szCs w:val="26"/>
        </w:rPr>
        <w:t>s représentent</w:t>
      </w:r>
      <w:r>
        <w:rPr>
          <w:rFonts w:asciiTheme="majorBidi" w:hAnsiTheme="majorBidi" w:cstheme="majorBidi"/>
          <w:sz w:val="26"/>
          <w:szCs w:val="26"/>
        </w:rPr>
        <w:t xml:space="preserve"> seulement</w:t>
      </w:r>
      <w:r w:rsidR="000D594E" w:rsidRPr="004F14D0">
        <w:rPr>
          <w:rFonts w:asciiTheme="majorBidi" w:hAnsiTheme="majorBidi" w:cstheme="majorBidi"/>
          <w:sz w:val="26"/>
          <w:szCs w:val="26"/>
        </w:rPr>
        <w:t xml:space="preserve"> 3,4</w:t>
      </w:r>
      <w:r w:rsidR="004F14D0" w:rsidRPr="004F14D0">
        <w:rPr>
          <w:rFonts w:asciiTheme="majorBidi" w:hAnsiTheme="majorBidi" w:cstheme="majorBidi"/>
          <w:sz w:val="26"/>
          <w:szCs w:val="26"/>
        </w:rPr>
        <w:t>%</w:t>
      </w:r>
      <w:r w:rsidR="000D594E" w:rsidRPr="004F14D0">
        <w:rPr>
          <w:rFonts w:asciiTheme="majorBidi" w:hAnsiTheme="majorBidi" w:cstheme="majorBidi"/>
          <w:sz w:val="26"/>
          <w:szCs w:val="26"/>
        </w:rPr>
        <w:t xml:space="preserve"> (13.522 personnes)</w:t>
      </w:r>
      <w:r>
        <w:rPr>
          <w:rFonts w:asciiTheme="majorBidi" w:hAnsiTheme="majorBidi" w:cstheme="majorBidi"/>
          <w:sz w:val="26"/>
          <w:szCs w:val="26"/>
        </w:rPr>
        <w:t xml:space="preserve"> avec </w:t>
      </w:r>
      <w:r w:rsidR="00CF6DFF" w:rsidRPr="004F14D0">
        <w:rPr>
          <w:rFonts w:asciiTheme="majorBidi" w:hAnsiTheme="majorBidi" w:cstheme="majorBidi"/>
          <w:sz w:val="26"/>
          <w:szCs w:val="26"/>
        </w:rPr>
        <w:t xml:space="preserve">37,8% </w:t>
      </w:r>
      <w:r w:rsidR="00CF6DFF">
        <w:rPr>
          <w:rFonts w:asciiTheme="majorBidi" w:hAnsiTheme="majorBidi" w:cstheme="majorBidi"/>
          <w:sz w:val="26"/>
          <w:szCs w:val="26"/>
        </w:rPr>
        <w:t>en âge d’activités et</w:t>
      </w:r>
      <w:r w:rsidR="00CF6DFF" w:rsidRPr="004F14D0">
        <w:rPr>
          <w:rFonts w:asciiTheme="majorBidi" w:hAnsiTheme="majorBidi" w:cstheme="majorBidi"/>
          <w:sz w:val="26"/>
          <w:szCs w:val="26"/>
        </w:rPr>
        <w:t xml:space="preserve"> </w:t>
      </w:r>
      <w:r w:rsidR="00CF6DFF">
        <w:rPr>
          <w:rFonts w:asciiTheme="majorBidi" w:hAnsiTheme="majorBidi" w:cstheme="majorBidi"/>
          <w:sz w:val="26"/>
          <w:szCs w:val="26"/>
        </w:rPr>
        <w:t>62,2% âgées de 60 ans et plu</w:t>
      </w:r>
      <w:r w:rsidR="00085085">
        <w:rPr>
          <w:rFonts w:asciiTheme="majorBidi" w:hAnsiTheme="majorBidi" w:cstheme="majorBidi"/>
          <w:sz w:val="26"/>
          <w:szCs w:val="26"/>
        </w:rPr>
        <w:t>s</w:t>
      </w:r>
      <w:r w:rsidR="005F1A0D">
        <w:rPr>
          <w:rFonts w:asciiTheme="majorBidi" w:hAnsiTheme="majorBidi" w:cstheme="majorBidi"/>
          <w:sz w:val="26"/>
          <w:szCs w:val="26"/>
        </w:rPr>
        <w:t>.</w:t>
      </w:r>
    </w:p>
    <w:p w:rsidR="00E957F4" w:rsidRDefault="00E957F4" w:rsidP="008A3C7E">
      <w:pPr>
        <w:keepLines/>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 xml:space="preserve">43,5% </w:t>
      </w:r>
      <w:r>
        <w:rPr>
          <w:rFonts w:asciiTheme="majorBidi" w:hAnsiTheme="majorBidi" w:cstheme="majorBidi"/>
          <w:sz w:val="26"/>
          <w:szCs w:val="26"/>
        </w:rPr>
        <w:t>des personnes à incapacité totale</w:t>
      </w:r>
      <w:r w:rsidRPr="004F14D0">
        <w:rPr>
          <w:rFonts w:asciiTheme="majorBidi" w:hAnsiTheme="majorBidi" w:cstheme="majorBidi"/>
          <w:sz w:val="26"/>
          <w:szCs w:val="26"/>
        </w:rPr>
        <w:t xml:space="preserve"> sont célibataires, 33,8% mariées, 20,1% veuves et 2,6% divorcées. </w:t>
      </w:r>
      <w:r>
        <w:rPr>
          <w:rFonts w:asciiTheme="majorBidi" w:hAnsiTheme="majorBidi" w:cstheme="majorBidi"/>
          <w:sz w:val="26"/>
          <w:szCs w:val="26"/>
        </w:rPr>
        <w:t>C</w:t>
      </w:r>
      <w:r w:rsidRPr="004F14D0">
        <w:rPr>
          <w:rFonts w:asciiTheme="majorBidi" w:hAnsiTheme="majorBidi" w:cstheme="majorBidi"/>
          <w:sz w:val="26"/>
          <w:szCs w:val="26"/>
        </w:rPr>
        <w:t>es proportions s</w:t>
      </w:r>
      <w:r>
        <w:rPr>
          <w:rFonts w:asciiTheme="majorBidi" w:hAnsiTheme="majorBidi" w:cstheme="majorBidi"/>
          <w:sz w:val="26"/>
          <w:szCs w:val="26"/>
        </w:rPr>
        <w:t xml:space="preserve">’élèvent </w:t>
      </w:r>
      <w:r w:rsidRPr="004F14D0">
        <w:rPr>
          <w:rFonts w:asciiTheme="majorBidi" w:hAnsiTheme="majorBidi" w:cstheme="majorBidi"/>
          <w:sz w:val="26"/>
          <w:szCs w:val="26"/>
        </w:rPr>
        <w:t xml:space="preserve"> respectivement </w:t>
      </w:r>
      <w:r>
        <w:rPr>
          <w:rFonts w:asciiTheme="majorBidi" w:hAnsiTheme="majorBidi" w:cstheme="majorBidi"/>
          <w:sz w:val="26"/>
          <w:szCs w:val="26"/>
        </w:rPr>
        <w:t>à</w:t>
      </w:r>
      <w:r w:rsidRPr="004F14D0">
        <w:rPr>
          <w:rFonts w:asciiTheme="majorBidi" w:hAnsiTheme="majorBidi" w:cstheme="majorBidi"/>
          <w:sz w:val="26"/>
          <w:szCs w:val="26"/>
        </w:rPr>
        <w:t xml:space="preserve"> 53,3%, 41,5%, 3,7% et 1,5% parmi le</w:t>
      </w:r>
      <w:r>
        <w:rPr>
          <w:rFonts w:asciiTheme="majorBidi" w:hAnsiTheme="majorBidi" w:cstheme="majorBidi"/>
          <w:sz w:val="26"/>
          <w:szCs w:val="26"/>
        </w:rPr>
        <w:t xml:space="preserve"> re</w:t>
      </w:r>
      <w:r w:rsidRPr="004F14D0">
        <w:rPr>
          <w:rFonts w:asciiTheme="majorBidi" w:hAnsiTheme="majorBidi" w:cstheme="majorBidi"/>
          <w:sz w:val="26"/>
          <w:szCs w:val="26"/>
        </w:rPr>
        <w:t>s</w:t>
      </w:r>
      <w:r>
        <w:rPr>
          <w:rFonts w:asciiTheme="majorBidi" w:hAnsiTheme="majorBidi" w:cstheme="majorBidi"/>
          <w:sz w:val="26"/>
          <w:szCs w:val="26"/>
        </w:rPr>
        <w:t>te</w:t>
      </w:r>
      <w:r w:rsidRPr="004F14D0">
        <w:rPr>
          <w:rFonts w:asciiTheme="majorBidi" w:hAnsiTheme="majorBidi" w:cstheme="majorBidi"/>
          <w:sz w:val="26"/>
          <w:szCs w:val="26"/>
        </w:rPr>
        <w:t xml:space="preserve"> </w:t>
      </w:r>
      <w:r>
        <w:rPr>
          <w:rFonts w:asciiTheme="majorBidi" w:hAnsiTheme="majorBidi" w:cstheme="majorBidi"/>
          <w:sz w:val="26"/>
          <w:szCs w:val="26"/>
        </w:rPr>
        <w:t>de la population</w:t>
      </w:r>
      <w:r w:rsidRPr="004F14D0">
        <w:rPr>
          <w:rFonts w:asciiTheme="majorBidi" w:hAnsiTheme="majorBidi" w:cstheme="majorBidi"/>
          <w:sz w:val="26"/>
          <w:szCs w:val="26"/>
        </w:rPr>
        <w:t>.</w:t>
      </w:r>
    </w:p>
    <w:p w:rsidR="006451B1" w:rsidRPr="006451B1" w:rsidRDefault="00935B90" w:rsidP="00935B90">
      <w:pPr>
        <w:pStyle w:val="Paragraphedeliste"/>
        <w:spacing w:before="120" w:after="120" w:line="240" w:lineRule="auto"/>
        <w:ind w:left="0"/>
        <w:contextualSpacing w:val="0"/>
        <w:jc w:val="both"/>
        <w:rPr>
          <w:rFonts w:asciiTheme="majorBidi" w:hAnsiTheme="majorBidi" w:cstheme="majorBidi"/>
          <w:b/>
          <w:color w:val="0000FF"/>
          <w:sz w:val="32"/>
          <w:szCs w:val="32"/>
        </w:rPr>
      </w:pPr>
      <w:r>
        <w:rPr>
          <w:rFonts w:asciiTheme="majorBidi" w:hAnsiTheme="majorBidi" w:cstheme="majorBidi"/>
          <w:b/>
          <w:color w:val="0000FF"/>
          <w:sz w:val="32"/>
          <w:szCs w:val="32"/>
        </w:rPr>
        <w:lastRenderedPageBreak/>
        <w:t xml:space="preserve">Les régions de l’Oriental, de Béni Mellal-Khénifra et de Marrakech-Safi </w:t>
      </w:r>
      <w:r w:rsidR="006451B1" w:rsidRPr="006451B1">
        <w:rPr>
          <w:rFonts w:asciiTheme="majorBidi" w:hAnsiTheme="majorBidi" w:cstheme="majorBidi"/>
          <w:b/>
          <w:color w:val="0000FF"/>
          <w:sz w:val="32"/>
          <w:szCs w:val="32"/>
        </w:rPr>
        <w:t xml:space="preserve">présentent une prévalence d’incapacité totale supérieure à la moyenne nationale. </w:t>
      </w:r>
    </w:p>
    <w:p w:rsidR="00957A63" w:rsidRDefault="006451B1" w:rsidP="006451B1">
      <w:pPr>
        <w:pStyle w:val="Paragraphedeliste"/>
        <w:spacing w:before="120" w:after="120" w:line="240" w:lineRule="auto"/>
        <w:ind w:left="0"/>
        <w:contextualSpacing w:val="0"/>
        <w:jc w:val="both"/>
        <w:rPr>
          <w:rFonts w:asciiTheme="majorBidi" w:hAnsiTheme="majorBidi" w:cstheme="majorBidi"/>
          <w:bCs/>
          <w:sz w:val="26"/>
          <w:szCs w:val="26"/>
        </w:rPr>
      </w:pPr>
      <w:r w:rsidRPr="004F14D0">
        <w:rPr>
          <w:rFonts w:asciiTheme="majorBidi" w:hAnsiTheme="majorBidi" w:cstheme="majorBidi"/>
          <w:bCs/>
          <w:sz w:val="26"/>
          <w:szCs w:val="26"/>
        </w:rPr>
        <w:t>La prévalence de l’incapacité totale dans au moins un domaine d’activités de la vie quotidienne est plus élevée que la moyenne nationale (1,2%) dans les régions de l’Oriental (1,4% </w:t>
      </w:r>
      <w:r>
        <w:rPr>
          <w:rFonts w:asciiTheme="majorBidi" w:hAnsiTheme="majorBidi" w:cstheme="majorBidi"/>
          <w:bCs/>
          <w:sz w:val="26"/>
          <w:szCs w:val="26"/>
        </w:rPr>
        <w:t>ou</w:t>
      </w:r>
      <w:r w:rsidRPr="004F14D0">
        <w:rPr>
          <w:rFonts w:asciiTheme="majorBidi" w:hAnsiTheme="majorBidi" w:cstheme="majorBidi"/>
          <w:bCs/>
          <w:sz w:val="26"/>
          <w:szCs w:val="26"/>
        </w:rPr>
        <w:t xml:space="preserve"> 31.520 personnes), Béni Mellal-Khénifra (1,3% </w:t>
      </w:r>
      <w:r>
        <w:rPr>
          <w:rFonts w:asciiTheme="majorBidi" w:hAnsiTheme="majorBidi" w:cstheme="majorBidi"/>
          <w:bCs/>
          <w:sz w:val="26"/>
          <w:szCs w:val="26"/>
        </w:rPr>
        <w:t>ou</w:t>
      </w:r>
      <w:r w:rsidRPr="004F14D0">
        <w:rPr>
          <w:rFonts w:asciiTheme="majorBidi" w:hAnsiTheme="majorBidi" w:cstheme="majorBidi"/>
          <w:bCs/>
          <w:sz w:val="26"/>
          <w:szCs w:val="26"/>
        </w:rPr>
        <w:t xml:space="preserve"> 33.173 personnes) et Marrakech-Safi, (1,3% </w:t>
      </w:r>
      <w:r>
        <w:rPr>
          <w:rFonts w:asciiTheme="majorBidi" w:hAnsiTheme="majorBidi" w:cstheme="majorBidi"/>
          <w:bCs/>
          <w:sz w:val="26"/>
          <w:szCs w:val="26"/>
        </w:rPr>
        <w:t>ou</w:t>
      </w:r>
      <w:r w:rsidR="00957A63">
        <w:rPr>
          <w:rFonts w:asciiTheme="majorBidi" w:hAnsiTheme="majorBidi" w:cstheme="majorBidi"/>
          <w:bCs/>
          <w:sz w:val="26"/>
          <w:szCs w:val="26"/>
        </w:rPr>
        <w:t xml:space="preserve"> 58.843 personnes).</w:t>
      </w:r>
    </w:p>
    <w:p w:rsidR="006451B1" w:rsidRPr="004F14D0" w:rsidRDefault="006451B1" w:rsidP="006451B1">
      <w:pPr>
        <w:pStyle w:val="Paragraphedeliste"/>
        <w:spacing w:before="120" w:after="120" w:line="240" w:lineRule="auto"/>
        <w:ind w:left="0"/>
        <w:contextualSpacing w:val="0"/>
        <w:jc w:val="both"/>
        <w:rPr>
          <w:rFonts w:asciiTheme="majorBidi" w:hAnsiTheme="majorBidi" w:cstheme="majorBidi"/>
          <w:bCs/>
          <w:sz w:val="26"/>
          <w:szCs w:val="26"/>
        </w:rPr>
      </w:pPr>
      <w:r w:rsidRPr="004F14D0">
        <w:rPr>
          <w:rFonts w:asciiTheme="majorBidi" w:hAnsiTheme="majorBidi" w:cstheme="majorBidi"/>
          <w:bCs/>
          <w:sz w:val="26"/>
          <w:szCs w:val="26"/>
        </w:rPr>
        <w:t>En revanche, elle est inférieure à la moyenne nationale dans les 6 régions suivantes : Tanger-Tétouan-Al Hoceima (1,1% </w:t>
      </w:r>
      <w:r>
        <w:rPr>
          <w:rFonts w:asciiTheme="majorBidi" w:hAnsiTheme="majorBidi" w:cstheme="majorBidi"/>
          <w:bCs/>
          <w:sz w:val="26"/>
          <w:szCs w:val="26"/>
        </w:rPr>
        <w:t>ou</w:t>
      </w:r>
      <w:r w:rsidRPr="004F14D0">
        <w:rPr>
          <w:rFonts w:asciiTheme="majorBidi" w:hAnsiTheme="majorBidi" w:cstheme="majorBidi"/>
          <w:bCs/>
          <w:sz w:val="26"/>
          <w:szCs w:val="26"/>
        </w:rPr>
        <w:t xml:space="preserve"> 40.195 personnes), Souss-Massa (1,1% </w:t>
      </w:r>
      <w:r>
        <w:rPr>
          <w:rFonts w:asciiTheme="majorBidi" w:hAnsiTheme="majorBidi" w:cstheme="majorBidi"/>
          <w:bCs/>
          <w:sz w:val="26"/>
          <w:szCs w:val="26"/>
        </w:rPr>
        <w:t>ou</w:t>
      </w:r>
      <w:r w:rsidRPr="004F14D0">
        <w:rPr>
          <w:rFonts w:asciiTheme="majorBidi" w:hAnsiTheme="majorBidi" w:cstheme="majorBidi"/>
          <w:bCs/>
          <w:sz w:val="26"/>
          <w:szCs w:val="26"/>
        </w:rPr>
        <w:t xml:space="preserve"> 29.748 personnes), le grand Casablanca-Settat (1,1% </w:t>
      </w:r>
      <w:r>
        <w:rPr>
          <w:rFonts w:asciiTheme="majorBidi" w:hAnsiTheme="majorBidi" w:cstheme="majorBidi"/>
          <w:bCs/>
          <w:sz w:val="26"/>
          <w:szCs w:val="26"/>
        </w:rPr>
        <w:t>ou</w:t>
      </w:r>
      <w:r w:rsidRPr="004F14D0">
        <w:rPr>
          <w:rFonts w:asciiTheme="majorBidi" w:hAnsiTheme="majorBidi" w:cstheme="majorBidi"/>
          <w:bCs/>
          <w:sz w:val="26"/>
          <w:szCs w:val="26"/>
        </w:rPr>
        <w:t xml:space="preserve"> 76.087 personnes), Rabat-Salé-Kénitra (1,0% </w:t>
      </w:r>
      <w:r>
        <w:rPr>
          <w:rFonts w:asciiTheme="majorBidi" w:hAnsiTheme="majorBidi" w:cstheme="majorBidi"/>
          <w:bCs/>
          <w:sz w:val="26"/>
          <w:szCs w:val="26"/>
        </w:rPr>
        <w:t>ou</w:t>
      </w:r>
      <w:r w:rsidRPr="004F14D0">
        <w:rPr>
          <w:rFonts w:asciiTheme="majorBidi" w:hAnsiTheme="majorBidi" w:cstheme="majorBidi"/>
          <w:bCs/>
          <w:sz w:val="26"/>
          <w:szCs w:val="26"/>
        </w:rPr>
        <w:t xml:space="preserve"> 47.720 personnes), Laayoune-Sakia El Hamra (0,8% </w:t>
      </w:r>
      <w:r>
        <w:rPr>
          <w:rFonts w:asciiTheme="majorBidi" w:hAnsiTheme="majorBidi" w:cstheme="majorBidi"/>
          <w:bCs/>
          <w:sz w:val="26"/>
          <w:szCs w:val="26"/>
        </w:rPr>
        <w:t>ou</w:t>
      </w:r>
      <w:r w:rsidRPr="004F14D0">
        <w:rPr>
          <w:rFonts w:asciiTheme="majorBidi" w:hAnsiTheme="majorBidi" w:cstheme="majorBidi"/>
          <w:bCs/>
          <w:sz w:val="26"/>
          <w:szCs w:val="26"/>
        </w:rPr>
        <w:t xml:space="preserve"> 2.559 personnes) et enfin la région de Eddakhla-Oued Eddahab (0,5% </w:t>
      </w:r>
      <w:r>
        <w:rPr>
          <w:rFonts w:asciiTheme="majorBidi" w:hAnsiTheme="majorBidi" w:cstheme="majorBidi"/>
          <w:bCs/>
          <w:sz w:val="26"/>
          <w:szCs w:val="26"/>
        </w:rPr>
        <w:t>ou</w:t>
      </w:r>
      <w:r w:rsidRPr="004F14D0">
        <w:rPr>
          <w:rFonts w:asciiTheme="majorBidi" w:hAnsiTheme="majorBidi" w:cstheme="majorBidi"/>
          <w:bCs/>
          <w:sz w:val="26"/>
          <w:szCs w:val="26"/>
        </w:rPr>
        <w:t xml:space="preserve"> 570 personnes).</w:t>
      </w:r>
    </w:p>
    <w:p w:rsidR="006451B1" w:rsidRDefault="006451B1" w:rsidP="006451B1">
      <w:pPr>
        <w:widowControl w:val="0"/>
        <w:autoSpaceDE w:val="0"/>
        <w:autoSpaceDN w:val="0"/>
        <w:adjustRightInd w:val="0"/>
        <w:spacing w:before="120" w:after="120" w:line="240" w:lineRule="auto"/>
        <w:jc w:val="both"/>
        <w:rPr>
          <w:rFonts w:asciiTheme="majorBidi" w:hAnsiTheme="majorBidi" w:cstheme="majorBidi"/>
          <w:sz w:val="26"/>
          <w:szCs w:val="26"/>
        </w:rPr>
      </w:pPr>
      <w:r w:rsidRPr="005F1A0D">
        <w:rPr>
          <w:rFonts w:asciiTheme="majorBidi" w:hAnsiTheme="majorBidi" w:cstheme="majorBidi"/>
          <w:sz w:val="26"/>
          <w:szCs w:val="26"/>
        </w:rPr>
        <w:t>45,3% des provinces enregistrent une prévalence inférieure à la moyenne nationale (1,2%), 16% ont une prévalence identique à la moyenne nationale et 38,7% ont une prévalence supérieure à la moyenne nationale.</w:t>
      </w:r>
      <w:r>
        <w:rPr>
          <w:rFonts w:asciiTheme="majorBidi" w:hAnsiTheme="majorBidi" w:cstheme="majorBidi"/>
          <w:sz w:val="26"/>
          <w:szCs w:val="26"/>
        </w:rPr>
        <w:t xml:space="preserve"> </w:t>
      </w:r>
    </w:p>
    <w:p w:rsidR="006451B1" w:rsidRDefault="006451B1" w:rsidP="006451B1">
      <w:pPr>
        <w:widowControl w:val="0"/>
        <w:autoSpaceDE w:val="0"/>
        <w:autoSpaceDN w:val="0"/>
        <w:adjustRightInd w:val="0"/>
        <w:spacing w:before="120" w:after="120" w:line="240" w:lineRule="auto"/>
        <w:jc w:val="both"/>
        <w:rPr>
          <w:rFonts w:asciiTheme="majorBidi" w:hAnsiTheme="majorBidi" w:cstheme="majorBidi"/>
          <w:sz w:val="26"/>
          <w:szCs w:val="26"/>
        </w:rPr>
      </w:pPr>
      <w:r>
        <w:rPr>
          <w:rFonts w:asciiTheme="majorBidi" w:hAnsiTheme="majorBidi" w:cstheme="majorBidi"/>
          <w:bCs/>
          <w:sz w:val="26"/>
          <w:szCs w:val="26"/>
        </w:rPr>
        <w:t>L</w:t>
      </w:r>
      <w:r w:rsidRPr="004F14D0">
        <w:rPr>
          <w:rFonts w:asciiTheme="majorBidi" w:hAnsiTheme="majorBidi" w:cstheme="majorBidi"/>
          <w:bCs/>
          <w:sz w:val="26"/>
          <w:szCs w:val="26"/>
        </w:rPr>
        <w:t>a prévalence la plus élevée est enregistrée dans les provinces de Youssoufia (1,6% </w:t>
      </w:r>
      <w:r>
        <w:rPr>
          <w:rFonts w:asciiTheme="majorBidi" w:hAnsiTheme="majorBidi" w:cstheme="majorBidi"/>
          <w:bCs/>
          <w:sz w:val="26"/>
          <w:szCs w:val="26"/>
        </w:rPr>
        <w:t>ou</w:t>
      </w:r>
      <w:r w:rsidRPr="004F14D0">
        <w:rPr>
          <w:rFonts w:asciiTheme="majorBidi" w:hAnsiTheme="majorBidi" w:cstheme="majorBidi"/>
          <w:bCs/>
          <w:sz w:val="26"/>
          <w:szCs w:val="26"/>
        </w:rPr>
        <w:t xml:space="preserve"> 4.074 personnes), Berkane (1,6% </w:t>
      </w:r>
      <w:r>
        <w:rPr>
          <w:rFonts w:asciiTheme="majorBidi" w:hAnsiTheme="majorBidi" w:cstheme="majorBidi"/>
          <w:bCs/>
          <w:sz w:val="26"/>
          <w:szCs w:val="26"/>
        </w:rPr>
        <w:t>ou</w:t>
      </w:r>
      <w:r w:rsidRPr="004F14D0">
        <w:rPr>
          <w:rFonts w:asciiTheme="majorBidi" w:hAnsiTheme="majorBidi" w:cstheme="majorBidi"/>
          <w:bCs/>
          <w:sz w:val="26"/>
          <w:szCs w:val="26"/>
        </w:rPr>
        <w:t xml:space="preserve"> 4.688 personnes), Ouezzane (1,7% </w:t>
      </w:r>
      <w:r>
        <w:rPr>
          <w:rFonts w:asciiTheme="majorBidi" w:hAnsiTheme="majorBidi" w:cstheme="majorBidi"/>
          <w:bCs/>
          <w:sz w:val="26"/>
          <w:szCs w:val="26"/>
        </w:rPr>
        <w:t>ou</w:t>
      </w:r>
      <w:r w:rsidRPr="004F14D0">
        <w:rPr>
          <w:rFonts w:asciiTheme="majorBidi" w:hAnsiTheme="majorBidi" w:cstheme="majorBidi"/>
          <w:bCs/>
          <w:sz w:val="26"/>
          <w:szCs w:val="26"/>
        </w:rPr>
        <w:t xml:space="preserve"> 4.936 personnes), Driouch (1,7% </w:t>
      </w:r>
      <w:r>
        <w:rPr>
          <w:rFonts w:asciiTheme="majorBidi" w:hAnsiTheme="majorBidi" w:cstheme="majorBidi"/>
          <w:bCs/>
          <w:sz w:val="26"/>
          <w:szCs w:val="26"/>
        </w:rPr>
        <w:t>ou</w:t>
      </w:r>
      <w:r w:rsidRPr="004F14D0">
        <w:rPr>
          <w:rFonts w:asciiTheme="majorBidi" w:hAnsiTheme="majorBidi" w:cstheme="majorBidi"/>
          <w:bCs/>
          <w:sz w:val="26"/>
          <w:szCs w:val="26"/>
        </w:rPr>
        <w:t xml:space="preserve"> 3.605 personnes) et Tata (1,8% </w:t>
      </w:r>
      <w:r>
        <w:rPr>
          <w:rFonts w:asciiTheme="majorBidi" w:hAnsiTheme="majorBidi" w:cstheme="majorBidi"/>
          <w:bCs/>
          <w:sz w:val="26"/>
          <w:szCs w:val="26"/>
        </w:rPr>
        <w:t xml:space="preserve">ou </w:t>
      </w:r>
      <w:r w:rsidRPr="004F14D0">
        <w:rPr>
          <w:rFonts w:asciiTheme="majorBidi" w:hAnsiTheme="majorBidi" w:cstheme="majorBidi"/>
          <w:bCs/>
          <w:sz w:val="26"/>
          <w:szCs w:val="26"/>
        </w:rPr>
        <w:t>2.044 personnes). Par contre les provinces qui enregistrent les prévalences plus basses sont : Aousserd (0,4% </w:t>
      </w:r>
      <w:r>
        <w:rPr>
          <w:rFonts w:asciiTheme="majorBidi" w:hAnsiTheme="majorBidi" w:cstheme="majorBidi"/>
          <w:bCs/>
          <w:sz w:val="26"/>
          <w:szCs w:val="26"/>
        </w:rPr>
        <w:t>ou</w:t>
      </w:r>
      <w:r w:rsidRPr="004F14D0">
        <w:rPr>
          <w:rFonts w:asciiTheme="majorBidi" w:hAnsiTheme="majorBidi" w:cstheme="majorBidi"/>
          <w:bCs/>
          <w:sz w:val="26"/>
          <w:szCs w:val="26"/>
        </w:rPr>
        <w:t xml:space="preserve"> 9 personnes), Boujdour (0,5% </w:t>
      </w:r>
      <w:r>
        <w:rPr>
          <w:rFonts w:asciiTheme="majorBidi" w:hAnsiTheme="majorBidi" w:cstheme="majorBidi"/>
          <w:bCs/>
          <w:sz w:val="26"/>
          <w:szCs w:val="26"/>
        </w:rPr>
        <w:t>ou</w:t>
      </w:r>
      <w:r w:rsidRPr="004F14D0">
        <w:rPr>
          <w:rFonts w:asciiTheme="majorBidi" w:hAnsiTheme="majorBidi" w:cstheme="majorBidi"/>
          <w:bCs/>
          <w:sz w:val="26"/>
          <w:szCs w:val="26"/>
        </w:rPr>
        <w:t xml:space="preserve"> 200 personnes), Oued Ed Dahab </w:t>
      </w:r>
      <w:r w:rsidRPr="005F1A0D">
        <w:rPr>
          <w:rFonts w:asciiTheme="majorBidi" w:hAnsiTheme="majorBidi" w:cstheme="majorBidi"/>
          <w:sz w:val="26"/>
          <w:szCs w:val="26"/>
        </w:rPr>
        <w:t>(0,5% </w:t>
      </w:r>
      <w:r>
        <w:rPr>
          <w:rFonts w:asciiTheme="majorBidi" w:hAnsiTheme="majorBidi" w:cstheme="majorBidi"/>
          <w:sz w:val="26"/>
          <w:szCs w:val="26"/>
        </w:rPr>
        <w:t>ou</w:t>
      </w:r>
      <w:r w:rsidRPr="005F1A0D">
        <w:rPr>
          <w:rFonts w:asciiTheme="majorBidi" w:hAnsiTheme="majorBidi" w:cstheme="majorBidi"/>
          <w:sz w:val="26"/>
          <w:szCs w:val="26"/>
        </w:rPr>
        <w:t xml:space="preserve"> 561 personnes), Laâyoune (0,8% </w:t>
      </w:r>
      <w:r>
        <w:rPr>
          <w:rFonts w:asciiTheme="majorBidi" w:hAnsiTheme="majorBidi" w:cstheme="majorBidi"/>
          <w:sz w:val="26"/>
          <w:szCs w:val="26"/>
        </w:rPr>
        <w:t>ou</w:t>
      </w:r>
      <w:r w:rsidRPr="005F1A0D">
        <w:rPr>
          <w:rFonts w:asciiTheme="majorBidi" w:hAnsiTheme="majorBidi" w:cstheme="majorBidi"/>
          <w:sz w:val="26"/>
          <w:szCs w:val="26"/>
        </w:rPr>
        <w:t xml:space="preserve"> 1.816 personnes) et Tarfaya (0,8% </w:t>
      </w:r>
      <w:r>
        <w:rPr>
          <w:rFonts w:asciiTheme="majorBidi" w:hAnsiTheme="majorBidi" w:cstheme="majorBidi"/>
          <w:sz w:val="26"/>
          <w:szCs w:val="26"/>
        </w:rPr>
        <w:t>ou</w:t>
      </w:r>
      <w:r w:rsidRPr="005F1A0D">
        <w:rPr>
          <w:rFonts w:asciiTheme="majorBidi" w:hAnsiTheme="majorBidi" w:cstheme="majorBidi"/>
          <w:sz w:val="26"/>
          <w:szCs w:val="26"/>
        </w:rPr>
        <w:t xml:space="preserve"> 107 personnes).</w:t>
      </w:r>
    </w:p>
    <w:p w:rsidR="003C3309" w:rsidRPr="003C3309" w:rsidRDefault="003C3309" w:rsidP="00D73DBA">
      <w:pPr>
        <w:autoSpaceDE w:val="0"/>
        <w:autoSpaceDN w:val="0"/>
        <w:adjustRightInd w:val="0"/>
        <w:spacing w:before="240" w:after="240" w:line="240" w:lineRule="auto"/>
        <w:jc w:val="both"/>
        <w:rPr>
          <w:rFonts w:asciiTheme="majorBidi" w:hAnsiTheme="majorBidi" w:cstheme="majorBidi"/>
          <w:color w:val="000000"/>
          <w:sz w:val="26"/>
          <w:szCs w:val="26"/>
        </w:rPr>
      </w:pPr>
      <w:r w:rsidRPr="003C3309">
        <w:rPr>
          <w:rFonts w:asciiTheme="majorBidi" w:hAnsiTheme="majorBidi" w:cstheme="majorBidi"/>
          <w:color w:val="000000"/>
          <w:sz w:val="26"/>
          <w:szCs w:val="26"/>
        </w:rPr>
        <w:t xml:space="preserve">Le rapport de cette </w:t>
      </w:r>
      <w:r>
        <w:rPr>
          <w:rFonts w:asciiTheme="majorBidi" w:hAnsiTheme="majorBidi" w:cstheme="majorBidi"/>
          <w:color w:val="000000"/>
          <w:sz w:val="26"/>
          <w:szCs w:val="26"/>
        </w:rPr>
        <w:t>étude</w:t>
      </w:r>
      <w:r w:rsidRPr="003C3309">
        <w:rPr>
          <w:rFonts w:asciiTheme="majorBidi" w:hAnsiTheme="majorBidi" w:cstheme="majorBidi"/>
          <w:color w:val="000000"/>
          <w:sz w:val="26"/>
          <w:szCs w:val="26"/>
        </w:rPr>
        <w:t>, intitulé</w:t>
      </w:r>
      <w:r w:rsidR="00D73DBA">
        <w:rPr>
          <w:rFonts w:asciiTheme="majorBidi" w:hAnsiTheme="majorBidi" w:cstheme="majorBidi"/>
          <w:color w:val="000000"/>
          <w:sz w:val="26"/>
          <w:szCs w:val="26"/>
        </w:rPr>
        <w:t>e</w:t>
      </w:r>
      <w:r w:rsidRPr="003C3309">
        <w:rPr>
          <w:rFonts w:asciiTheme="majorBidi" w:hAnsiTheme="majorBidi" w:cstheme="majorBidi"/>
          <w:color w:val="000000"/>
          <w:sz w:val="26"/>
          <w:szCs w:val="26"/>
        </w:rPr>
        <w:t xml:space="preserve"> « </w:t>
      </w:r>
      <w:r w:rsidRPr="003C3309">
        <w:rPr>
          <w:rFonts w:asciiTheme="majorBidi" w:hAnsiTheme="majorBidi" w:cstheme="majorBidi"/>
          <w:b/>
          <w:i/>
          <w:iCs/>
          <w:color w:val="0000FF"/>
          <w:sz w:val="26"/>
          <w:szCs w:val="26"/>
        </w:rPr>
        <w:t>Les incapacités et le handicap au Maroc</w:t>
      </w:r>
      <w:r w:rsidRPr="003C3309">
        <w:rPr>
          <w:rFonts w:asciiTheme="majorBidi" w:hAnsiTheme="majorBidi" w:cstheme="majorBidi"/>
          <w:color w:val="000000"/>
          <w:sz w:val="26"/>
          <w:szCs w:val="26"/>
        </w:rPr>
        <w:t xml:space="preserve"> », </w:t>
      </w:r>
      <w:r w:rsidRPr="003C3309">
        <w:rPr>
          <w:rFonts w:asciiTheme="majorBidi" w:hAnsiTheme="majorBidi" w:cstheme="majorBidi"/>
          <w:sz w:val="26"/>
          <w:szCs w:val="26"/>
        </w:rPr>
        <w:t xml:space="preserve">est téléchargeable sur le site </w:t>
      </w:r>
      <w:r w:rsidRPr="003C3309">
        <w:rPr>
          <w:rFonts w:asciiTheme="majorBidi" w:hAnsiTheme="majorBidi" w:cstheme="majorBidi"/>
          <w:i/>
          <w:iCs/>
          <w:sz w:val="26"/>
          <w:szCs w:val="26"/>
        </w:rPr>
        <w:t>www.hcp.ma</w:t>
      </w:r>
      <w:r w:rsidRPr="003C3309">
        <w:rPr>
          <w:rFonts w:asciiTheme="majorBidi" w:hAnsiTheme="majorBidi" w:cstheme="majorBidi"/>
          <w:color w:val="000000"/>
          <w:sz w:val="26"/>
          <w:szCs w:val="26"/>
        </w:rPr>
        <w:t>.</w:t>
      </w:r>
    </w:p>
    <w:p w:rsidR="003C3309" w:rsidRDefault="003C3309" w:rsidP="002C4AC8">
      <w:pPr>
        <w:pStyle w:val="Paragraphedeliste"/>
        <w:spacing w:before="120" w:after="120" w:line="240" w:lineRule="auto"/>
        <w:ind w:left="0"/>
        <w:contextualSpacing w:val="0"/>
        <w:jc w:val="both"/>
        <w:rPr>
          <w:rFonts w:asciiTheme="majorBidi" w:hAnsiTheme="majorBidi" w:cstheme="majorBidi"/>
          <w:b/>
          <w:i/>
          <w:iCs/>
          <w:color w:val="0000FF"/>
          <w:sz w:val="26"/>
          <w:szCs w:val="26"/>
        </w:rPr>
      </w:pPr>
    </w:p>
    <w:p w:rsidR="003C3309" w:rsidRPr="00B34890" w:rsidRDefault="003C3309" w:rsidP="00D73DBA">
      <w:pPr>
        <w:pStyle w:val="Paragraphedeliste"/>
        <w:spacing w:before="120" w:after="120" w:line="240" w:lineRule="auto"/>
        <w:ind w:left="0"/>
        <w:contextualSpacing w:val="0"/>
        <w:jc w:val="both"/>
        <w:rPr>
          <w:rFonts w:asciiTheme="majorBidi" w:hAnsiTheme="majorBidi" w:cstheme="majorBidi"/>
          <w:b/>
          <w:i/>
          <w:iCs/>
          <w:color w:val="0000FF"/>
          <w:sz w:val="26"/>
          <w:szCs w:val="26"/>
        </w:rPr>
      </w:pPr>
    </w:p>
    <w:sectPr w:rsidR="003C3309" w:rsidRPr="00B34890" w:rsidSect="0063278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5F" w:rsidRDefault="0011025F" w:rsidP="003A617E">
      <w:pPr>
        <w:spacing w:after="0" w:line="240" w:lineRule="auto"/>
      </w:pPr>
      <w:r>
        <w:separator/>
      </w:r>
    </w:p>
  </w:endnote>
  <w:endnote w:type="continuationSeparator" w:id="1">
    <w:p w:rsidR="0011025F" w:rsidRDefault="0011025F" w:rsidP="003A6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3999"/>
      <w:docPartObj>
        <w:docPartGallery w:val="Page Numbers (Bottom of Page)"/>
        <w:docPartUnique/>
      </w:docPartObj>
    </w:sdtPr>
    <w:sdtContent>
      <w:p w:rsidR="00A01B4E" w:rsidRDefault="006F1604">
        <w:pPr>
          <w:pStyle w:val="Pieddepage"/>
          <w:jc w:val="center"/>
        </w:pPr>
        <w:r>
          <w:fldChar w:fldCharType="begin"/>
        </w:r>
        <w:r w:rsidR="00FF71CE">
          <w:instrText xml:space="preserve"> PAGE   \* MERGEFORMAT </w:instrText>
        </w:r>
        <w:r>
          <w:fldChar w:fldCharType="separate"/>
        </w:r>
        <w:r w:rsidR="00AE5C53">
          <w:rPr>
            <w:noProof/>
          </w:rPr>
          <w:t>2</w:t>
        </w:r>
        <w:r>
          <w:rPr>
            <w:noProof/>
          </w:rPr>
          <w:fldChar w:fldCharType="end"/>
        </w:r>
      </w:p>
    </w:sdtContent>
  </w:sdt>
  <w:p w:rsidR="00A01B4E" w:rsidRDefault="0011025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5F" w:rsidRDefault="0011025F" w:rsidP="003A617E">
      <w:pPr>
        <w:spacing w:after="0" w:line="240" w:lineRule="auto"/>
      </w:pPr>
      <w:r>
        <w:separator/>
      </w:r>
    </w:p>
  </w:footnote>
  <w:footnote w:type="continuationSeparator" w:id="1">
    <w:p w:rsidR="0011025F" w:rsidRDefault="0011025F" w:rsidP="003A6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E0A63"/>
    <w:multiLevelType w:val="hybridMultilevel"/>
    <w:tmpl w:val="408CA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B9490B"/>
    <w:rsid w:val="00002224"/>
    <w:rsid w:val="00085085"/>
    <w:rsid w:val="00086D91"/>
    <w:rsid w:val="000A3441"/>
    <w:rsid w:val="000A3BC8"/>
    <w:rsid w:val="000B5A99"/>
    <w:rsid w:val="000C0757"/>
    <w:rsid w:val="000D594E"/>
    <w:rsid w:val="000F3EEF"/>
    <w:rsid w:val="00104A11"/>
    <w:rsid w:val="0011025F"/>
    <w:rsid w:val="00123DE2"/>
    <w:rsid w:val="0018680F"/>
    <w:rsid w:val="001A05F8"/>
    <w:rsid w:val="001A7E28"/>
    <w:rsid w:val="001D4AFA"/>
    <w:rsid w:val="001F0F2D"/>
    <w:rsid w:val="00212C54"/>
    <w:rsid w:val="002815A7"/>
    <w:rsid w:val="00285B8A"/>
    <w:rsid w:val="002C4AC8"/>
    <w:rsid w:val="002E7907"/>
    <w:rsid w:val="003139D0"/>
    <w:rsid w:val="0035695D"/>
    <w:rsid w:val="00380AFD"/>
    <w:rsid w:val="003A617E"/>
    <w:rsid w:val="003C3309"/>
    <w:rsid w:val="003D2553"/>
    <w:rsid w:val="00403D97"/>
    <w:rsid w:val="00425368"/>
    <w:rsid w:val="00431A8C"/>
    <w:rsid w:val="00433481"/>
    <w:rsid w:val="00447E13"/>
    <w:rsid w:val="00452580"/>
    <w:rsid w:val="0048173F"/>
    <w:rsid w:val="004F14D0"/>
    <w:rsid w:val="00543B8E"/>
    <w:rsid w:val="00595C55"/>
    <w:rsid w:val="005C499D"/>
    <w:rsid w:val="005C606A"/>
    <w:rsid w:val="005E4BBE"/>
    <w:rsid w:val="005F1A0D"/>
    <w:rsid w:val="00621043"/>
    <w:rsid w:val="006317DB"/>
    <w:rsid w:val="00642973"/>
    <w:rsid w:val="006451B1"/>
    <w:rsid w:val="0065718B"/>
    <w:rsid w:val="00667405"/>
    <w:rsid w:val="00676F31"/>
    <w:rsid w:val="006C33AA"/>
    <w:rsid w:val="006D2B3B"/>
    <w:rsid w:val="006F1604"/>
    <w:rsid w:val="00703EAA"/>
    <w:rsid w:val="007044AC"/>
    <w:rsid w:val="007066CA"/>
    <w:rsid w:val="00723E2E"/>
    <w:rsid w:val="00725CA1"/>
    <w:rsid w:val="007F3324"/>
    <w:rsid w:val="00821986"/>
    <w:rsid w:val="00832BB2"/>
    <w:rsid w:val="00836B18"/>
    <w:rsid w:val="00855FC0"/>
    <w:rsid w:val="00865DB1"/>
    <w:rsid w:val="0088206E"/>
    <w:rsid w:val="00890FF7"/>
    <w:rsid w:val="008921E9"/>
    <w:rsid w:val="008A035C"/>
    <w:rsid w:val="008A3C7E"/>
    <w:rsid w:val="00935B90"/>
    <w:rsid w:val="00937B9C"/>
    <w:rsid w:val="00957A63"/>
    <w:rsid w:val="009954D4"/>
    <w:rsid w:val="009B7B9A"/>
    <w:rsid w:val="00A309E9"/>
    <w:rsid w:val="00AD20EA"/>
    <w:rsid w:val="00AD30A2"/>
    <w:rsid w:val="00AE2C11"/>
    <w:rsid w:val="00AE5C53"/>
    <w:rsid w:val="00B32995"/>
    <w:rsid w:val="00B34890"/>
    <w:rsid w:val="00B52FFB"/>
    <w:rsid w:val="00B53FE4"/>
    <w:rsid w:val="00B708B9"/>
    <w:rsid w:val="00B87653"/>
    <w:rsid w:val="00B9490B"/>
    <w:rsid w:val="00BA5936"/>
    <w:rsid w:val="00BB2419"/>
    <w:rsid w:val="00C96260"/>
    <w:rsid w:val="00CD57E1"/>
    <w:rsid w:val="00CE308F"/>
    <w:rsid w:val="00CF6DFF"/>
    <w:rsid w:val="00D7359B"/>
    <w:rsid w:val="00D73DBA"/>
    <w:rsid w:val="00DF72D1"/>
    <w:rsid w:val="00E06FAB"/>
    <w:rsid w:val="00E40135"/>
    <w:rsid w:val="00E51771"/>
    <w:rsid w:val="00E606E7"/>
    <w:rsid w:val="00E63A49"/>
    <w:rsid w:val="00E65F5C"/>
    <w:rsid w:val="00E957F4"/>
    <w:rsid w:val="00F00A56"/>
    <w:rsid w:val="00F84AEB"/>
    <w:rsid w:val="00FD74DD"/>
    <w:rsid w:val="00FF71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7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A61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17E"/>
  </w:style>
  <w:style w:type="character" w:customStyle="1" w:styleId="ParagraphedelisteCar">
    <w:name w:val="Paragraphe de liste Car"/>
    <w:basedOn w:val="Policepardfaut"/>
    <w:link w:val="Paragraphedeliste"/>
    <w:uiPriority w:val="34"/>
    <w:locked/>
    <w:rsid w:val="003A617E"/>
    <w:rPr>
      <w:rFonts w:ascii="Calibri" w:eastAsia="Calibri" w:hAnsi="Calibri" w:cs="Arial"/>
    </w:rPr>
  </w:style>
  <w:style w:type="paragraph" w:styleId="Paragraphedeliste">
    <w:name w:val="List Paragraph"/>
    <w:basedOn w:val="Normal"/>
    <w:link w:val="ParagraphedelisteCar"/>
    <w:uiPriority w:val="34"/>
    <w:qFormat/>
    <w:rsid w:val="003A617E"/>
    <w:pPr>
      <w:ind w:left="720"/>
      <w:contextualSpacing/>
    </w:pPr>
    <w:rPr>
      <w:rFonts w:ascii="Calibri" w:eastAsia="Calibri" w:hAnsi="Calibri" w:cs="Arial"/>
    </w:rPr>
  </w:style>
  <w:style w:type="paragraph" w:styleId="Notedebasdepage">
    <w:name w:val="footnote text"/>
    <w:basedOn w:val="Normal"/>
    <w:link w:val="NotedebasdepageCar"/>
    <w:uiPriority w:val="99"/>
    <w:semiHidden/>
    <w:unhideWhenUsed/>
    <w:rsid w:val="003A61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617E"/>
    <w:rPr>
      <w:sz w:val="20"/>
      <w:szCs w:val="20"/>
    </w:rPr>
  </w:style>
  <w:style w:type="character" w:styleId="Appelnotedebasdep">
    <w:name w:val="footnote reference"/>
    <w:basedOn w:val="Policepardfaut"/>
    <w:uiPriority w:val="99"/>
    <w:semiHidden/>
    <w:unhideWhenUsed/>
    <w:rsid w:val="003A617E"/>
    <w:rPr>
      <w:vertAlign w:val="superscript"/>
    </w:rPr>
  </w:style>
  <w:style w:type="paragraph" w:styleId="Textedebulles">
    <w:name w:val="Balloon Text"/>
    <w:basedOn w:val="Normal"/>
    <w:link w:val="TextedebullesCar"/>
    <w:uiPriority w:val="99"/>
    <w:semiHidden/>
    <w:unhideWhenUsed/>
    <w:rsid w:val="00CE30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3457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CHIADMI</dc:creator>
  <cp:lastModifiedBy>hcp</cp:lastModifiedBy>
  <cp:revision>2</cp:revision>
  <cp:lastPrinted>2017-12-03T15:19:00Z</cp:lastPrinted>
  <dcterms:created xsi:type="dcterms:W3CDTF">2017-12-04T10:15:00Z</dcterms:created>
  <dcterms:modified xsi:type="dcterms:W3CDTF">2017-12-04T10:15:00Z</dcterms:modified>
</cp:coreProperties>
</file>