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0B0956" w:rsidP="000B0956">
      <w:pPr>
        <w:ind w:left="-286" w:right="-426"/>
        <w:jc w:val="center"/>
      </w:pPr>
      <w:r>
        <w:t xml:space="preserve">        </w:t>
      </w:r>
    </w:p>
    <w:p w:rsidR="00AE3942" w:rsidRDefault="00360DED" w:rsidP="00360DED">
      <w:pPr>
        <w:ind w:left="-286" w:right="-426"/>
        <w:jc w:val="center"/>
      </w:pPr>
      <w:r>
        <w:t xml:space="preserve">            </w:t>
      </w:r>
    </w:p>
    <w:p w:rsidR="00AE3942" w:rsidRPr="00AE3942" w:rsidRDefault="00AE3942" w:rsidP="007F2F8F">
      <w:pPr>
        <w:ind w:left="-286" w:right="-426"/>
        <w:rPr>
          <w:rtl/>
        </w:rPr>
      </w:pP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BA4E60" w:rsidRPr="007F2F8F" w:rsidRDefault="00BA4E60" w:rsidP="007F2F8F">
      <w:pPr>
        <w:pStyle w:val="Corpsdetexte"/>
        <w:bidi/>
        <w:spacing w:line="420" w:lineRule="exact"/>
        <w:ind w:left="-284" w:right="-425" w:firstLine="720"/>
        <w:jc w:val="center"/>
        <w:rPr>
          <w:rFonts w:cs="Arabic Transparent"/>
          <w:b/>
          <w:bCs/>
          <w:color w:val="0000FF"/>
          <w:sz w:val="36"/>
          <w:szCs w:val="36"/>
          <w:rtl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مذكرة إخبـارية</w:t>
      </w:r>
    </w:p>
    <w:p w:rsidR="00BA4E60" w:rsidRPr="007F2F8F" w:rsidRDefault="00BA4E60" w:rsidP="007F2F8F">
      <w:pPr>
        <w:pStyle w:val="Corpsdetexte"/>
        <w:bidi/>
        <w:spacing w:line="420" w:lineRule="exact"/>
        <w:ind w:left="-284" w:right="-425" w:firstLine="720"/>
        <w:jc w:val="center"/>
        <w:rPr>
          <w:rFonts w:cs="Arabic Transparent"/>
          <w:b/>
          <w:bCs/>
          <w:sz w:val="36"/>
          <w:szCs w:val="36"/>
          <w:lang w:bidi="ar-MA"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BA4E60" w:rsidRPr="007F2F8F" w:rsidRDefault="00BA4E60" w:rsidP="00F21494">
      <w:pPr>
        <w:pStyle w:val="Corpsdetexte"/>
        <w:bidi/>
        <w:spacing w:line="420" w:lineRule="exact"/>
        <w:ind w:left="-284" w:right="-425" w:firstLine="708"/>
        <w:jc w:val="center"/>
        <w:rPr>
          <w:rFonts w:cs="Simplified Arabic"/>
          <w:color w:val="0000FF"/>
          <w:sz w:val="36"/>
          <w:szCs w:val="36"/>
          <w:lang w:bidi="ar-MA"/>
        </w:rPr>
      </w:pP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2B73CA" w:rsidRPr="007F2F8F">
        <w:rPr>
          <w:rFonts w:cs="Simplified Arabic" w:hint="cs"/>
          <w:b/>
          <w:bCs/>
          <w:color w:val="0000FF"/>
          <w:sz w:val="36"/>
          <w:szCs w:val="36"/>
          <w:rtl/>
        </w:rPr>
        <w:t>للاثمان عند الاستهلاك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لسنة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F21494">
        <w:rPr>
          <w:rFonts w:cs="Simplified Arabic"/>
          <w:b/>
          <w:bCs/>
          <w:color w:val="0000FF"/>
          <w:sz w:val="36"/>
          <w:szCs w:val="36"/>
        </w:rPr>
        <w:t>7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20</w:t>
      </w:r>
      <w:r w:rsidR="002D20F7"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1</w:t>
      </w:r>
    </w:p>
    <w:p w:rsidR="00BA4E60" w:rsidRDefault="00BA4E60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BA4E60" w:rsidRPr="00A03F66" w:rsidRDefault="00AC3AF4" w:rsidP="00AA564F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b/>
          <w:bCs/>
          <w:color w:val="000000"/>
          <w:sz w:val="32"/>
          <w:szCs w:val="32"/>
          <w:lang w:bidi="ar-MA"/>
        </w:rPr>
      </w:pP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عرف الرقم الاستدلالي لشهر دجنبر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A76EE7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A76EE7"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ارتفاعا </w:t>
      </w:r>
      <w:r w:rsidR="009A6B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9A6BA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A76EE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9A6BA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A6B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بالمقارنة مع الشهر السابق وبهذا يكون متوسط الرقم الاستدلالي السنوي خلال سنة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A76EE7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 سجل ارتفاعا قدره </w:t>
      </w:r>
      <w:r w:rsidR="00F96E9A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F96E9A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ومؤشر التضخم الأساسي</w:t>
      </w:r>
      <w:r w:rsidR="00A22E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22E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السنوي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1222A6">
        <w:rPr>
          <w:rFonts w:ascii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12711D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</w:p>
    <w:p w:rsidR="00BA4E60" w:rsidRPr="009A6BAB" w:rsidRDefault="00BA4E60" w:rsidP="007F2F8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2"/>
          <w:szCs w:val="32"/>
          <w:lang w:bidi="ar-MA"/>
        </w:rPr>
      </w:pPr>
    </w:p>
    <w:p w:rsidR="00513735" w:rsidRPr="007F2F8F" w:rsidRDefault="00A76EE7" w:rsidP="00AA564F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ارتفاع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الرقم </w:t>
      </w:r>
      <w:r w:rsidR="007A38AE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لشهر</w:t>
      </w:r>
      <w:r w:rsidR="00FC5AB8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دجنبر</w:t>
      </w:r>
      <w:r w:rsidR="00F825C1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20</w:t>
      </w:r>
      <w:r w:rsidR="002D20F7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>
        <w:rPr>
          <w:rFonts w:cs="Simplified Arabic"/>
          <w:b/>
          <w:bCs/>
          <w:color w:val="0000FF"/>
          <w:sz w:val="30"/>
          <w:szCs w:val="30"/>
          <w:lang w:bidi="ar-MA"/>
        </w:rPr>
        <w:t>7</w:t>
      </w:r>
      <w:r w:rsidR="009A6BAB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ب</w:t>
      </w:r>
      <w:r w:rsidR="009A6BAB">
        <w:rPr>
          <w:rFonts w:cs="Simplified Arabic"/>
          <w:b/>
          <w:bCs/>
          <w:color w:val="0000FF"/>
          <w:sz w:val="30"/>
          <w:szCs w:val="30"/>
          <w:lang w:bidi="ar-MA"/>
        </w:rPr>
        <w:t>0,</w:t>
      </w:r>
      <w:r>
        <w:rPr>
          <w:rFonts w:cs="Simplified Arabic"/>
          <w:b/>
          <w:bCs/>
          <w:color w:val="0000FF"/>
          <w:sz w:val="30"/>
          <w:szCs w:val="30"/>
          <w:lang w:bidi="ar-MA"/>
        </w:rPr>
        <w:t>5</w:t>
      </w:r>
      <w:r w:rsidR="009A6BAB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FC5AB8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لم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ؤشر التضخم الأساسي الشهري</w:t>
      </w:r>
      <w:r w:rsidR="00AA564F" w:rsidRP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ب </w:t>
      </w:r>
      <w:r w:rsidR="00AA564F">
        <w:rPr>
          <w:rFonts w:cs="Simplified Arabic"/>
          <w:b/>
          <w:bCs/>
          <w:color w:val="0000FF"/>
          <w:sz w:val="30"/>
          <w:szCs w:val="30"/>
          <w:lang w:bidi="ar-MA"/>
        </w:rPr>
        <w:t>0,3%</w:t>
      </w:r>
    </w:p>
    <w:p w:rsidR="003846CD" w:rsidRPr="007F2F8F" w:rsidRDefault="00BA4E60" w:rsidP="00A76EE7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/>
          <w:sz w:val="30"/>
          <w:szCs w:val="30"/>
          <w:rtl/>
          <w:lang w:bidi="ar-MA"/>
        </w:rPr>
        <w:t xml:space="preserve">سجل 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 xml:space="preserve">للأثمان عند </w:t>
      </w:r>
      <w:r w:rsidR="00B73DF6" w:rsidRPr="007F2F8F">
        <w:rPr>
          <w:rFonts w:cs="Simplified Arabic" w:hint="cs"/>
          <w:sz w:val="30"/>
          <w:szCs w:val="30"/>
          <w:rtl/>
          <w:lang w:bidi="ar-MA"/>
        </w:rPr>
        <w:t>الاستهلاك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>، خلال شهر دجنبر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2D20F7" w:rsidRPr="007F2F8F">
        <w:rPr>
          <w:rFonts w:cs="Simplified Arabic"/>
          <w:sz w:val="30"/>
          <w:szCs w:val="30"/>
          <w:lang w:bidi="ar-MA"/>
        </w:rPr>
        <w:t>1</w:t>
      </w:r>
      <w:r w:rsidR="00A76EE7">
        <w:rPr>
          <w:rFonts w:cs="Simplified Arabic"/>
          <w:sz w:val="30"/>
          <w:szCs w:val="30"/>
          <w:lang w:bidi="ar-MA"/>
        </w:rPr>
        <w:t>7</w:t>
      </w:r>
      <w:r w:rsidRPr="007F2F8F">
        <w:rPr>
          <w:rFonts w:cs="Simplified Arabic" w:hint="cs"/>
          <w:sz w:val="30"/>
          <w:szCs w:val="30"/>
          <w:rtl/>
          <w:lang w:bidi="ar-MA"/>
        </w:rPr>
        <w:t>،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A76EE7" w:rsidRPr="00A76EE7">
        <w:rPr>
          <w:rFonts w:cs="Simplified Arabic" w:hint="cs"/>
          <w:sz w:val="30"/>
          <w:szCs w:val="30"/>
          <w:rtl/>
          <w:lang w:bidi="ar-MA"/>
        </w:rPr>
        <w:t xml:space="preserve">ارتفاعا 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قدره </w:t>
      </w:r>
      <w:r w:rsidR="009A6BAB">
        <w:rPr>
          <w:rFonts w:cs="Simplified Arabic"/>
          <w:sz w:val="30"/>
          <w:szCs w:val="30"/>
          <w:lang w:bidi="ar-MA"/>
        </w:rPr>
        <w:t>0,</w:t>
      </w:r>
      <w:r w:rsidR="00A76EE7">
        <w:rPr>
          <w:rFonts w:cs="Simplified Arabic"/>
          <w:sz w:val="30"/>
          <w:szCs w:val="30"/>
          <w:lang w:bidi="ar-MA"/>
        </w:rPr>
        <w:t>5</w:t>
      </w:r>
      <w:r w:rsidR="009A6BAB">
        <w:rPr>
          <w:rFonts w:cs="Simplified Arabic"/>
          <w:sz w:val="30"/>
          <w:szCs w:val="30"/>
          <w:lang w:bidi="ar-MA"/>
        </w:rPr>
        <w:t>%</w:t>
      </w:r>
      <w:r w:rsidR="00D03676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بال</w:t>
      </w:r>
      <w:r w:rsidRPr="007F2F8F">
        <w:rPr>
          <w:rFonts w:cs="Simplified Arabic"/>
          <w:sz w:val="30"/>
          <w:szCs w:val="30"/>
          <w:rtl/>
          <w:lang w:bidi="ar-MA"/>
        </w:rPr>
        <w:t>مقارنة مع الشهر السابق</w:t>
      </w:r>
      <w:r w:rsidR="00BE2748" w:rsidRPr="007F2F8F">
        <w:rPr>
          <w:rFonts w:cs="Simplified Arabic"/>
          <w:sz w:val="30"/>
          <w:szCs w:val="30"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وقد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نتج 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هذا </w:t>
      </w:r>
      <w:r w:rsidR="00D03676">
        <w:rPr>
          <w:rFonts w:cs="Simplified Arabic" w:hint="cs"/>
          <w:sz w:val="30"/>
          <w:szCs w:val="30"/>
          <w:rtl/>
          <w:lang w:bidi="ar-MA"/>
        </w:rPr>
        <w:t>ال</w:t>
      </w:r>
      <w:r w:rsidR="00A76EE7" w:rsidRPr="00A76EE7">
        <w:rPr>
          <w:rFonts w:cs="Simplified Arabic" w:hint="cs"/>
          <w:sz w:val="30"/>
          <w:szCs w:val="30"/>
          <w:rtl/>
          <w:lang w:bidi="ar-MA"/>
        </w:rPr>
        <w:t>ارتفاع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عن </w:t>
      </w:r>
      <w:r w:rsidR="00A76EE7">
        <w:rPr>
          <w:rFonts w:cs="Simplified Arabic" w:hint="cs"/>
          <w:sz w:val="30"/>
          <w:szCs w:val="30"/>
          <w:rtl/>
          <w:lang w:bidi="ar-MA"/>
        </w:rPr>
        <w:t>تزايد</w:t>
      </w:r>
      <w:r w:rsidR="00A76EE7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للمواد الغذائية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A76EE7">
        <w:rPr>
          <w:rFonts w:cs="Simplified Arabic"/>
          <w:sz w:val="30"/>
          <w:szCs w:val="30"/>
          <w:lang w:bidi="ar-MA"/>
        </w:rPr>
        <w:t>1,1</w:t>
      </w:r>
      <w:r w:rsidR="009A6BAB">
        <w:rPr>
          <w:rFonts w:cs="Simplified Arabic"/>
          <w:sz w:val="30"/>
          <w:szCs w:val="30"/>
          <w:lang w:bidi="ar-MA"/>
        </w:rPr>
        <w:t>%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594542">
        <w:rPr>
          <w:rFonts w:cs="Simplified Arabic" w:hint="cs"/>
          <w:sz w:val="30"/>
          <w:szCs w:val="30"/>
          <w:rtl/>
          <w:lang w:bidi="ar-MA"/>
        </w:rPr>
        <w:t>ت</w:t>
      </w:r>
      <w:r w:rsidR="00A76EE7">
        <w:rPr>
          <w:rFonts w:cs="Simplified Arabic" w:hint="cs"/>
          <w:sz w:val="30"/>
          <w:szCs w:val="30"/>
          <w:rtl/>
          <w:lang w:bidi="ar-MA"/>
        </w:rPr>
        <w:t>راجع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94542">
        <w:rPr>
          <w:rFonts w:cs="Simplified Arabic" w:hint="cs"/>
          <w:sz w:val="30"/>
          <w:szCs w:val="30"/>
          <w:rtl/>
          <w:lang w:bidi="ar-MA"/>
        </w:rPr>
        <w:t>ا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لرقم 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>الاستدلالي للمواد غير الغذائية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9A6BAB">
        <w:rPr>
          <w:rFonts w:cs="Simplified Arabic"/>
          <w:sz w:val="30"/>
          <w:szCs w:val="30"/>
          <w:lang w:bidi="ar-MA"/>
        </w:rPr>
        <w:t>0,1%</w:t>
      </w:r>
      <w:r w:rsidR="00BB090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BA4E60" w:rsidRPr="007F2F8F" w:rsidRDefault="00464F92" w:rsidP="00AA564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همت </w:t>
      </w:r>
      <w:r w:rsidR="00A76EE7">
        <w:rPr>
          <w:rFonts w:cs="Simplified Arabic" w:hint="cs"/>
          <w:sz w:val="30"/>
          <w:szCs w:val="30"/>
          <w:rtl/>
          <w:lang w:bidi="ar-MA"/>
        </w:rPr>
        <w:t>ارتفاعا</w:t>
      </w:r>
      <w:r w:rsidR="00594542">
        <w:rPr>
          <w:rFonts w:cs="Simplified Arabic" w:hint="cs"/>
          <w:sz w:val="30"/>
          <w:szCs w:val="30"/>
          <w:rtl/>
          <w:lang w:bidi="ar-MA"/>
        </w:rPr>
        <w:t>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الغذائية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المسجلة ما بين شهري </w:t>
      </w:r>
      <w:r w:rsidR="00D93EC5" w:rsidRPr="007F2F8F">
        <w:rPr>
          <w:rFonts w:cs="Simplified Arabic" w:hint="cs"/>
          <w:sz w:val="30"/>
          <w:szCs w:val="30"/>
          <w:rtl/>
          <w:lang w:bidi="ar-MA"/>
        </w:rPr>
        <w:t>نونبر</w:t>
      </w:r>
      <w:r w:rsidR="00A12C39" w:rsidRPr="007F2F8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BC5980">
        <w:rPr>
          <w:rFonts w:cs="Simplified Arabic" w:hint="cs"/>
          <w:sz w:val="30"/>
          <w:szCs w:val="30"/>
          <w:rtl/>
          <w:lang w:bidi="ar-MA"/>
        </w:rPr>
        <w:t>دجنبر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A76EE7">
        <w:rPr>
          <w:rFonts w:cs="Simplified Arabic"/>
          <w:sz w:val="30"/>
          <w:szCs w:val="30"/>
          <w:lang w:val="en-US" w:bidi="ar-MA"/>
        </w:rPr>
        <w:t>7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على الخصوص 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أثمان </w:t>
      </w:r>
      <w:r w:rsidR="0037323B">
        <w:rPr>
          <w:rFonts w:cs="Simplified Arabic" w:hint="cs"/>
          <w:sz w:val="30"/>
          <w:szCs w:val="30"/>
          <w:rtl/>
          <w:lang w:bidi="ar-MA"/>
        </w:rPr>
        <w:t>"</w:t>
      </w:r>
      <w:r w:rsidR="00A76EE7">
        <w:rPr>
          <w:rFonts w:cs="Simplified Arabic" w:hint="cs"/>
          <w:sz w:val="30"/>
          <w:szCs w:val="30"/>
          <w:rtl/>
          <w:lang w:bidi="ar-MA"/>
        </w:rPr>
        <w:t>الخضر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76EE7">
        <w:rPr>
          <w:rFonts w:cs="Simplified Arabic"/>
          <w:sz w:val="30"/>
          <w:szCs w:val="30"/>
          <w:lang w:bidi="ar-MA"/>
        </w:rPr>
        <w:t>5,4</w:t>
      </w:r>
      <w:r w:rsidR="00BA4E60" w:rsidRPr="007F2F8F">
        <w:rPr>
          <w:rFonts w:cs="Simplified Arabic"/>
          <w:sz w:val="30"/>
          <w:szCs w:val="30"/>
          <w:lang w:bidi="ar-MA"/>
        </w:rPr>
        <w:t>%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 و"</w:t>
      </w:r>
      <w:r w:rsidR="00A76EE7">
        <w:rPr>
          <w:rFonts w:cs="Simplified Arabic" w:hint="cs"/>
          <w:sz w:val="30"/>
          <w:szCs w:val="30"/>
          <w:rtl/>
          <w:lang w:bidi="ar-MA"/>
        </w:rPr>
        <w:t>اللحوم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" ب </w:t>
      </w:r>
      <w:r w:rsidR="00594542">
        <w:rPr>
          <w:rFonts w:cs="Simplified Arabic"/>
          <w:sz w:val="30"/>
          <w:szCs w:val="30"/>
          <w:lang w:bidi="ar-MA"/>
        </w:rPr>
        <w:t>1,</w:t>
      </w:r>
      <w:r w:rsidR="00A76EE7">
        <w:rPr>
          <w:rFonts w:cs="Simplified Arabic"/>
          <w:sz w:val="30"/>
          <w:szCs w:val="30"/>
          <w:lang w:bidi="ar-MA"/>
        </w:rPr>
        <w:t>3</w:t>
      </w:r>
      <w:r w:rsidR="00594542">
        <w:rPr>
          <w:rFonts w:cs="Simplified Arabic"/>
          <w:sz w:val="30"/>
          <w:szCs w:val="30"/>
          <w:lang w:bidi="ar-MA"/>
        </w:rPr>
        <w:t>%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 و"</w:t>
      </w:r>
      <w:r w:rsidR="00A76EE7">
        <w:rPr>
          <w:rFonts w:cs="Simplified Arabic" w:hint="cs"/>
          <w:sz w:val="30"/>
          <w:szCs w:val="30"/>
          <w:rtl/>
          <w:lang w:bidi="ar-MA"/>
        </w:rPr>
        <w:t>الزيوت والذهنيات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" ب </w:t>
      </w:r>
      <w:r w:rsidR="00594542">
        <w:rPr>
          <w:rFonts w:cs="Simplified Arabic"/>
          <w:sz w:val="30"/>
          <w:szCs w:val="30"/>
          <w:lang w:bidi="ar-MA"/>
        </w:rPr>
        <w:t>0,</w:t>
      </w:r>
      <w:r w:rsidR="00AB27C7">
        <w:rPr>
          <w:rFonts w:cs="Simplified Arabic"/>
          <w:sz w:val="30"/>
          <w:szCs w:val="30"/>
          <w:lang w:bidi="ar-MA"/>
        </w:rPr>
        <w:t>5</w:t>
      </w:r>
      <w:r w:rsidR="00594542">
        <w:rPr>
          <w:rFonts w:cs="Simplified Arabic"/>
          <w:sz w:val="30"/>
          <w:szCs w:val="30"/>
          <w:lang w:bidi="ar-MA"/>
        </w:rPr>
        <w:t>%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>،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وعلى العكس من </w:t>
      </w:r>
      <w:r w:rsidR="003846CD" w:rsidRPr="007F2F8F">
        <w:rPr>
          <w:rFonts w:cs="Simplified Arabic"/>
          <w:sz w:val="30"/>
          <w:szCs w:val="30"/>
          <w:rtl/>
          <w:lang w:bidi="ar-MA"/>
        </w:rPr>
        <w:t>ذ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لك</w:t>
      </w:r>
      <w:r w:rsidR="0010699F">
        <w:rPr>
          <w:rFonts w:cs="Simplified Arabic" w:hint="cs"/>
          <w:sz w:val="30"/>
          <w:szCs w:val="30"/>
          <w:rtl/>
          <w:lang w:bidi="ar-MA"/>
        </w:rPr>
        <w:t>،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753634" w:rsidRPr="007F2F8F">
        <w:rPr>
          <w:rFonts w:cs="Simplified Arabic" w:hint="cs"/>
          <w:sz w:val="30"/>
          <w:szCs w:val="30"/>
          <w:rtl/>
          <w:lang w:bidi="ar-MA"/>
        </w:rPr>
        <w:t>انخفض</w:t>
      </w:r>
      <w:r w:rsidR="00594542">
        <w:rPr>
          <w:rFonts w:cs="Simplified Arabic" w:hint="cs"/>
          <w:sz w:val="30"/>
          <w:szCs w:val="30"/>
          <w:rtl/>
          <w:lang w:bidi="ar-MA"/>
        </w:rPr>
        <w:t>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أثمان 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753634">
        <w:rPr>
          <w:rFonts w:cs="Simplified Arabic" w:hint="cs"/>
          <w:sz w:val="30"/>
          <w:szCs w:val="30"/>
          <w:rtl/>
          <w:lang w:bidi="ar-MA"/>
        </w:rPr>
        <w:t>الفواكه</w:t>
      </w:r>
      <w:r w:rsidR="00594542">
        <w:rPr>
          <w:rFonts w:cs="Simplified Arabic" w:hint="cs"/>
          <w:sz w:val="30"/>
          <w:szCs w:val="30"/>
          <w:rtl/>
          <w:lang w:bidi="ar-MA"/>
        </w:rPr>
        <w:t>"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753634">
        <w:rPr>
          <w:rFonts w:cs="Simplified Arabic"/>
          <w:sz w:val="30"/>
          <w:szCs w:val="30"/>
          <w:lang w:bidi="ar-MA"/>
        </w:rPr>
        <w:t>2,4</w:t>
      </w:r>
      <w:r w:rsidR="00E4318A">
        <w:rPr>
          <w:rFonts w:cs="Simplified Arabic"/>
          <w:sz w:val="30"/>
          <w:szCs w:val="30"/>
          <w:lang w:bidi="ar-MA"/>
        </w:rPr>
        <w:t>%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94542">
        <w:rPr>
          <w:rFonts w:cs="Simplified Arabic" w:hint="cs"/>
          <w:sz w:val="30"/>
          <w:szCs w:val="30"/>
          <w:rtl/>
          <w:lang w:bidi="ar-MA"/>
        </w:rPr>
        <w:t>و"</w:t>
      </w:r>
      <w:r w:rsidR="00A76EE7">
        <w:rPr>
          <w:rFonts w:cs="Simplified Arabic" w:hint="cs"/>
          <w:sz w:val="30"/>
          <w:szCs w:val="30"/>
          <w:rtl/>
          <w:lang w:bidi="ar-MA"/>
        </w:rPr>
        <w:t>القهوة والشاي والكاكاو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" ب </w:t>
      </w:r>
      <w:r w:rsidR="00594542">
        <w:rPr>
          <w:rFonts w:cs="Simplified Arabic"/>
          <w:sz w:val="30"/>
          <w:szCs w:val="30"/>
          <w:lang w:bidi="ar-MA"/>
        </w:rPr>
        <w:t>0,</w:t>
      </w:r>
      <w:r w:rsidR="00753634">
        <w:rPr>
          <w:rFonts w:cs="Simplified Arabic"/>
          <w:sz w:val="30"/>
          <w:szCs w:val="30"/>
          <w:lang w:bidi="ar-MA"/>
        </w:rPr>
        <w:t>4</w:t>
      </w:r>
      <w:r w:rsidR="00594542">
        <w:rPr>
          <w:rFonts w:cs="Simplified Arabic"/>
          <w:sz w:val="30"/>
          <w:szCs w:val="30"/>
          <w:lang w:bidi="ar-MA"/>
        </w:rPr>
        <w:t>%</w:t>
      </w:r>
      <w:r w:rsidR="00BA4E60" w:rsidRPr="007F2F8F">
        <w:rPr>
          <w:rFonts w:cs="Simplified Arabic"/>
          <w:sz w:val="30"/>
          <w:szCs w:val="30"/>
          <w:rtl/>
          <w:lang w:bidi="ar-MA"/>
        </w:rPr>
        <w:t>.</w:t>
      </w:r>
      <w:r w:rsidR="00BA4E60" w:rsidRPr="007F2F8F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/>
          <w:b/>
          <w:bCs/>
          <w:sz w:val="30"/>
          <w:szCs w:val="30"/>
          <w:rtl/>
          <w:lang w:bidi="ar-MA"/>
        </w:rPr>
        <w:t xml:space="preserve"> </w:t>
      </w:r>
    </w:p>
    <w:p w:rsidR="007F2F8F" w:rsidRPr="00581787" w:rsidRDefault="007F2F8F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</w:p>
    <w:p w:rsidR="00A22E37" w:rsidRPr="007F2F8F" w:rsidRDefault="00A22E37" w:rsidP="007B1F59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</w:t>
      </w:r>
      <w:r w:rsidR="00E808EE">
        <w:rPr>
          <w:rFonts w:cs="Simplified Arabic" w:hint="cs"/>
          <w:sz w:val="30"/>
          <w:szCs w:val="30"/>
          <w:rtl/>
          <w:lang w:bidi="ar-MA"/>
        </w:rPr>
        <w:t>ا</w:t>
      </w:r>
      <w:r w:rsidR="00FC5AB8">
        <w:rPr>
          <w:rFonts w:cs="Simplified Arabic" w:hint="cs"/>
          <w:sz w:val="30"/>
          <w:szCs w:val="30"/>
          <w:rtl/>
          <w:lang w:bidi="ar-MA"/>
        </w:rPr>
        <w:t xml:space="preserve">رتفاعا ب </w:t>
      </w:r>
      <w:r w:rsidR="00FC5AB8">
        <w:rPr>
          <w:rFonts w:cs="Simplified Arabic"/>
          <w:sz w:val="30"/>
          <w:szCs w:val="30"/>
          <w:lang w:bidi="ar-MA"/>
        </w:rPr>
        <w:t>0,</w:t>
      </w:r>
      <w:r w:rsidR="007B1F59">
        <w:rPr>
          <w:rFonts w:cs="Simplified Arabic"/>
          <w:sz w:val="30"/>
          <w:szCs w:val="30"/>
          <w:lang w:bidi="ar-MA"/>
        </w:rPr>
        <w:t>3</w:t>
      </w:r>
      <w:r w:rsidR="00FC5AB8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 خلال شهر دجنبر</w:t>
      </w:r>
      <w:r w:rsidRPr="007F2F8F">
        <w:rPr>
          <w:rFonts w:cs="Simplified Arabic"/>
          <w:sz w:val="30"/>
          <w:szCs w:val="30"/>
          <w:lang w:bidi="ar-MA"/>
        </w:rPr>
        <w:t>201</w:t>
      </w:r>
      <w:r w:rsidR="00753634">
        <w:rPr>
          <w:rFonts w:cs="Simplified Arabic"/>
          <w:sz w:val="30"/>
          <w:szCs w:val="30"/>
          <w:lang w:bidi="ar-MA"/>
        </w:rPr>
        <w:t>7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مقارنة مع الشهر</w:t>
      </w:r>
      <w:r w:rsidR="00D827DB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السابق</w:t>
      </w:r>
      <w:r w:rsidR="00680419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BA4E60" w:rsidP="007F2F8F">
      <w:pPr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</w:p>
    <w:p w:rsidR="00513735" w:rsidRPr="007F2F8F" w:rsidRDefault="007C6286" w:rsidP="0012711D">
      <w:pPr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متوسط الرقم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753634">
        <w:rPr>
          <w:rFonts w:cs="Simplified Arabic"/>
          <w:b/>
          <w:bCs/>
          <w:color w:val="0000FF"/>
          <w:sz w:val="30"/>
          <w:szCs w:val="30"/>
          <w:lang w:bidi="ar-MA"/>
        </w:rPr>
        <w:t>0,7</w:t>
      </w:r>
      <w:r w:rsidR="0088652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ومؤشر التضخم الأساسي</w:t>
      </w:r>
      <w:r w:rsidR="00A22E3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</w:t>
      </w:r>
      <w:r w:rsidR="007F2F8F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A00D9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931E4D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787DD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12711D">
        <w:rPr>
          <w:rFonts w:cs="Simplified Arabic"/>
          <w:b/>
          <w:bCs/>
          <w:color w:val="0000FF"/>
          <w:sz w:val="30"/>
          <w:szCs w:val="30"/>
          <w:lang w:bidi="ar-MA"/>
        </w:rPr>
        <w:t>0</w:t>
      </w:r>
      <w:r w:rsidR="009E2EA0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 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</w:p>
    <w:p w:rsidR="004F6E6C" w:rsidRPr="007F2F8F" w:rsidRDefault="00BA4E60" w:rsidP="00753634">
      <w:pPr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خلال سنة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753634">
        <w:rPr>
          <w:rFonts w:cs="Simplified Arabic"/>
          <w:sz w:val="30"/>
          <w:szCs w:val="30"/>
          <w:lang w:bidi="ar-MA"/>
        </w:rPr>
        <w:t>7</w:t>
      </w:r>
      <w:r w:rsidR="00C231F4"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سجل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السنوي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قدره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753634">
        <w:rPr>
          <w:rFonts w:cs="Simplified Arabic"/>
          <w:sz w:val="30"/>
          <w:szCs w:val="30"/>
          <w:lang w:bidi="ar-MA"/>
        </w:rPr>
        <w:t>0,7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بالمقارنة مع سنة </w:t>
      </w:r>
      <w:r w:rsidR="00D00BB9">
        <w:rPr>
          <w:rFonts w:cs="Simplified Arabic"/>
          <w:sz w:val="30"/>
          <w:szCs w:val="30"/>
          <w:lang w:bidi="ar-MA"/>
        </w:rPr>
        <w:t>201</w:t>
      </w:r>
      <w:r w:rsidR="00753634">
        <w:rPr>
          <w:rFonts w:cs="Simplified Arabic"/>
          <w:sz w:val="30"/>
          <w:szCs w:val="30"/>
          <w:lang w:bidi="ar-MA"/>
        </w:rPr>
        <w:t>6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وتعود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هذه الزيادة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إلى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ارتفاع </w:t>
      </w:r>
      <w:r w:rsidRPr="007F2F8F">
        <w:rPr>
          <w:rFonts w:cs="Simplified Arabic" w:hint="cs"/>
          <w:sz w:val="30"/>
          <w:szCs w:val="30"/>
          <w:rtl/>
          <w:lang w:bidi="ar-MA"/>
        </w:rPr>
        <w:t>المواد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الغذائية ب </w:t>
      </w:r>
      <w:r w:rsidR="00753634">
        <w:rPr>
          <w:rFonts w:cs="Simplified Arabic"/>
          <w:sz w:val="30"/>
          <w:szCs w:val="30"/>
          <w:lang w:bidi="ar-MA"/>
        </w:rPr>
        <w:t>0,1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 w:hint="cs"/>
          <w:sz w:val="30"/>
          <w:szCs w:val="30"/>
          <w:rtl/>
          <w:lang w:bidi="ar-MA"/>
        </w:rPr>
        <w:t>و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</w:t>
      </w:r>
      <w:r w:rsidR="00D00BB9">
        <w:rPr>
          <w:rFonts w:cs="Simplified Arabic" w:hint="cs"/>
          <w:sz w:val="30"/>
          <w:szCs w:val="30"/>
          <w:rtl/>
          <w:lang w:bidi="ar-MA"/>
        </w:rPr>
        <w:t>غير</w:t>
      </w:r>
      <w:r w:rsidR="00D00BB9"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753634">
        <w:rPr>
          <w:rFonts w:cs="Simplified Arabic"/>
          <w:sz w:val="30"/>
          <w:szCs w:val="30"/>
          <w:lang w:bidi="ar-MA"/>
        </w:rPr>
        <w:t>1,4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.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464F92" w:rsidRPr="007F2F8F">
        <w:rPr>
          <w:rFonts w:cs="Simplified Arabic" w:hint="cs"/>
          <w:sz w:val="30"/>
          <w:szCs w:val="30"/>
          <w:rtl/>
          <w:lang w:bidi="ar-MA"/>
        </w:rPr>
        <w:t>تراوحت نسب التغير للمواد غير الغذائية مابين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انخفاض قدره </w:t>
      </w:r>
      <w:r w:rsidR="006D3C4E">
        <w:rPr>
          <w:rFonts w:cs="Simplified Arabic"/>
          <w:sz w:val="30"/>
          <w:szCs w:val="30"/>
          <w:lang w:bidi="ar-MA"/>
        </w:rPr>
        <w:t>0</w:t>
      </w:r>
      <w:r w:rsidR="00D00BB9">
        <w:rPr>
          <w:rFonts w:cs="Simplified Arabic"/>
          <w:sz w:val="30"/>
          <w:szCs w:val="30"/>
          <w:lang w:bidi="ar-MA"/>
        </w:rPr>
        <w:t>,2</w:t>
      </w:r>
      <w:r w:rsidR="004F6E6C" w:rsidRPr="007F2F8F">
        <w:rPr>
          <w:rFonts w:cs="Simplified Arabic"/>
          <w:sz w:val="30"/>
          <w:szCs w:val="30"/>
          <w:lang w:bidi="ar-MA"/>
        </w:rPr>
        <w:t>%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بالنسبة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 "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ا</w:t>
      </w:r>
      <w:r w:rsidR="006D3C4E">
        <w:rPr>
          <w:rFonts w:cs="Simplified Arabic" w:hint="cs"/>
          <w:sz w:val="30"/>
          <w:szCs w:val="30"/>
          <w:rtl/>
          <w:lang w:bidi="ar-MA"/>
        </w:rPr>
        <w:t>لمواصلات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 و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>ارتفاع</w:t>
      </w:r>
      <w:r w:rsidR="004F6E6C" w:rsidRPr="007F2F8F">
        <w:rPr>
          <w:rFonts w:cs="Simplified Arabic" w:hint="cs"/>
          <w:sz w:val="30"/>
          <w:szCs w:val="30"/>
          <w:lang w:bidi="ar-MA"/>
        </w:rPr>
        <w:t xml:space="preserve"> 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قدره </w:t>
      </w:r>
      <w:r w:rsidR="00D60821" w:rsidRPr="007F2F8F">
        <w:rPr>
          <w:rFonts w:cs="Simplified Arabic"/>
          <w:sz w:val="30"/>
          <w:szCs w:val="30"/>
          <w:lang w:bidi="ar-MA"/>
        </w:rPr>
        <w:t xml:space="preserve"> </w:t>
      </w:r>
      <w:r w:rsidR="00753634">
        <w:rPr>
          <w:rFonts w:cs="Simplified Arabic"/>
          <w:sz w:val="30"/>
          <w:szCs w:val="30"/>
          <w:lang w:bidi="ar-MA"/>
        </w:rPr>
        <w:t>3,2</w:t>
      </w:r>
      <w:r w:rsidR="00D60821" w:rsidRPr="007F2F8F">
        <w:rPr>
          <w:rFonts w:cs="Simplified Arabic"/>
          <w:sz w:val="30"/>
          <w:szCs w:val="30"/>
          <w:lang w:bidi="ar-MA"/>
        </w:rPr>
        <w:t>%</w:t>
      </w:r>
      <w:r w:rsidR="006D3C4E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بالنسبة ل "</w:t>
      </w:r>
      <w:r w:rsidR="006D3C4E">
        <w:rPr>
          <w:rFonts w:cs="Simplified Arabic" w:hint="cs"/>
          <w:sz w:val="30"/>
          <w:szCs w:val="30"/>
          <w:rtl/>
          <w:lang w:bidi="ar-MA"/>
        </w:rPr>
        <w:t>المطاعم والفنادق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".</w:t>
      </w:r>
      <w:r w:rsidR="004F6E6C" w:rsidRPr="007F2F8F">
        <w:rPr>
          <w:rFonts w:cs="Simplified Arabic"/>
          <w:sz w:val="30"/>
          <w:szCs w:val="30"/>
          <w:lang w:bidi="ar-MA"/>
        </w:rPr>
        <w:t xml:space="preserve">  </w:t>
      </w:r>
    </w:p>
    <w:p w:rsidR="0088652B" w:rsidRPr="007F2F8F" w:rsidRDefault="0088652B" w:rsidP="0012711D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A00D9B" w:rsidRPr="007F2F8F">
        <w:rPr>
          <w:rFonts w:cs="Simplified Arabic" w:hint="cs"/>
          <w:sz w:val="30"/>
          <w:szCs w:val="30"/>
          <w:rtl/>
          <w:lang w:bidi="ar-MA"/>
        </w:rPr>
        <w:t>على هذا الأساس، يكون مؤشر التضخم الأساسي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، قد عرف ارتفاعا قدره </w:t>
      </w:r>
      <w:r w:rsidR="001222A6">
        <w:rPr>
          <w:rFonts w:cs="Simplified Arabic"/>
          <w:sz w:val="30"/>
          <w:szCs w:val="30"/>
          <w:lang w:bidi="ar-MA"/>
        </w:rPr>
        <w:t>1</w:t>
      </w:r>
      <w:r w:rsidR="00787DDB" w:rsidRPr="007F2F8F">
        <w:rPr>
          <w:rFonts w:cs="Simplified Arabic"/>
          <w:sz w:val="30"/>
          <w:szCs w:val="30"/>
          <w:lang w:bidi="ar-MA"/>
        </w:rPr>
        <w:t>,</w:t>
      </w:r>
      <w:r w:rsidR="0012711D">
        <w:rPr>
          <w:rFonts w:cs="Simplified Arabic"/>
          <w:sz w:val="30"/>
          <w:szCs w:val="30"/>
          <w:lang w:bidi="ar-MA"/>
        </w:rPr>
        <w:t>0</w:t>
      </w:r>
      <w:r w:rsidR="008F7F42"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خلال سنة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753634">
        <w:rPr>
          <w:rFonts w:cs="Simplified Arabic"/>
          <w:sz w:val="30"/>
          <w:szCs w:val="30"/>
          <w:lang w:bidi="ar-MA"/>
        </w:rPr>
        <w:t>7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مقارنة بسنة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753634">
        <w:rPr>
          <w:rFonts w:cs="Simplified Arabic"/>
          <w:sz w:val="30"/>
          <w:szCs w:val="30"/>
          <w:lang w:bidi="ar-MA"/>
        </w:rPr>
        <w:t>6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88652B" w:rsidRPr="007F2F8F" w:rsidRDefault="0088652B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88652B" w:rsidP="00AA564F">
      <w:pPr>
        <w:spacing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rtl/>
          <w:lang w:bidi="ar-MA"/>
        </w:rPr>
      </w:pPr>
      <w:r w:rsidRPr="007F2F8F">
        <w:rPr>
          <w:rFonts w:cs="Times New Roman" w:hint="cs"/>
          <w:sz w:val="30"/>
          <w:szCs w:val="30"/>
          <w:rtl/>
          <w:lang w:bidi="ar-MA"/>
        </w:rPr>
        <w:t>ا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هم ارتفاع </w:t>
      </w:r>
      <w:r w:rsidR="00141B86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753634" w:rsidRPr="00753634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العيون</w:t>
      </w:r>
      <w:r w:rsidR="00936DBA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936DBA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انخفاض طفيف بمكناس</w:t>
      </w:r>
      <w:r w:rsidR="00936DBA">
        <w:rPr>
          <w:rFonts w:cs="Simplified Arabic" w:hint="cs"/>
          <w:b/>
          <w:bCs/>
          <w:color w:val="0000FF"/>
          <w:sz w:val="30"/>
          <w:szCs w:val="30"/>
          <w:lang w:bidi="ar-MA"/>
        </w:rPr>
        <w:t xml:space="preserve">  </w:t>
      </w:r>
    </w:p>
    <w:p w:rsidR="00BA4E60" w:rsidRPr="007F2F8F" w:rsidRDefault="00A22E37" w:rsidP="00AA5854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sz w:val="28"/>
          <w:szCs w:val="28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أما على مستوى المدن، فقد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سجل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الرقم الاستدلالي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خلال 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753634">
        <w:rPr>
          <w:rFonts w:cs="Simplified Arabic"/>
          <w:sz w:val="30"/>
          <w:szCs w:val="30"/>
          <w:lang w:bidi="ar-MA"/>
        </w:rPr>
        <w:t>7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أهم</w:t>
      </w:r>
      <w:r w:rsidR="00966B1F" w:rsidRPr="007F2F8F">
        <w:rPr>
          <w:rFonts w:cs="Simplified Arabic" w:hint="cs"/>
          <w:sz w:val="30"/>
          <w:szCs w:val="30"/>
          <w:rtl/>
        </w:rPr>
        <w:t xml:space="preserve"> </w:t>
      </w:r>
      <w:r w:rsidR="001F0CDC" w:rsidRPr="007F2F8F">
        <w:rPr>
          <w:rFonts w:cs="Simplified Arabic" w:hint="cs"/>
          <w:sz w:val="30"/>
          <w:szCs w:val="30"/>
          <w:rtl/>
        </w:rPr>
        <w:t>الإ</w:t>
      </w:r>
      <w:r w:rsidR="00FD6398">
        <w:rPr>
          <w:rFonts w:cs="Simplified Arabic" w:hint="cs"/>
          <w:sz w:val="30"/>
          <w:szCs w:val="30"/>
          <w:rtl/>
        </w:rPr>
        <w:t>رتفاعا</w:t>
      </w:r>
      <w:r w:rsidR="006D3C4E">
        <w:rPr>
          <w:rFonts w:cs="Simplified Arabic" w:hint="cs"/>
          <w:sz w:val="30"/>
          <w:szCs w:val="30"/>
          <w:rtl/>
        </w:rPr>
        <w:t>ت</w:t>
      </w:r>
      <w:r w:rsidR="001F0CDC" w:rsidRPr="007F2F8F">
        <w:rPr>
          <w:rFonts w:cs="Simplified Arabic" w:hint="cs"/>
          <w:sz w:val="30"/>
          <w:szCs w:val="30"/>
          <w:rtl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</w:rPr>
        <w:t>في</w:t>
      </w:r>
      <w:r w:rsidR="00FD6398">
        <w:rPr>
          <w:rFonts w:cs="Simplified Arabic" w:hint="cs"/>
          <w:sz w:val="30"/>
          <w:szCs w:val="30"/>
          <w:rtl/>
        </w:rPr>
        <w:t xml:space="preserve"> </w:t>
      </w:r>
      <w:r w:rsidR="00753634">
        <w:rPr>
          <w:rFonts w:cs="Simplified Arabic" w:hint="cs"/>
          <w:sz w:val="30"/>
          <w:szCs w:val="30"/>
          <w:rtl/>
          <w:lang w:bidi="ar-MA"/>
        </w:rPr>
        <w:t>العيون</w:t>
      </w:r>
      <w:r w:rsidR="00753634">
        <w:rPr>
          <w:rFonts w:cs="Simplified Arabic"/>
          <w:sz w:val="30"/>
          <w:szCs w:val="30"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</w:rPr>
        <w:t xml:space="preserve">ب </w:t>
      </w:r>
      <w:r w:rsidR="00FD6398">
        <w:rPr>
          <w:rFonts w:cs="Simplified Arabic"/>
          <w:sz w:val="30"/>
          <w:szCs w:val="30"/>
          <w:lang w:bidi="ar-MA"/>
        </w:rPr>
        <w:t>2,</w:t>
      </w:r>
      <w:r w:rsidR="00753634">
        <w:rPr>
          <w:rFonts w:cs="Simplified Arabic"/>
          <w:sz w:val="30"/>
          <w:szCs w:val="30"/>
          <w:lang w:bidi="ar-MA"/>
        </w:rPr>
        <w:t>1</w:t>
      </w:r>
      <w:r w:rsidR="00FD6398">
        <w:rPr>
          <w:rFonts w:cs="Simplified Arabic"/>
          <w:sz w:val="30"/>
          <w:szCs w:val="30"/>
          <w:lang w:bidi="ar-MA"/>
        </w:rPr>
        <w:t>%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>و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في </w:t>
      </w:r>
      <w:r w:rsidR="00753634" w:rsidRPr="00753634">
        <w:rPr>
          <w:rFonts w:cs="Simplified Arabic"/>
          <w:sz w:val="30"/>
          <w:szCs w:val="30"/>
          <w:rtl/>
        </w:rPr>
        <w:t>تطوان</w:t>
      </w:r>
      <w:r w:rsidR="00753634" w:rsidRPr="00753634">
        <w:rPr>
          <w:rFonts w:cs="Simplified Arabic" w:hint="cs"/>
          <w:sz w:val="30"/>
          <w:szCs w:val="30"/>
          <w:rtl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 xml:space="preserve">ب </w:t>
      </w:r>
      <w:r w:rsidR="00482F2D" w:rsidRPr="007F2F8F">
        <w:rPr>
          <w:rFonts w:cs="Simplified Arabic"/>
          <w:sz w:val="30"/>
          <w:szCs w:val="30"/>
        </w:rPr>
        <w:t xml:space="preserve"> </w:t>
      </w:r>
      <w:r w:rsidR="00753634">
        <w:rPr>
          <w:rFonts w:cs="Simplified Arabic"/>
          <w:sz w:val="30"/>
          <w:szCs w:val="30"/>
          <w:lang w:bidi="ar-MA"/>
        </w:rPr>
        <w:t>1,4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وفي</w:t>
      </w:r>
      <w:r w:rsidR="00753634" w:rsidRPr="00753634">
        <w:rPr>
          <w:rFonts w:ascii="Arial" w:hAnsi="Arial" w:cs="Arial"/>
          <w:rtl/>
        </w:rPr>
        <w:t xml:space="preserve"> </w:t>
      </w:r>
      <w:r w:rsidR="00753634" w:rsidRPr="00753634">
        <w:rPr>
          <w:rFonts w:cs="Simplified Arabic"/>
          <w:sz w:val="30"/>
          <w:szCs w:val="30"/>
          <w:rtl/>
        </w:rPr>
        <w:t>مراكش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753634">
        <w:rPr>
          <w:rFonts w:cs="Simplified Arabic" w:hint="cs"/>
          <w:sz w:val="30"/>
          <w:szCs w:val="30"/>
          <w:rtl/>
          <w:lang w:bidi="ar-MA"/>
        </w:rPr>
        <w:t>وآسفي</w:t>
      </w:r>
      <w:r w:rsidR="0075363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753634">
        <w:rPr>
          <w:rFonts w:cs="Simplified Arabic"/>
          <w:sz w:val="30"/>
          <w:szCs w:val="30"/>
          <w:lang w:bidi="ar-MA"/>
        </w:rPr>
        <w:t>1,1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وفي </w:t>
      </w:r>
      <w:r w:rsidR="00753634" w:rsidRPr="00753634">
        <w:rPr>
          <w:rFonts w:cs="Simplified Arabic"/>
          <w:sz w:val="30"/>
          <w:szCs w:val="30"/>
          <w:rtl/>
        </w:rPr>
        <w:t xml:space="preserve">فاس </w:t>
      </w:r>
      <w:r w:rsidR="00FD6398">
        <w:rPr>
          <w:rFonts w:cs="Simplified Arabic" w:hint="cs"/>
          <w:sz w:val="30"/>
          <w:szCs w:val="30"/>
          <w:rtl/>
          <w:lang w:bidi="ar-MA"/>
        </w:rPr>
        <w:t>و</w:t>
      </w:r>
      <w:r w:rsidR="00753634" w:rsidRPr="00753634">
        <w:rPr>
          <w:rFonts w:ascii="Arial" w:hAnsi="Arial" w:cs="Arial"/>
          <w:rtl/>
        </w:rPr>
        <w:t xml:space="preserve"> </w:t>
      </w:r>
      <w:r w:rsidR="00753634" w:rsidRPr="00753634">
        <w:rPr>
          <w:rFonts w:cs="Simplified Arabic"/>
          <w:sz w:val="30"/>
          <w:szCs w:val="30"/>
          <w:rtl/>
        </w:rPr>
        <w:t>بني ملال</w:t>
      </w:r>
      <w:r w:rsidR="00FD6398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2D2D55">
        <w:rPr>
          <w:rFonts w:cs="Simplified Arabic"/>
          <w:sz w:val="30"/>
          <w:szCs w:val="30"/>
          <w:lang w:val="en-US" w:bidi="ar-MA"/>
        </w:rPr>
        <w:t>1,</w:t>
      </w:r>
      <w:r w:rsidR="00753634">
        <w:rPr>
          <w:rFonts w:cs="Simplified Arabic"/>
          <w:sz w:val="30"/>
          <w:szCs w:val="30"/>
          <w:lang w:val="en-US" w:bidi="ar-MA"/>
        </w:rPr>
        <w:t>0</w:t>
      </w:r>
      <w:r w:rsidR="00BE1FCD">
        <w:rPr>
          <w:rFonts w:cs="Simplified Arabic"/>
          <w:sz w:val="30"/>
          <w:szCs w:val="30"/>
          <w:lang w:bidi="ar-MA"/>
        </w:rPr>
        <w:t>%</w:t>
      </w:r>
      <w:r w:rsidR="00DF2001" w:rsidRPr="00DF2001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F2001">
        <w:rPr>
          <w:rFonts w:cs="Simplified Arabic" w:hint="cs"/>
          <w:sz w:val="30"/>
          <w:szCs w:val="30"/>
          <w:rtl/>
          <w:lang w:bidi="ar-MA"/>
        </w:rPr>
        <w:t xml:space="preserve">وفي </w:t>
      </w:r>
      <w:r w:rsidR="00DF2001" w:rsidRPr="00DF2001">
        <w:rPr>
          <w:rFonts w:cs="Simplified Arabic"/>
          <w:sz w:val="30"/>
          <w:szCs w:val="30"/>
          <w:rtl/>
        </w:rPr>
        <w:t>الدار البيضاء</w:t>
      </w:r>
      <w:r w:rsidR="00DF2001" w:rsidRPr="00DF2001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F2001">
        <w:rPr>
          <w:rFonts w:cs="Simplified Arabic" w:hint="cs"/>
          <w:sz w:val="30"/>
          <w:szCs w:val="30"/>
          <w:rtl/>
          <w:lang w:bidi="ar-MA"/>
        </w:rPr>
        <w:t>و</w:t>
      </w:r>
      <w:r w:rsidR="00DF2001" w:rsidRPr="00DF2001">
        <w:rPr>
          <w:rFonts w:cs="Simplified Arabic"/>
          <w:sz w:val="30"/>
          <w:szCs w:val="30"/>
          <w:rtl/>
        </w:rPr>
        <w:t>طنجة</w:t>
      </w:r>
      <w:r w:rsidR="00DF2001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DF2001">
        <w:rPr>
          <w:rFonts w:cs="Simplified Arabic"/>
          <w:sz w:val="30"/>
          <w:szCs w:val="30"/>
          <w:lang w:val="en-US" w:bidi="ar-MA"/>
        </w:rPr>
        <w:t>0,9</w:t>
      </w:r>
      <w:r w:rsidR="00DF2001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،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>بينما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سجلت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أقل الارتفاعات</w:t>
      </w:r>
      <w:r w:rsidR="00A55F90" w:rsidRPr="007F2F8F">
        <w:rPr>
          <w:rFonts w:cs="Simplified Arabic" w:hint="cs"/>
          <w:sz w:val="30"/>
          <w:szCs w:val="30"/>
          <w:rtl/>
        </w:rPr>
        <w:t xml:space="preserve"> في</w:t>
      </w:r>
      <w:r w:rsidR="00194EA6">
        <w:rPr>
          <w:rFonts w:cs="Simplified Arabic" w:hint="cs"/>
          <w:sz w:val="30"/>
          <w:szCs w:val="30"/>
          <w:rtl/>
        </w:rPr>
        <w:t xml:space="preserve"> </w:t>
      </w:r>
      <w:r w:rsidR="00753634" w:rsidRPr="00753634">
        <w:rPr>
          <w:rFonts w:cs="Simplified Arabic"/>
          <w:sz w:val="30"/>
          <w:szCs w:val="30"/>
          <w:rtl/>
        </w:rPr>
        <w:t>أكادير</w:t>
      </w:r>
      <w:r w:rsidR="00753634" w:rsidRPr="00753634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753634">
        <w:rPr>
          <w:rFonts w:cs="Simplified Arabic"/>
          <w:sz w:val="30"/>
          <w:szCs w:val="30"/>
          <w:lang w:bidi="ar-MA"/>
        </w:rPr>
        <w:t>0,3</w:t>
      </w:r>
      <w:r w:rsidR="00A55F90" w:rsidRPr="007F2F8F">
        <w:rPr>
          <w:rFonts w:cs="Simplified Arabic"/>
          <w:sz w:val="30"/>
          <w:szCs w:val="30"/>
          <w:lang w:bidi="ar-MA"/>
        </w:rPr>
        <w:t xml:space="preserve">% </w:t>
      </w:r>
      <w:r w:rsidR="000D759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F441B">
        <w:rPr>
          <w:rFonts w:cs="Simplified Arabic" w:hint="cs"/>
          <w:sz w:val="30"/>
          <w:szCs w:val="30"/>
          <w:rtl/>
          <w:lang w:bidi="ar-MA"/>
        </w:rPr>
        <w:t>و</w:t>
      </w:r>
      <w:r w:rsidR="00753634" w:rsidRPr="007F2F8F">
        <w:rPr>
          <w:rFonts w:cs="Simplified Arabic" w:hint="cs"/>
          <w:sz w:val="30"/>
          <w:szCs w:val="30"/>
          <w:rtl/>
        </w:rPr>
        <w:t>في</w:t>
      </w:r>
      <w:r w:rsidR="00753634">
        <w:rPr>
          <w:rFonts w:cs="Simplified Arabic" w:hint="cs"/>
          <w:sz w:val="30"/>
          <w:szCs w:val="30"/>
          <w:rtl/>
        </w:rPr>
        <w:t xml:space="preserve"> </w:t>
      </w:r>
      <w:r w:rsidR="00FD6398">
        <w:rPr>
          <w:rFonts w:cs="Simplified Arabic" w:hint="cs"/>
          <w:sz w:val="30"/>
          <w:szCs w:val="30"/>
          <w:rtl/>
          <w:lang w:bidi="ar-MA"/>
        </w:rPr>
        <w:t>القنيطرة</w:t>
      </w:r>
      <w:r w:rsidR="00866345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80345">
        <w:rPr>
          <w:rFonts w:cs="Simplified Arabic" w:hint="cs"/>
          <w:sz w:val="30"/>
          <w:szCs w:val="30"/>
          <w:rtl/>
          <w:lang w:bidi="ar-MA"/>
        </w:rPr>
        <w:t>و</w:t>
      </w:r>
      <w:r w:rsidR="00A80345" w:rsidRPr="00A80345">
        <w:rPr>
          <w:rFonts w:cs="Simplified Arabic"/>
          <w:sz w:val="30"/>
          <w:szCs w:val="30"/>
          <w:rtl/>
        </w:rPr>
        <w:t>الحسيمة</w:t>
      </w:r>
      <w:r w:rsidR="00A80345" w:rsidRPr="00A8034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63711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80345">
        <w:rPr>
          <w:rFonts w:cs="Simplified Arabic"/>
          <w:sz w:val="30"/>
          <w:szCs w:val="30"/>
          <w:lang w:bidi="ar-MA"/>
        </w:rPr>
        <w:t>0,4</w:t>
      </w:r>
      <w:r w:rsidR="00A55F90" w:rsidRPr="007F2F8F">
        <w:rPr>
          <w:rFonts w:cs="Simplified Arabic"/>
          <w:sz w:val="30"/>
          <w:szCs w:val="30"/>
          <w:lang w:bidi="ar-MA"/>
        </w:rPr>
        <w:t>%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80345">
        <w:rPr>
          <w:rFonts w:cs="Simplified Arabic" w:hint="cs"/>
          <w:sz w:val="30"/>
          <w:szCs w:val="30"/>
          <w:rtl/>
          <w:lang w:bidi="ar-MA"/>
        </w:rPr>
        <w:t>و</w:t>
      </w:r>
      <w:r w:rsidR="00A80345" w:rsidRPr="007F2F8F">
        <w:rPr>
          <w:rFonts w:cs="Simplified Arabic" w:hint="cs"/>
          <w:sz w:val="30"/>
          <w:szCs w:val="30"/>
          <w:rtl/>
        </w:rPr>
        <w:t>في</w:t>
      </w:r>
      <w:r w:rsidR="00A80345">
        <w:rPr>
          <w:rFonts w:cs="Simplified Arabic" w:hint="cs"/>
          <w:sz w:val="30"/>
          <w:szCs w:val="30"/>
          <w:rtl/>
        </w:rPr>
        <w:t xml:space="preserve"> </w:t>
      </w:r>
      <w:r w:rsidR="00A80345" w:rsidRPr="00A80345">
        <w:rPr>
          <w:rFonts w:cs="Simplified Arabic"/>
          <w:sz w:val="30"/>
          <w:szCs w:val="30"/>
          <w:rtl/>
        </w:rPr>
        <w:t>الرباط</w:t>
      </w:r>
      <w:r w:rsidR="00A80345" w:rsidRPr="00A8034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A80345">
        <w:rPr>
          <w:rFonts w:cs="Simplified Arabic"/>
          <w:sz w:val="30"/>
          <w:szCs w:val="30"/>
          <w:lang w:bidi="ar-MA"/>
        </w:rPr>
        <w:t>.0,5</w:t>
      </w:r>
      <w:r w:rsidR="002D2D55">
        <w:rPr>
          <w:rFonts w:cs="Simplified Arabic"/>
          <w:sz w:val="30"/>
          <w:szCs w:val="30"/>
          <w:lang w:bidi="ar-MA"/>
        </w:rPr>
        <w:t>%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A5854">
        <w:rPr>
          <w:rFonts w:cs="Simplified Arabic" w:hint="cs"/>
          <w:sz w:val="30"/>
          <w:szCs w:val="30"/>
          <w:rtl/>
          <w:lang w:bidi="ar-MA"/>
        </w:rPr>
        <w:t xml:space="preserve">فيما </w:t>
      </w:r>
      <w:r w:rsidR="00A80345">
        <w:rPr>
          <w:rFonts w:cs="Simplified Arabic" w:hint="cs"/>
          <w:sz w:val="30"/>
          <w:szCs w:val="30"/>
          <w:rtl/>
          <w:lang w:bidi="ar-MA"/>
        </w:rPr>
        <w:t>سجل</w:t>
      </w:r>
      <w:r w:rsidR="00A80345">
        <w:rPr>
          <w:rFonts w:cs="Simplified Arabic"/>
          <w:sz w:val="30"/>
          <w:szCs w:val="30"/>
          <w:lang w:bidi="ar-MA"/>
        </w:rPr>
        <w:t xml:space="preserve"> </w:t>
      </w:r>
      <w:r w:rsidR="00A80345">
        <w:rPr>
          <w:rFonts w:cs="Simplified Arabic" w:hint="cs"/>
          <w:sz w:val="30"/>
          <w:szCs w:val="30"/>
          <w:rtl/>
          <w:lang w:bidi="ar-MA"/>
        </w:rPr>
        <w:t xml:space="preserve"> انخفاض في مكناس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A80345">
        <w:rPr>
          <w:rFonts w:cs="Simplified Arabic"/>
          <w:sz w:val="30"/>
          <w:szCs w:val="30"/>
          <w:lang w:bidi="ar-MA"/>
        </w:rPr>
        <w:t>0,1</w:t>
      </w:r>
      <w:r w:rsidR="002D2D55">
        <w:rPr>
          <w:rFonts w:cs="Simplified Arabic"/>
          <w:sz w:val="30"/>
          <w:szCs w:val="30"/>
          <w:lang w:bidi="ar-MA"/>
        </w:rPr>
        <w:t>%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="00945AF2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B73DF6" w:rsidRDefault="00BA4E60" w:rsidP="007F2F8F">
      <w:pPr>
        <w:spacing w:line="240" w:lineRule="exact"/>
        <w:ind w:left="-286" w:right="-426"/>
        <w:jc w:val="both"/>
        <w:rPr>
          <w:rFonts w:cs="Simplified Arabic"/>
          <w:lang w:bidi="ar-MA"/>
        </w:rPr>
      </w:pPr>
    </w:p>
    <w:p w:rsidR="00CE64B9" w:rsidRPr="00AA5854" w:rsidRDefault="00CE64B9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AA5854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0F441B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38325A" w:rsidRPr="004671FE" w:rsidRDefault="00521215" w:rsidP="00AF4B1F">
      <w:pPr>
        <w:tabs>
          <w:tab w:val="left" w:pos="-720"/>
          <w:tab w:val="left" w:pos="720"/>
          <w:tab w:val="left" w:pos="9000"/>
        </w:tabs>
        <w:bidi w:val="0"/>
        <w:spacing w:before="24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>
        <w:rPr>
          <w:rFonts w:ascii="Arial" w:hAnsi="Arial" w:cs="Arial"/>
          <w:b/>
          <w:bCs/>
          <w:color w:val="0000FF"/>
          <w:szCs w:val="48"/>
        </w:rPr>
        <w:t xml:space="preserve">         </w:t>
      </w:r>
      <w:r w:rsidR="007F2F8F">
        <w:rPr>
          <w:rFonts w:ascii="Arial" w:hAnsi="Arial" w:cs="Arial"/>
          <w:b/>
          <w:bCs/>
          <w:color w:val="0000FF"/>
          <w:szCs w:val="48"/>
          <w:rtl/>
        </w:rPr>
        <w:br w:type="page"/>
      </w:r>
      <w:r w:rsidR="0038325A"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</w:p>
    <w:p w:rsidR="00AF4B1F" w:rsidRPr="00AF4B1F" w:rsidRDefault="00AF4B1F" w:rsidP="00C07308">
      <w:pPr>
        <w:pStyle w:val="Corpsdetexte"/>
        <w:bidi/>
        <w:jc w:val="center"/>
        <w:rPr>
          <w:rFonts w:cs="Arial"/>
          <w:b/>
          <w:bCs/>
          <w:sz w:val="28"/>
          <w:szCs w:val="28"/>
        </w:rPr>
      </w:pPr>
    </w:p>
    <w:p w:rsidR="0038325A" w:rsidRPr="004671FE" w:rsidRDefault="0038325A" w:rsidP="00AF4B1F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38325A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38325A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1F441C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EF1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EF1A48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EF1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7912D6">
              <w:rPr>
                <w:rFonts w:ascii="Arial" w:hAnsi="Arial" w:cs="Arial"/>
                <w:b/>
                <w:bCs/>
              </w:rPr>
              <w:t>1</w:t>
            </w:r>
            <w:r w:rsidR="00EF1A48">
              <w:rPr>
                <w:rFonts w:ascii="Arial" w:hAnsi="Arial" w:cs="Arial"/>
                <w:b/>
                <w:bCs/>
              </w:rPr>
              <w:t>7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1F441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01 - المواد الغ</w:t>
            </w:r>
            <w:r w:rsidRPr="00CD270B">
              <w:rPr>
                <w:rFonts w:ascii="Arial" w:hAnsi="Arial" w:cs="Arial" w:hint="cs"/>
                <w:rtl/>
                <w:lang w:bidi="ar-MA"/>
              </w:rPr>
              <w:t>ذ</w:t>
            </w:r>
            <w:r w:rsidRPr="00CD270B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06 –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07 –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08 –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10 –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F1A48" w:rsidRPr="001F441C" w:rsidTr="004A718F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38325A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8631B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777BC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405EC4">
              <w:rPr>
                <w:rFonts w:ascii="Arial" w:hAnsi="Arial" w:cs="Arial"/>
                <w:b/>
                <w:bCs/>
              </w:rPr>
              <w:t>201</w:t>
            </w:r>
            <w:r w:rsidR="00EF1A4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7912D6">
              <w:rPr>
                <w:rFonts w:ascii="Arial" w:hAnsi="Arial" w:cs="Arial"/>
                <w:b/>
                <w:bCs/>
              </w:rPr>
              <w:t>201</w:t>
            </w:r>
            <w:r w:rsidR="00EF1A4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405EC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F1A4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405EC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EF1A4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EF1A48" w:rsidRPr="008631BC" w:rsidTr="004A718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142,7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EF1A48" w:rsidRPr="008631BC" w:rsidTr="004A718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F1A48" w:rsidRPr="008631BC" w:rsidTr="004A718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D772D6" w:rsidRDefault="00D772D6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</w:p>
    <w:p w:rsidR="0038325A" w:rsidRDefault="0038325A" w:rsidP="00D772D6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38325A" w:rsidRPr="004671FE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8325A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5777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A153EC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EF1A48">
              <w:rPr>
                <w:rFonts w:ascii="Arial" w:hAnsi="Arial" w:cs="Arial"/>
                <w:b/>
                <w:bCs/>
              </w:rPr>
              <w:t>7</w:t>
            </w:r>
            <w:r w:rsidR="0038325A">
              <w:rPr>
                <w:rFonts w:ascii="Arial" w:hAnsi="Arial" w:cs="Arial"/>
                <w:b/>
                <w:bCs/>
              </w:rPr>
              <w:t xml:space="preserve"> 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405EC4">
              <w:rPr>
                <w:rFonts w:ascii="Arial" w:hAnsi="Arial" w:cs="Arial"/>
                <w:b/>
                <w:bCs/>
              </w:rPr>
              <w:t>201</w:t>
            </w:r>
            <w:r w:rsidR="00EF1A4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405EC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F1A4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405EC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F1A4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F1A48" w:rsidRPr="00A153EC" w:rsidTr="004A718F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EF1A48" w:rsidRPr="00A153EC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: 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Default="0038325A" w:rsidP="007F2F8F">
      <w:pPr>
        <w:pStyle w:val="Titre5"/>
        <w:ind w:left="-569" w:right="-426" w:firstLine="569"/>
        <w:jc w:val="center"/>
        <w:rPr>
          <w:rFonts w:ascii="Arial" w:hAnsi="Arial" w:cs="Arial"/>
          <w:lang w:bidi="ar-MA"/>
        </w:rPr>
      </w:pPr>
    </w:p>
    <w:p w:rsidR="00EE78D8" w:rsidRDefault="00EE78D8" w:rsidP="007F2F8F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-569" w:right="-426" w:firstLine="569"/>
        <w:jc w:val="center"/>
        <w:rPr>
          <w:rtl/>
          <w:lang w:bidi="ar-MA"/>
        </w:rPr>
      </w:pPr>
    </w:p>
    <w:p w:rsidR="00EE78D8" w:rsidRDefault="00EE78D8" w:rsidP="007F2F8F">
      <w:pPr>
        <w:ind w:left="-569" w:right="-426" w:firstLine="569"/>
        <w:rPr>
          <w:lang w:bidi="ar-MA"/>
        </w:rPr>
      </w:pPr>
    </w:p>
    <w:p w:rsidR="00655EBD" w:rsidRDefault="00655EBD" w:rsidP="007F2F8F">
      <w:pPr>
        <w:ind w:left="-569" w:right="-426" w:firstLine="569"/>
        <w:rPr>
          <w:lang w:bidi="ar-MA"/>
        </w:rPr>
      </w:pPr>
    </w:p>
    <w:sectPr w:rsidR="00655EBD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3E" w:rsidRDefault="00A9393E">
      <w:r>
        <w:separator/>
      </w:r>
    </w:p>
  </w:endnote>
  <w:endnote w:type="continuationSeparator" w:id="1">
    <w:p w:rsidR="00A9393E" w:rsidRDefault="00A93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3E" w:rsidRDefault="00A9393E">
      <w:r>
        <w:separator/>
      </w:r>
    </w:p>
  </w:footnote>
  <w:footnote w:type="continuationSeparator" w:id="1">
    <w:p w:rsidR="00A9393E" w:rsidRDefault="00A93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7F1A"/>
    <w:rsid w:val="00002AE4"/>
    <w:rsid w:val="00030C76"/>
    <w:rsid w:val="000570C6"/>
    <w:rsid w:val="00064152"/>
    <w:rsid w:val="00065E5A"/>
    <w:rsid w:val="000714A9"/>
    <w:rsid w:val="0009454E"/>
    <w:rsid w:val="000A52E4"/>
    <w:rsid w:val="000B0956"/>
    <w:rsid w:val="000B603D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048D"/>
    <w:rsid w:val="001222A6"/>
    <w:rsid w:val="00123BDE"/>
    <w:rsid w:val="001240FF"/>
    <w:rsid w:val="00124654"/>
    <w:rsid w:val="0012711D"/>
    <w:rsid w:val="00137371"/>
    <w:rsid w:val="00141B86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A5BCD"/>
    <w:rsid w:val="001B55A6"/>
    <w:rsid w:val="001C1038"/>
    <w:rsid w:val="001D27AE"/>
    <w:rsid w:val="001E3AEC"/>
    <w:rsid w:val="001F0CDC"/>
    <w:rsid w:val="00206F74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A7E89"/>
    <w:rsid w:val="002B4D34"/>
    <w:rsid w:val="002B65B6"/>
    <w:rsid w:val="002B73CA"/>
    <w:rsid w:val="002C0ACC"/>
    <w:rsid w:val="002D20F7"/>
    <w:rsid w:val="002D2D55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60DED"/>
    <w:rsid w:val="00371028"/>
    <w:rsid w:val="0037323B"/>
    <w:rsid w:val="003733ED"/>
    <w:rsid w:val="0038325A"/>
    <w:rsid w:val="003846CD"/>
    <w:rsid w:val="0039389C"/>
    <w:rsid w:val="00397967"/>
    <w:rsid w:val="003A2B46"/>
    <w:rsid w:val="003A6A36"/>
    <w:rsid w:val="003C0039"/>
    <w:rsid w:val="003C2426"/>
    <w:rsid w:val="003C2C8D"/>
    <w:rsid w:val="003F39EE"/>
    <w:rsid w:val="003F3FFF"/>
    <w:rsid w:val="003F759A"/>
    <w:rsid w:val="00405EC4"/>
    <w:rsid w:val="00414A8E"/>
    <w:rsid w:val="004319BB"/>
    <w:rsid w:val="00454838"/>
    <w:rsid w:val="00464F92"/>
    <w:rsid w:val="00482F2D"/>
    <w:rsid w:val="004A718F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1215"/>
    <w:rsid w:val="00526C92"/>
    <w:rsid w:val="00533696"/>
    <w:rsid w:val="00533BDB"/>
    <w:rsid w:val="00544A52"/>
    <w:rsid w:val="005511A2"/>
    <w:rsid w:val="0055380D"/>
    <w:rsid w:val="005555B3"/>
    <w:rsid w:val="005714C9"/>
    <w:rsid w:val="005777BC"/>
    <w:rsid w:val="00581787"/>
    <w:rsid w:val="005921DC"/>
    <w:rsid w:val="00594542"/>
    <w:rsid w:val="0059556C"/>
    <w:rsid w:val="005A135B"/>
    <w:rsid w:val="005A527C"/>
    <w:rsid w:val="005B4DC3"/>
    <w:rsid w:val="005C24B1"/>
    <w:rsid w:val="005C380E"/>
    <w:rsid w:val="005D3BBE"/>
    <w:rsid w:val="005E563F"/>
    <w:rsid w:val="005E7C3E"/>
    <w:rsid w:val="005F323F"/>
    <w:rsid w:val="005F6CFE"/>
    <w:rsid w:val="006026D2"/>
    <w:rsid w:val="00613EAE"/>
    <w:rsid w:val="00617BC2"/>
    <w:rsid w:val="00626737"/>
    <w:rsid w:val="00630B60"/>
    <w:rsid w:val="006322E1"/>
    <w:rsid w:val="00637117"/>
    <w:rsid w:val="00644C9B"/>
    <w:rsid w:val="00655EBD"/>
    <w:rsid w:val="0067538D"/>
    <w:rsid w:val="00680419"/>
    <w:rsid w:val="006855CB"/>
    <w:rsid w:val="00693F65"/>
    <w:rsid w:val="006A5971"/>
    <w:rsid w:val="006C75E4"/>
    <w:rsid w:val="006D3C4E"/>
    <w:rsid w:val="006D75DC"/>
    <w:rsid w:val="006E5CEC"/>
    <w:rsid w:val="006F3813"/>
    <w:rsid w:val="007032A5"/>
    <w:rsid w:val="00704F21"/>
    <w:rsid w:val="007339A7"/>
    <w:rsid w:val="0075318B"/>
    <w:rsid w:val="00753634"/>
    <w:rsid w:val="0076169A"/>
    <w:rsid w:val="0076573B"/>
    <w:rsid w:val="00770119"/>
    <w:rsid w:val="00772122"/>
    <w:rsid w:val="007819F7"/>
    <w:rsid w:val="00782FF3"/>
    <w:rsid w:val="00787DDB"/>
    <w:rsid w:val="007912D6"/>
    <w:rsid w:val="007A38AE"/>
    <w:rsid w:val="007B17F2"/>
    <w:rsid w:val="007B1F59"/>
    <w:rsid w:val="007B51F6"/>
    <w:rsid w:val="007C6286"/>
    <w:rsid w:val="007E3AD0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36DBA"/>
    <w:rsid w:val="00943D07"/>
    <w:rsid w:val="00945AF2"/>
    <w:rsid w:val="00965CAE"/>
    <w:rsid w:val="00965DBA"/>
    <w:rsid w:val="00966511"/>
    <w:rsid w:val="00966B1F"/>
    <w:rsid w:val="00990A15"/>
    <w:rsid w:val="00994408"/>
    <w:rsid w:val="009A62CD"/>
    <w:rsid w:val="009A69C6"/>
    <w:rsid w:val="009A6BAB"/>
    <w:rsid w:val="009C16F8"/>
    <w:rsid w:val="009E2EA0"/>
    <w:rsid w:val="00A00D9B"/>
    <w:rsid w:val="00A015CA"/>
    <w:rsid w:val="00A0177F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76EE7"/>
    <w:rsid w:val="00A80338"/>
    <w:rsid w:val="00A80345"/>
    <w:rsid w:val="00A81435"/>
    <w:rsid w:val="00A91337"/>
    <w:rsid w:val="00A9393E"/>
    <w:rsid w:val="00A93D94"/>
    <w:rsid w:val="00AA564F"/>
    <w:rsid w:val="00AA5854"/>
    <w:rsid w:val="00AB27C7"/>
    <w:rsid w:val="00AB7955"/>
    <w:rsid w:val="00AC3AF4"/>
    <w:rsid w:val="00AE3942"/>
    <w:rsid w:val="00AF01C2"/>
    <w:rsid w:val="00AF4B1F"/>
    <w:rsid w:val="00B006A4"/>
    <w:rsid w:val="00B032D7"/>
    <w:rsid w:val="00B201E4"/>
    <w:rsid w:val="00B2769F"/>
    <w:rsid w:val="00B27CAC"/>
    <w:rsid w:val="00B3416C"/>
    <w:rsid w:val="00B4467D"/>
    <w:rsid w:val="00B56347"/>
    <w:rsid w:val="00B6157D"/>
    <w:rsid w:val="00B64135"/>
    <w:rsid w:val="00B73D18"/>
    <w:rsid w:val="00B73DF6"/>
    <w:rsid w:val="00B85E04"/>
    <w:rsid w:val="00B90A4A"/>
    <w:rsid w:val="00B960D6"/>
    <w:rsid w:val="00BA336A"/>
    <w:rsid w:val="00BA39F8"/>
    <w:rsid w:val="00BA4E60"/>
    <w:rsid w:val="00BB090A"/>
    <w:rsid w:val="00BB4F28"/>
    <w:rsid w:val="00BC5980"/>
    <w:rsid w:val="00BE1FCD"/>
    <w:rsid w:val="00BE2748"/>
    <w:rsid w:val="00BE6BCF"/>
    <w:rsid w:val="00C00DD3"/>
    <w:rsid w:val="00C021FE"/>
    <w:rsid w:val="00C042A8"/>
    <w:rsid w:val="00C07308"/>
    <w:rsid w:val="00C201F7"/>
    <w:rsid w:val="00C231F4"/>
    <w:rsid w:val="00C36A52"/>
    <w:rsid w:val="00C54FC8"/>
    <w:rsid w:val="00C5773F"/>
    <w:rsid w:val="00C83484"/>
    <w:rsid w:val="00C84C71"/>
    <w:rsid w:val="00C90AEE"/>
    <w:rsid w:val="00C942F6"/>
    <w:rsid w:val="00C979E1"/>
    <w:rsid w:val="00CA7C59"/>
    <w:rsid w:val="00CA7C8D"/>
    <w:rsid w:val="00CB3947"/>
    <w:rsid w:val="00CC7F1A"/>
    <w:rsid w:val="00CD175F"/>
    <w:rsid w:val="00CD270B"/>
    <w:rsid w:val="00CD58FB"/>
    <w:rsid w:val="00CE64B9"/>
    <w:rsid w:val="00CF2315"/>
    <w:rsid w:val="00CF4BB2"/>
    <w:rsid w:val="00D00165"/>
    <w:rsid w:val="00D00BB9"/>
    <w:rsid w:val="00D03676"/>
    <w:rsid w:val="00D040BB"/>
    <w:rsid w:val="00D04FEA"/>
    <w:rsid w:val="00D12CAC"/>
    <w:rsid w:val="00D261F0"/>
    <w:rsid w:val="00D45872"/>
    <w:rsid w:val="00D45FCA"/>
    <w:rsid w:val="00D56142"/>
    <w:rsid w:val="00D57C38"/>
    <w:rsid w:val="00D60821"/>
    <w:rsid w:val="00D62FE4"/>
    <w:rsid w:val="00D72A44"/>
    <w:rsid w:val="00D72F9F"/>
    <w:rsid w:val="00D772D6"/>
    <w:rsid w:val="00D80850"/>
    <w:rsid w:val="00D827DB"/>
    <w:rsid w:val="00D8772E"/>
    <w:rsid w:val="00D9245F"/>
    <w:rsid w:val="00D93EC5"/>
    <w:rsid w:val="00DA3994"/>
    <w:rsid w:val="00DA702F"/>
    <w:rsid w:val="00DA7716"/>
    <w:rsid w:val="00DC3108"/>
    <w:rsid w:val="00DD38C6"/>
    <w:rsid w:val="00DF10E0"/>
    <w:rsid w:val="00DF17C4"/>
    <w:rsid w:val="00DF2001"/>
    <w:rsid w:val="00DF7F64"/>
    <w:rsid w:val="00E00017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EF1A48"/>
    <w:rsid w:val="00F14736"/>
    <w:rsid w:val="00F14C54"/>
    <w:rsid w:val="00F21494"/>
    <w:rsid w:val="00F304FA"/>
    <w:rsid w:val="00F650FE"/>
    <w:rsid w:val="00F74A7A"/>
    <w:rsid w:val="00F825C1"/>
    <w:rsid w:val="00F95E19"/>
    <w:rsid w:val="00F96E9A"/>
    <w:rsid w:val="00F97C2E"/>
    <w:rsid w:val="00FA46BF"/>
    <w:rsid w:val="00FC51DE"/>
    <w:rsid w:val="00FC5AB8"/>
    <w:rsid w:val="00FD6398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2</cp:revision>
  <cp:lastPrinted>2018-01-17T09:30:00Z</cp:lastPrinted>
  <dcterms:created xsi:type="dcterms:W3CDTF">2018-01-29T10:26:00Z</dcterms:created>
  <dcterms:modified xsi:type="dcterms:W3CDTF">2018-01-29T10:26:00Z</dcterms:modified>
</cp:coreProperties>
</file>