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15" w:rsidRDefault="007641FF" w:rsidP="003E6FD2">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noProof/>
          <w:sz w:val="26"/>
          <w:szCs w:val="26"/>
          <w:lang w:eastAsia="fr-FR"/>
        </w:rPr>
        <w:pict>
          <v:rect id="_x0000_s1026" style="position:absolute;left:0;text-align:left;margin-left:-108pt;margin-top:-68.55pt;width:685.25pt;height:425.5pt;z-index:-251658752" o:preferrelative="t" filled="f" stroked="f" insetpen="t" o:cliptowrap="t">
            <v:imagedata r:id="rId8" o:title=""/>
            <v:path o:extrusionok="f"/>
            <o:lock v:ext="edit" aspectratio="t"/>
            <w10:wrap anchorx="page"/>
          </v:rect>
          <o:OLEObject Type="Embed" ProgID="PBrush" ShapeID="_x0000_s1026" DrawAspect="Content" ObjectID="_1614516696" r:id="rId9"/>
        </w:pict>
      </w:r>
    </w:p>
    <w:p w:rsidR="00AB0915" w:rsidRDefault="00AB0915" w:rsidP="003E6FD2">
      <w:pPr>
        <w:autoSpaceDE w:val="0"/>
        <w:autoSpaceDN w:val="0"/>
        <w:adjustRightInd w:val="0"/>
        <w:spacing w:after="0" w:line="240" w:lineRule="auto"/>
        <w:jc w:val="center"/>
        <w:rPr>
          <w:rFonts w:ascii="Times New Roman" w:hAnsi="Times New Roman" w:cs="Times New Roman"/>
          <w:b/>
          <w:bCs/>
          <w:sz w:val="26"/>
          <w:szCs w:val="26"/>
        </w:rPr>
      </w:pPr>
    </w:p>
    <w:p w:rsidR="004D389A" w:rsidRDefault="004D389A" w:rsidP="003E6FD2">
      <w:pPr>
        <w:autoSpaceDE w:val="0"/>
        <w:autoSpaceDN w:val="0"/>
        <w:adjustRightInd w:val="0"/>
        <w:spacing w:after="0" w:line="240" w:lineRule="auto"/>
        <w:jc w:val="center"/>
        <w:rPr>
          <w:rFonts w:ascii="Times New Roman" w:hAnsi="Times New Roman" w:cs="Times New Roman"/>
          <w:b/>
          <w:bCs/>
          <w:sz w:val="26"/>
          <w:szCs w:val="26"/>
        </w:rPr>
      </w:pPr>
    </w:p>
    <w:p w:rsidR="004D389A" w:rsidRDefault="004D389A" w:rsidP="003E6FD2">
      <w:pPr>
        <w:autoSpaceDE w:val="0"/>
        <w:autoSpaceDN w:val="0"/>
        <w:adjustRightInd w:val="0"/>
        <w:spacing w:after="0" w:line="240" w:lineRule="auto"/>
        <w:jc w:val="center"/>
        <w:rPr>
          <w:rFonts w:ascii="Times New Roman" w:hAnsi="Times New Roman" w:cs="Times New Roman"/>
          <w:b/>
          <w:bCs/>
          <w:sz w:val="26"/>
          <w:szCs w:val="26"/>
        </w:rPr>
      </w:pPr>
    </w:p>
    <w:p w:rsidR="0021407D" w:rsidRDefault="0021407D" w:rsidP="003E6FD2">
      <w:pPr>
        <w:autoSpaceDE w:val="0"/>
        <w:autoSpaceDN w:val="0"/>
        <w:adjustRightInd w:val="0"/>
        <w:spacing w:after="0" w:line="240" w:lineRule="auto"/>
        <w:jc w:val="center"/>
        <w:rPr>
          <w:rFonts w:ascii="Times New Roman" w:hAnsi="Times New Roman" w:cs="Times New Roman"/>
          <w:b/>
          <w:bCs/>
          <w:sz w:val="26"/>
          <w:szCs w:val="26"/>
        </w:rPr>
      </w:pPr>
    </w:p>
    <w:p w:rsidR="009938A5" w:rsidRPr="005D06D8" w:rsidRDefault="009938A5" w:rsidP="009938A5">
      <w:pPr>
        <w:pStyle w:val="Commentaire"/>
        <w:jc w:val="center"/>
        <w:rPr>
          <w:rFonts w:asciiTheme="majorBidi" w:hAnsiTheme="majorBidi" w:cstheme="majorBidi"/>
          <w:b/>
          <w:bCs/>
          <w:smallCaps/>
          <w:color w:val="0000FF"/>
          <w:sz w:val="28"/>
          <w:szCs w:val="28"/>
        </w:rPr>
      </w:pPr>
      <w:r w:rsidRPr="005D06D8">
        <w:rPr>
          <w:rFonts w:asciiTheme="majorBidi" w:hAnsiTheme="majorBidi" w:cstheme="majorBidi"/>
          <w:b/>
          <w:bCs/>
          <w:smallCaps/>
          <w:color w:val="0000FF"/>
          <w:sz w:val="28"/>
          <w:szCs w:val="28"/>
        </w:rPr>
        <w:t>Note sur le niveau et la tendance</w:t>
      </w:r>
      <w:r w:rsidRPr="005D06D8">
        <w:rPr>
          <w:rFonts w:asciiTheme="majorBidi" w:hAnsiTheme="majorBidi" w:cstheme="majorBidi"/>
          <w:b/>
          <w:bCs/>
          <w:smallCaps/>
          <w:color w:val="0000FF"/>
          <w:sz w:val="28"/>
          <w:szCs w:val="28"/>
        </w:rPr>
        <w:br/>
        <w:t xml:space="preserve"> de la fécondité au Maroc</w:t>
      </w:r>
    </w:p>
    <w:p w:rsidR="009938A5" w:rsidRPr="005D06D8" w:rsidRDefault="009938A5" w:rsidP="009938A5">
      <w:pPr>
        <w:pStyle w:val="Commentaire"/>
        <w:jc w:val="center"/>
        <w:rPr>
          <w:rFonts w:asciiTheme="majorBidi" w:hAnsiTheme="majorBidi" w:cstheme="majorBidi"/>
          <w:b/>
          <w:bCs/>
          <w:sz w:val="26"/>
          <w:szCs w:val="26"/>
        </w:rPr>
      </w:pPr>
    </w:p>
    <w:p w:rsidR="009938A5" w:rsidRDefault="009938A5" w:rsidP="005C3720">
      <w:pPr>
        <w:pStyle w:val="Commentaire"/>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 xml:space="preserve">La transition de la fécondité est le passage d’un niveau de fécondité élevé à une fécondité basse jusqu’à atteindre le taux de remplacement des générations, qui peut </w:t>
      </w:r>
      <w:r w:rsidR="00D43F34" w:rsidRPr="00375F6F">
        <w:rPr>
          <w:rFonts w:asciiTheme="majorBidi" w:hAnsiTheme="majorBidi" w:cstheme="majorBidi"/>
          <w:sz w:val="24"/>
          <w:szCs w:val="24"/>
        </w:rPr>
        <w:t xml:space="preserve">être </w:t>
      </w:r>
      <w:r w:rsidRPr="00375F6F">
        <w:rPr>
          <w:rFonts w:asciiTheme="majorBidi" w:hAnsiTheme="majorBidi" w:cstheme="majorBidi"/>
          <w:sz w:val="24"/>
          <w:szCs w:val="24"/>
        </w:rPr>
        <w:t xml:space="preserve">même dépassé. </w:t>
      </w:r>
      <w:r w:rsidR="00D43F34" w:rsidRPr="00375F6F">
        <w:rPr>
          <w:rFonts w:asciiTheme="majorBidi" w:hAnsiTheme="majorBidi" w:cstheme="majorBidi"/>
          <w:sz w:val="24"/>
          <w:szCs w:val="24"/>
        </w:rPr>
        <w:t>Une</w:t>
      </w:r>
      <w:r w:rsidRPr="00375F6F">
        <w:rPr>
          <w:rFonts w:asciiTheme="majorBidi" w:hAnsiTheme="majorBidi" w:cstheme="majorBidi"/>
          <w:sz w:val="24"/>
          <w:szCs w:val="24"/>
        </w:rPr>
        <w:t xml:space="preserve"> fois </w:t>
      </w:r>
      <w:r w:rsidR="005C3720">
        <w:rPr>
          <w:rFonts w:asciiTheme="majorBidi" w:hAnsiTheme="majorBidi" w:cstheme="majorBidi"/>
          <w:sz w:val="24"/>
          <w:szCs w:val="24"/>
        </w:rPr>
        <w:t>c</w:t>
      </w:r>
      <w:r w:rsidR="00D43F34" w:rsidRPr="00375F6F">
        <w:rPr>
          <w:rFonts w:asciiTheme="majorBidi" w:hAnsiTheme="majorBidi" w:cstheme="majorBidi"/>
          <w:sz w:val="24"/>
          <w:szCs w:val="24"/>
        </w:rPr>
        <w:t xml:space="preserve">e processus </w:t>
      </w:r>
      <w:r w:rsidRPr="00375F6F">
        <w:rPr>
          <w:rFonts w:asciiTheme="majorBidi" w:hAnsiTheme="majorBidi" w:cstheme="majorBidi"/>
          <w:sz w:val="24"/>
          <w:szCs w:val="24"/>
        </w:rPr>
        <w:t>amorcé, la baisse a tendance à s’opérer sans interruption. Ce schéma classique, certes vérifié dans le cas de bien de pays, n’est, cependant, pas universellement observé.</w:t>
      </w:r>
    </w:p>
    <w:p w:rsidR="00380F09" w:rsidRPr="00136EB9" w:rsidRDefault="001106F5" w:rsidP="001106F5">
      <w:pPr>
        <w:pStyle w:val="Paragraphedeliste"/>
        <w:numPr>
          <w:ilvl w:val="0"/>
          <w:numId w:val="5"/>
        </w:numPr>
        <w:spacing w:before="120" w:after="120" w:line="240" w:lineRule="auto"/>
        <w:ind w:left="284" w:hanging="284"/>
        <w:contextualSpacing w:val="0"/>
        <w:rPr>
          <w:rFonts w:asciiTheme="majorBidi" w:hAnsiTheme="majorBidi" w:cstheme="majorBidi"/>
          <w:b/>
          <w:bCs/>
          <w:color w:val="0000FF"/>
          <w:sz w:val="26"/>
          <w:szCs w:val="26"/>
        </w:rPr>
      </w:pPr>
      <w:r>
        <w:rPr>
          <w:rFonts w:asciiTheme="majorBidi" w:hAnsiTheme="majorBidi" w:cstheme="majorBidi"/>
          <w:b/>
          <w:bCs/>
          <w:color w:val="0000FF"/>
          <w:sz w:val="26"/>
          <w:szCs w:val="26"/>
        </w:rPr>
        <w:t>Amorce d’une hausse de la fécondité ?</w:t>
      </w:r>
    </w:p>
    <w:p w:rsidR="009938A5" w:rsidRPr="00375F6F" w:rsidRDefault="00380F09" w:rsidP="001C597E">
      <w:pPr>
        <w:pStyle w:val="Commentaire"/>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Depuis</w:t>
      </w:r>
      <w:r w:rsidR="009938A5" w:rsidRPr="00375F6F">
        <w:rPr>
          <w:rFonts w:asciiTheme="majorBidi" w:hAnsiTheme="majorBidi" w:cstheme="majorBidi"/>
          <w:sz w:val="24"/>
          <w:szCs w:val="24"/>
        </w:rPr>
        <w:t xml:space="preserve"> le début des années soixante</w:t>
      </w:r>
      <w:r>
        <w:rPr>
          <w:rFonts w:asciiTheme="majorBidi" w:hAnsiTheme="majorBidi" w:cstheme="majorBidi"/>
          <w:sz w:val="24"/>
          <w:szCs w:val="24"/>
        </w:rPr>
        <w:t>l</w:t>
      </w:r>
      <w:r w:rsidRPr="00375F6F">
        <w:rPr>
          <w:rFonts w:asciiTheme="majorBidi" w:hAnsiTheme="majorBidi" w:cstheme="majorBidi"/>
          <w:sz w:val="24"/>
          <w:szCs w:val="24"/>
        </w:rPr>
        <w:t>a fécondité a considérablement baissé</w:t>
      </w:r>
      <w:r w:rsidR="009938A5" w:rsidRPr="00375F6F">
        <w:rPr>
          <w:rFonts w:asciiTheme="majorBidi" w:hAnsiTheme="majorBidi" w:cstheme="majorBidi"/>
          <w:sz w:val="24"/>
          <w:szCs w:val="24"/>
        </w:rPr>
        <w:t xml:space="preserve">. Elle est passée de 7,20 enfants par femme en 1962 à 3,28 en 1994, à 2,47 en 2004 et à 2,19 en 2010 et a connu </w:t>
      </w:r>
      <w:r w:rsidR="00672498">
        <w:rPr>
          <w:rFonts w:asciiTheme="majorBidi" w:hAnsiTheme="majorBidi" w:cstheme="majorBidi"/>
          <w:sz w:val="24"/>
          <w:szCs w:val="24"/>
        </w:rPr>
        <w:t xml:space="preserve">une faible hausse, passant à </w:t>
      </w:r>
      <w:r w:rsidR="009938A5" w:rsidRPr="00375F6F">
        <w:rPr>
          <w:rFonts w:asciiTheme="majorBidi" w:hAnsiTheme="majorBidi" w:cstheme="majorBidi"/>
          <w:sz w:val="24"/>
          <w:szCs w:val="24"/>
        </w:rPr>
        <w:t>2,20 enfants par femme en 2014</w:t>
      </w:r>
      <w:r w:rsidR="001C597E">
        <w:rPr>
          <w:rFonts w:asciiTheme="majorBidi" w:hAnsiTheme="majorBidi" w:cstheme="majorBidi"/>
          <w:sz w:val="24"/>
          <w:szCs w:val="24"/>
        </w:rPr>
        <w:t xml:space="preserve">, soit </w:t>
      </w:r>
      <w:r w:rsidR="001C597E" w:rsidRPr="00375F6F">
        <w:rPr>
          <w:rFonts w:asciiTheme="majorBidi" w:hAnsiTheme="majorBidi" w:cstheme="majorBidi"/>
          <w:sz w:val="24"/>
          <w:szCs w:val="24"/>
        </w:rPr>
        <w:t>pratiquement une stagnation</w:t>
      </w:r>
      <w:r w:rsidR="009938A5" w:rsidRPr="00375F6F">
        <w:rPr>
          <w:rFonts w:asciiTheme="majorBidi" w:hAnsiTheme="majorBidi" w:cstheme="majorBidi"/>
          <w:sz w:val="24"/>
          <w:szCs w:val="24"/>
        </w:rPr>
        <w:t>. En milieu rural, la fécondité a baissé de 6,91 en 1962 à 4,25 en 1994, ensuite à 3,06 en 2004, puis à 2,70 en 2010 et à 2,5</w:t>
      </w:r>
      <w:r w:rsidR="00E3009B">
        <w:rPr>
          <w:rFonts w:asciiTheme="majorBidi" w:hAnsiTheme="majorBidi" w:cstheme="majorBidi"/>
          <w:sz w:val="24"/>
          <w:szCs w:val="24"/>
        </w:rPr>
        <w:t>5</w:t>
      </w:r>
      <w:r w:rsidR="009938A5" w:rsidRPr="00375F6F">
        <w:rPr>
          <w:rFonts w:asciiTheme="majorBidi" w:hAnsiTheme="majorBidi" w:cstheme="majorBidi"/>
          <w:sz w:val="24"/>
          <w:szCs w:val="24"/>
        </w:rPr>
        <w:t xml:space="preserve"> en 2014. Tandis qu’en milieu urbain, elle a baissé respectivement de 7,77 à 2,</w:t>
      </w:r>
      <w:r w:rsidR="00E3009B" w:rsidRPr="00375F6F">
        <w:rPr>
          <w:rFonts w:asciiTheme="majorBidi" w:hAnsiTheme="majorBidi" w:cstheme="majorBidi"/>
          <w:sz w:val="24"/>
          <w:szCs w:val="24"/>
        </w:rPr>
        <w:t>5</w:t>
      </w:r>
      <w:r w:rsidR="009938A5" w:rsidRPr="00375F6F">
        <w:rPr>
          <w:rFonts w:asciiTheme="majorBidi" w:hAnsiTheme="majorBidi" w:cstheme="majorBidi"/>
          <w:sz w:val="24"/>
          <w:szCs w:val="24"/>
        </w:rPr>
        <w:t>6, puis 2,05 et 1,80 avant une légère reprise, à 2,0</w:t>
      </w:r>
      <w:r w:rsidR="00E3009B">
        <w:rPr>
          <w:rFonts w:asciiTheme="majorBidi" w:hAnsiTheme="majorBidi" w:cstheme="majorBidi"/>
          <w:sz w:val="24"/>
          <w:szCs w:val="24"/>
        </w:rPr>
        <w:t>1</w:t>
      </w:r>
      <w:r w:rsidR="009938A5" w:rsidRPr="00375F6F">
        <w:rPr>
          <w:rFonts w:asciiTheme="majorBidi" w:hAnsiTheme="majorBidi" w:cstheme="majorBidi"/>
          <w:sz w:val="24"/>
          <w:szCs w:val="24"/>
        </w:rPr>
        <w:t xml:space="preserve"> enfants par femme, enregistrée en 2014.</w:t>
      </w:r>
    </w:p>
    <w:p w:rsidR="009938A5" w:rsidRDefault="009938A5" w:rsidP="00607BD0">
      <w:pPr>
        <w:pStyle w:val="Commentaire"/>
        <w:keepLines/>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 xml:space="preserve">Toutefois, </w:t>
      </w:r>
      <w:r w:rsidR="00D43F34">
        <w:rPr>
          <w:rFonts w:asciiTheme="majorBidi" w:hAnsiTheme="majorBidi" w:cstheme="majorBidi"/>
          <w:sz w:val="24"/>
          <w:szCs w:val="24"/>
        </w:rPr>
        <w:t>la</w:t>
      </w:r>
      <w:r w:rsidRPr="00375F6F">
        <w:rPr>
          <w:rFonts w:asciiTheme="majorBidi" w:hAnsiTheme="majorBidi" w:cstheme="majorBidi"/>
          <w:sz w:val="24"/>
          <w:szCs w:val="24"/>
        </w:rPr>
        <w:t>baisse a été interrompue, puisque l’indice synthétique de la fécondité révélé  par le RGPH 2014 (2,21 enfants) est légèrement supérieur à celui estimé par l’Enquête Nationale Démographique à Passage Répété 2009-2010 (2,19 enfants) suite à un léger accroissement de la fécondité en milieu urbain</w:t>
      </w:r>
      <w:r w:rsidR="009D1ED6">
        <w:rPr>
          <w:rFonts w:asciiTheme="majorBidi" w:hAnsiTheme="majorBidi" w:cstheme="majorBidi"/>
          <w:sz w:val="24"/>
          <w:szCs w:val="24"/>
        </w:rPr>
        <w:t xml:space="preserve"> (1,8 contre 2,01 enfants) (Figure 1)</w:t>
      </w:r>
      <w:r w:rsidRPr="00375F6F">
        <w:rPr>
          <w:rFonts w:asciiTheme="majorBidi" w:hAnsiTheme="majorBidi" w:cstheme="majorBidi"/>
          <w:sz w:val="24"/>
          <w:szCs w:val="24"/>
        </w:rPr>
        <w:t>.</w:t>
      </w:r>
    </w:p>
    <w:p w:rsidR="009D1ED6" w:rsidRDefault="009D1ED6" w:rsidP="00672498">
      <w:pPr>
        <w:keepLines/>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t xml:space="preserve">Figure 1 : </w:t>
      </w:r>
      <w:r>
        <w:rPr>
          <w:rFonts w:ascii="Times New Roman" w:eastAsia="Times New Roman" w:hAnsi="Times New Roman" w:cs="Times New Roman"/>
          <w:b/>
          <w:bCs/>
          <w:color w:val="7B003B"/>
          <w:sz w:val="24"/>
          <w:szCs w:val="24"/>
          <w:lang w:eastAsia="fr-FR"/>
        </w:rPr>
        <w:t>Niveau</w:t>
      </w:r>
      <w:r w:rsidRPr="00626B41">
        <w:rPr>
          <w:rFonts w:ascii="Times New Roman" w:eastAsia="Times New Roman" w:hAnsi="Times New Roman" w:cs="Times New Roman"/>
          <w:b/>
          <w:bCs/>
          <w:color w:val="7B003B"/>
          <w:sz w:val="24"/>
          <w:szCs w:val="24"/>
          <w:lang w:eastAsia="fr-FR"/>
        </w:rPr>
        <w:t xml:space="preserve"> de la fécondité (ISF)</w:t>
      </w:r>
      <w:r w:rsidRPr="00626B41">
        <w:rPr>
          <w:rFonts w:ascii="Times New Roman" w:eastAsia="Times New Roman" w:hAnsi="Times New Roman" w:cs="Times New Roman"/>
          <w:b/>
          <w:bCs/>
          <w:color w:val="7B003B"/>
          <w:sz w:val="24"/>
          <w:szCs w:val="24"/>
          <w:lang w:eastAsia="fr-FR"/>
        </w:rPr>
        <w:br/>
        <w:t>Ensemble du Maroc et milieu de résidence</w:t>
      </w:r>
      <w:r w:rsidR="003D00E3">
        <w:rPr>
          <w:rFonts w:ascii="Times New Roman" w:eastAsia="Times New Roman" w:hAnsi="Times New Roman" w:cs="Times New Roman"/>
          <w:b/>
          <w:bCs/>
          <w:color w:val="7B003B"/>
          <w:sz w:val="24"/>
          <w:szCs w:val="24"/>
          <w:lang w:eastAsia="fr-FR"/>
        </w:rPr>
        <w:br/>
        <w:t xml:space="preserve">aux recensements </w:t>
      </w:r>
      <w:r w:rsidRPr="00626B41">
        <w:rPr>
          <w:rFonts w:ascii="Times New Roman" w:eastAsia="Times New Roman" w:hAnsi="Times New Roman" w:cs="Times New Roman"/>
          <w:b/>
          <w:bCs/>
          <w:color w:val="7B003B"/>
          <w:sz w:val="24"/>
          <w:szCs w:val="24"/>
          <w:lang w:eastAsia="fr-FR"/>
        </w:rPr>
        <w:t>de 1970 à 2014</w:t>
      </w:r>
      <w:r w:rsidR="003D00E3">
        <w:rPr>
          <w:rFonts w:ascii="Times New Roman" w:eastAsia="Times New Roman" w:hAnsi="Times New Roman" w:cs="Times New Roman"/>
          <w:b/>
          <w:bCs/>
          <w:color w:val="7B003B"/>
          <w:sz w:val="24"/>
          <w:szCs w:val="24"/>
          <w:lang w:eastAsia="fr-FR"/>
        </w:rPr>
        <w:br/>
      </w:r>
      <w:r w:rsidRPr="005D06D8">
        <w:rPr>
          <w:rFonts w:asciiTheme="majorBidi" w:hAnsiTheme="majorBidi" w:cstheme="majorBidi"/>
          <w:noProof/>
          <w:sz w:val="26"/>
          <w:szCs w:val="26"/>
          <w:lang w:eastAsia="fr-FR"/>
        </w:rPr>
        <w:drawing>
          <wp:inline distT="0" distB="0" distL="0" distR="0">
            <wp:extent cx="4994031" cy="2584938"/>
            <wp:effectExtent l="0" t="0" r="0" b="0"/>
            <wp:docPr id="46"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8A5" w:rsidRPr="005D06D8" w:rsidRDefault="009938A5" w:rsidP="009938A5">
      <w:pPr>
        <w:pStyle w:val="Commentaire"/>
        <w:jc w:val="center"/>
        <w:rPr>
          <w:rFonts w:asciiTheme="majorBidi" w:hAnsiTheme="majorBidi" w:cstheme="majorBidi"/>
          <w:b/>
          <w:bCs/>
          <w:sz w:val="26"/>
          <w:szCs w:val="26"/>
        </w:rPr>
      </w:pPr>
    </w:p>
    <w:p w:rsidR="00940C40" w:rsidRPr="00136EB9" w:rsidRDefault="00260563" w:rsidP="00B500A5">
      <w:pPr>
        <w:pStyle w:val="Paragraphedeliste"/>
        <w:keepNext/>
        <w:keepLines/>
        <w:numPr>
          <w:ilvl w:val="0"/>
          <w:numId w:val="5"/>
        </w:numPr>
        <w:spacing w:after="0" w:line="240" w:lineRule="auto"/>
        <w:ind w:left="284" w:hanging="284"/>
        <w:rPr>
          <w:rFonts w:asciiTheme="majorBidi" w:hAnsiTheme="majorBidi" w:cstheme="majorBidi"/>
          <w:b/>
          <w:bCs/>
          <w:color w:val="0000FF"/>
          <w:sz w:val="26"/>
          <w:szCs w:val="26"/>
        </w:rPr>
      </w:pPr>
      <w:r>
        <w:rPr>
          <w:rFonts w:asciiTheme="majorBidi" w:hAnsiTheme="majorBidi" w:cstheme="majorBidi"/>
          <w:b/>
          <w:bCs/>
          <w:color w:val="0000FF"/>
          <w:sz w:val="26"/>
          <w:szCs w:val="26"/>
        </w:rPr>
        <w:lastRenderedPageBreak/>
        <w:t xml:space="preserve">Structures </w:t>
      </w:r>
      <w:r w:rsidR="00CE4CD8">
        <w:rPr>
          <w:rFonts w:asciiTheme="majorBidi" w:hAnsiTheme="majorBidi" w:cstheme="majorBidi"/>
          <w:b/>
          <w:bCs/>
          <w:color w:val="0000FF"/>
          <w:sz w:val="26"/>
          <w:szCs w:val="26"/>
        </w:rPr>
        <w:t xml:space="preserve">de </w:t>
      </w:r>
      <w:r w:rsidR="00940C40" w:rsidRPr="00136EB9">
        <w:rPr>
          <w:rFonts w:asciiTheme="majorBidi" w:hAnsiTheme="majorBidi" w:cstheme="majorBidi"/>
          <w:b/>
          <w:bCs/>
          <w:color w:val="0000FF"/>
          <w:sz w:val="26"/>
          <w:szCs w:val="26"/>
        </w:rPr>
        <w:t>la fécondité</w:t>
      </w:r>
    </w:p>
    <w:p w:rsidR="00D43F34" w:rsidRDefault="00CE4CD8" w:rsidP="00B500A5">
      <w:pPr>
        <w:pStyle w:val="Commentaire"/>
        <w:keepNext/>
        <w:keepLines/>
        <w:spacing w:before="120" w:after="120"/>
        <w:ind w:firstLine="709"/>
        <w:jc w:val="both"/>
        <w:rPr>
          <w:rFonts w:asciiTheme="majorBidi" w:hAnsiTheme="majorBidi" w:cstheme="majorBidi"/>
          <w:sz w:val="24"/>
          <w:szCs w:val="24"/>
        </w:rPr>
      </w:pPr>
      <w:bookmarkStart w:id="0" w:name="_Toc528766111"/>
      <w:r>
        <w:rPr>
          <w:rFonts w:asciiTheme="majorBidi" w:hAnsiTheme="majorBidi" w:cstheme="majorBidi"/>
          <w:sz w:val="24"/>
          <w:szCs w:val="24"/>
        </w:rPr>
        <w:t>La</w:t>
      </w:r>
      <w:r w:rsidR="00D43F34" w:rsidRPr="00375F6F">
        <w:rPr>
          <w:rFonts w:asciiTheme="majorBidi" w:hAnsiTheme="majorBidi" w:cstheme="majorBidi"/>
          <w:sz w:val="24"/>
          <w:szCs w:val="24"/>
        </w:rPr>
        <w:t xml:space="preserve"> baisse </w:t>
      </w:r>
      <w:r>
        <w:rPr>
          <w:rFonts w:asciiTheme="majorBidi" w:hAnsiTheme="majorBidi" w:cstheme="majorBidi"/>
          <w:sz w:val="24"/>
          <w:szCs w:val="24"/>
        </w:rPr>
        <w:t xml:space="preserve">tendancielle </w:t>
      </w:r>
      <w:r w:rsidR="00D43F34" w:rsidRPr="00375F6F">
        <w:rPr>
          <w:rFonts w:asciiTheme="majorBidi" w:hAnsiTheme="majorBidi" w:cstheme="majorBidi"/>
          <w:sz w:val="24"/>
          <w:szCs w:val="24"/>
        </w:rPr>
        <w:t xml:space="preserve">de la fécondité est due à deux facteurs </w:t>
      </w:r>
      <w:r w:rsidR="00672498">
        <w:rPr>
          <w:rFonts w:asciiTheme="majorBidi" w:hAnsiTheme="majorBidi" w:cstheme="majorBidi"/>
          <w:sz w:val="24"/>
          <w:szCs w:val="24"/>
        </w:rPr>
        <w:t>essentiels</w:t>
      </w:r>
      <w:r w:rsidR="00D43F34" w:rsidRPr="00375F6F">
        <w:rPr>
          <w:rFonts w:asciiTheme="majorBidi" w:hAnsiTheme="majorBidi" w:cstheme="majorBidi"/>
          <w:sz w:val="24"/>
          <w:szCs w:val="24"/>
        </w:rPr>
        <w:t>. D’abord le recul de l’âge au premier mariage, qui est passé en moyenne d’environ 17,3 ans chez les femmes en 1960 à 25,7 ans en 2014. Ensuite le rôle considérable qu’a joué la contraception. Elle était de 19,4% au début des années 80, et n’a pas cessé d’augmenter jusqu’à atteindre 70,8 % en 2018.</w:t>
      </w:r>
    </w:p>
    <w:p w:rsidR="006B3F5A" w:rsidRPr="00375F6F" w:rsidRDefault="008241AD" w:rsidP="0040597E">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Par ailleurs</w:t>
      </w:r>
      <w:r w:rsidR="006B3F5A">
        <w:rPr>
          <w:rFonts w:asciiTheme="majorBidi" w:hAnsiTheme="majorBidi" w:cstheme="majorBidi"/>
          <w:sz w:val="24"/>
          <w:szCs w:val="24"/>
        </w:rPr>
        <w:t xml:space="preserve">, </w:t>
      </w:r>
      <w:r w:rsidR="002A4A13">
        <w:rPr>
          <w:rFonts w:asciiTheme="majorBidi" w:hAnsiTheme="majorBidi" w:cstheme="majorBidi"/>
          <w:sz w:val="24"/>
          <w:szCs w:val="24"/>
        </w:rPr>
        <w:t xml:space="preserve">il a été </w:t>
      </w:r>
      <w:r w:rsidR="007B5ECA">
        <w:rPr>
          <w:rFonts w:asciiTheme="majorBidi" w:hAnsiTheme="majorBidi" w:cstheme="majorBidi"/>
          <w:sz w:val="24"/>
          <w:szCs w:val="24"/>
        </w:rPr>
        <w:t>constaté</w:t>
      </w:r>
      <w:r w:rsidR="002A4A13">
        <w:rPr>
          <w:rFonts w:asciiTheme="majorBidi" w:hAnsiTheme="majorBidi" w:cstheme="majorBidi"/>
          <w:sz w:val="24"/>
          <w:szCs w:val="24"/>
        </w:rPr>
        <w:t xml:space="preserve"> que l’âge au premier mariage de la femme se modifie </w:t>
      </w:r>
      <w:r>
        <w:rPr>
          <w:rFonts w:asciiTheme="majorBidi" w:hAnsiTheme="majorBidi" w:cstheme="majorBidi"/>
          <w:sz w:val="24"/>
          <w:szCs w:val="24"/>
        </w:rPr>
        <w:t xml:space="preserve">en fonction des circonstances en </w:t>
      </w:r>
      <w:r w:rsidR="002A4A13">
        <w:rPr>
          <w:rFonts w:asciiTheme="majorBidi" w:hAnsiTheme="majorBidi" w:cstheme="majorBidi"/>
          <w:sz w:val="24"/>
          <w:szCs w:val="24"/>
        </w:rPr>
        <w:t>réagissant aux crises</w:t>
      </w:r>
      <w:r w:rsidR="00EB7838">
        <w:rPr>
          <w:rFonts w:asciiTheme="majorBidi" w:hAnsiTheme="majorBidi" w:cstheme="majorBidi"/>
          <w:sz w:val="24"/>
          <w:szCs w:val="24"/>
        </w:rPr>
        <w:t xml:space="preserve"> et notamment aux crises de subsistance</w:t>
      </w:r>
      <w:r w:rsidR="0040597E">
        <w:rPr>
          <w:rFonts w:asciiTheme="majorBidi" w:hAnsiTheme="majorBidi" w:cstheme="majorBidi"/>
          <w:sz w:val="24"/>
          <w:szCs w:val="24"/>
        </w:rPr>
        <w:t xml:space="preserve">ou aux conditions économiques favorables </w:t>
      </w:r>
      <w:r w:rsidR="007B5ECA">
        <w:rPr>
          <w:rFonts w:asciiTheme="majorBidi" w:hAnsiTheme="majorBidi" w:cstheme="majorBidi"/>
          <w:sz w:val="24"/>
          <w:szCs w:val="24"/>
        </w:rPr>
        <w:t xml:space="preserve">et </w:t>
      </w:r>
      <w:r>
        <w:rPr>
          <w:rFonts w:asciiTheme="majorBidi" w:hAnsiTheme="majorBidi" w:cstheme="majorBidi"/>
          <w:sz w:val="24"/>
          <w:szCs w:val="24"/>
        </w:rPr>
        <w:t xml:space="preserve">la fécondité </w:t>
      </w:r>
      <w:r w:rsidR="0040597E">
        <w:rPr>
          <w:rFonts w:asciiTheme="majorBidi" w:hAnsiTheme="majorBidi" w:cstheme="majorBidi"/>
          <w:sz w:val="24"/>
          <w:szCs w:val="24"/>
        </w:rPr>
        <w:t>diminue</w:t>
      </w:r>
      <w:r>
        <w:rPr>
          <w:rFonts w:asciiTheme="majorBidi" w:hAnsiTheme="majorBidi" w:cstheme="majorBidi"/>
          <w:sz w:val="24"/>
          <w:szCs w:val="24"/>
        </w:rPr>
        <w:t xml:space="preserve"> ou augmente en conséquence. Ainsi,</w:t>
      </w:r>
      <w:r w:rsidR="007B5ECA">
        <w:rPr>
          <w:rFonts w:asciiTheme="majorBidi" w:hAnsiTheme="majorBidi" w:cstheme="majorBidi"/>
          <w:sz w:val="24"/>
          <w:szCs w:val="24"/>
        </w:rPr>
        <w:t>la</w:t>
      </w:r>
      <w:r w:rsidR="006B3F5A">
        <w:rPr>
          <w:rFonts w:asciiTheme="majorBidi" w:hAnsiTheme="majorBidi" w:cstheme="majorBidi"/>
          <w:sz w:val="24"/>
          <w:szCs w:val="24"/>
        </w:rPr>
        <w:t xml:space="preserve"> hausse globale de l’âge au premier mariage des femmes </w:t>
      </w:r>
      <w:r w:rsidR="007B5ECA">
        <w:rPr>
          <w:rFonts w:asciiTheme="majorBidi" w:hAnsiTheme="majorBidi" w:cstheme="majorBidi"/>
          <w:sz w:val="24"/>
          <w:szCs w:val="24"/>
        </w:rPr>
        <w:t xml:space="preserve">marocaines </w:t>
      </w:r>
      <w:r w:rsidR="006B3F5A">
        <w:rPr>
          <w:rFonts w:asciiTheme="majorBidi" w:hAnsiTheme="majorBidi" w:cstheme="majorBidi"/>
          <w:sz w:val="24"/>
          <w:szCs w:val="24"/>
        </w:rPr>
        <w:t>s’est estompée depuis 2004 enregistrant depuis une baisse, passant de 26,3 ans en 2004 à 25,7 ans en 2014 et à 25,5 ans en 2018. Cette baisse est relevée chez les femmes rurales, passant de 25,5 ans en 2004 à 24,8 ans en 2014 et à 23,9 ans en 2018. Par contre chez les femmes urbaines une reprise à la hausse de l’âge au premier mariage a été enregistrée en 2018, passant de27,1 ans en 2004 à 26,4 ans en 2014 et à 26,6 ans en 2018.</w:t>
      </w:r>
    </w:p>
    <w:p w:rsidR="00CE4CD8" w:rsidRPr="00375F6F" w:rsidRDefault="00BB1711" w:rsidP="00982AB8">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 xml:space="preserve">Les </w:t>
      </w:r>
      <w:r w:rsidR="009938A5" w:rsidRPr="00375F6F">
        <w:rPr>
          <w:rFonts w:asciiTheme="majorBidi" w:hAnsiTheme="majorBidi" w:cstheme="majorBidi"/>
          <w:sz w:val="24"/>
          <w:szCs w:val="24"/>
        </w:rPr>
        <w:t>taux de fécondité par âge de la femme révèle</w:t>
      </w:r>
      <w:r w:rsidR="008E5B3F">
        <w:rPr>
          <w:rFonts w:asciiTheme="majorBidi" w:hAnsiTheme="majorBidi" w:cstheme="majorBidi"/>
          <w:sz w:val="24"/>
          <w:szCs w:val="24"/>
        </w:rPr>
        <w:t>nt</w:t>
      </w:r>
      <w:r w:rsidR="009938A5" w:rsidRPr="00375F6F">
        <w:rPr>
          <w:rFonts w:asciiTheme="majorBidi" w:hAnsiTheme="majorBidi" w:cstheme="majorBidi"/>
          <w:sz w:val="24"/>
          <w:szCs w:val="24"/>
        </w:rPr>
        <w:t xml:space="preserve"> une légère hausse de ces taux</w:t>
      </w:r>
      <w:r w:rsidR="00A13AF4">
        <w:rPr>
          <w:rFonts w:asciiTheme="majorBidi" w:hAnsiTheme="majorBidi" w:cstheme="majorBidi"/>
          <w:sz w:val="24"/>
          <w:szCs w:val="24"/>
        </w:rPr>
        <w:t>,</w:t>
      </w:r>
      <w:r w:rsidR="009938A5" w:rsidRPr="00375F6F">
        <w:rPr>
          <w:rFonts w:asciiTheme="majorBidi" w:hAnsiTheme="majorBidi" w:cstheme="majorBidi"/>
          <w:sz w:val="24"/>
          <w:szCs w:val="24"/>
        </w:rPr>
        <w:t xml:space="preserve"> survenue </w:t>
      </w:r>
      <w:r w:rsidR="00CE4CD8" w:rsidRPr="00375F6F">
        <w:rPr>
          <w:rFonts w:asciiTheme="majorBidi" w:hAnsiTheme="majorBidi" w:cstheme="majorBidi"/>
          <w:sz w:val="24"/>
          <w:szCs w:val="24"/>
        </w:rPr>
        <w:t>entre 2004 et 2014</w:t>
      </w:r>
      <w:r w:rsidR="00CE4CD8">
        <w:rPr>
          <w:rFonts w:asciiTheme="majorBidi" w:hAnsiTheme="majorBidi" w:cstheme="majorBidi"/>
          <w:sz w:val="24"/>
          <w:szCs w:val="24"/>
        </w:rPr>
        <w:t>,</w:t>
      </w:r>
      <w:r w:rsidR="009938A5" w:rsidRPr="00375F6F">
        <w:rPr>
          <w:rFonts w:asciiTheme="majorBidi" w:hAnsiTheme="majorBidi" w:cstheme="majorBidi"/>
          <w:sz w:val="24"/>
          <w:szCs w:val="24"/>
        </w:rPr>
        <w:t>chez les femmes âgées de moins de vingt ans</w:t>
      </w:r>
      <w:r w:rsidR="00CA37B8">
        <w:rPr>
          <w:rFonts w:asciiTheme="majorBidi" w:hAnsiTheme="majorBidi" w:cstheme="majorBidi"/>
          <w:sz w:val="24"/>
          <w:szCs w:val="24"/>
        </w:rPr>
        <w:t>,</w:t>
      </w:r>
      <w:r w:rsidR="00CE4CD8">
        <w:rPr>
          <w:rFonts w:asciiTheme="majorBidi" w:hAnsiTheme="majorBidi" w:cstheme="majorBidi"/>
          <w:sz w:val="24"/>
          <w:szCs w:val="24"/>
        </w:rPr>
        <w:t>aussi bien dans le milieu urbain quedans le milieu rural</w:t>
      </w:r>
      <w:r w:rsidR="009938A5" w:rsidRPr="00375F6F">
        <w:rPr>
          <w:rFonts w:asciiTheme="majorBidi" w:hAnsiTheme="majorBidi" w:cstheme="majorBidi"/>
          <w:sz w:val="24"/>
          <w:szCs w:val="24"/>
        </w:rPr>
        <w:t xml:space="preserve"> (Figure </w:t>
      </w:r>
      <w:r w:rsidR="00982AB8">
        <w:rPr>
          <w:rFonts w:asciiTheme="majorBidi" w:hAnsiTheme="majorBidi" w:cstheme="majorBidi"/>
          <w:sz w:val="24"/>
          <w:szCs w:val="24"/>
        </w:rPr>
        <w:t>2</w:t>
      </w:r>
      <w:r w:rsidR="009938A5" w:rsidRPr="00375F6F">
        <w:rPr>
          <w:rFonts w:asciiTheme="majorBidi" w:hAnsiTheme="majorBidi" w:cstheme="majorBidi"/>
          <w:sz w:val="24"/>
          <w:szCs w:val="24"/>
        </w:rPr>
        <w:t xml:space="preserve">). </w:t>
      </w:r>
      <w:r w:rsidR="00CE4CD8" w:rsidRPr="00375F6F">
        <w:rPr>
          <w:rFonts w:asciiTheme="majorBidi" w:hAnsiTheme="majorBidi" w:cstheme="majorBidi"/>
          <w:sz w:val="24"/>
          <w:szCs w:val="24"/>
        </w:rPr>
        <w:t xml:space="preserve">La hausse de la fécondité des femmes d’au-delà des 35 ans n’a concerné que le milieu urbain et a touché la quasi-totalité des grandes villes. </w:t>
      </w:r>
    </w:p>
    <w:p w:rsidR="009938A5" w:rsidRPr="00626B41" w:rsidRDefault="009938A5" w:rsidP="00982AB8">
      <w:pPr>
        <w:keepNext/>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t xml:space="preserve">Figure </w:t>
      </w:r>
      <w:r w:rsidR="00982AB8">
        <w:rPr>
          <w:rFonts w:ascii="Times New Roman" w:eastAsia="Times New Roman" w:hAnsi="Times New Roman" w:cs="Times New Roman"/>
          <w:b/>
          <w:bCs/>
          <w:color w:val="7B003B"/>
          <w:sz w:val="24"/>
          <w:szCs w:val="24"/>
          <w:lang w:eastAsia="fr-FR"/>
        </w:rPr>
        <w:t>2</w:t>
      </w:r>
      <w:r w:rsidRPr="00626B41">
        <w:rPr>
          <w:rFonts w:ascii="Times New Roman" w:eastAsia="Times New Roman" w:hAnsi="Times New Roman" w:cs="Times New Roman"/>
          <w:b/>
          <w:bCs/>
          <w:color w:val="7B003B"/>
          <w:sz w:val="24"/>
          <w:szCs w:val="24"/>
          <w:lang w:eastAsia="fr-FR"/>
        </w:rPr>
        <w:t xml:space="preserve"> : Taux de fécondité (%) par âge </w:t>
      </w:r>
      <w:r w:rsidRPr="00626B41">
        <w:rPr>
          <w:rFonts w:ascii="Times New Roman" w:eastAsia="Times New Roman" w:hAnsi="Times New Roman" w:cs="Times New Roman"/>
          <w:b/>
          <w:bCs/>
          <w:color w:val="7B003B"/>
          <w:sz w:val="24"/>
          <w:szCs w:val="24"/>
          <w:lang w:eastAsia="fr-FR"/>
        </w:rPr>
        <w:br/>
        <w:t>pour l’ensemble du Maroc</w:t>
      </w:r>
    </w:p>
    <w:p w:rsidR="009938A5" w:rsidRPr="005D06D8" w:rsidRDefault="009938A5" w:rsidP="00CE4CD8">
      <w:pPr>
        <w:keepNext/>
        <w:spacing w:before="240" w:line="240" w:lineRule="auto"/>
        <w:ind w:firstLine="709"/>
        <w:jc w:val="both"/>
        <w:rPr>
          <w:rFonts w:asciiTheme="majorBidi" w:hAnsiTheme="majorBidi" w:cstheme="majorBidi"/>
          <w:sz w:val="26"/>
          <w:szCs w:val="26"/>
        </w:rPr>
      </w:pPr>
      <w:r w:rsidRPr="005D06D8">
        <w:rPr>
          <w:rFonts w:asciiTheme="majorBidi" w:hAnsiTheme="majorBidi" w:cstheme="majorBidi"/>
          <w:b/>
          <w:bCs/>
          <w:noProof/>
          <w:sz w:val="26"/>
          <w:szCs w:val="26"/>
          <w:lang w:eastAsia="fr-FR"/>
        </w:rPr>
        <w:drawing>
          <wp:inline distT="0" distB="0" distL="0" distR="0">
            <wp:extent cx="4906108" cy="2286000"/>
            <wp:effectExtent l="0" t="0" r="0" b="0"/>
            <wp:docPr id="47"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38A5" w:rsidRPr="00375F6F" w:rsidRDefault="00E03DFE" w:rsidP="00CA37B8">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L</w:t>
      </w:r>
      <w:r w:rsidR="00B50CD0">
        <w:rPr>
          <w:rFonts w:asciiTheme="majorBidi" w:hAnsiTheme="majorBidi" w:cstheme="majorBidi"/>
          <w:sz w:val="24"/>
          <w:szCs w:val="24"/>
        </w:rPr>
        <w:t>a hausse dans le milieu urbain</w:t>
      </w:r>
      <w:r w:rsidR="009938A5" w:rsidRPr="00375F6F">
        <w:rPr>
          <w:rFonts w:asciiTheme="majorBidi" w:hAnsiTheme="majorBidi" w:cstheme="majorBidi"/>
          <w:sz w:val="24"/>
          <w:szCs w:val="24"/>
        </w:rPr>
        <w:t xml:space="preserve"> pourrait être </w:t>
      </w:r>
      <w:r w:rsidR="00CA37B8">
        <w:rPr>
          <w:rFonts w:asciiTheme="majorBidi" w:hAnsiTheme="majorBidi" w:cstheme="majorBidi"/>
          <w:sz w:val="24"/>
          <w:szCs w:val="24"/>
        </w:rPr>
        <w:t>dueau</w:t>
      </w:r>
      <w:r w:rsidR="009938A5" w:rsidRPr="00375F6F">
        <w:rPr>
          <w:rFonts w:asciiTheme="majorBidi" w:hAnsiTheme="majorBidi" w:cstheme="majorBidi"/>
          <w:sz w:val="24"/>
          <w:szCs w:val="24"/>
        </w:rPr>
        <w:t xml:space="preserve"> fait que les femmes en milieu urbain ont tendance à reporter, momentanément, le projet de mariage et préfèreraient, dans un premier temps, une réalisation de soi et acquérir une certaine autonomie financière. Pour ce faire, elles optent à poursuivre les études et trouver un travail. Cela pourrait expliquer le fait qu’elles se marient, relativement, tard. Cependant, aussitôt en couple la question de la descendance devient prioritaire à cause des contraintes biologiques puisque en plus des risques de complication de grossesse la fertilité des femmes diminue avec l’âge.</w:t>
      </w:r>
      <w:r w:rsidR="003F682A">
        <w:rPr>
          <w:rFonts w:asciiTheme="majorBidi" w:hAnsiTheme="majorBidi" w:cstheme="majorBidi"/>
          <w:sz w:val="24"/>
          <w:szCs w:val="24"/>
        </w:rPr>
        <w:t xml:space="preserve">         </w:t>
      </w:r>
      <w:r w:rsidR="002B4DA4">
        <w:rPr>
          <w:rFonts w:asciiTheme="majorBidi" w:hAnsiTheme="majorBidi" w:cstheme="majorBidi"/>
          <w:sz w:val="24"/>
          <w:szCs w:val="24"/>
        </w:rPr>
        <w:t xml:space="preserve"> </w:t>
      </w:r>
    </w:p>
    <w:p w:rsidR="009938A5" w:rsidRPr="00375F6F" w:rsidRDefault="009938A5" w:rsidP="00B500A5">
      <w:pPr>
        <w:pStyle w:val="Commentaire"/>
        <w:keepLines/>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lastRenderedPageBreak/>
        <w:t xml:space="preserve">Par contre, la hausse du taux de fécondité chez les moins de 20 ans a touché simultanément les deux milieux sachant que la fécondité chez ce groupe d’âge </w:t>
      </w:r>
      <w:r w:rsidR="00A96128">
        <w:rPr>
          <w:rFonts w:asciiTheme="majorBidi" w:hAnsiTheme="majorBidi" w:cstheme="majorBidi"/>
          <w:sz w:val="24"/>
          <w:szCs w:val="24"/>
        </w:rPr>
        <w:t>a</w:t>
      </w:r>
      <w:r w:rsidRPr="00375F6F">
        <w:rPr>
          <w:rFonts w:asciiTheme="majorBidi" w:hAnsiTheme="majorBidi" w:cstheme="majorBidi"/>
          <w:sz w:val="24"/>
          <w:szCs w:val="24"/>
        </w:rPr>
        <w:t xml:space="preserve"> toujours été en baisse. Si cette situation est, relativement, compréhensive pour le milieu rural vues les coutumes et les traditions qui le caractérise</w:t>
      </w:r>
      <w:r w:rsidR="00F04CC3">
        <w:rPr>
          <w:rFonts w:asciiTheme="majorBidi" w:hAnsiTheme="majorBidi" w:cstheme="majorBidi"/>
          <w:sz w:val="24"/>
          <w:szCs w:val="24"/>
        </w:rPr>
        <w:t>nt</w:t>
      </w:r>
      <w:r w:rsidRPr="00375F6F">
        <w:rPr>
          <w:rFonts w:asciiTheme="majorBidi" w:hAnsiTheme="majorBidi" w:cstheme="majorBidi"/>
          <w:sz w:val="24"/>
          <w:szCs w:val="24"/>
        </w:rPr>
        <w:t xml:space="preserve"> elle reste fortuite pour le milieu urbain. De prime à bord, </w:t>
      </w:r>
      <w:r w:rsidR="00427A51">
        <w:rPr>
          <w:rFonts w:asciiTheme="majorBidi" w:hAnsiTheme="majorBidi" w:cstheme="majorBidi"/>
          <w:sz w:val="24"/>
          <w:szCs w:val="24"/>
        </w:rPr>
        <w:t xml:space="preserve">et sachant que les rapports sexuels et les naissances ne sont acceptés que dans la cadre du mariage, </w:t>
      </w:r>
      <w:r w:rsidRPr="00375F6F">
        <w:rPr>
          <w:rFonts w:asciiTheme="majorBidi" w:hAnsiTheme="majorBidi" w:cstheme="majorBidi"/>
          <w:sz w:val="24"/>
          <w:szCs w:val="24"/>
        </w:rPr>
        <w:t xml:space="preserve">cela signifie que la proportion des </w:t>
      </w:r>
      <w:r w:rsidR="00B50CD0">
        <w:rPr>
          <w:rFonts w:asciiTheme="majorBidi" w:hAnsiTheme="majorBidi" w:cstheme="majorBidi"/>
          <w:sz w:val="24"/>
          <w:szCs w:val="24"/>
        </w:rPr>
        <w:t>femmes non célibataires</w:t>
      </w:r>
      <w:r w:rsidRPr="00375F6F">
        <w:rPr>
          <w:rFonts w:asciiTheme="majorBidi" w:hAnsiTheme="majorBidi" w:cstheme="majorBidi"/>
          <w:sz w:val="24"/>
          <w:szCs w:val="24"/>
        </w:rPr>
        <w:t xml:space="preserve"> dans ce groupe s’est élevée</w:t>
      </w:r>
      <w:r w:rsidR="00B50CD0">
        <w:rPr>
          <w:rFonts w:asciiTheme="majorBidi" w:hAnsiTheme="majorBidi" w:cstheme="majorBidi"/>
          <w:sz w:val="24"/>
          <w:szCs w:val="24"/>
        </w:rPr>
        <w:t>, passant de 6% en 2004 à 7% en 2014, de 5% à 6% en milieu urbain et de 8% à 9% en milieu rural</w:t>
      </w:r>
      <w:r w:rsidRPr="00375F6F">
        <w:rPr>
          <w:rFonts w:asciiTheme="majorBidi" w:hAnsiTheme="majorBidi" w:cstheme="majorBidi"/>
          <w:sz w:val="24"/>
          <w:szCs w:val="24"/>
        </w:rPr>
        <w:t xml:space="preserve">. </w:t>
      </w:r>
    </w:p>
    <w:p w:rsidR="009938A5" w:rsidRPr="00375F6F" w:rsidRDefault="00E03DFE" w:rsidP="00CA37B8">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L</w:t>
      </w:r>
      <w:r w:rsidR="009938A5" w:rsidRPr="00375F6F">
        <w:rPr>
          <w:rFonts w:asciiTheme="majorBidi" w:hAnsiTheme="majorBidi" w:cstheme="majorBidi"/>
          <w:sz w:val="24"/>
          <w:szCs w:val="24"/>
        </w:rPr>
        <w:t>a proportion des femmes mariées a augmenté de 52,8% à 58% entre 2004 et 2014. Durant la même période, l’âge moyen au premier mariage chez les femmes est passé de 26,3 ans à 25,8 ans. Ce constat est, forcément, dû à une augmentation substantielle de la propor</w:t>
      </w:r>
      <w:r w:rsidR="00CE4CD8">
        <w:rPr>
          <w:rFonts w:asciiTheme="majorBidi" w:hAnsiTheme="majorBidi" w:cstheme="majorBidi"/>
          <w:sz w:val="24"/>
          <w:szCs w:val="24"/>
        </w:rPr>
        <w:t>tion de jeunes femmes mariées.</w:t>
      </w:r>
      <w:r w:rsidR="002F1A7C">
        <w:rPr>
          <w:rFonts w:asciiTheme="majorBidi" w:hAnsiTheme="majorBidi" w:cstheme="majorBidi"/>
          <w:sz w:val="24"/>
          <w:szCs w:val="24"/>
        </w:rPr>
        <w:t>L</w:t>
      </w:r>
      <w:r w:rsidR="00F00A5D">
        <w:rPr>
          <w:rFonts w:asciiTheme="majorBidi" w:hAnsiTheme="majorBidi" w:cstheme="majorBidi"/>
          <w:sz w:val="24"/>
          <w:szCs w:val="24"/>
        </w:rPr>
        <w:t>e taux de femme non-célibataires à 20-24 ans est passé de 38,7% en 2004 à 47% en 2014.</w:t>
      </w:r>
      <w:r w:rsidR="00401CEE">
        <w:rPr>
          <w:rFonts w:asciiTheme="majorBidi" w:hAnsiTheme="majorBidi" w:cstheme="majorBidi"/>
          <w:sz w:val="24"/>
          <w:szCs w:val="24"/>
        </w:rPr>
        <w:t xml:space="preserve">Cette augmentation globale est la résultante de celle </w:t>
      </w:r>
      <w:r w:rsidR="00CA37B8">
        <w:rPr>
          <w:rFonts w:asciiTheme="majorBidi" w:hAnsiTheme="majorBidi" w:cstheme="majorBidi"/>
          <w:sz w:val="24"/>
          <w:szCs w:val="24"/>
        </w:rPr>
        <w:t xml:space="preserve">enregistrée en </w:t>
      </w:r>
      <w:r w:rsidR="00401CEE">
        <w:rPr>
          <w:rFonts w:asciiTheme="majorBidi" w:hAnsiTheme="majorBidi" w:cstheme="majorBidi"/>
          <w:sz w:val="24"/>
          <w:szCs w:val="24"/>
        </w:rPr>
        <w:t>milieu urbain et d’une autre plus importante dans le milieu rural. Aussi, celui des hommes de 25-29 ans a légèrement augmenté entre les deux dates passant de 31,3% à 32,6%. Elle est la résultante d’une augmentation de 4 points de pourcentage au niveau de l’urbain et d’une légère baisse de 1,5 point de pourcentage au niveau du milieu rural.</w:t>
      </w:r>
    </w:p>
    <w:p w:rsidR="009938A5" w:rsidRDefault="009938A5" w:rsidP="00982AB8">
      <w:pPr>
        <w:pStyle w:val="Commentaire"/>
        <w:ind w:firstLine="709"/>
        <w:jc w:val="both"/>
        <w:rPr>
          <w:rFonts w:asciiTheme="majorBidi" w:eastAsiaTheme="minorHAnsi" w:hAnsiTheme="majorBidi" w:cstheme="majorBidi"/>
          <w:kern w:val="0"/>
          <w:sz w:val="24"/>
          <w:szCs w:val="24"/>
          <w:lang w:eastAsia="en-US"/>
        </w:rPr>
      </w:pPr>
      <w:r w:rsidRPr="00375F6F">
        <w:rPr>
          <w:rFonts w:asciiTheme="majorBidi" w:eastAsiaTheme="minorHAnsi" w:hAnsiTheme="majorBidi" w:cstheme="majorBidi"/>
          <w:kern w:val="0"/>
          <w:sz w:val="24"/>
          <w:szCs w:val="24"/>
          <w:lang w:eastAsia="en-US"/>
        </w:rPr>
        <w:t xml:space="preserve">La fécondité a augmenté dans le groupe d’âge 15-19 ans aussi bien dans les grandes villes que dans le milieu rural (Figure </w:t>
      </w:r>
      <w:r w:rsidR="00982AB8">
        <w:rPr>
          <w:rFonts w:asciiTheme="majorBidi" w:eastAsiaTheme="minorHAnsi" w:hAnsiTheme="majorBidi" w:cstheme="majorBidi"/>
          <w:kern w:val="0"/>
          <w:sz w:val="24"/>
          <w:szCs w:val="24"/>
          <w:lang w:eastAsia="en-US"/>
        </w:rPr>
        <w:t>3</w:t>
      </w:r>
      <w:r w:rsidRPr="00375F6F">
        <w:rPr>
          <w:rFonts w:asciiTheme="majorBidi" w:eastAsiaTheme="minorHAnsi" w:hAnsiTheme="majorBidi" w:cstheme="majorBidi"/>
          <w:kern w:val="0"/>
          <w:sz w:val="24"/>
          <w:szCs w:val="24"/>
          <w:lang w:eastAsia="en-US"/>
        </w:rPr>
        <w:t>). Elle a augmenté de 41% à Tanger, 35% à Casablanca, de 24% à Meknès et de 5% à Rabat-Salé. Dans le groupe d’âge 35 ans et plus, et à l’exception de la ville de Fès où le taux de fécondité a baissé, une augmentation de 12% a été enregistrée à Marrakech, 11% à Rabat-Salé et environ 7% à Casablanca. Par contre, en milieu rural, et pour le même groupe d’âge, la fécondité a connu une baisse de presque 23%. Pour le reste des groupes d’âges, de 20 à 34 ans, la fécondité a globalement baissé à l’exception de Tanger où une augmentation de 6% a été enregistrée chez le groupe d’âge 20-24 ans.</w:t>
      </w:r>
    </w:p>
    <w:p w:rsidR="0082512D" w:rsidRPr="00375F6F" w:rsidRDefault="0082512D" w:rsidP="009938A5">
      <w:pPr>
        <w:pStyle w:val="Commentaire"/>
        <w:keepLines/>
        <w:ind w:firstLine="709"/>
        <w:jc w:val="both"/>
        <w:rPr>
          <w:rFonts w:asciiTheme="majorBidi" w:eastAsiaTheme="minorHAnsi" w:hAnsiTheme="majorBidi" w:cstheme="majorBidi"/>
          <w:kern w:val="0"/>
          <w:sz w:val="24"/>
          <w:szCs w:val="24"/>
          <w:lang w:eastAsia="en-US"/>
        </w:rPr>
      </w:pPr>
    </w:p>
    <w:p w:rsidR="009938A5" w:rsidRPr="00626B41" w:rsidRDefault="009938A5" w:rsidP="00982AB8">
      <w:pPr>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t xml:space="preserve">Figure </w:t>
      </w:r>
      <w:r w:rsidR="00982AB8">
        <w:rPr>
          <w:rFonts w:ascii="Times New Roman" w:eastAsia="Times New Roman" w:hAnsi="Times New Roman" w:cs="Times New Roman"/>
          <w:b/>
          <w:bCs/>
          <w:color w:val="7B003B"/>
          <w:sz w:val="24"/>
          <w:szCs w:val="24"/>
          <w:lang w:eastAsia="fr-FR"/>
        </w:rPr>
        <w:t>3</w:t>
      </w:r>
      <w:r w:rsidRPr="00626B41">
        <w:rPr>
          <w:rFonts w:ascii="Times New Roman" w:eastAsia="Times New Roman" w:hAnsi="Times New Roman" w:cs="Times New Roman"/>
          <w:b/>
          <w:bCs/>
          <w:color w:val="7B003B"/>
          <w:sz w:val="24"/>
          <w:szCs w:val="24"/>
          <w:lang w:eastAsia="fr-FR"/>
        </w:rPr>
        <w:t xml:space="preserve"> : Accroissement de la fécondité par âge </w:t>
      </w:r>
      <w:r w:rsidRPr="00626B41">
        <w:rPr>
          <w:rFonts w:ascii="Times New Roman" w:eastAsia="Times New Roman" w:hAnsi="Times New Roman" w:cs="Times New Roman"/>
          <w:b/>
          <w:bCs/>
          <w:color w:val="7B003B"/>
          <w:sz w:val="24"/>
          <w:szCs w:val="24"/>
          <w:lang w:eastAsia="fr-FR"/>
        </w:rPr>
        <w:br/>
        <w:t>et par milieu de résidence(%), RGPH 2004-2014</w:t>
      </w:r>
    </w:p>
    <w:p w:rsidR="009938A5" w:rsidRPr="005D06D8" w:rsidRDefault="009938A5" w:rsidP="005F5402">
      <w:pPr>
        <w:tabs>
          <w:tab w:val="left" w:pos="993"/>
          <w:tab w:val="left" w:pos="1985"/>
          <w:tab w:val="left" w:pos="2410"/>
        </w:tabs>
        <w:autoSpaceDE w:val="0"/>
        <w:autoSpaceDN w:val="0"/>
        <w:adjustRightInd w:val="0"/>
        <w:spacing w:after="0" w:line="240" w:lineRule="auto"/>
        <w:jc w:val="center"/>
        <w:rPr>
          <w:rFonts w:asciiTheme="majorBidi" w:hAnsiTheme="majorBidi" w:cstheme="majorBidi"/>
          <w:sz w:val="26"/>
          <w:szCs w:val="26"/>
        </w:rPr>
      </w:pPr>
      <w:r w:rsidRPr="005D06D8">
        <w:rPr>
          <w:rFonts w:asciiTheme="majorBidi" w:hAnsiTheme="majorBidi" w:cstheme="majorBidi"/>
          <w:noProof/>
          <w:sz w:val="26"/>
          <w:szCs w:val="26"/>
          <w:lang w:eastAsia="fr-FR"/>
        </w:rPr>
        <w:drawing>
          <wp:inline distT="0" distB="0" distL="0" distR="0">
            <wp:extent cx="5275385" cy="2540977"/>
            <wp:effectExtent l="0" t="0" r="0" b="0"/>
            <wp:docPr id="17"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0"/>
    <w:p w:rsidR="00940C40" w:rsidRPr="00136EB9" w:rsidRDefault="001106F5" w:rsidP="005F5402">
      <w:pPr>
        <w:pStyle w:val="Paragraphedeliste"/>
        <w:keepNext/>
        <w:keepLines/>
        <w:numPr>
          <w:ilvl w:val="0"/>
          <w:numId w:val="5"/>
        </w:numPr>
        <w:spacing w:after="0" w:line="240" w:lineRule="auto"/>
        <w:ind w:left="284" w:hanging="284"/>
        <w:rPr>
          <w:rFonts w:asciiTheme="majorBidi" w:hAnsiTheme="majorBidi" w:cstheme="majorBidi"/>
          <w:b/>
          <w:bCs/>
          <w:color w:val="0000FF"/>
          <w:sz w:val="26"/>
          <w:szCs w:val="26"/>
        </w:rPr>
      </w:pPr>
      <w:r>
        <w:rPr>
          <w:rFonts w:asciiTheme="majorBidi" w:hAnsiTheme="majorBidi" w:cstheme="majorBidi"/>
          <w:b/>
          <w:bCs/>
          <w:color w:val="0000FF"/>
          <w:sz w:val="26"/>
          <w:szCs w:val="26"/>
        </w:rPr>
        <w:lastRenderedPageBreak/>
        <w:t xml:space="preserve">Une tendance problématique </w:t>
      </w:r>
      <w:r w:rsidR="00054442">
        <w:rPr>
          <w:rFonts w:asciiTheme="majorBidi" w:hAnsiTheme="majorBidi" w:cstheme="majorBidi"/>
          <w:b/>
          <w:bCs/>
          <w:color w:val="0000FF"/>
          <w:sz w:val="26"/>
          <w:szCs w:val="26"/>
        </w:rPr>
        <w:t xml:space="preserve">de la fécondité </w:t>
      </w:r>
      <w:r>
        <w:rPr>
          <w:rFonts w:asciiTheme="majorBidi" w:hAnsiTheme="majorBidi" w:cstheme="majorBidi"/>
          <w:b/>
          <w:bCs/>
          <w:color w:val="0000FF"/>
          <w:sz w:val="26"/>
          <w:szCs w:val="26"/>
        </w:rPr>
        <w:t>au Maroc</w:t>
      </w:r>
    </w:p>
    <w:p w:rsidR="009938A5" w:rsidRPr="00375F6F" w:rsidRDefault="009938A5" w:rsidP="00CA37B8">
      <w:pPr>
        <w:pStyle w:val="Commentaire"/>
        <w:keepNext/>
        <w:keepLines/>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 xml:space="preserve">Des études récentes </w:t>
      </w:r>
      <w:r w:rsidR="00CA37B8">
        <w:rPr>
          <w:rFonts w:asciiTheme="majorBidi" w:hAnsiTheme="majorBidi" w:cstheme="majorBidi"/>
          <w:sz w:val="24"/>
          <w:szCs w:val="24"/>
        </w:rPr>
        <w:t>ont</w:t>
      </w:r>
      <w:r w:rsidRPr="00375F6F">
        <w:rPr>
          <w:rFonts w:asciiTheme="majorBidi" w:hAnsiTheme="majorBidi" w:cstheme="majorBidi"/>
          <w:sz w:val="24"/>
          <w:szCs w:val="24"/>
        </w:rPr>
        <w:t xml:space="preserve"> indiqu</w:t>
      </w:r>
      <w:r w:rsidR="00CA37B8">
        <w:rPr>
          <w:rFonts w:asciiTheme="majorBidi" w:hAnsiTheme="majorBidi" w:cstheme="majorBidi"/>
          <w:sz w:val="24"/>
          <w:szCs w:val="24"/>
        </w:rPr>
        <w:t xml:space="preserve">é </w:t>
      </w:r>
      <w:r w:rsidRPr="00375F6F">
        <w:rPr>
          <w:rFonts w:asciiTheme="majorBidi" w:hAnsiTheme="majorBidi" w:cstheme="majorBidi"/>
          <w:sz w:val="24"/>
          <w:szCs w:val="24"/>
        </w:rPr>
        <w:t xml:space="preserve">qu’une stagnation de la fécondité est </w:t>
      </w:r>
      <w:r w:rsidR="0088495C" w:rsidRPr="00375F6F">
        <w:rPr>
          <w:rFonts w:asciiTheme="majorBidi" w:hAnsiTheme="majorBidi" w:cstheme="majorBidi"/>
          <w:sz w:val="24"/>
          <w:szCs w:val="24"/>
        </w:rPr>
        <w:t>en train</w:t>
      </w:r>
      <w:r w:rsidRPr="00375F6F">
        <w:rPr>
          <w:rFonts w:asciiTheme="majorBidi" w:hAnsiTheme="majorBidi" w:cstheme="majorBidi"/>
          <w:sz w:val="24"/>
          <w:szCs w:val="24"/>
        </w:rPr>
        <w:t xml:space="preserve"> de s’installer, et parfois-même une reprise de la fécondité a été enregistrée</w:t>
      </w:r>
      <w:r w:rsidR="005F5402">
        <w:rPr>
          <w:rFonts w:asciiTheme="majorBidi" w:hAnsiTheme="majorBidi" w:cstheme="majorBidi"/>
          <w:sz w:val="24"/>
          <w:szCs w:val="24"/>
        </w:rPr>
        <w:t>,</w:t>
      </w:r>
      <w:r w:rsidRPr="00375F6F">
        <w:rPr>
          <w:rFonts w:asciiTheme="majorBidi" w:hAnsiTheme="majorBidi" w:cstheme="majorBidi"/>
          <w:sz w:val="24"/>
          <w:szCs w:val="24"/>
        </w:rPr>
        <w:t xml:space="preserve"> dans certaines régions du monde, notamment, dans les pays arabes.</w:t>
      </w:r>
    </w:p>
    <w:p w:rsidR="009938A5" w:rsidRPr="00375F6F" w:rsidRDefault="009938A5" w:rsidP="00ED094F">
      <w:pPr>
        <w:pStyle w:val="Commentaire"/>
        <w:keepLines/>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En 2015, quelques pays ont connu une augmentation inhabituelle de la fécondité au cours de la période 2005-2015. Elle est, relativement, faible en Tunisie et au Maroc mais a été persistante en Algérie où la fécondité est passée de 2,4 à 2,9 enfants par femme entre 2000-2005 et 2010-2015. La baisse de la fécondité a également stagné en Iraq et en Jordanie. En Égypte, l’indice synthétique de la fécondité est passé de 3,0 à 3,5 entre 2008 et 2014. Ces augmentations ont été précédées d'une décélération du taux de baisse de la fécondité.</w:t>
      </w:r>
    </w:p>
    <w:p w:rsidR="00982AB8" w:rsidRDefault="00CA37B8" w:rsidP="00CA37B8">
      <w:pPr>
        <w:pStyle w:val="Commentaire"/>
        <w:keepLines/>
        <w:spacing w:before="120" w:after="120"/>
        <w:ind w:firstLine="709"/>
        <w:jc w:val="both"/>
        <w:rPr>
          <w:rFonts w:asciiTheme="majorBidi" w:eastAsiaTheme="minorHAnsi" w:hAnsiTheme="majorBidi" w:cstheme="majorBidi"/>
          <w:kern w:val="0"/>
          <w:sz w:val="24"/>
          <w:szCs w:val="24"/>
          <w:lang w:eastAsia="en-US"/>
        </w:rPr>
      </w:pPr>
      <w:r>
        <w:rPr>
          <w:rFonts w:asciiTheme="majorBidi" w:eastAsiaTheme="minorHAnsi" w:hAnsiTheme="majorBidi" w:cstheme="majorBidi"/>
          <w:kern w:val="0"/>
          <w:sz w:val="24"/>
          <w:szCs w:val="24"/>
          <w:lang w:eastAsia="en-US"/>
        </w:rPr>
        <w:t>Au Maroc, l</w:t>
      </w:r>
      <w:r w:rsidR="00E03DFE" w:rsidRPr="00375F6F">
        <w:rPr>
          <w:rFonts w:asciiTheme="majorBidi" w:eastAsiaTheme="minorHAnsi" w:hAnsiTheme="majorBidi" w:cstheme="majorBidi"/>
          <w:kern w:val="0"/>
          <w:sz w:val="24"/>
          <w:szCs w:val="24"/>
          <w:lang w:eastAsia="en-US"/>
        </w:rPr>
        <w:t>es premiers résultats de l’Enquête Nationale sur la Population et la Santé Familiale (ENPSF 2018) semblent indiquer que la fécondité est entrain d’enregistrer une baisse</w:t>
      </w:r>
      <w:r w:rsidR="00982AB8">
        <w:rPr>
          <w:rFonts w:asciiTheme="majorBidi" w:eastAsiaTheme="minorHAnsi" w:hAnsiTheme="majorBidi" w:cstheme="majorBidi"/>
          <w:kern w:val="0"/>
          <w:sz w:val="24"/>
          <w:szCs w:val="24"/>
          <w:lang w:eastAsia="en-US"/>
        </w:rPr>
        <w:t xml:space="preserve"> comparativement à celle de 2011 (F</w:t>
      </w:r>
      <w:r w:rsidR="00E03DFE" w:rsidRPr="00375F6F">
        <w:rPr>
          <w:rFonts w:asciiTheme="majorBidi" w:eastAsiaTheme="minorHAnsi" w:hAnsiTheme="majorBidi" w:cstheme="majorBidi"/>
          <w:kern w:val="0"/>
          <w:sz w:val="24"/>
          <w:szCs w:val="24"/>
          <w:lang w:eastAsia="en-US"/>
        </w:rPr>
        <w:t xml:space="preserve">igure </w:t>
      </w:r>
      <w:r w:rsidR="00982AB8">
        <w:rPr>
          <w:rFonts w:asciiTheme="majorBidi" w:eastAsiaTheme="minorHAnsi" w:hAnsiTheme="majorBidi" w:cstheme="majorBidi"/>
          <w:kern w:val="0"/>
          <w:sz w:val="24"/>
          <w:szCs w:val="24"/>
          <w:lang w:eastAsia="en-US"/>
        </w:rPr>
        <w:t>4).</w:t>
      </w:r>
    </w:p>
    <w:p w:rsidR="00ED094F" w:rsidRPr="00375F6F" w:rsidRDefault="00ED094F" w:rsidP="00CA37B8">
      <w:pPr>
        <w:pStyle w:val="Commentaire"/>
        <w:keepLines/>
        <w:spacing w:before="120" w:after="120"/>
        <w:ind w:firstLine="709"/>
        <w:jc w:val="both"/>
        <w:rPr>
          <w:rFonts w:asciiTheme="majorBidi" w:hAnsiTheme="majorBidi" w:cstheme="majorBidi"/>
          <w:sz w:val="24"/>
          <w:szCs w:val="24"/>
        </w:rPr>
      </w:pPr>
      <w:r>
        <w:rPr>
          <w:rFonts w:asciiTheme="majorBidi" w:eastAsiaTheme="minorHAnsi" w:hAnsiTheme="majorBidi" w:cstheme="majorBidi"/>
          <w:kern w:val="0"/>
          <w:sz w:val="24"/>
          <w:szCs w:val="24"/>
          <w:lang w:eastAsia="en-US"/>
        </w:rPr>
        <w:t>L</w:t>
      </w:r>
      <w:r w:rsidRPr="00375F6F">
        <w:rPr>
          <w:rFonts w:asciiTheme="majorBidi" w:eastAsiaTheme="minorHAnsi" w:hAnsiTheme="majorBidi" w:cstheme="majorBidi"/>
          <w:kern w:val="0"/>
          <w:sz w:val="24"/>
          <w:szCs w:val="24"/>
          <w:lang w:eastAsia="en-US"/>
        </w:rPr>
        <w:t xml:space="preserve">’évolution de la fécondité marocaine à travers les enquêtes démographiques et de la santé montre qu’après avoir continuellement régressé au fil des années, la fécondité en 2011, a enregistré une faible hausse par rapport </w:t>
      </w:r>
      <w:r w:rsidR="00CA37B8">
        <w:rPr>
          <w:rFonts w:asciiTheme="majorBidi" w:eastAsiaTheme="minorHAnsi" w:hAnsiTheme="majorBidi" w:cstheme="majorBidi"/>
          <w:kern w:val="0"/>
          <w:sz w:val="24"/>
          <w:szCs w:val="24"/>
          <w:lang w:eastAsia="en-US"/>
        </w:rPr>
        <w:t>au RGPH</w:t>
      </w:r>
      <w:r w:rsidRPr="00375F6F">
        <w:rPr>
          <w:rFonts w:asciiTheme="majorBidi" w:eastAsiaTheme="minorHAnsi" w:hAnsiTheme="majorBidi" w:cstheme="majorBidi"/>
          <w:kern w:val="0"/>
          <w:sz w:val="24"/>
          <w:szCs w:val="24"/>
          <w:lang w:eastAsia="en-US"/>
        </w:rPr>
        <w:t xml:space="preserve"> 2004, passant de 2,5 à 2,59 enfants par femme, avant de descendre à nouveau à 2,38 enfants par femme en 2018. Même avec cette baisse, ce dernier taux reste supérieur à celui du RGPH 2014 (2,21 enfants).</w:t>
      </w:r>
    </w:p>
    <w:p w:rsidR="00ED094F" w:rsidRDefault="00ED094F" w:rsidP="00982AB8">
      <w:pPr>
        <w:pStyle w:val="Commentaire"/>
        <w:keepLines/>
        <w:spacing w:before="120" w:after="120"/>
        <w:ind w:firstLine="709"/>
        <w:jc w:val="both"/>
        <w:rPr>
          <w:rFonts w:asciiTheme="majorBidi" w:eastAsiaTheme="minorHAnsi" w:hAnsiTheme="majorBidi" w:cstheme="majorBidi"/>
          <w:kern w:val="0"/>
          <w:sz w:val="24"/>
          <w:szCs w:val="24"/>
          <w:lang w:eastAsia="en-US"/>
        </w:rPr>
      </w:pPr>
    </w:p>
    <w:p w:rsidR="00E03DFE" w:rsidRPr="00626B41" w:rsidRDefault="00E03DFE" w:rsidP="00982AB8">
      <w:pPr>
        <w:keepNext/>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t xml:space="preserve">Figure </w:t>
      </w:r>
      <w:r w:rsidR="00982AB8">
        <w:rPr>
          <w:rFonts w:ascii="Times New Roman" w:eastAsia="Times New Roman" w:hAnsi="Times New Roman" w:cs="Times New Roman"/>
          <w:b/>
          <w:bCs/>
          <w:color w:val="7B003B"/>
          <w:sz w:val="24"/>
          <w:szCs w:val="24"/>
          <w:lang w:eastAsia="fr-FR"/>
        </w:rPr>
        <w:t>4</w:t>
      </w:r>
      <w:r w:rsidRPr="00626B41">
        <w:rPr>
          <w:rFonts w:ascii="Times New Roman" w:eastAsia="Times New Roman" w:hAnsi="Times New Roman" w:cs="Times New Roman"/>
          <w:b/>
          <w:bCs/>
          <w:color w:val="7B003B"/>
          <w:sz w:val="24"/>
          <w:szCs w:val="24"/>
          <w:lang w:eastAsia="fr-FR"/>
        </w:rPr>
        <w:t xml:space="preserve"> : </w:t>
      </w:r>
      <w:r>
        <w:rPr>
          <w:rFonts w:ascii="Times New Roman" w:eastAsia="Times New Roman" w:hAnsi="Times New Roman" w:cs="Times New Roman"/>
          <w:b/>
          <w:bCs/>
          <w:color w:val="7B003B"/>
          <w:sz w:val="24"/>
          <w:szCs w:val="24"/>
          <w:lang w:eastAsia="fr-FR"/>
        </w:rPr>
        <w:t xml:space="preserve">Niveau de la </w:t>
      </w:r>
      <w:r w:rsidRPr="00626B41">
        <w:rPr>
          <w:rFonts w:ascii="Times New Roman" w:eastAsia="Times New Roman" w:hAnsi="Times New Roman" w:cs="Times New Roman"/>
          <w:b/>
          <w:bCs/>
          <w:color w:val="7B003B"/>
          <w:sz w:val="24"/>
          <w:szCs w:val="24"/>
          <w:lang w:eastAsia="fr-FR"/>
        </w:rPr>
        <w:t xml:space="preserve">fécondité </w:t>
      </w:r>
      <w:r>
        <w:rPr>
          <w:rFonts w:ascii="Times New Roman" w:eastAsia="Times New Roman" w:hAnsi="Times New Roman" w:cs="Times New Roman"/>
          <w:b/>
          <w:bCs/>
          <w:color w:val="7B003B"/>
          <w:sz w:val="24"/>
          <w:szCs w:val="24"/>
          <w:lang w:eastAsia="fr-FR"/>
        </w:rPr>
        <w:t xml:space="preserve">(ISF) </w:t>
      </w:r>
      <w:r>
        <w:rPr>
          <w:rFonts w:ascii="Times New Roman" w:eastAsia="Times New Roman" w:hAnsi="Times New Roman" w:cs="Times New Roman"/>
          <w:b/>
          <w:bCs/>
          <w:color w:val="7B003B"/>
          <w:sz w:val="24"/>
          <w:szCs w:val="24"/>
          <w:lang w:eastAsia="fr-FR"/>
        </w:rPr>
        <w:br/>
      </w:r>
      <w:r w:rsidRPr="00626B41">
        <w:rPr>
          <w:rFonts w:ascii="Times New Roman" w:eastAsia="Times New Roman" w:hAnsi="Times New Roman" w:cs="Times New Roman"/>
          <w:b/>
          <w:bCs/>
          <w:color w:val="7B003B"/>
          <w:sz w:val="24"/>
          <w:szCs w:val="24"/>
          <w:lang w:eastAsia="fr-FR"/>
        </w:rPr>
        <w:t>pour l’ensemble du Maroc et par milieu de résidence</w:t>
      </w:r>
      <w:r w:rsidRPr="00626B41">
        <w:rPr>
          <w:rFonts w:ascii="Times New Roman" w:eastAsia="Times New Roman" w:hAnsi="Times New Roman" w:cs="Times New Roman"/>
          <w:b/>
          <w:bCs/>
          <w:color w:val="7B003B"/>
          <w:sz w:val="24"/>
          <w:szCs w:val="24"/>
          <w:lang w:eastAsia="fr-FR"/>
        </w:rPr>
        <w:br/>
      </w:r>
      <w:r>
        <w:rPr>
          <w:rFonts w:ascii="Times New Roman" w:eastAsia="Times New Roman" w:hAnsi="Times New Roman" w:cs="Times New Roman"/>
          <w:b/>
          <w:bCs/>
          <w:color w:val="7B003B"/>
          <w:sz w:val="24"/>
          <w:szCs w:val="24"/>
          <w:lang w:eastAsia="fr-FR"/>
        </w:rPr>
        <w:t>aux enquêtes de santé de 1987 à 2018</w:t>
      </w:r>
    </w:p>
    <w:p w:rsidR="00E03DFE" w:rsidRPr="005D06D8" w:rsidRDefault="00E03DFE" w:rsidP="00E03DFE">
      <w:pPr>
        <w:pStyle w:val="Commentaire"/>
        <w:keepNext/>
        <w:jc w:val="center"/>
        <w:rPr>
          <w:rFonts w:asciiTheme="majorBidi" w:hAnsiTheme="majorBidi" w:cstheme="majorBidi"/>
          <w:b/>
          <w:bCs/>
          <w:sz w:val="26"/>
          <w:szCs w:val="26"/>
        </w:rPr>
      </w:pPr>
      <w:r w:rsidRPr="005D06D8">
        <w:rPr>
          <w:rFonts w:asciiTheme="majorBidi" w:hAnsiTheme="majorBidi" w:cstheme="majorBidi"/>
          <w:b/>
          <w:bCs/>
          <w:noProof/>
          <w:sz w:val="26"/>
          <w:szCs w:val="26"/>
        </w:rPr>
        <w:drawing>
          <wp:inline distT="0" distB="0" distL="0" distR="0">
            <wp:extent cx="4623289" cy="2294793"/>
            <wp:effectExtent l="0" t="0" r="0" b="0"/>
            <wp:docPr id="3"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5CDF" w:rsidRDefault="00775CDF" w:rsidP="00982AB8">
      <w:pPr>
        <w:pStyle w:val="Commentaire"/>
        <w:spacing w:before="120" w:after="120"/>
        <w:ind w:firstLine="709"/>
        <w:jc w:val="both"/>
        <w:rPr>
          <w:rFonts w:asciiTheme="majorBidi" w:hAnsiTheme="majorBidi" w:cstheme="majorBidi"/>
          <w:sz w:val="24"/>
          <w:szCs w:val="24"/>
        </w:rPr>
      </w:pPr>
      <w:r w:rsidRPr="00375F6F">
        <w:rPr>
          <w:rFonts w:asciiTheme="majorBidi" w:hAnsiTheme="majorBidi" w:cstheme="majorBidi"/>
          <w:sz w:val="24"/>
          <w:szCs w:val="24"/>
        </w:rPr>
        <w:t>Globalement</w:t>
      </w:r>
      <w:r w:rsidR="00ED094F">
        <w:rPr>
          <w:rFonts w:asciiTheme="majorBidi" w:hAnsiTheme="majorBidi" w:cstheme="majorBidi"/>
          <w:sz w:val="24"/>
          <w:szCs w:val="24"/>
        </w:rPr>
        <w:t>,</w:t>
      </w:r>
      <w:r w:rsidRPr="00375F6F">
        <w:rPr>
          <w:rFonts w:asciiTheme="majorBidi" w:hAnsiTheme="majorBidi" w:cstheme="majorBidi"/>
          <w:sz w:val="24"/>
          <w:szCs w:val="24"/>
        </w:rPr>
        <w:t xml:space="preserve"> et jusqu’en 2010, la fécondité tendait vers la baisse, et cemalgré les légères fluctuations observées entre 1992 et 1997. A partir de 2014, une légère hausse de la fécondité a été entamée, pratiquement, dans les deux milieux de résidence, et a continué jusqu’en 2018. Ainsi, l’ISF annoncé</w:t>
      </w:r>
      <w:r>
        <w:rPr>
          <w:rFonts w:asciiTheme="majorBidi" w:hAnsiTheme="majorBidi" w:cstheme="majorBidi"/>
          <w:sz w:val="24"/>
          <w:szCs w:val="24"/>
        </w:rPr>
        <w:t>,</w:t>
      </w:r>
      <w:r w:rsidRPr="00375F6F">
        <w:rPr>
          <w:rFonts w:asciiTheme="majorBidi" w:hAnsiTheme="majorBidi" w:cstheme="majorBidi"/>
          <w:sz w:val="24"/>
          <w:szCs w:val="24"/>
        </w:rPr>
        <w:t xml:space="preserve"> qui était de l’ordre de 2,21 enfants par femme en 2014, et qui est légèrement supérieur à celui de 2010 (2,19 enfants par femme), a continué son ascension pour atteindre 2,38 enfants par femme en 2018(Figure </w:t>
      </w:r>
      <w:r w:rsidR="00982AB8">
        <w:rPr>
          <w:rFonts w:asciiTheme="majorBidi" w:hAnsiTheme="majorBidi" w:cstheme="majorBidi"/>
          <w:sz w:val="24"/>
          <w:szCs w:val="24"/>
        </w:rPr>
        <w:t>5</w:t>
      </w:r>
      <w:r w:rsidRPr="00375F6F">
        <w:rPr>
          <w:rFonts w:asciiTheme="majorBidi" w:hAnsiTheme="majorBidi" w:cstheme="majorBidi"/>
          <w:sz w:val="24"/>
          <w:szCs w:val="24"/>
        </w:rPr>
        <w:t>).</w:t>
      </w:r>
    </w:p>
    <w:p w:rsidR="005F5402" w:rsidRDefault="005F5402" w:rsidP="00775CDF">
      <w:pPr>
        <w:pStyle w:val="Commentaire"/>
        <w:spacing w:before="120" w:after="120"/>
        <w:ind w:firstLine="709"/>
        <w:jc w:val="both"/>
        <w:rPr>
          <w:rFonts w:asciiTheme="majorBidi" w:hAnsiTheme="majorBidi" w:cstheme="majorBidi"/>
          <w:sz w:val="24"/>
          <w:szCs w:val="24"/>
        </w:rPr>
      </w:pPr>
    </w:p>
    <w:p w:rsidR="00775CDF" w:rsidRPr="00626B41" w:rsidRDefault="00775CDF" w:rsidP="004444F8">
      <w:pPr>
        <w:keepNext/>
        <w:spacing w:line="240" w:lineRule="auto"/>
        <w:jc w:val="center"/>
        <w:rPr>
          <w:rFonts w:ascii="Times New Roman" w:eastAsia="Times New Roman" w:hAnsi="Times New Roman" w:cs="Times New Roman"/>
          <w:b/>
          <w:bCs/>
          <w:color w:val="7B003B"/>
          <w:sz w:val="24"/>
          <w:szCs w:val="24"/>
          <w:lang w:eastAsia="fr-FR"/>
        </w:rPr>
      </w:pPr>
      <w:r w:rsidRPr="00626B41">
        <w:rPr>
          <w:rFonts w:ascii="Times New Roman" w:eastAsia="Times New Roman" w:hAnsi="Times New Roman" w:cs="Times New Roman"/>
          <w:b/>
          <w:bCs/>
          <w:color w:val="7B003B"/>
          <w:sz w:val="24"/>
          <w:szCs w:val="24"/>
          <w:lang w:eastAsia="fr-FR"/>
        </w:rPr>
        <w:lastRenderedPageBreak/>
        <w:t xml:space="preserve">Figure </w:t>
      </w:r>
      <w:r w:rsidR="00982AB8">
        <w:rPr>
          <w:rFonts w:ascii="Times New Roman" w:eastAsia="Times New Roman" w:hAnsi="Times New Roman" w:cs="Times New Roman"/>
          <w:b/>
          <w:bCs/>
          <w:color w:val="7B003B"/>
          <w:sz w:val="24"/>
          <w:szCs w:val="24"/>
          <w:lang w:eastAsia="fr-FR"/>
        </w:rPr>
        <w:t>5</w:t>
      </w:r>
      <w:r w:rsidRPr="00626B41">
        <w:rPr>
          <w:rFonts w:ascii="Times New Roman" w:eastAsia="Times New Roman" w:hAnsi="Times New Roman" w:cs="Times New Roman"/>
          <w:b/>
          <w:bCs/>
          <w:color w:val="7B003B"/>
          <w:sz w:val="24"/>
          <w:szCs w:val="24"/>
          <w:lang w:eastAsia="fr-FR"/>
        </w:rPr>
        <w:t xml:space="preserve"> : </w:t>
      </w:r>
      <w:r w:rsidR="004444F8">
        <w:rPr>
          <w:rFonts w:ascii="Times New Roman" w:eastAsia="Times New Roman" w:hAnsi="Times New Roman" w:cs="Times New Roman"/>
          <w:b/>
          <w:bCs/>
          <w:color w:val="7B003B"/>
          <w:sz w:val="24"/>
          <w:szCs w:val="24"/>
          <w:lang w:eastAsia="fr-FR"/>
        </w:rPr>
        <w:t>Niveau</w:t>
      </w:r>
      <w:r w:rsidRPr="00626B41">
        <w:rPr>
          <w:rFonts w:ascii="Times New Roman" w:eastAsia="Times New Roman" w:hAnsi="Times New Roman" w:cs="Times New Roman"/>
          <w:b/>
          <w:bCs/>
          <w:color w:val="7B003B"/>
          <w:sz w:val="24"/>
          <w:szCs w:val="24"/>
          <w:lang w:eastAsia="fr-FR"/>
        </w:rPr>
        <w:t xml:space="preserve"> de </w:t>
      </w:r>
      <w:r w:rsidR="004444F8">
        <w:rPr>
          <w:rFonts w:ascii="Times New Roman" w:eastAsia="Times New Roman" w:hAnsi="Times New Roman" w:cs="Times New Roman"/>
          <w:b/>
          <w:bCs/>
          <w:color w:val="7B003B"/>
          <w:sz w:val="24"/>
          <w:szCs w:val="24"/>
          <w:lang w:eastAsia="fr-FR"/>
        </w:rPr>
        <w:t xml:space="preserve">la </w:t>
      </w:r>
      <w:r w:rsidRPr="00626B41">
        <w:rPr>
          <w:rFonts w:ascii="Times New Roman" w:eastAsia="Times New Roman" w:hAnsi="Times New Roman" w:cs="Times New Roman"/>
          <w:b/>
          <w:bCs/>
          <w:color w:val="7B003B"/>
          <w:sz w:val="24"/>
          <w:szCs w:val="24"/>
          <w:lang w:eastAsia="fr-FR"/>
        </w:rPr>
        <w:t xml:space="preserve">fécondité pour l’ensemble du Maroc </w:t>
      </w:r>
      <w:r w:rsidRPr="00626B41">
        <w:rPr>
          <w:rFonts w:ascii="Times New Roman" w:eastAsia="Times New Roman" w:hAnsi="Times New Roman" w:cs="Times New Roman"/>
          <w:b/>
          <w:bCs/>
          <w:color w:val="7B003B"/>
          <w:sz w:val="24"/>
          <w:szCs w:val="24"/>
          <w:lang w:eastAsia="fr-FR"/>
        </w:rPr>
        <w:br/>
        <w:t>et par milieu de résidence</w:t>
      </w:r>
      <w:r w:rsidR="00DC5BB4">
        <w:rPr>
          <w:rFonts w:ascii="Times New Roman" w:eastAsia="Times New Roman" w:hAnsi="Times New Roman" w:cs="Times New Roman"/>
          <w:b/>
          <w:bCs/>
          <w:color w:val="7B003B"/>
          <w:sz w:val="24"/>
          <w:szCs w:val="24"/>
          <w:lang w:eastAsia="fr-FR"/>
        </w:rPr>
        <w:t xml:space="preserve"> entre 1982 et 2018</w:t>
      </w:r>
      <w:bookmarkStart w:id="1" w:name="_GoBack"/>
      <w:bookmarkEnd w:id="1"/>
    </w:p>
    <w:p w:rsidR="00775CDF" w:rsidRPr="005D06D8" w:rsidRDefault="00775CDF" w:rsidP="00775CDF">
      <w:pPr>
        <w:keepNext/>
        <w:spacing w:after="0" w:line="240" w:lineRule="auto"/>
        <w:jc w:val="center"/>
        <w:rPr>
          <w:rFonts w:asciiTheme="majorBidi" w:hAnsiTheme="majorBidi" w:cstheme="majorBidi"/>
          <w:b/>
          <w:bCs/>
          <w:sz w:val="26"/>
          <w:szCs w:val="26"/>
        </w:rPr>
      </w:pPr>
      <w:r w:rsidRPr="005D06D8">
        <w:rPr>
          <w:rFonts w:asciiTheme="majorBidi" w:hAnsiTheme="majorBidi" w:cstheme="majorBidi"/>
          <w:b/>
          <w:bCs/>
          <w:noProof/>
          <w:sz w:val="26"/>
          <w:szCs w:val="26"/>
          <w:lang w:eastAsia="fr-FR"/>
        </w:rPr>
        <w:drawing>
          <wp:inline distT="0" distB="0" distL="0" distR="0">
            <wp:extent cx="4410710" cy="2623931"/>
            <wp:effectExtent l="0" t="0" r="8890" b="508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6392" w:rsidRDefault="009A659F" w:rsidP="00E16392">
      <w:pPr>
        <w:pStyle w:val="Commentaire"/>
        <w:keepLines/>
        <w:spacing w:before="120" w:after="120"/>
        <w:ind w:firstLine="709"/>
        <w:jc w:val="both"/>
        <w:rPr>
          <w:rFonts w:asciiTheme="majorBidi" w:hAnsiTheme="majorBidi" w:cstheme="majorBidi"/>
          <w:sz w:val="24"/>
          <w:szCs w:val="24"/>
        </w:rPr>
      </w:pPr>
      <w:r>
        <w:rPr>
          <w:rFonts w:asciiTheme="majorBidi" w:hAnsiTheme="majorBidi" w:cstheme="majorBidi"/>
          <w:sz w:val="24"/>
          <w:szCs w:val="24"/>
        </w:rPr>
        <w:t>C</w:t>
      </w:r>
      <w:r w:rsidR="00E16392" w:rsidRPr="00375F6F">
        <w:rPr>
          <w:rFonts w:asciiTheme="majorBidi" w:hAnsiTheme="majorBidi" w:cstheme="majorBidi"/>
          <w:sz w:val="24"/>
          <w:szCs w:val="24"/>
        </w:rPr>
        <w:t>es fluctuations observées dans l’intensité de la fécondité nous poussent à se résigner à opter pour une tendance claire. Si on analyse, séparément, les données des recensements de la population et celles des enquêtes démographiques et de santé, la tendance est globalement vers la baisse. Par contre, lorsqu’on combine les deux sources d’information, la tendance se modifie vers la hausse depuis 2010.</w:t>
      </w:r>
    </w:p>
    <w:p w:rsidR="00B56AD7" w:rsidRDefault="00B56AD7" w:rsidP="009A659F">
      <w:pPr>
        <w:pStyle w:val="Commentaire"/>
        <w:spacing w:before="120" w:after="120"/>
        <w:ind w:firstLine="709"/>
        <w:jc w:val="both"/>
        <w:rPr>
          <w:rFonts w:asciiTheme="majorBidi" w:hAnsiTheme="majorBidi" w:cstheme="majorBidi"/>
          <w:sz w:val="24"/>
          <w:szCs w:val="24"/>
        </w:rPr>
      </w:pPr>
      <w:r>
        <w:rPr>
          <w:rFonts w:asciiTheme="majorBidi" w:hAnsiTheme="majorBidi" w:cstheme="majorBidi"/>
          <w:sz w:val="24"/>
          <w:szCs w:val="24"/>
        </w:rPr>
        <w:t>A</w:t>
      </w:r>
      <w:r w:rsidRPr="00375F6F">
        <w:rPr>
          <w:rFonts w:asciiTheme="majorBidi" w:hAnsiTheme="majorBidi" w:cstheme="majorBidi"/>
          <w:sz w:val="24"/>
          <w:szCs w:val="24"/>
        </w:rPr>
        <w:t xml:space="preserve"> priori, </w:t>
      </w:r>
      <w:r>
        <w:rPr>
          <w:rFonts w:asciiTheme="majorBidi" w:hAnsiTheme="majorBidi" w:cstheme="majorBidi"/>
          <w:sz w:val="24"/>
          <w:szCs w:val="24"/>
        </w:rPr>
        <w:t>l</w:t>
      </w:r>
      <w:r w:rsidRPr="00375F6F">
        <w:rPr>
          <w:rFonts w:asciiTheme="majorBidi" w:hAnsiTheme="majorBidi" w:cstheme="majorBidi"/>
          <w:sz w:val="24"/>
          <w:szCs w:val="24"/>
        </w:rPr>
        <w:t>es estimations de la fécondité, des recensements ou des enquêtes démographiques et de santé (EDS), devraient être proches</w:t>
      </w:r>
      <w:r>
        <w:rPr>
          <w:rFonts w:asciiTheme="majorBidi" w:hAnsiTheme="majorBidi" w:cstheme="majorBidi"/>
          <w:sz w:val="24"/>
          <w:szCs w:val="24"/>
        </w:rPr>
        <w:t>,</w:t>
      </w:r>
      <w:r w:rsidRPr="00375F6F">
        <w:rPr>
          <w:rFonts w:asciiTheme="majorBidi" w:hAnsiTheme="majorBidi" w:cstheme="majorBidi"/>
          <w:sz w:val="24"/>
          <w:szCs w:val="24"/>
        </w:rPr>
        <w:t xml:space="preserve"> ou même semblables, mais ce constat soulève des questions d’ordre méthodologique, notamment de nature et de période de référence de chaque opération statistique. </w:t>
      </w:r>
      <w:r w:rsidR="009A659F">
        <w:rPr>
          <w:rFonts w:asciiTheme="majorBidi" w:hAnsiTheme="majorBidi" w:cstheme="majorBidi"/>
          <w:sz w:val="24"/>
          <w:szCs w:val="24"/>
        </w:rPr>
        <w:t>Seules d</w:t>
      </w:r>
      <w:r w:rsidRPr="00375F6F">
        <w:rPr>
          <w:rFonts w:asciiTheme="majorBidi" w:hAnsiTheme="majorBidi" w:cstheme="majorBidi"/>
          <w:sz w:val="24"/>
          <w:szCs w:val="24"/>
        </w:rPr>
        <w:t>’autres opérations statistiques futures permettront de confirmer ou d’infirmer une éventuelle tendance de la fécondité au Maroc.</w:t>
      </w:r>
    </w:p>
    <w:p w:rsidR="00672498" w:rsidRDefault="00672498" w:rsidP="00136EB9">
      <w:pPr>
        <w:pStyle w:val="Commentaire"/>
        <w:spacing w:before="120" w:after="120"/>
        <w:ind w:firstLine="709"/>
        <w:jc w:val="both"/>
        <w:rPr>
          <w:b/>
          <w:bCs/>
          <w:sz w:val="28"/>
          <w:szCs w:val="28"/>
        </w:rPr>
      </w:pPr>
    </w:p>
    <w:sectPr w:rsidR="00672498" w:rsidSect="00A73241">
      <w:footerReference w:type="default" r:id="rId15"/>
      <w:pgSz w:w="11906" w:h="16838" w:code="9"/>
      <w:pgMar w:top="1418" w:right="1418" w:bottom="1418" w:left="1418"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785" w:rsidRDefault="00B62785" w:rsidP="00A01B4E">
      <w:pPr>
        <w:spacing w:after="0" w:line="240" w:lineRule="auto"/>
      </w:pPr>
      <w:r>
        <w:separator/>
      </w:r>
    </w:p>
  </w:endnote>
  <w:endnote w:type="continuationSeparator" w:id="1">
    <w:p w:rsidR="00B62785" w:rsidRDefault="00B62785" w:rsidP="00A01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811059"/>
      <w:docPartObj>
        <w:docPartGallery w:val="Page Numbers (Bottom of Page)"/>
        <w:docPartUnique/>
      </w:docPartObj>
    </w:sdtPr>
    <w:sdtContent>
      <w:p w:rsidR="00465670" w:rsidRDefault="007641FF">
        <w:pPr>
          <w:pStyle w:val="Pieddepage"/>
        </w:pPr>
        <w:r>
          <w:rPr>
            <w:noProof/>
            <w:lang w:eastAsia="fr-FR"/>
          </w:rPr>
          <w:pict>
            <v:rect id="Rectangle 7" o:spid="_x0000_s4097"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DeFhX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265420" w:rsidRDefault="007641FF">
                    <w:pPr>
                      <w:pBdr>
                        <w:top w:val="single" w:sz="4" w:space="1" w:color="7F7F7F" w:themeColor="background1" w:themeShade="7F"/>
                      </w:pBdr>
                      <w:jc w:val="center"/>
                      <w:rPr>
                        <w:color w:val="C0504D" w:themeColor="accent2"/>
                      </w:rPr>
                    </w:pPr>
                    <w:r w:rsidRPr="007641FF">
                      <w:fldChar w:fldCharType="begin"/>
                    </w:r>
                    <w:r w:rsidR="00265420">
                      <w:instrText>PAGE   \* MERGEFORMAT</w:instrText>
                    </w:r>
                    <w:r w:rsidRPr="007641FF">
                      <w:fldChar w:fldCharType="separate"/>
                    </w:r>
                    <w:r w:rsidR="002B4DA4" w:rsidRPr="002B4DA4">
                      <w:rPr>
                        <w:noProof/>
                        <w:color w:val="C0504D" w:themeColor="accent2"/>
                      </w:rPr>
                      <w:t>1</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785" w:rsidRDefault="00B62785" w:rsidP="00A01B4E">
      <w:pPr>
        <w:spacing w:after="0" w:line="240" w:lineRule="auto"/>
      </w:pPr>
      <w:r>
        <w:separator/>
      </w:r>
    </w:p>
  </w:footnote>
  <w:footnote w:type="continuationSeparator" w:id="1">
    <w:p w:rsidR="00B62785" w:rsidRDefault="00B62785" w:rsidP="00A01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3316"/>
    <w:multiLevelType w:val="multilevel"/>
    <w:tmpl w:val="0E8EDF6E"/>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25428F1"/>
    <w:multiLevelType w:val="hybridMultilevel"/>
    <w:tmpl w:val="472237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1077E2"/>
    <w:multiLevelType w:val="hybridMultilevel"/>
    <w:tmpl w:val="CEBC7688"/>
    <w:lvl w:ilvl="0" w:tplc="6CD22D1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5DED1C93"/>
    <w:multiLevelType w:val="hybridMultilevel"/>
    <w:tmpl w:val="20863A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5CF15C9"/>
    <w:multiLevelType w:val="hybridMultilevel"/>
    <w:tmpl w:val="C95427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872BC"/>
    <w:rsid w:val="0000029E"/>
    <w:rsid w:val="000012BF"/>
    <w:rsid w:val="00003814"/>
    <w:rsid w:val="00004598"/>
    <w:rsid w:val="0003071C"/>
    <w:rsid w:val="00030909"/>
    <w:rsid w:val="0003273D"/>
    <w:rsid w:val="00033676"/>
    <w:rsid w:val="00033A67"/>
    <w:rsid w:val="00036EB3"/>
    <w:rsid w:val="00041715"/>
    <w:rsid w:val="00042862"/>
    <w:rsid w:val="00047D27"/>
    <w:rsid w:val="00054442"/>
    <w:rsid w:val="00054BD7"/>
    <w:rsid w:val="000678E2"/>
    <w:rsid w:val="00070E45"/>
    <w:rsid w:val="00074386"/>
    <w:rsid w:val="00080790"/>
    <w:rsid w:val="00090AAD"/>
    <w:rsid w:val="000927B4"/>
    <w:rsid w:val="0009413B"/>
    <w:rsid w:val="0009615A"/>
    <w:rsid w:val="000A2187"/>
    <w:rsid w:val="000C0967"/>
    <w:rsid w:val="000C0E72"/>
    <w:rsid w:val="000C5DAA"/>
    <w:rsid w:val="000D02F4"/>
    <w:rsid w:val="000D2F2C"/>
    <w:rsid w:val="000D3AD0"/>
    <w:rsid w:val="000D5382"/>
    <w:rsid w:val="000D791D"/>
    <w:rsid w:val="000F0B13"/>
    <w:rsid w:val="000F1153"/>
    <w:rsid w:val="000F14DF"/>
    <w:rsid w:val="001011DD"/>
    <w:rsid w:val="00101C8A"/>
    <w:rsid w:val="00106D9C"/>
    <w:rsid w:val="001106F5"/>
    <w:rsid w:val="0011246E"/>
    <w:rsid w:val="0011286F"/>
    <w:rsid w:val="0011290F"/>
    <w:rsid w:val="001162EA"/>
    <w:rsid w:val="00124818"/>
    <w:rsid w:val="001252F6"/>
    <w:rsid w:val="0013148C"/>
    <w:rsid w:val="00136EB9"/>
    <w:rsid w:val="00137275"/>
    <w:rsid w:val="00147CFB"/>
    <w:rsid w:val="00150DA9"/>
    <w:rsid w:val="00151336"/>
    <w:rsid w:val="0015423E"/>
    <w:rsid w:val="00161A2D"/>
    <w:rsid w:val="001644D1"/>
    <w:rsid w:val="0016455A"/>
    <w:rsid w:val="001734BE"/>
    <w:rsid w:val="00173D24"/>
    <w:rsid w:val="00187824"/>
    <w:rsid w:val="00191CB3"/>
    <w:rsid w:val="00193F91"/>
    <w:rsid w:val="001959DB"/>
    <w:rsid w:val="001A2CC9"/>
    <w:rsid w:val="001A4B92"/>
    <w:rsid w:val="001A5FE9"/>
    <w:rsid w:val="001A62A3"/>
    <w:rsid w:val="001B6212"/>
    <w:rsid w:val="001B6C59"/>
    <w:rsid w:val="001C329B"/>
    <w:rsid w:val="001C597E"/>
    <w:rsid w:val="001C77E8"/>
    <w:rsid w:val="001D4630"/>
    <w:rsid w:val="001D4950"/>
    <w:rsid w:val="001D6D8B"/>
    <w:rsid w:val="001E4AF7"/>
    <w:rsid w:val="002026D5"/>
    <w:rsid w:val="00203D48"/>
    <w:rsid w:val="00213853"/>
    <w:rsid w:val="0021407D"/>
    <w:rsid w:val="00235CCE"/>
    <w:rsid w:val="0023729E"/>
    <w:rsid w:val="002408AC"/>
    <w:rsid w:val="002443AF"/>
    <w:rsid w:val="00252E6B"/>
    <w:rsid w:val="00253AC8"/>
    <w:rsid w:val="0025425F"/>
    <w:rsid w:val="00260563"/>
    <w:rsid w:val="002615D5"/>
    <w:rsid w:val="00264267"/>
    <w:rsid w:val="00265420"/>
    <w:rsid w:val="0027083A"/>
    <w:rsid w:val="00271D92"/>
    <w:rsid w:val="0029220D"/>
    <w:rsid w:val="00292575"/>
    <w:rsid w:val="00292A5A"/>
    <w:rsid w:val="00297119"/>
    <w:rsid w:val="002A05B0"/>
    <w:rsid w:val="002A18A1"/>
    <w:rsid w:val="002A336A"/>
    <w:rsid w:val="002A4A13"/>
    <w:rsid w:val="002A585B"/>
    <w:rsid w:val="002A6B64"/>
    <w:rsid w:val="002B3EAB"/>
    <w:rsid w:val="002B4DA4"/>
    <w:rsid w:val="002B74F0"/>
    <w:rsid w:val="002B7FD0"/>
    <w:rsid w:val="002C0EA6"/>
    <w:rsid w:val="002D08EC"/>
    <w:rsid w:val="002D4264"/>
    <w:rsid w:val="002D61ED"/>
    <w:rsid w:val="002F17B0"/>
    <w:rsid w:val="002F1A7C"/>
    <w:rsid w:val="003006EE"/>
    <w:rsid w:val="00305AC5"/>
    <w:rsid w:val="00306AE8"/>
    <w:rsid w:val="003101D1"/>
    <w:rsid w:val="0031042D"/>
    <w:rsid w:val="00311577"/>
    <w:rsid w:val="00315318"/>
    <w:rsid w:val="00317FF5"/>
    <w:rsid w:val="00320CE4"/>
    <w:rsid w:val="00322839"/>
    <w:rsid w:val="00325F3D"/>
    <w:rsid w:val="003366B2"/>
    <w:rsid w:val="00336855"/>
    <w:rsid w:val="00344CAD"/>
    <w:rsid w:val="00347D6A"/>
    <w:rsid w:val="003576BD"/>
    <w:rsid w:val="003707C1"/>
    <w:rsid w:val="00380F09"/>
    <w:rsid w:val="00387365"/>
    <w:rsid w:val="00395A87"/>
    <w:rsid w:val="003A53FD"/>
    <w:rsid w:val="003A584E"/>
    <w:rsid w:val="003B46EA"/>
    <w:rsid w:val="003D00E3"/>
    <w:rsid w:val="003D1BF4"/>
    <w:rsid w:val="003D4655"/>
    <w:rsid w:val="003E619A"/>
    <w:rsid w:val="003E6FD2"/>
    <w:rsid w:val="003F682A"/>
    <w:rsid w:val="00400B3A"/>
    <w:rsid w:val="00401CEE"/>
    <w:rsid w:val="0040597E"/>
    <w:rsid w:val="004061FE"/>
    <w:rsid w:val="00413150"/>
    <w:rsid w:val="004131B2"/>
    <w:rsid w:val="00415EFB"/>
    <w:rsid w:val="004170A3"/>
    <w:rsid w:val="00426A20"/>
    <w:rsid w:val="00426A6E"/>
    <w:rsid w:val="00427A51"/>
    <w:rsid w:val="00437232"/>
    <w:rsid w:val="004373F0"/>
    <w:rsid w:val="00440F54"/>
    <w:rsid w:val="0044138E"/>
    <w:rsid w:val="004444F8"/>
    <w:rsid w:val="00454867"/>
    <w:rsid w:val="004573B7"/>
    <w:rsid w:val="00464C1D"/>
    <w:rsid w:val="00465670"/>
    <w:rsid w:val="00471730"/>
    <w:rsid w:val="00477D6A"/>
    <w:rsid w:val="004858D0"/>
    <w:rsid w:val="004B140B"/>
    <w:rsid w:val="004B43E3"/>
    <w:rsid w:val="004B572B"/>
    <w:rsid w:val="004C1251"/>
    <w:rsid w:val="004D389A"/>
    <w:rsid w:val="004D4DA3"/>
    <w:rsid w:val="004E467D"/>
    <w:rsid w:val="004F02A1"/>
    <w:rsid w:val="004F7BF9"/>
    <w:rsid w:val="005053D6"/>
    <w:rsid w:val="00506286"/>
    <w:rsid w:val="005134D2"/>
    <w:rsid w:val="00514384"/>
    <w:rsid w:val="00521FCF"/>
    <w:rsid w:val="005255A7"/>
    <w:rsid w:val="00531D00"/>
    <w:rsid w:val="00536625"/>
    <w:rsid w:val="00537FB1"/>
    <w:rsid w:val="005414C0"/>
    <w:rsid w:val="00541C23"/>
    <w:rsid w:val="005420E3"/>
    <w:rsid w:val="00544831"/>
    <w:rsid w:val="00544B58"/>
    <w:rsid w:val="00550E59"/>
    <w:rsid w:val="0055305E"/>
    <w:rsid w:val="0055727A"/>
    <w:rsid w:val="00563964"/>
    <w:rsid w:val="00572245"/>
    <w:rsid w:val="005745E5"/>
    <w:rsid w:val="005747BE"/>
    <w:rsid w:val="0058345C"/>
    <w:rsid w:val="00583863"/>
    <w:rsid w:val="00585FB5"/>
    <w:rsid w:val="00586700"/>
    <w:rsid w:val="0058675F"/>
    <w:rsid w:val="00596B2A"/>
    <w:rsid w:val="005A7990"/>
    <w:rsid w:val="005B1FE7"/>
    <w:rsid w:val="005B3EA1"/>
    <w:rsid w:val="005B642D"/>
    <w:rsid w:val="005C0628"/>
    <w:rsid w:val="005C3581"/>
    <w:rsid w:val="005C3720"/>
    <w:rsid w:val="005C4D1D"/>
    <w:rsid w:val="005C75B1"/>
    <w:rsid w:val="005D71C3"/>
    <w:rsid w:val="005D7AEB"/>
    <w:rsid w:val="005E7D9C"/>
    <w:rsid w:val="005F1893"/>
    <w:rsid w:val="005F410B"/>
    <w:rsid w:val="005F5402"/>
    <w:rsid w:val="005F6A82"/>
    <w:rsid w:val="005F7F9C"/>
    <w:rsid w:val="0060123D"/>
    <w:rsid w:val="00606411"/>
    <w:rsid w:val="00607BD0"/>
    <w:rsid w:val="00617751"/>
    <w:rsid w:val="00622F88"/>
    <w:rsid w:val="00624623"/>
    <w:rsid w:val="00625497"/>
    <w:rsid w:val="006263FB"/>
    <w:rsid w:val="00626D71"/>
    <w:rsid w:val="0062790A"/>
    <w:rsid w:val="00632783"/>
    <w:rsid w:val="00633B3B"/>
    <w:rsid w:val="006400F3"/>
    <w:rsid w:val="006503AC"/>
    <w:rsid w:val="00650905"/>
    <w:rsid w:val="006547AC"/>
    <w:rsid w:val="00661301"/>
    <w:rsid w:val="00666C3E"/>
    <w:rsid w:val="00672498"/>
    <w:rsid w:val="0067354F"/>
    <w:rsid w:val="00676DBB"/>
    <w:rsid w:val="00683FC4"/>
    <w:rsid w:val="00684E53"/>
    <w:rsid w:val="00691394"/>
    <w:rsid w:val="00691FAF"/>
    <w:rsid w:val="00692936"/>
    <w:rsid w:val="00693E50"/>
    <w:rsid w:val="0069645D"/>
    <w:rsid w:val="006A41B4"/>
    <w:rsid w:val="006A4794"/>
    <w:rsid w:val="006B3F5A"/>
    <w:rsid w:val="006B67AF"/>
    <w:rsid w:val="006B7A1B"/>
    <w:rsid w:val="006C4ED4"/>
    <w:rsid w:val="006C7296"/>
    <w:rsid w:val="006D18EB"/>
    <w:rsid w:val="006D4F25"/>
    <w:rsid w:val="006D54D3"/>
    <w:rsid w:val="006F306E"/>
    <w:rsid w:val="006F473D"/>
    <w:rsid w:val="006F4D57"/>
    <w:rsid w:val="006F7426"/>
    <w:rsid w:val="00700282"/>
    <w:rsid w:val="00707C39"/>
    <w:rsid w:val="0071176A"/>
    <w:rsid w:val="007137F0"/>
    <w:rsid w:val="00713A5E"/>
    <w:rsid w:val="00727FE4"/>
    <w:rsid w:val="00735CE7"/>
    <w:rsid w:val="007503CE"/>
    <w:rsid w:val="00750BDE"/>
    <w:rsid w:val="00753840"/>
    <w:rsid w:val="00753F0C"/>
    <w:rsid w:val="0075471B"/>
    <w:rsid w:val="00755401"/>
    <w:rsid w:val="007641FF"/>
    <w:rsid w:val="00775CDF"/>
    <w:rsid w:val="00780582"/>
    <w:rsid w:val="007836DA"/>
    <w:rsid w:val="00787712"/>
    <w:rsid w:val="00795F58"/>
    <w:rsid w:val="007A591C"/>
    <w:rsid w:val="007B3C56"/>
    <w:rsid w:val="007B43F6"/>
    <w:rsid w:val="007B5ECA"/>
    <w:rsid w:val="007C235F"/>
    <w:rsid w:val="007C290F"/>
    <w:rsid w:val="007C3895"/>
    <w:rsid w:val="007C60FC"/>
    <w:rsid w:val="007D06BF"/>
    <w:rsid w:val="007D253D"/>
    <w:rsid w:val="007D7074"/>
    <w:rsid w:val="007E7CA8"/>
    <w:rsid w:val="00803880"/>
    <w:rsid w:val="00804678"/>
    <w:rsid w:val="0080519C"/>
    <w:rsid w:val="00817232"/>
    <w:rsid w:val="00822077"/>
    <w:rsid w:val="008241AD"/>
    <w:rsid w:val="00824F9A"/>
    <w:rsid w:val="0082512D"/>
    <w:rsid w:val="00843D55"/>
    <w:rsid w:val="008447E1"/>
    <w:rsid w:val="00850A75"/>
    <w:rsid w:val="008519F2"/>
    <w:rsid w:val="00853171"/>
    <w:rsid w:val="00855168"/>
    <w:rsid w:val="00861106"/>
    <w:rsid w:val="00867590"/>
    <w:rsid w:val="00875194"/>
    <w:rsid w:val="00875C57"/>
    <w:rsid w:val="00882762"/>
    <w:rsid w:val="0088495C"/>
    <w:rsid w:val="00885819"/>
    <w:rsid w:val="00887FA2"/>
    <w:rsid w:val="00891254"/>
    <w:rsid w:val="008921D4"/>
    <w:rsid w:val="00892E83"/>
    <w:rsid w:val="00897EDB"/>
    <w:rsid w:val="008A304E"/>
    <w:rsid w:val="008A45B8"/>
    <w:rsid w:val="008A5370"/>
    <w:rsid w:val="008B621F"/>
    <w:rsid w:val="008B6B65"/>
    <w:rsid w:val="008C0510"/>
    <w:rsid w:val="008C08E3"/>
    <w:rsid w:val="008C24B2"/>
    <w:rsid w:val="008C47BD"/>
    <w:rsid w:val="008D6CAB"/>
    <w:rsid w:val="008D74ED"/>
    <w:rsid w:val="008D7828"/>
    <w:rsid w:val="008E5418"/>
    <w:rsid w:val="008E5B3F"/>
    <w:rsid w:val="008F1D63"/>
    <w:rsid w:val="008F382E"/>
    <w:rsid w:val="008F71F2"/>
    <w:rsid w:val="0090286A"/>
    <w:rsid w:val="00905CBC"/>
    <w:rsid w:val="009128AE"/>
    <w:rsid w:val="00923C87"/>
    <w:rsid w:val="00927D20"/>
    <w:rsid w:val="0093279C"/>
    <w:rsid w:val="00935B48"/>
    <w:rsid w:val="00940C40"/>
    <w:rsid w:val="0094493A"/>
    <w:rsid w:val="00963AFB"/>
    <w:rsid w:val="0097185A"/>
    <w:rsid w:val="00973FC9"/>
    <w:rsid w:val="00982AB8"/>
    <w:rsid w:val="00987620"/>
    <w:rsid w:val="009926B2"/>
    <w:rsid w:val="00993466"/>
    <w:rsid w:val="009938A5"/>
    <w:rsid w:val="00994BA9"/>
    <w:rsid w:val="009A1476"/>
    <w:rsid w:val="009A3D7F"/>
    <w:rsid w:val="009A3E2F"/>
    <w:rsid w:val="009A659F"/>
    <w:rsid w:val="009B2285"/>
    <w:rsid w:val="009C0D5A"/>
    <w:rsid w:val="009C2B55"/>
    <w:rsid w:val="009D1ED6"/>
    <w:rsid w:val="009E77E3"/>
    <w:rsid w:val="009F1AE1"/>
    <w:rsid w:val="00A01B4E"/>
    <w:rsid w:val="00A02F84"/>
    <w:rsid w:val="00A04E3A"/>
    <w:rsid w:val="00A054C1"/>
    <w:rsid w:val="00A057A4"/>
    <w:rsid w:val="00A12689"/>
    <w:rsid w:val="00A13AF4"/>
    <w:rsid w:val="00A22651"/>
    <w:rsid w:val="00A24B70"/>
    <w:rsid w:val="00A37D14"/>
    <w:rsid w:val="00A405C0"/>
    <w:rsid w:val="00A42F19"/>
    <w:rsid w:val="00A46D58"/>
    <w:rsid w:val="00A47C49"/>
    <w:rsid w:val="00A66842"/>
    <w:rsid w:val="00A67A88"/>
    <w:rsid w:val="00A7233E"/>
    <w:rsid w:val="00A73241"/>
    <w:rsid w:val="00A755A8"/>
    <w:rsid w:val="00A75ECB"/>
    <w:rsid w:val="00A76190"/>
    <w:rsid w:val="00A77E0A"/>
    <w:rsid w:val="00A83782"/>
    <w:rsid w:val="00A85749"/>
    <w:rsid w:val="00A872BC"/>
    <w:rsid w:val="00A932AD"/>
    <w:rsid w:val="00A96128"/>
    <w:rsid w:val="00A96950"/>
    <w:rsid w:val="00AA5850"/>
    <w:rsid w:val="00AB0915"/>
    <w:rsid w:val="00AB0D43"/>
    <w:rsid w:val="00AB1212"/>
    <w:rsid w:val="00AB440C"/>
    <w:rsid w:val="00AC46C1"/>
    <w:rsid w:val="00AC7ED2"/>
    <w:rsid w:val="00AD439E"/>
    <w:rsid w:val="00AD5DF9"/>
    <w:rsid w:val="00AD6488"/>
    <w:rsid w:val="00AD7375"/>
    <w:rsid w:val="00AD79F2"/>
    <w:rsid w:val="00AE0719"/>
    <w:rsid w:val="00AE3BB9"/>
    <w:rsid w:val="00AE40BD"/>
    <w:rsid w:val="00AF3F70"/>
    <w:rsid w:val="00AF6850"/>
    <w:rsid w:val="00B01037"/>
    <w:rsid w:val="00B0523D"/>
    <w:rsid w:val="00B12EFB"/>
    <w:rsid w:val="00B21873"/>
    <w:rsid w:val="00B305E4"/>
    <w:rsid w:val="00B36ACD"/>
    <w:rsid w:val="00B4347F"/>
    <w:rsid w:val="00B47E6A"/>
    <w:rsid w:val="00B500A5"/>
    <w:rsid w:val="00B50CD0"/>
    <w:rsid w:val="00B528DF"/>
    <w:rsid w:val="00B536A3"/>
    <w:rsid w:val="00B538EA"/>
    <w:rsid w:val="00B55889"/>
    <w:rsid w:val="00B56AD7"/>
    <w:rsid w:val="00B622F7"/>
    <w:rsid w:val="00B62785"/>
    <w:rsid w:val="00B62CC1"/>
    <w:rsid w:val="00B67EF4"/>
    <w:rsid w:val="00B7257B"/>
    <w:rsid w:val="00B81367"/>
    <w:rsid w:val="00B836E7"/>
    <w:rsid w:val="00B85E79"/>
    <w:rsid w:val="00B86A6B"/>
    <w:rsid w:val="00B905F7"/>
    <w:rsid w:val="00B91A51"/>
    <w:rsid w:val="00B96098"/>
    <w:rsid w:val="00BA00F2"/>
    <w:rsid w:val="00BA3FE1"/>
    <w:rsid w:val="00BA7607"/>
    <w:rsid w:val="00BB1711"/>
    <w:rsid w:val="00BC3E4A"/>
    <w:rsid w:val="00BD1431"/>
    <w:rsid w:val="00BD3B32"/>
    <w:rsid w:val="00BE7E00"/>
    <w:rsid w:val="00C00087"/>
    <w:rsid w:val="00C01BBF"/>
    <w:rsid w:val="00C13594"/>
    <w:rsid w:val="00C135CA"/>
    <w:rsid w:val="00C27264"/>
    <w:rsid w:val="00C307C6"/>
    <w:rsid w:val="00C47912"/>
    <w:rsid w:val="00C52A66"/>
    <w:rsid w:val="00C55702"/>
    <w:rsid w:val="00C55AF6"/>
    <w:rsid w:val="00C72101"/>
    <w:rsid w:val="00C77A2F"/>
    <w:rsid w:val="00C77C51"/>
    <w:rsid w:val="00C91EF9"/>
    <w:rsid w:val="00CA223A"/>
    <w:rsid w:val="00CA295B"/>
    <w:rsid w:val="00CA37B8"/>
    <w:rsid w:val="00CA5B12"/>
    <w:rsid w:val="00CA6CF2"/>
    <w:rsid w:val="00CB205D"/>
    <w:rsid w:val="00CB3BDD"/>
    <w:rsid w:val="00CB7AA3"/>
    <w:rsid w:val="00CC1003"/>
    <w:rsid w:val="00CC4936"/>
    <w:rsid w:val="00CC6CA0"/>
    <w:rsid w:val="00CD117B"/>
    <w:rsid w:val="00CD4ECE"/>
    <w:rsid w:val="00CE0A93"/>
    <w:rsid w:val="00CE4CD8"/>
    <w:rsid w:val="00CF5F2D"/>
    <w:rsid w:val="00D11CAE"/>
    <w:rsid w:val="00D1254A"/>
    <w:rsid w:val="00D16385"/>
    <w:rsid w:val="00D313EB"/>
    <w:rsid w:val="00D34631"/>
    <w:rsid w:val="00D34C48"/>
    <w:rsid w:val="00D35CD7"/>
    <w:rsid w:val="00D40C4F"/>
    <w:rsid w:val="00D414B6"/>
    <w:rsid w:val="00D431A0"/>
    <w:rsid w:val="00D4379D"/>
    <w:rsid w:val="00D43F34"/>
    <w:rsid w:val="00D5242A"/>
    <w:rsid w:val="00D542FA"/>
    <w:rsid w:val="00D559DC"/>
    <w:rsid w:val="00D65A58"/>
    <w:rsid w:val="00D70CD0"/>
    <w:rsid w:val="00D75316"/>
    <w:rsid w:val="00D766F2"/>
    <w:rsid w:val="00D769C3"/>
    <w:rsid w:val="00D81756"/>
    <w:rsid w:val="00D825CF"/>
    <w:rsid w:val="00D93DFD"/>
    <w:rsid w:val="00DA71EC"/>
    <w:rsid w:val="00DB252E"/>
    <w:rsid w:val="00DB6803"/>
    <w:rsid w:val="00DC3638"/>
    <w:rsid w:val="00DC5BB4"/>
    <w:rsid w:val="00DE2AAC"/>
    <w:rsid w:val="00DE400F"/>
    <w:rsid w:val="00DE5441"/>
    <w:rsid w:val="00DE55B5"/>
    <w:rsid w:val="00DE7E31"/>
    <w:rsid w:val="00DF100A"/>
    <w:rsid w:val="00DF368B"/>
    <w:rsid w:val="00E008C8"/>
    <w:rsid w:val="00E03DFE"/>
    <w:rsid w:val="00E16392"/>
    <w:rsid w:val="00E26642"/>
    <w:rsid w:val="00E3009B"/>
    <w:rsid w:val="00E346E3"/>
    <w:rsid w:val="00E5130D"/>
    <w:rsid w:val="00E51D56"/>
    <w:rsid w:val="00E54870"/>
    <w:rsid w:val="00E710F4"/>
    <w:rsid w:val="00E726E1"/>
    <w:rsid w:val="00E843B9"/>
    <w:rsid w:val="00E91F10"/>
    <w:rsid w:val="00E924C0"/>
    <w:rsid w:val="00EA226C"/>
    <w:rsid w:val="00EB07BB"/>
    <w:rsid w:val="00EB140B"/>
    <w:rsid w:val="00EB7838"/>
    <w:rsid w:val="00EC0B52"/>
    <w:rsid w:val="00EC3D56"/>
    <w:rsid w:val="00ED094F"/>
    <w:rsid w:val="00EE207A"/>
    <w:rsid w:val="00EF72D3"/>
    <w:rsid w:val="00F00A5D"/>
    <w:rsid w:val="00F0248B"/>
    <w:rsid w:val="00F04CC3"/>
    <w:rsid w:val="00F053EA"/>
    <w:rsid w:val="00F0782D"/>
    <w:rsid w:val="00F11918"/>
    <w:rsid w:val="00F20993"/>
    <w:rsid w:val="00F236A4"/>
    <w:rsid w:val="00F255C8"/>
    <w:rsid w:val="00F32786"/>
    <w:rsid w:val="00F40C40"/>
    <w:rsid w:val="00F4192C"/>
    <w:rsid w:val="00F43302"/>
    <w:rsid w:val="00F4379C"/>
    <w:rsid w:val="00F44A61"/>
    <w:rsid w:val="00F45048"/>
    <w:rsid w:val="00F5113C"/>
    <w:rsid w:val="00F718F0"/>
    <w:rsid w:val="00F94DC5"/>
    <w:rsid w:val="00FB322A"/>
    <w:rsid w:val="00FB49E5"/>
    <w:rsid w:val="00FC50CE"/>
    <w:rsid w:val="00FC6151"/>
    <w:rsid w:val="00FC6E24"/>
    <w:rsid w:val="00FD7465"/>
    <w:rsid w:val="00FE0186"/>
    <w:rsid w:val="00FE113B"/>
    <w:rsid w:val="00FE40DA"/>
    <w:rsid w:val="00FE572D"/>
    <w:rsid w:val="00FE5D30"/>
    <w:rsid w:val="00FF452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F4"/>
  </w:style>
  <w:style w:type="paragraph" w:styleId="Titre3">
    <w:name w:val="heading 3"/>
    <w:basedOn w:val="Normal"/>
    <w:next w:val="Normal"/>
    <w:link w:val="Titre3Car"/>
    <w:uiPriority w:val="9"/>
    <w:semiHidden/>
    <w:unhideWhenUsed/>
    <w:qFormat/>
    <w:rsid w:val="009F1AE1"/>
    <w:pPr>
      <w:keepNext/>
      <w:spacing w:before="240" w:after="60"/>
      <w:outlineLvl w:val="2"/>
    </w:pPr>
    <w:rPr>
      <w:rFonts w:ascii="Calibri" w:eastAsia="MS Gothic" w:hAnsi="Calibri"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21">
    <w:name w:val="A2+1"/>
    <w:uiPriority w:val="99"/>
    <w:rsid w:val="00003814"/>
    <w:rPr>
      <w:color w:val="000000"/>
      <w:sz w:val="26"/>
      <w:szCs w:val="26"/>
    </w:rPr>
  </w:style>
  <w:style w:type="table" w:styleId="Grilledutableau">
    <w:name w:val="Table Grid"/>
    <w:basedOn w:val="TableauNormal"/>
    <w:uiPriority w:val="59"/>
    <w:rsid w:val="007C2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37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379C"/>
    <w:rPr>
      <w:rFonts w:ascii="Tahoma" w:hAnsi="Tahoma" w:cs="Tahoma"/>
      <w:sz w:val="16"/>
      <w:szCs w:val="16"/>
    </w:rPr>
  </w:style>
  <w:style w:type="paragraph" w:customStyle="1" w:styleId="Default">
    <w:name w:val="Default"/>
    <w:rsid w:val="00AA5850"/>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A01B4E"/>
    <w:pPr>
      <w:tabs>
        <w:tab w:val="center" w:pos="4536"/>
        <w:tab w:val="right" w:pos="9072"/>
      </w:tabs>
      <w:spacing w:after="0" w:line="240" w:lineRule="auto"/>
    </w:pPr>
  </w:style>
  <w:style w:type="character" w:customStyle="1" w:styleId="En-tteCar">
    <w:name w:val="En-tête Car"/>
    <w:basedOn w:val="Policepardfaut"/>
    <w:link w:val="En-tte"/>
    <w:uiPriority w:val="99"/>
    <w:rsid w:val="00A01B4E"/>
  </w:style>
  <w:style w:type="paragraph" w:styleId="Pieddepage">
    <w:name w:val="footer"/>
    <w:basedOn w:val="Normal"/>
    <w:link w:val="PieddepageCar"/>
    <w:uiPriority w:val="99"/>
    <w:unhideWhenUsed/>
    <w:rsid w:val="00A01B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B4E"/>
  </w:style>
  <w:style w:type="paragraph" w:styleId="Rvision">
    <w:name w:val="Revision"/>
    <w:hidden/>
    <w:uiPriority w:val="99"/>
    <w:semiHidden/>
    <w:rsid w:val="00935B48"/>
    <w:pPr>
      <w:spacing w:after="0" w:line="240" w:lineRule="auto"/>
    </w:pPr>
  </w:style>
  <w:style w:type="character" w:customStyle="1" w:styleId="Titre3Car">
    <w:name w:val="Titre 3 Car"/>
    <w:basedOn w:val="Policepardfaut"/>
    <w:link w:val="Titre3"/>
    <w:uiPriority w:val="9"/>
    <w:semiHidden/>
    <w:rsid w:val="009F1AE1"/>
    <w:rPr>
      <w:rFonts w:ascii="Calibri" w:eastAsia="MS Gothic" w:hAnsi="Calibri" w:cs="Times New Roman"/>
      <w:b/>
      <w:bCs/>
      <w:sz w:val="26"/>
      <w:szCs w:val="26"/>
    </w:rPr>
  </w:style>
  <w:style w:type="character" w:customStyle="1" w:styleId="ParagraphedelisteCar">
    <w:name w:val="Paragraphe de liste Car"/>
    <w:basedOn w:val="Policepardfaut"/>
    <w:link w:val="Paragraphedeliste"/>
    <w:uiPriority w:val="34"/>
    <w:locked/>
    <w:rsid w:val="009F1AE1"/>
    <w:rPr>
      <w:rFonts w:ascii="Calibri" w:eastAsia="Calibri" w:hAnsi="Calibri" w:cs="Arial"/>
    </w:rPr>
  </w:style>
  <w:style w:type="paragraph" w:styleId="Paragraphedeliste">
    <w:name w:val="List Paragraph"/>
    <w:basedOn w:val="Normal"/>
    <w:link w:val="ParagraphedelisteCar"/>
    <w:uiPriority w:val="34"/>
    <w:qFormat/>
    <w:rsid w:val="009F1AE1"/>
    <w:pPr>
      <w:ind w:left="720"/>
      <w:contextualSpacing/>
    </w:pPr>
    <w:rPr>
      <w:rFonts w:ascii="Calibri" w:eastAsia="Calibri" w:hAnsi="Calibri" w:cs="Arial"/>
    </w:rPr>
  </w:style>
  <w:style w:type="paragraph" w:styleId="Notedebasdepage">
    <w:name w:val="footnote text"/>
    <w:aliases w:val="fn"/>
    <w:basedOn w:val="Normal"/>
    <w:link w:val="NotedebasdepageCar"/>
    <w:uiPriority w:val="99"/>
    <w:unhideWhenUsed/>
    <w:rsid w:val="00606411"/>
    <w:pPr>
      <w:spacing w:after="0" w:line="240" w:lineRule="auto"/>
    </w:pPr>
    <w:rPr>
      <w:sz w:val="20"/>
      <w:szCs w:val="20"/>
    </w:rPr>
  </w:style>
  <w:style w:type="character" w:customStyle="1" w:styleId="NotedebasdepageCar">
    <w:name w:val="Note de bas de page Car"/>
    <w:aliases w:val="fn Car"/>
    <w:basedOn w:val="Policepardfaut"/>
    <w:link w:val="Notedebasdepage"/>
    <w:uiPriority w:val="99"/>
    <w:rsid w:val="00606411"/>
    <w:rPr>
      <w:sz w:val="20"/>
      <w:szCs w:val="20"/>
    </w:rPr>
  </w:style>
  <w:style w:type="character" w:styleId="Appelnotedebasdep">
    <w:name w:val="footnote reference"/>
    <w:basedOn w:val="Policepardfaut"/>
    <w:uiPriority w:val="99"/>
    <w:unhideWhenUsed/>
    <w:rsid w:val="00606411"/>
    <w:rPr>
      <w:vertAlign w:val="superscript"/>
    </w:rPr>
  </w:style>
  <w:style w:type="paragraph" w:styleId="Corpsdetexte">
    <w:name w:val="Body Text"/>
    <w:basedOn w:val="Normal"/>
    <w:link w:val="CorpsdetexteCar"/>
    <w:rsid w:val="00C91EF9"/>
    <w:pPr>
      <w:overflowPunct w:val="0"/>
      <w:autoSpaceDE w:val="0"/>
      <w:autoSpaceDN w:val="0"/>
      <w:adjustRightInd w:val="0"/>
      <w:spacing w:after="120" w:line="240" w:lineRule="auto"/>
    </w:pPr>
    <w:rPr>
      <w:rFonts w:ascii="Courier New" w:eastAsia="Times New Roman" w:hAnsi="Courier New" w:cs="Times New Roman"/>
      <w:sz w:val="24"/>
      <w:szCs w:val="24"/>
      <w:lang w:eastAsia="fr-FR"/>
    </w:rPr>
  </w:style>
  <w:style w:type="character" w:customStyle="1" w:styleId="CorpsdetexteCar">
    <w:name w:val="Corps de texte Car"/>
    <w:basedOn w:val="Policepardfaut"/>
    <w:link w:val="Corpsdetexte"/>
    <w:rsid w:val="00C91EF9"/>
    <w:rPr>
      <w:rFonts w:ascii="Courier New" w:eastAsia="Times New Roman" w:hAnsi="Courier New" w:cs="Times New Roman"/>
      <w:sz w:val="24"/>
      <w:szCs w:val="24"/>
      <w:lang w:eastAsia="fr-FR"/>
    </w:rPr>
  </w:style>
  <w:style w:type="paragraph" w:styleId="Lgende">
    <w:name w:val="caption"/>
    <w:basedOn w:val="Corpsdetexte"/>
    <w:next w:val="Normal"/>
    <w:qFormat/>
    <w:rsid w:val="00C91EF9"/>
    <w:pPr>
      <w:spacing w:after="0"/>
      <w:jc w:val="center"/>
    </w:pPr>
    <w:rPr>
      <w:rFonts w:ascii="Times New Roman" w:hAnsi="Times New Roman"/>
      <w:b/>
      <w:bCs/>
      <w:color w:val="943634" w:themeColor="accent2" w:themeShade="BF"/>
      <w:sz w:val="22"/>
      <w:szCs w:val="28"/>
    </w:rPr>
  </w:style>
  <w:style w:type="paragraph" w:styleId="Commentaire">
    <w:name w:val="annotation text"/>
    <w:basedOn w:val="Normal"/>
    <w:link w:val="CommentaireCar"/>
    <w:rsid w:val="009938A5"/>
    <w:pPr>
      <w:suppressAutoHyphens/>
      <w:autoSpaceDN w:val="0"/>
      <w:spacing w:after="0" w:line="240" w:lineRule="auto"/>
      <w:textAlignment w:val="baseline"/>
    </w:pPr>
    <w:rPr>
      <w:rFonts w:ascii="Times New Roman" w:eastAsia="Times New Roman" w:hAnsi="Times New Roman" w:cs="Times New Roman"/>
      <w:kern w:val="3"/>
      <w:sz w:val="20"/>
      <w:szCs w:val="20"/>
      <w:lang w:eastAsia="fr-FR"/>
    </w:rPr>
  </w:style>
  <w:style w:type="character" w:customStyle="1" w:styleId="CommentaireCar">
    <w:name w:val="Commentaire Car"/>
    <w:basedOn w:val="Policepardfaut"/>
    <w:link w:val="Commentaire"/>
    <w:rsid w:val="009938A5"/>
    <w:rPr>
      <w:rFonts w:ascii="Times New Roman" w:eastAsia="Times New Roman" w:hAnsi="Times New Roman" w:cs="Times New Roman"/>
      <w:kern w:val="3"/>
      <w:sz w:val="20"/>
      <w:szCs w:val="20"/>
      <w:lang w:eastAsia="fr-FR"/>
    </w:rPr>
  </w:style>
</w:styles>
</file>

<file path=word/webSettings.xml><?xml version="1.0" encoding="utf-8"?>
<w:webSettings xmlns:r="http://schemas.openxmlformats.org/officeDocument/2006/relationships" xmlns:w="http://schemas.openxmlformats.org/wordprocessingml/2006/main">
  <w:divs>
    <w:div w:id="163936850">
      <w:bodyDiv w:val="1"/>
      <w:marLeft w:val="0"/>
      <w:marRight w:val="0"/>
      <w:marTop w:val="0"/>
      <w:marBottom w:val="0"/>
      <w:divBdr>
        <w:top w:val="none" w:sz="0" w:space="0" w:color="auto"/>
        <w:left w:val="none" w:sz="0" w:space="0" w:color="auto"/>
        <w:bottom w:val="none" w:sz="0" w:space="0" w:color="auto"/>
        <w:right w:val="none" w:sz="0" w:space="0" w:color="auto"/>
      </w:divBdr>
    </w:div>
    <w:div w:id="189073333">
      <w:bodyDiv w:val="1"/>
      <w:marLeft w:val="0"/>
      <w:marRight w:val="0"/>
      <w:marTop w:val="0"/>
      <w:marBottom w:val="0"/>
      <w:divBdr>
        <w:top w:val="none" w:sz="0" w:space="0" w:color="auto"/>
        <w:left w:val="none" w:sz="0" w:space="0" w:color="auto"/>
        <w:bottom w:val="none" w:sz="0" w:space="0" w:color="auto"/>
        <w:right w:val="none" w:sz="0" w:space="0" w:color="auto"/>
      </w:divBdr>
    </w:div>
    <w:div w:id="250822540">
      <w:bodyDiv w:val="1"/>
      <w:marLeft w:val="0"/>
      <w:marRight w:val="0"/>
      <w:marTop w:val="0"/>
      <w:marBottom w:val="0"/>
      <w:divBdr>
        <w:top w:val="none" w:sz="0" w:space="0" w:color="auto"/>
        <w:left w:val="none" w:sz="0" w:space="0" w:color="auto"/>
        <w:bottom w:val="none" w:sz="0" w:space="0" w:color="auto"/>
        <w:right w:val="none" w:sz="0" w:space="0" w:color="auto"/>
      </w:divBdr>
    </w:div>
    <w:div w:id="358046126">
      <w:bodyDiv w:val="1"/>
      <w:marLeft w:val="0"/>
      <w:marRight w:val="0"/>
      <w:marTop w:val="0"/>
      <w:marBottom w:val="0"/>
      <w:divBdr>
        <w:top w:val="none" w:sz="0" w:space="0" w:color="auto"/>
        <w:left w:val="none" w:sz="0" w:space="0" w:color="auto"/>
        <w:bottom w:val="none" w:sz="0" w:space="0" w:color="auto"/>
        <w:right w:val="none" w:sz="0" w:space="0" w:color="auto"/>
      </w:divBdr>
    </w:div>
    <w:div w:id="506754120">
      <w:bodyDiv w:val="1"/>
      <w:marLeft w:val="0"/>
      <w:marRight w:val="0"/>
      <w:marTop w:val="0"/>
      <w:marBottom w:val="0"/>
      <w:divBdr>
        <w:top w:val="none" w:sz="0" w:space="0" w:color="auto"/>
        <w:left w:val="none" w:sz="0" w:space="0" w:color="auto"/>
        <w:bottom w:val="none" w:sz="0" w:space="0" w:color="auto"/>
        <w:right w:val="none" w:sz="0" w:space="0" w:color="auto"/>
      </w:divBdr>
    </w:div>
    <w:div w:id="832375374">
      <w:bodyDiv w:val="1"/>
      <w:marLeft w:val="0"/>
      <w:marRight w:val="0"/>
      <w:marTop w:val="0"/>
      <w:marBottom w:val="0"/>
      <w:divBdr>
        <w:top w:val="none" w:sz="0" w:space="0" w:color="auto"/>
        <w:left w:val="none" w:sz="0" w:space="0" w:color="auto"/>
        <w:bottom w:val="none" w:sz="0" w:space="0" w:color="auto"/>
        <w:right w:val="none" w:sz="0" w:space="0" w:color="auto"/>
      </w:divBdr>
    </w:div>
    <w:div w:id="944843242">
      <w:bodyDiv w:val="1"/>
      <w:marLeft w:val="0"/>
      <w:marRight w:val="0"/>
      <w:marTop w:val="0"/>
      <w:marBottom w:val="0"/>
      <w:divBdr>
        <w:top w:val="none" w:sz="0" w:space="0" w:color="auto"/>
        <w:left w:val="none" w:sz="0" w:space="0" w:color="auto"/>
        <w:bottom w:val="none" w:sz="0" w:space="0" w:color="auto"/>
        <w:right w:val="none" w:sz="0" w:space="0" w:color="auto"/>
      </w:divBdr>
    </w:div>
    <w:div w:id="1132210263">
      <w:bodyDiv w:val="1"/>
      <w:marLeft w:val="0"/>
      <w:marRight w:val="0"/>
      <w:marTop w:val="0"/>
      <w:marBottom w:val="0"/>
      <w:divBdr>
        <w:top w:val="none" w:sz="0" w:space="0" w:color="auto"/>
        <w:left w:val="none" w:sz="0" w:space="0" w:color="auto"/>
        <w:bottom w:val="none" w:sz="0" w:space="0" w:color="auto"/>
        <w:right w:val="none" w:sz="0" w:space="0" w:color="auto"/>
      </w:divBdr>
    </w:div>
    <w:div w:id="1211529503">
      <w:bodyDiv w:val="1"/>
      <w:marLeft w:val="0"/>
      <w:marRight w:val="0"/>
      <w:marTop w:val="0"/>
      <w:marBottom w:val="0"/>
      <w:divBdr>
        <w:top w:val="none" w:sz="0" w:space="0" w:color="auto"/>
        <w:left w:val="none" w:sz="0" w:space="0" w:color="auto"/>
        <w:bottom w:val="none" w:sz="0" w:space="0" w:color="auto"/>
        <w:right w:val="none" w:sz="0" w:space="0" w:color="auto"/>
      </w:divBdr>
    </w:div>
    <w:div w:id="1361396304">
      <w:bodyDiv w:val="1"/>
      <w:marLeft w:val="0"/>
      <w:marRight w:val="0"/>
      <w:marTop w:val="0"/>
      <w:marBottom w:val="0"/>
      <w:divBdr>
        <w:top w:val="none" w:sz="0" w:space="0" w:color="auto"/>
        <w:left w:val="none" w:sz="0" w:space="0" w:color="auto"/>
        <w:bottom w:val="none" w:sz="0" w:space="0" w:color="auto"/>
        <w:right w:val="none" w:sz="0" w:space="0" w:color="auto"/>
      </w:divBdr>
    </w:div>
    <w:div w:id="1818303834">
      <w:bodyDiv w:val="1"/>
      <w:marLeft w:val="0"/>
      <w:marRight w:val="0"/>
      <w:marTop w:val="0"/>
      <w:marBottom w:val="0"/>
      <w:divBdr>
        <w:top w:val="none" w:sz="0" w:space="0" w:color="auto"/>
        <w:left w:val="none" w:sz="0" w:space="0" w:color="auto"/>
        <w:bottom w:val="none" w:sz="0" w:space="0" w:color="auto"/>
        <w:right w:val="none" w:sz="0" w:space="0" w:color="auto"/>
      </w:divBdr>
    </w:div>
    <w:div w:id="1903179459">
      <w:bodyDiv w:val="1"/>
      <w:marLeft w:val="0"/>
      <w:marRight w:val="0"/>
      <w:marTop w:val="0"/>
      <w:marBottom w:val="0"/>
      <w:divBdr>
        <w:top w:val="none" w:sz="0" w:space="0" w:color="auto"/>
        <w:left w:val="none" w:sz="0" w:space="0" w:color="auto"/>
        <w:bottom w:val="none" w:sz="0" w:space="0" w:color="auto"/>
        <w:right w:val="none" w:sz="0" w:space="0" w:color="auto"/>
      </w:divBdr>
    </w:div>
    <w:div w:id="1944920059">
      <w:bodyDiv w:val="1"/>
      <w:marLeft w:val="0"/>
      <w:marRight w:val="0"/>
      <w:marTop w:val="0"/>
      <w:marBottom w:val="0"/>
      <w:divBdr>
        <w:top w:val="none" w:sz="0" w:space="0" w:color="auto"/>
        <w:left w:val="none" w:sz="0" w:space="0" w:color="auto"/>
        <w:bottom w:val="none" w:sz="0" w:space="0" w:color="auto"/>
        <w:right w:val="none" w:sz="0" w:space="0" w:color="auto"/>
      </w:divBdr>
    </w:div>
    <w:div w:id="1967660826">
      <w:bodyDiv w:val="1"/>
      <w:marLeft w:val="0"/>
      <w:marRight w:val="0"/>
      <w:marTop w:val="0"/>
      <w:marBottom w:val="0"/>
      <w:divBdr>
        <w:top w:val="none" w:sz="0" w:space="0" w:color="auto"/>
        <w:left w:val="none" w:sz="0" w:space="0" w:color="auto"/>
        <w:bottom w:val="none" w:sz="0" w:space="0" w:color="auto"/>
        <w:right w:val="none" w:sz="0" w:space="0" w:color="auto"/>
      </w:divBdr>
    </w:div>
    <w:div w:id="20146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pop%20etat%20matrimonial-15%20et%20plus-%20present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Bureau\HCP\CERED\pop%20etat%20matrimonial-15%20et%20pl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donn&#233;es%20fecondit&#2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4703080763794333E-2"/>
          <c:y val="4.4320152807350015E-2"/>
          <c:w val="0.93899266901982081"/>
          <c:h val="0.75630324595792753"/>
        </c:manualLayout>
      </c:layout>
      <c:lineChart>
        <c:grouping val="standard"/>
        <c:ser>
          <c:idx val="0"/>
          <c:order val="0"/>
          <c:tx>
            <c:strRef>
              <c:f>Feuil1!$B$16</c:f>
              <c:strCache>
                <c:ptCount val="1"/>
                <c:pt idx="0">
                  <c:v>Urbain</c:v>
                </c:pt>
              </c:strCache>
            </c:strRef>
          </c:tx>
          <c:marker>
            <c:symbol val="triangle"/>
            <c:size val="5"/>
          </c:marker>
          <c:dLbls>
            <c:dLbl>
              <c:idx val="0"/>
              <c:layout>
                <c:manualLayout>
                  <c:x val="-3.3059466390977545E-2"/>
                  <c:y val="6.3870003845353504E-2"/>
                </c:manualLayout>
              </c:layout>
              <c:showVal val="1"/>
              <c:extLst>
                <c:ext xmlns:c15="http://schemas.microsoft.com/office/drawing/2012/chart" uri="{CE6537A1-D6FC-4f65-9D91-7224C49458BB}"/>
              </c:extLst>
            </c:dLbl>
            <c:dLbl>
              <c:idx val="1"/>
              <c:layout>
                <c:manualLayout>
                  <c:x val="0"/>
                  <c:y val="-1.5640273704789941E-2"/>
                </c:manualLayout>
              </c:layout>
              <c:showVal val="1"/>
              <c:extLst>
                <c:ext xmlns:c15="http://schemas.microsoft.com/office/drawing/2012/chart" uri="{CE6537A1-D6FC-4f65-9D91-7224C49458BB}"/>
              </c:extLst>
            </c:dLbl>
            <c:dLbl>
              <c:idx val="2"/>
              <c:layout>
                <c:manualLayout>
                  <c:x val="-3.8913254643393284E-2"/>
                  <c:y val="4.5118683697636441E-2"/>
                </c:manualLayout>
              </c:layout>
              <c:showVal val="1"/>
              <c:extLst>
                <c:ext xmlns:c15="http://schemas.microsoft.com/office/drawing/2012/chart" uri="{CE6537A1-D6FC-4f65-9D91-7224C49458BB}"/>
              </c:extLst>
            </c:dLbl>
            <c:dLbl>
              <c:idx val="3"/>
              <c:layout>
                <c:manualLayout>
                  <c:x val="0"/>
                  <c:y val="3.5190615835777192E-2"/>
                </c:manualLayout>
              </c:layout>
              <c:showVal val="1"/>
              <c:extLst>
                <c:ext xmlns:c15="http://schemas.microsoft.com/office/drawing/2012/chart" uri="{CE6537A1-D6FC-4f65-9D91-7224C49458BB}"/>
              </c:extLst>
            </c:dLbl>
            <c:dLbl>
              <c:idx val="4"/>
              <c:layout>
                <c:manualLayout>
                  <c:x val="-3.3059466390977545E-2"/>
                  <c:y val="5.1833738372061525E-2"/>
                </c:manualLayout>
              </c:layout>
              <c:showVal val="1"/>
              <c:extLst>
                <c:ext xmlns:c15="http://schemas.microsoft.com/office/drawing/2012/chart" uri="{CE6537A1-D6FC-4f65-9D91-7224C49458BB}"/>
              </c:extLst>
            </c:dLbl>
            <c:dLbl>
              <c:idx val="5"/>
              <c:layout>
                <c:manualLayout>
                  <c:x val="0"/>
                  <c:y val="4.3010752688172046E-2"/>
                </c:manualLayout>
              </c:layout>
              <c:showVal val="1"/>
              <c:extLst>
                <c:ext xmlns:c15="http://schemas.microsoft.com/office/drawing/2012/chart" uri="{CE6537A1-D6FC-4f65-9D91-7224C49458BB}"/>
              </c:extLst>
            </c:dLbl>
            <c:dLbl>
              <c:idx val="6"/>
              <c:layout>
                <c:manualLayout>
                  <c:x val="0"/>
                  <c:y val="3.1280547409580271E-2"/>
                </c:manualLayout>
              </c:layout>
              <c:showVal val="1"/>
              <c:extLst>
                <c:ext xmlns:c15="http://schemas.microsoft.com/office/drawing/2012/chart" uri="{CE6537A1-D6FC-4f65-9D91-7224C49458BB}"/>
              </c:extLst>
            </c:dLbl>
            <c:dLbl>
              <c:idx val="7"/>
              <c:layout>
                <c:manualLayout>
                  <c:x val="1.7754105636928837E-3"/>
                  <c:y val="3.9100684261974591E-2"/>
                </c:manualLayout>
              </c:layout>
              <c:showVal val="1"/>
              <c:extLst>
                <c:ext xmlns:c15="http://schemas.microsoft.com/office/drawing/2012/chart" uri="{CE6537A1-D6FC-4f65-9D91-7224C49458BB}"/>
              </c:extLst>
            </c:dLbl>
            <c:dLbl>
              <c:idx val="8"/>
              <c:layout>
                <c:manualLayout>
                  <c:x val="0"/>
                  <c:y val="2.7370478983382216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Feuil1!$B$17:$B$22</c:f>
              <c:numCache>
                <c:formatCode>General</c:formatCode>
                <c:ptCount val="6"/>
                <c:pt idx="0">
                  <c:v>4.6099999999999985</c:v>
                </c:pt>
                <c:pt idx="1">
                  <c:v>4.28</c:v>
                </c:pt>
                <c:pt idx="2">
                  <c:v>2.56</c:v>
                </c:pt>
                <c:pt idx="3">
                  <c:v>2.0499999999999998</c:v>
                </c:pt>
                <c:pt idx="4">
                  <c:v>1.8</c:v>
                </c:pt>
                <c:pt idx="5">
                  <c:v>2.0099999999999998</c:v>
                </c:pt>
              </c:numCache>
            </c:numRef>
          </c:val>
        </c:ser>
        <c:ser>
          <c:idx val="1"/>
          <c:order val="1"/>
          <c:tx>
            <c:strRef>
              <c:f>Feuil1!$C$16</c:f>
              <c:strCache>
                <c:ptCount val="1"/>
                <c:pt idx="0">
                  <c:v>Rural</c:v>
                </c:pt>
              </c:strCache>
            </c:strRef>
          </c:tx>
          <c:marker>
            <c:symbol val="square"/>
            <c:size val="5"/>
          </c:marker>
          <c:dLbls>
            <c:dLbl>
              <c:idx val="0"/>
              <c:layout>
                <c:manualLayout>
                  <c:x val="-3.8145538143435631E-2"/>
                  <c:y val="-4.4217694969860374E-2"/>
                </c:manualLayout>
              </c:layout>
              <c:showVal val="1"/>
              <c:extLst>
                <c:ext xmlns:c15="http://schemas.microsoft.com/office/drawing/2012/chart" uri="{CE6537A1-D6FC-4f65-9D91-7224C49458BB}"/>
              </c:extLst>
            </c:dLbl>
            <c:dLbl>
              <c:idx val="2"/>
              <c:layout>
                <c:manualLayout>
                  <c:x val="-1.7754105636928837E-3"/>
                  <c:y val="-1.5640273704789941E-2"/>
                </c:manualLayout>
              </c:layout>
              <c:showVal val="1"/>
              <c:extLst>
                <c:ext xmlns:c15="http://schemas.microsoft.com/office/drawing/2012/chart" uri="{CE6537A1-D6FC-4f65-9D91-7224C49458BB}"/>
              </c:extLst>
            </c:dLbl>
            <c:dLbl>
              <c:idx val="3"/>
              <c:layout>
                <c:manualLayout>
                  <c:x val="0"/>
                  <c:y val="-2.3460410557184751E-2"/>
                </c:manualLayout>
              </c:layout>
              <c:showVal val="1"/>
              <c:extLst>
                <c:ext xmlns:c15="http://schemas.microsoft.com/office/drawing/2012/chart" uri="{CE6537A1-D6FC-4f65-9D91-7224C49458BB}"/>
              </c:extLst>
            </c:dLbl>
            <c:dLbl>
              <c:idx val="4"/>
              <c:layout>
                <c:manualLayout>
                  <c:x val="-3.0516430514748508E-2"/>
                  <c:y val="-4.913077218873356E-2"/>
                </c:manualLayout>
              </c:layout>
              <c:showVal val="1"/>
              <c:extLst>
                <c:ext xmlns:c15="http://schemas.microsoft.com/office/drawing/2012/chart" uri="{CE6537A1-D6FC-4f65-9D91-7224C49458BB}"/>
              </c:extLst>
            </c:dLbl>
            <c:dLbl>
              <c:idx val="5"/>
              <c:layout>
                <c:manualLayout>
                  <c:x val="-3.5508211273857357E-3"/>
                  <c:y val="-3.5190615835777192E-2"/>
                </c:manualLayout>
              </c:layout>
              <c:showVal val="1"/>
              <c:extLst>
                <c:ext xmlns:c15="http://schemas.microsoft.com/office/drawing/2012/chart" uri="{CE6537A1-D6FC-4f65-9D91-7224C49458BB}"/>
              </c:extLst>
            </c:dLbl>
            <c:dLbl>
              <c:idx val="6"/>
              <c:layout>
                <c:manualLayout>
                  <c:x val="0"/>
                  <c:y val="-4.3010752688172046E-2"/>
                </c:manualLayout>
              </c:layout>
              <c:showVal val="1"/>
              <c:extLst>
                <c:ext xmlns:c15="http://schemas.microsoft.com/office/drawing/2012/chart" uri="{CE6537A1-D6FC-4f65-9D91-7224C49458BB}"/>
              </c:extLst>
            </c:dLbl>
            <c:dLbl>
              <c:idx val="7"/>
              <c:layout>
                <c:manualLayout>
                  <c:x val="0"/>
                  <c:y val="-3.5190615835777192E-2"/>
                </c:manualLayout>
              </c:layout>
              <c:showVal val="1"/>
              <c:extLst>
                <c:ext xmlns:c15="http://schemas.microsoft.com/office/drawing/2012/chart" uri="{CE6537A1-D6FC-4f65-9D91-7224C49458BB}"/>
              </c:extLst>
            </c:dLbl>
            <c:dLbl>
              <c:idx val="8"/>
              <c:layout>
                <c:manualLayout>
                  <c:x val="0"/>
                  <c:y val="-2.3460410557184751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Feuil1!$C$17:$C$22</c:f>
              <c:numCache>
                <c:formatCode>General</c:formatCode>
                <c:ptCount val="6"/>
                <c:pt idx="0">
                  <c:v>7.05</c:v>
                </c:pt>
                <c:pt idx="1">
                  <c:v>6.59</c:v>
                </c:pt>
                <c:pt idx="2">
                  <c:v>4.25</c:v>
                </c:pt>
                <c:pt idx="3">
                  <c:v>3.06</c:v>
                </c:pt>
                <c:pt idx="4">
                  <c:v>2.7</c:v>
                </c:pt>
                <c:pt idx="5">
                  <c:v>2.5499999999999998</c:v>
                </c:pt>
              </c:numCache>
            </c:numRef>
          </c:val>
        </c:ser>
        <c:ser>
          <c:idx val="2"/>
          <c:order val="2"/>
          <c:tx>
            <c:strRef>
              <c:f>Feuil1!$D$16</c:f>
              <c:strCache>
                <c:ptCount val="1"/>
                <c:pt idx="0">
                  <c:v>Ensemble</c:v>
                </c:pt>
              </c:strCache>
            </c:strRef>
          </c:tx>
          <c:marker>
            <c:symbol val="diamond"/>
            <c:size val="5"/>
          </c:marker>
          <c:dLbls>
            <c:dLbl>
              <c:idx val="0"/>
              <c:layout>
                <c:manualLayout>
                  <c:x val="-3.8145538143435631E-2"/>
                  <c:y val="4.913077218873356E-2"/>
                </c:manualLayout>
              </c:layout>
              <c:showVal val="1"/>
              <c:extLst>
                <c:ext xmlns:c15="http://schemas.microsoft.com/office/drawing/2012/chart" uri="{CE6537A1-D6FC-4f65-9D91-7224C49458BB}"/>
              </c:extLst>
            </c:dLbl>
            <c:dLbl>
              <c:idx val="2"/>
              <c:layout>
                <c:manualLayout>
                  <c:x val="-1.7754105636928837E-3"/>
                  <c:y val="-1.1730205278592504E-2"/>
                </c:manualLayout>
              </c:layout>
              <c:showVal val="1"/>
              <c:extLst>
                <c:ext xmlns:c15="http://schemas.microsoft.com/office/drawing/2012/chart" uri="{CE6537A1-D6FC-4f65-9D91-7224C49458BB}"/>
              </c:extLst>
            </c:dLbl>
            <c:spPr>
              <a:noFill/>
              <a:ln>
                <a:noFill/>
              </a:ln>
              <a:effectLst/>
            </c:spPr>
            <c:txPr>
              <a:bodyPr/>
              <a:lstStyle/>
              <a:p>
                <a:pPr>
                  <a:defRPr lang="en-US" sz="800" b="1"/>
                </a:pPr>
                <a:endParaRPr lang="fr-FR"/>
              </a:p>
            </c:txPr>
            <c:showVal val="1"/>
            <c:extLst>
              <c:ext xmlns:c15="http://schemas.microsoft.com/office/drawing/2012/chart" uri="{CE6537A1-D6FC-4f65-9D91-7224C49458BB}">
                <c15:showLeaderLines val="0"/>
              </c:ext>
            </c:extLst>
          </c:dLbls>
          <c:cat>
            <c:strRef>
              <c:f>Feuil1!$A$17:$A$22</c:f>
              <c:strCache>
                <c:ptCount val="6"/>
                <c:pt idx="0">
                  <c:v>RGPH 1971</c:v>
                </c:pt>
                <c:pt idx="1">
                  <c:v>RGPH 1982</c:v>
                </c:pt>
                <c:pt idx="2">
                  <c:v>RGPH 1994</c:v>
                </c:pt>
                <c:pt idx="3">
                  <c:v>RGPH 2004</c:v>
                </c:pt>
                <c:pt idx="4">
                  <c:v>END 2010</c:v>
                </c:pt>
                <c:pt idx="5">
                  <c:v>RGPH 2014</c:v>
                </c:pt>
              </c:strCache>
            </c:strRef>
          </c:cat>
          <c:val>
            <c:numRef>
              <c:f>Feuil1!$D$17:$D$22</c:f>
              <c:numCache>
                <c:formatCode>General</c:formatCode>
                <c:ptCount val="6"/>
                <c:pt idx="0">
                  <c:v>6.26</c:v>
                </c:pt>
                <c:pt idx="1">
                  <c:v>5.52</c:v>
                </c:pt>
                <c:pt idx="2">
                  <c:v>3.2800000000000002</c:v>
                </c:pt>
                <c:pt idx="3">
                  <c:v>2.4699999999999998</c:v>
                </c:pt>
                <c:pt idx="4">
                  <c:v>2.19</c:v>
                </c:pt>
                <c:pt idx="5">
                  <c:v>2.21</c:v>
                </c:pt>
              </c:numCache>
            </c:numRef>
          </c:val>
        </c:ser>
        <c:marker val="1"/>
        <c:axId val="112762240"/>
        <c:axId val="112769664"/>
      </c:lineChart>
      <c:catAx>
        <c:axId val="112762240"/>
        <c:scaling>
          <c:orientation val="minMax"/>
        </c:scaling>
        <c:axPos val="b"/>
        <c:numFmt formatCode="General" sourceLinked="0"/>
        <c:tickLblPos val="nextTo"/>
        <c:txPr>
          <a:bodyPr/>
          <a:lstStyle/>
          <a:p>
            <a:pPr>
              <a:defRPr lang="en-US" sz="800" b="1"/>
            </a:pPr>
            <a:endParaRPr lang="fr-FR"/>
          </a:p>
        </c:txPr>
        <c:crossAx val="112769664"/>
        <c:crosses val="autoZero"/>
        <c:auto val="1"/>
        <c:lblAlgn val="ctr"/>
        <c:lblOffset val="100"/>
      </c:catAx>
      <c:valAx>
        <c:axId val="112769664"/>
        <c:scaling>
          <c:orientation val="minMax"/>
        </c:scaling>
        <c:axPos val="l"/>
        <c:majorGridlines>
          <c:spPr>
            <a:ln>
              <a:solidFill>
                <a:schemeClr val="tx1"/>
              </a:solidFill>
            </a:ln>
          </c:spPr>
        </c:majorGridlines>
        <c:numFmt formatCode="General" sourceLinked="1"/>
        <c:tickLblPos val="nextTo"/>
        <c:txPr>
          <a:bodyPr/>
          <a:lstStyle/>
          <a:p>
            <a:pPr>
              <a:defRPr lang="en-US" sz="900"/>
            </a:pPr>
            <a:endParaRPr lang="fr-FR"/>
          </a:p>
        </c:txPr>
        <c:crossAx val="112762240"/>
        <c:crosses val="autoZero"/>
        <c:crossBetween val="between"/>
      </c:valAx>
      <c:spPr>
        <a:noFill/>
      </c:spPr>
    </c:plotArea>
    <c:legend>
      <c:legendPos val="b"/>
      <c:layout>
        <c:manualLayout>
          <c:xMode val="edge"/>
          <c:yMode val="edge"/>
          <c:x val="0.27976278080772832"/>
          <c:y val="0.89354676978712666"/>
          <c:w val="0.52693745793728552"/>
          <c:h val="7.6974766899631758E-2"/>
        </c:manualLayout>
      </c:layout>
      <c:txPr>
        <a:bodyPr/>
        <a:lstStyle/>
        <a:p>
          <a:pPr>
            <a:defRPr lang="en-US" sz="1000" b="1"/>
          </a:pPr>
          <a:endParaRPr lang="fr-FR"/>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6.278833201405383E-2"/>
          <c:y val="2.3199111364189909E-2"/>
          <c:w val="0.89430662229436253"/>
          <c:h val="0.69612561221852121"/>
        </c:manualLayout>
      </c:layout>
      <c:lineChart>
        <c:grouping val="standard"/>
        <c:ser>
          <c:idx val="0"/>
          <c:order val="0"/>
          <c:tx>
            <c:strRef>
              <c:f>Feuil2!$A$185:$B$185</c:f>
              <c:strCache>
                <c:ptCount val="1"/>
                <c:pt idx="0">
                  <c:v>Ensemble du Maroc 2004</c:v>
                </c:pt>
              </c:strCache>
            </c:strRef>
          </c:tx>
          <c:marker>
            <c:symbol val="square"/>
            <c:size val="5"/>
          </c:marker>
          <c:cat>
            <c:strRef>
              <c:f>Feuil2!$C$183:$I$184</c:f>
              <c:strCache>
                <c:ptCount val="7"/>
                <c:pt idx="0">
                  <c:v>15-19</c:v>
                </c:pt>
                <c:pt idx="1">
                  <c:v>20-24</c:v>
                </c:pt>
                <c:pt idx="2">
                  <c:v>25-29</c:v>
                </c:pt>
                <c:pt idx="3">
                  <c:v>30-34</c:v>
                </c:pt>
                <c:pt idx="4">
                  <c:v>35-39</c:v>
                </c:pt>
                <c:pt idx="5">
                  <c:v>40-44</c:v>
                </c:pt>
                <c:pt idx="6">
                  <c:v>45-49</c:v>
                </c:pt>
              </c:strCache>
            </c:strRef>
          </c:cat>
          <c:val>
            <c:numRef>
              <c:f>Feuil2!$C$185:$I$185</c:f>
              <c:numCache>
                <c:formatCode>#,##0.0</c:formatCode>
                <c:ptCount val="7"/>
                <c:pt idx="0">
                  <c:v>1.9100000000000001</c:v>
                </c:pt>
                <c:pt idx="1">
                  <c:v>9.9</c:v>
                </c:pt>
                <c:pt idx="2">
                  <c:v>12.7</c:v>
                </c:pt>
                <c:pt idx="3">
                  <c:v>12.3</c:v>
                </c:pt>
                <c:pt idx="4">
                  <c:v>8.2000000000000011</c:v>
                </c:pt>
                <c:pt idx="5">
                  <c:v>3.4</c:v>
                </c:pt>
                <c:pt idx="6">
                  <c:v>1</c:v>
                </c:pt>
              </c:numCache>
            </c:numRef>
          </c:val>
        </c:ser>
        <c:ser>
          <c:idx val="1"/>
          <c:order val="1"/>
          <c:tx>
            <c:strRef>
              <c:f>Feuil2!$A$186:$B$186</c:f>
              <c:strCache>
                <c:ptCount val="1"/>
                <c:pt idx="0">
                  <c:v>Ensemble du Maroc 2014</c:v>
                </c:pt>
              </c:strCache>
            </c:strRef>
          </c:tx>
          <c:marker>
            <c:symbol val="diamond"/>
            <c:size val="5"/>
          </c:marker>
          <c:cat>
            <c:strRef>
              <c:f>Feuil2!$C$183:$I$184</c:f>
              <c:strCache>
                <c:ptCount val="7"/>
                <c:pt idx="0">
                  <c:v>15-19</c:v>
                </c:pt>
                <c:pt idx="1">
                  <c:v>20-24</c:v>
                </c:pt>
                <c:pt idx="2">
                  <c:v>25-29</c:v>
                </c:pt>
                <c:pt idx="3">
                  <c:v>30-34</c:v>
                </c:pt>
                <c:pt idx="4">
                  <c:v>35-39</c:v>
                </c:pt>
                <c:pt idx="5">
                  <c:v>40-44</c:v>
                </c:pt>
                <c:pt idx="6">
                  <c:v>45-49</c:v>
                </c:pt>
              </c:strCache>
            </c:strRef>
          </c:cat>
          <c:val>
            <c:numRef>
              <c:f>Feuil2!$C$186:$I$186</c:f>
              <c:numCache>
                <c:formatCode>#,##0.0</c:formatCode>
                <c:ptCount val="7"/>
                <c:pt idx="0">
                  <c:v>2.2329978787530012</c:v>
                </c:pt>
                <c:pt idx="1">
                  <c:v>9.2052184054956889</c:v>
                </c:pt>
                <c:pt idx="2">
                  <c:v>11.145720885707025</c:v>
                </c:pt>
                <c:pt idx="3">
                  <c:v>10.152454110255116</c:v>
                </c:pt>
                <c:pt idx="4">
                  <c:v>7.1801038625158355</c:v>
                </c:pt>
                <c:pt idx="5">
                  <c:v>3.2667238133501915</c:v>
                </c:pt>
                <c:pt idx="6">
                  <c:v>0.95280015602903345</c:v>
                </c:pt>
              </c:numCache>
            </c:numRef>
          </c:val>
        </c:ser>
        <c:marker val="1"/>
        <c:axId val="113405952"/>
        <c:axId val="113408640"/>
      </c:lineChart>
      <c:catAx>
        <c:axId val="113405952"/>
        <c:scaling>
          <c:orientation val="minMax"/>
        </c:scaling>
        <c:axPos val="b"/>
        <c:numFmt formatCode="General" sourceLinked="0"/>
        <c:tickLblPos val="nextTo"/>
        <c:txPr>
          <a:bodyPr/>
          <a:lstStyle/>
          <a:p>
            <a:pPr>
              <a:defRPr lang="en-US" sz="800" baseline="0"/>
            </a:pPr>
            <a:endParaRPr lang="fr-FR"/>
          </a:p>
        </c:txPr>
        <c:crossAx val="113408640"/>
        <c:crosses val="autoZero"/>
        <c:auto val="1"/>
        <c:lblAlgn val="ctr"/>
        <c:lblOffset val="100"/>
      </c:catAx>
      <c:valAx>
        <c:axId val="113408640"/>
        <c:scaling>
          <c:orientation val="minMax"/>
          <c:max val="20"/>
        </c:scaling>
        <c:axPos val="l"/>
        <c:majorGridlines/>
        <c:numFmt formatCode="#,##0" sourceLinked="0"/>
        <c:tickLblPos val="nextTo"/>
        <c:txPr>
          <a:bodyPr/>
          <a:lstStyle/>
          <a:p>
            <a:pPr>
              <a:defRPr lang="en-US" sz="800"/>
            </a:pPr>
            <a:endParaRPr lang="fr-FR"/>
          </a:p>
        </c:txPr>
        <c:crossAx val="113405952"/>
        <c:crosses val="autoZero"/>
        <c:crossBetween val="between"/>
      </c:valAx>
    </c:plotArea>
    <c:legend>
      <c:legendPos val="b"/>
      <c:layout>
        <c:manualLayout>
          <c:xMode val="edge"/>
          <c:yMode val="edge"/>
          <c:x val="3.0790139073223612E-2"/>
          <c:y val="0.84964122226022942"/>
          <c:w val="0.95029509816886926"/>
          <c:h val="9.8739187347620008E-2"/>
        </c:manualLayout>
      </c:layout>
      <c:txPr>
        <a:bodyPr/>
        <a:lstStyle/>
        <a:p>
          <a:pPr>
            <a:defRPr lang="en-US" sz="800"/>
          </a:pPr>
          <a:endParaRPr lang="fr-FR"/>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26"/>
  <c:chart>
    <c:plotArea>
      <c:layout>
        <c:manualLayout>
          <c:layoutTarget val="inner"/>
          <c:xMode val="edge"/>
          <c:yMode val="edge"/>
          <c:x val="8.4654869530199919E-2"/>
          <c:y val="4.7040694787805433E-2"/>
          <c:w val="0.90455136872776509"/>
          <c:h val="0.85691199131515261"/>
        </c:manualLayout>
      </c:layout>
      <c:barChart>
        <c:barDir val="col"/>
        <c:grouping val="clustered"/>
        <c:ser>
          <c:idx val="0"/>
          <c:order val="0"/>
          <c:tx>
            <c:strRef>
              <c:f>Feuil1!$G$20</c:f>
              <c:strCache>
                <c:ptCount val="1"/>
                <c:pt idx="0">
                  <c:v>Casablanca</c:v>
                </c:pt>
              </c:strCache>
            </c:strRef>
          </c:tx>
          <c:cat>
            <c:strRef>
              <c:f>Feuil1!$H$19:$L$19</c:f>
              <c:strCache>
                <c:ptCount val="5"/>
                <c:pt idx="0">
                  <c:v>15-19</c:v>
                </c:pt>
                <c:pt idx="1">
                  <c:v>20-24</c:v>
                </c:pt>
                <c:pt idx="2">
                  <c:v>25-29</c:v>
                </c:pt>
                <c:pt idx="3">
                  <c:v>30-34</c:v>
                </c:pt>
                <c:pt idx="4">
                  <c:v>35+</c:v>
                </c:pt>
              </c:strCache>
            </c:strRef>
          </c:cat>
          <c:val>
            <c:numRef>
              <c:f>Feuil1!$H$20:$L$20</c:f>
              <c:numCache>
                <c:formatCode>0.00</c:formatCode>
                <c:ptCount val="5"/>
                <c:pt idx="0">
                  <c:v>0.34940928474249888</c:v>
                </c:pt>
                <c:pt idx="1">
                  <c:v>-9.2719030116446867E-3</c:v>
                </c:pt>
                <c:pt idx="2">
                  <c:v>-4.1549378068420163E-2</c:v>
                </c:pt>
                <c:pt idx="3">
                  <c:v>-0.10336255516930461</c:v>
                </c:pt>
                <c:pt idx="4">
                  <c:v>6.5598217223319114E-2</c:v>
                </c:pt>
              </c:numCache>
            </c:numRef>
          </c:val>
        </c:ser>
        <c:ser>
          <c:idx val="1"/>
          <c:order val="1"/>
          <c:tx>
            <c:strRef>
              <c:f>Feuil1!$G$21</c:f>
              <c:strCache>
                <c:ptCount val="1"/>
                <c:pt idx="0">
                  <c:v>Rabat-Salé</c:v>
                </c:pt>
              </c:strCache>
            </c:strRef>
          </c:tx>
          <c:cat>
            <c:strRef>
              <c:f>Feuil1!$H$19:$L$19</c:f>
              <c:strCache>
                <c:ptCount val="5"/>
                <c:pt idx="0">
                  <c:v>15-19</c:v>
                </c:pt>
                <c:pt idx="1">
                  <c:v>20-24</c:v>
                </c:pt>
                <c:pt idx="2">
                  <c:v>25-29</c:v>
                </c:pt>
                <c:pt idx="3">
                  <c:v>30-34</c:v>
                </c:pt>
                <c:pt idx="4">
                  <c:v>35+</c:v>
                </c:pt>
              </c:strCache>
            </c:strRef>
          </c:cat>
          <c:val>
            <c:numRef>
              <c:f>Feuil1!$H$21:$L$21</c:f>
              <c:numCache>
                <c:formatCode>0.00</c:formatCode>
                <c:ptCount val="5"/>
                <c:pt idx="0">
                  <c:v>5.0236571537209333E-2</c:v>
                </c:pt>
                <c:pt idx="1">
                  <c:v>-0.10908105652996239</c:v>
                </c:pt>
                <c:pt idx="2">
                  <c:v>-8.5635236608030643E-2</c:v>
                </c:pt>
                <c:pt idx="3">
                  <c:v>-0.12578135037455238</c:v>
                </c:pt>
                <c:pt idx="4">
                  <c:v>0.10997424793327709</c:v>
                </c:pt>
              </c:numCache>
            </c:numRef>
          </c:val>
        </c:ser>
        <c:ser>
          <c:idx val="2"/>
          <c:order val="2"/>
          <c:tx>
            <c:strRef>
              <c:f>Feuil1!$G$22</c:f>
              <c:strCache>
                <c:ptCount val="1"/>
                <c:pt idx="0">
                  <c:v>Marrakech</c:v>
                </c:pt>
              </c:strCache>
            </c:strRef>
          </c:tx>
          <c:cat>
            <c:strRef>
              <c:f>Feuil1!$H$19:$L$19</c:f>
              <c:strCache>
                <c:ptCount val="5"/>
                <c:pt idx="0">
                  <c:v>15-19</c:v>
                </c:pt>
                <c:pt idx="1">
                  <c:v>20-24</c:v>
                </c:pt>
                <c:pt idx="2">
                  <c:v>25-29</c:v>
                </c:pt>
                <c:pt idx="3">
                  <c:v>30-34</c:v>
                </c:pt>
                <c:pt idx="4">
                  <c:v>35+</c:v>
                </c:pt>
              </c:strCache>
            </c:strRef>
          </c:cat>
          <c:val>
            <c:numRef>
              <c:f>Feuil1!$H$22:$L$22</c:f>
              <c:numCache>
                <c:formatCode>0.00</c:formatCode>
                <c:ptCount val="5"/>
                <c:pt idx="0">
                  <c:v>0.20875393822698671</c:v>
                </c:pt>
                <c:pt idx="1">
                  <c:v>-6.68220474932055E-2</c:v>
                </c:pt>
                <c:pt idx="2">
                  <c:v>2.2973552572898492E-3</c:v>
                </c:pt>
                <c:pt idx="3">
                  <c:v>-5.1535431159656933E-2</c:v>
                </c:pt>
                <c:pt idx="4">
                  <c:v>0.12061257442902502</c:v>
                </c:pt>
              </c:numCache>
            </c:numRef>
          </c:val>
        </c:ser>
        <c:ser>
          <c:idx val="3"/>
          <c:order val="3"/>
          <c:tx>
            <c:strRef>
              <c:f>Feuil1!$G$23</c:f>
              <c:strCache>
                <c:ptCount val="1"/>
                <c:pt idx="0">
                  <c:v>Tanger</c:v>
                </c:pt>
              </c:strCache>
            </c:strRef>
          </c:tx>
          <c:cat>
            <c:strRef>
              <c:f>Feuil1!$H$19:$L$19</c:f>
              <c:strCache>
                <c:ptCount val="5"/>
                <c:pt idx="0">
                  <c:v>15-19</c:v>
                </c:pt>
                <c:pt idx="1">
                  <c:v>20-24</c:v>
                </c:pt>
                <c:pt idx="2">
                  <c:v>25-29</c:v>
                </c:pt>
                <c:pt idx="3">
                  <c:v>30-34</c:v>
                </c:pt>
                <c:pt idx="4">
                  <c:v>35+</c:v>
                </c:pt>
              </c:strCache>
            </c:strRef>
          </c:cat>
          <c:val>
            <c:numRef>
              <c:f>Feuil1!$H$23:$L$23</c:f>
              <c:numCache>
                <c:formatCode>0.00</c:formatCode>
                <c:ptCount val="5"/>
                <c:pt idx="0">
                  <c:v>0.41170917491877446</c:v>
                </c:pt>
                <c:pt idx="1">
                  <c:v>5.7780257362421934E-2</c:v>
                </c:pt>
                <c:pt idx="2">
                  <c:v>-2.6918979761450792E-3</c:v>
                </c:pt>
                <c:pt idx="3">
                  <c:v>-7.4611005766091754E-2</c:v>
                </c:pt>
                <c:pt idx="4">
                  <c:v>3.7831847982521614E-2</c:v>
                </c:pt>
              </c:numCache>
            </c:numRef>
          </c:val>
        </c:ser>
        <c:ser>
          <c:idx val="4"/>
          <c:order val="4"/>
          <c:tx>
            <c:strRef>
              <c:f>Feuil1!$G$24</c:f>
              <c:strCache>
                <c:ptCount val="1"/>
                <c:pt idx="0">
                  <c:v>Meknès</c:v>
                </c:pt>
              </c:strCache>
            </c:strRef>
          </c:tx>
          <c:cat>
            <c:strRef>
              <c:f>Feuil1!$H$19:$L$19</c:f>
              <c:strCache>
                <c:ptCount val="5"/>
                <c:pt idx="0">
                  <c:v>15-19</c:v>
                </c:pt>
                <c:pt idx="1">
                  <c:v>20-24</c:v>
                </c:pt>
                <c:pt idx="2">
                  <c:v>25-29</c:v>
                </c:pt>
                <c:pt idx="3">
                  <c:v>30-34</c:v>
                </c:pt>
                <c:pt idx="4">
                  <c:v>35+</c:v>
                </c:pt>
              </c:strCache>
            </c:strRef>
          </c:cat>
          <c:val>
            <c:numRef>
              <c:f>Feuil1!$H$24:$L$24</c:f>
              <c:numCache>
                <c:formatCode>0.00</c:formatCode>
                <c:ptCount val="5"/>
                <c:pt idx="0">
                  <c:v>0.24397449852278294</c:v>
                </c:pt>
                <c:pt idx="1">
                  <c:v>-1.9314234966445947E-2</c:v>
                </c:pt>
                <c:pt idx="2">
                  <c:v>-4.8378272404723401E-2</c:v>
                </c:pt>
                <c:pt idx="3">
                  <c:v>-3.7114577225764278E-2</c:v>
                </c:pt>
                <c:pt idx="4">
                  <c:v>1.7992067380349128E-2</c:v>
                </c:pt>
              </c:numCache>
            </c:numRef>
          </c:val>
        </c:ser>
        <c:ser>
          <c:idx val="5"/>
          <c:order val="5"/>
          <c:tx>
            <c:strRef>
              <c:f>Feuil1!$G$25</c:f>
              <c:strCache>
                <c:ptCount val="1"/>
                <c:pt idx="0">
                  <c:v>Fès</c:v>
                </c:pt>
              </c:strCache>
            </c:strRef>
          </c:tx>
          <c:cat>
            <c:strRef>
              <c:f>Feuil1!$H$19:$L$19</c:f>
              <c:strCache>
                <c:ptCount val="5"/>
                <c:pt idx="0">
                  <c:v>15-19</c:v>
                </c:pt>
                <c:pt idx="1">
                  <c:v>20-24</c:v>
                </c:pt>
                <c:pt idx="2">
                  <c:v>25-29</c:v>
                </c:pt>
                <c:pt idx="3">
                  <c:v>30-34</c:v>
                </c:pt>
                <c:pt idx="4">
                  <c:v>35+</c:v>
                </c:pt>
              </c:strCache>
            </c:strRef>
          </c:cat>
          <c:val>
            <c:numRef>
              <c:f>Feuil1!$H$25:$L$25</c:f>
              <c:numCache>
                <c:formatCode>0.00</c:formatCode>
                <c:ptCount val="5"/>
                <c:pt idx="0">
                  <c:v>0.18258645273020724</c:v>
                </c:pt>
                <c:pt idx="1">
                  <c:v>-0.12444991495846545</c:v>
                </c:pt>
                <c:pt idx="2">
                  <c:v>-0.12745632629715639</c:v>
                </c:pt>
                <c:pt idx="3">
                  <c:v>-0.11927286922851062</c:v>
                </c:pt>
                <c:pt idx="4">
                  <c:v>-4.0153722674626621E-2</c:v>
                </c:pt>
              </c:numCache>
            </c:numRef>
          </c:val>
        </c:ser>
        <c:ser>
          <c:idx val="6"/>
          <c:order val="6"/>
          <c:tx>
            <c:strRef>
              <c:f>Feuil1!$G$26</c:f>
              <c:strCache>
                <c:ptCount val="1"/>
                <c:pt idx="0">
                  <c:v>Ensemble</c:v>
                </c:pt>
              </c:strCache>
            </c:strRef>
          </c:tx>
          <c:cat>
            <c:strRef>
              <c:f>Feuil1!$H$19:$L$19</c:f>
              <c:strCache>
                <c:ptCount val="5"/>
                <c:pt idx="0">
                  <c:v>15-19</c:v>
                </c:pt>
                <c:pt idx="1">
                  <c:v>20-24</c:v>
                </c:pt>
                <c:pt idx="2">
                  <c:v>25-29</c:v>
                </c:pt>
                <c:pt idx="3">
                  <c:v>30-34</c:v>
                </c:pt>
                <c:pt idx="4">
                  <c:v>35+</c:v>
                </c:pt>
              </c:strCache>
            </c:strRef>
          </c:cat>
          <c:val>
            <c:numRef>
              <c:f>Feuil1!$H$26:$L$26</c:f>
            </c:numRef>
          </c:val>
        </c:ser>
        <c:ser>
          <c:idx val="7"/>
          <c:order val="7"/>
          <c:tx>
            <c:strRef>
              <c:f>Feuil1!$G$27</c:f>
              <c:strCache>
                <c:ptCount val="1"/>
                <c:pt idx="0">
                  <c:v>Reste de l'Urbain</c:v>
                </c:pt>
              </c:strCache>
            </c:strRef>
          </c:tx>
          <c:cat>
            <c:strRef>
              <c:f>Feuil1!$H$19:$L$19</c:f>
              <c:strCache>
                <c:ptCount val="5"/>
                <c:pt idx="0">
                  <c:v>15-19</c:v>
                </c:pt>
                <c:pt idx="1">
                  <c:v>20-24</c:v>
                </c:pt>
                <c:pt idx="2">
                  <c:v>25-29</c:v>
                </c:pt>
                <c:pt idx="3">
                  <c:v>30-34</c:v>
                </c:pt>
                <c:pt idx="4">
                  <c:v>35+</c:v>
                </c:pt>
              </c:strCache>
            </c:strRef>
          </c:cat>
          <c:val>
            <c:numRef>
              <c:f>Feuil1!$H$27:$L$27</c:f>
              <c:numCache>
                <c:formatCode>0.00</c:formatCode>
                <c:ptCount val="5"/>
                <c:pt idx="0">
                  <c:v>0.26011862243364731</c:v>
                </c:pt>
                <c:pt idx="1">
                  <c:v>-1.2969204018960945E-2</c:v>
                </c:pt>
                <c:pt idx="2">
                  <c:v>-4.5300146886725463E-2</c:v>
                </c:pt>
                <c:pt idx="3">
                  <c:v>-8.6398474207843468E-2</c:v>
                </c:pt>
                <c:pt idx="4">
                  <c:v>2.0561308982703905E-2</c:v>
                </c:pt>
              </c:numCache>
            </c:numRef>
          </c:val>
        </c:ser>
        <c:ser>
          <c:idx val="8"/>
          <c:order val="8"/>
          <c:tx>
            <c:strRef>
              <c:f>Feuil1!$G$28</c:f>
              <c:strCache>
                <c:ptCount val="1"/>
                <c:pt idx="0">
                  <c:v>Rural</c:v>
                </c:pt>
              </c:strCache>
            </c:strRef>
          </c:tx>
          <c:cat>
            <c:strRef>
              <c:f>Feuil1!$H$19:$L$19</c:f>
              <c:strCache>
                <c:ptCount val="5"/>
                <c:pt idx="0">
                  <c:v>15-19</c:v>
                </c:pt>
                <c:pt idx="1">
                  <c:v>20-24</c:v>
                </c:pt>
                <c:pt idx="2">
                  <c:v>25-29</c:v>
                </c:pt>
                <c:pt idx="3">
                  <c:v>30-34</c:v>
                </c:pt>
                <c:pt idx="4">
                  <c:v>35+</c:v>
                </c:pt>
              </c:strCache>
            </c:strRef>
          </c:cat>
          <c:val>
            <c:numRef>
              <c:f>Feuil1!$H$28:$L$28</c:f>
              <c:numCache>
                <c:formatCode>0.00</c:formatCode>
                <c:ptCount val="5"/>
                <c:pt idx="0">
                  <c:v>0.16667874620317283</c:v>
                </c:pt>
                <c:pt idx="1">
                  <c:v>-6.388180922000633E-2</c:v>
                </c:pt>
                <c:pt idx="2">
                  <c:v>-0.18101313715001019</c:v>
                </c:pt>
                <c:pt idx="3">
                  <c:v>-0.27004583705328511</c:v>
                </c:pt>
                <c:pt idx="4">
                  <c:v>-0.23473980556201779</c:v>
                </c:pt>
              </c:numCache>
            </c:numRef>
          </c:val>
        </c:ser>
        <c:axId val="100356096"/>
        <c:axId val="100357632"/>
      </c:barChart>
      <c:catAx>
        <c:axId val="100356096"/>
        <c:scaling>
          <c:orientation val="minMax"/>
        </c:scaling>
        <c:axPos val="b"/>
        <c:numFmt formatCode="General" sourceLinked="0"/>
        <c:tickLblPos val="nextTo"/>
        <c:txPr>
          <a:bodyPr/>
          <a:lstStyle/>
          <a:p>
            <a:pPr>
              <a:defRPr lang="en-US"/>
            </a:pPr>
            <a:endParaRPr lang="fr-FR"/>
          </a:p>
        </c:txPr>
        <c:crossAx val="100357632"/>
        <c:crosses val="autoZero"/>
        <c:auto val="1"/>
        <c:lblAlgn val="ctr"/>
        <c:lblOffset val="100"/>
      </c:catAx>
      <c:valAx>
        <c:axId val="100357632"/>
        <c:scaling>
          <c:orientation val="minMax"/>
        </c:scaling>
        <c:axPos val="l"/>
        <c:majorGridlines>
          <c:spPr>
            <a:ln>
              <a:prstDash val="sysDot"/>
            </a:ln>
          </c:spPr>
        </c:majorGridlines>
        <c:numFmt formatCode="0.00" sourceLinked="1"/>
        <c:tickLblPos val="nextTo"/>
        <c:txPr>
          <a:bodyPr/>
          <a:lstStyle/>
          <a:p>
            <a:pPr>
              <a:defRPr lang="en-US"/>
            </a:pPr>
            <a:endParaRPr lang="fr-FR"/>
          </a:p>
        </c:txPr>
        <c:crossAx val="100356096"/>
        <c:crosses val="autoZero"/>
        <c:crossBetween val="between"/>
      </c:valAx>
    </c:plotArea>
    <c:legend>
      <c:legendPos val="b"/>
      <c:txPr>
        <a:bodyPr/>
        <a:lstStyle/>
        <a:p>
          <a:pPr>
            <a:defRPr lang="en-US" sz="900" b="1"/>
          </a:pPr>
          <a:endParaRPr lang="fr-FR"/>
        </a:p>
      </c:txPr>
    </c:legend>
    <c:plotVisOnly val="1"/>
    <c:dispBlanksAs val="gap"/>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9934534045313302E-2"/>
          <c:y val="5.1400554097404488E-2"/>
          <c:w val="0.93899266901982081"/>
          <c:h val="0.75919483805293164"/>
        </c:manualLayout>
      </c:layout>
      <c:lineChart>
        <c:grouping val="standard"/>
        <c:ser>
          <c:idx val="0"/>
          <c:order val="0"/>
          <c:tx>
            <c:strRef>
              <c:f>Feuil1!$B$28</c:f>
              <c:strCache>
                <c:ptCount val="1"/>
                <c:pt idx="0">
                  <c:v>Urbain</c:v>
                </c:pt>
              </c:strCache>
            </c:strRef>
          </c:tx>
          <c:marker>
            <c:symbol val="triangle"/>
            <c:size val="5"/>
          </c:marker>
          <c:dLbls>
            <c:spPr>
              <a:noFill/>
              <a:ln>
                <a:noFill/>
              </a:ln>
              <a:effectLst/>
            </c:spPr>
            <c:txPr>
              <a:bodyPr/>
              <a:lstStyle/>
              <a:p>
                <a:pPr>
                  <a:defRPr lang="en-US" sz="800" b="1"/>
                </a:pPr>
                <a:endParaRPr lang="fr-FR"/>
              </a:p>
            </c:txPr>
            <c:dLblPos val="b"/>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Feuil1!$B$29:$B$34</c:f>
              <c:numCache>
                <c:formatCode>General</c:formatCode>
                <c:ptCount val="6"/>
                <c:pt idx="0">
                  <c:v>2.8499999999999988</c:v>
                </c:pt>
                <c:pt idx="1">
                  <c:v>2.17</c:v>
                </c:pt>
                <c:pt idx="2">
                  <c:v>2.2999999999999998</c:v>
                </c:pt>
                <c:pt idx="3">
                  <c:v>2.1</c:v>
                </c:pt>
                <c:pt idx="4">
                  <c:v>2.15</c:v>
                </c:pt>
                <c:pt idx="5">
                  <c:v>2.12</c:v>
                </c:pt>
              </c:numCache>
            </c:numRef>
          </c:val>
        </c:ser>
        <c:ser>
          <c:idx val="1"/>
          <c:order val="1"/>
          <c:tx>
            <c:strRef>
              <c:f>Feuil1!$C$28</c:f>
              <c:strCache>
                <c:ptCount val="1"/>
                <c:pt idx="0">
                  <c:v>Rural</c:v>
                </c:pt>
              </c:strCache>
            </c:strRef>
          </c:tx>
          <c:marker>
            <c:symbol val="square"/>
            <c:size val="5"/>
          </c:marker>
          <c:dLbls>
            <c:spPr>
              <a:noFill/>
              <a:ln>
                <a:noFill/>
              </a:ln>
              <a:effectLst/>
            </c:spPr>
            <c:txPr>
              <a:bodyPr/>
              <a:lstStyle/>
              <a:p>
                <a:pPr>
                  <a:defRPr lang="en-US" sz="800" b="1"/>
                </a:pPr>
                <a:endParaRPr lang="fr-FR"/>
              </a:p>
            </c:txPr>
            <c:dLblPos val="t"/>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Feuil1!$C$29:$C$34</c:f>
              <c:numCache>
                <c:formatCode>General</c:formatCode>
                <c:ptCount val="6"/>
                <c:pt idx="0">
                  <c:v>5.9700000000000024</c:v>
                </c:pt>
                <c:pt idx="1">
                  <c:v>4.5</c:v>
                </c:pt>
                <c:pt idx="2">
                  <c:v>4.0999999999999996</c:v>
                </c:pt>
                <c:pt idx="3">
                  <c:v>3</c:v>
                </c:pt>
                <c:pt idx="4">
                  <c:v>3.2</c:v>
                </c:pt>
                <c:pt idx="5">
                  <c:v>2.8</c:v>
                </c:pt>
              </c:numCache>
            </c:numRef>
          </c:val>
        </c:ser>
        <c:ser>
          <c:idx val="2"/>
          <c:order val="2"/>
          <c:tx>
            <c:strRef>
              <c:f>Feuil1!$D$28</c:f>
              <c:strCache>
                <c:ptCount val="1"/>
                <c:pt idx="0">
                  <c:v>Ensemble</c:v>
                </c:pt>
              </c:strCache>
            </c:strRef>
          </c:tx>
          <c:marker>
            <c:symbol val="diamond"/>
            <c:size val="5"/>
          </c:marker>
          <c:dLbls>
            <c:dLbl>
              <c:idx val="3"/>
              <c:layout>
                <c:manualLayout>
                  <c:x val="-3.7312695402327442E-2"/>
                  <c:y val="-3.3852469787527151E-2"/>
                </c:manualLayout>
              </c:layout>
              <c:dLblPos val="r"/>
              <c:showVal val="1"/>
              <c:extLst>
                <c:ext xmlns:c15="http://schemas.microsoft.com/office/drawing/2012/chart" uri="{CE6537A1-D6FC-4f65-9D91-7224C49458BB}"/>
              </c:extLst>
            </c:dLbl>
            <c:dLbl>
              <c:idx val="4"/>
              <c:layout>
                <c:manualLayout>
                  <c:x val="-4.2880344096214426E-2"/>
                  <c:y val="-3.3852922917978881E-2"/>
                </c:manualLayout>
              </c:layout>
              <c:dLblPos val="r"/>
              <c:showVal val="1"/>
              <c:extLst>
                <c:ext xmlns:c15="http://schemas.microsoft.com/office/drawing/2012/chart" uri="{CE6537A1-D6FC-4f65-9D91-7224C49458BB}"/>
              </c:extLst>
            </c:dLbl>
            <c:dLbl>
              <c:idx val="5"/>
              <c:layout>
                <c:manualLayout>
                  <c:x val="-4.2880344096214426E-2"/>
                  <c:y val="-2.8097713050610242E-2"/>
                </c:manualLayout>
              </c:layout>
              <c:dLblPos val="r"/>
              <c:showVal val="1"/>
              <c:extLst>
                <c:ext xmlns:c15="http://schemas.microsoft.com/office/drawing/2012/chart" uri="{CE6537A1-D6FC-4f65-9D91-7224C49458BB}"/>
              </c:extLst>
            </c:dLbl>
            <c:spPr>
              <a:noFill/>
              <a:ln>
                <a:noFill/>
              </a:ln>
              <a:effectLst/>
            </c:spPr>
            <c:txPr>
              <a:bodyPr/>
              <a:lstStyle/>
              <a:p>
                <a:pPr>
                  <a:defRPr lang="en-US" sz="800" b="1"/>
                </a:pPr>
                <a:endParaRPr lang="fr-FR"/>
              </a:p>
            </c:txPr>
            <c:dLblPos val="t"/>
            <c:showVal val="1"/>
            <c:extLst>
              <c:ext xmlns:c15="http://schemas.microsoft.com/office/drawing/2012/chart" uri="{CE6537A1-D6FC-4f65-9D91-7224C49458BB}">
                <c15:showLeaderLines val="0"/>
              </c:ext>
            </c:extLst>
          </c:dLbls>
          <c:cat>
            <c:strRef>
              <c:f>Feuil1!$A$29:$A$34</c:f>
              <c:strCache>
                <c:ptCount val="6"/>
                <c:pt idx="0">
                  <c:v>EDS 1987</c:v>
                </c:pt>
                <c:pt idx="1">
                  <c:v>EDS 1992</c:v>
                </c:pt>
                <c:pt idx="2">
                  <c:v>PAPFAM 1997</c:v>
                </c:pt>
                <c:pt idx="3">
                  <c:v>EDS 2004</c:v>
                </c:pt>
                <c:pt idx="4">
                  <c:v>EDS 2011</c:v>
                </c:pt>
                <c:pt idx="5">
                  <c:v>EDS 2018</c:v>
                </c:pt>
              </c:strCache>
            </c:strRef>
          </c:cat>
          <c:val>
            <c:numRef>
              <c:f>Feuil1!$D$29:$D$34</c:f>
              <c:numCache>
                <c:formatCode>General</c:formatCode>
                <c:ptCount val="6"/>
                <c:pt idx="0">
                  <c:v>4.46</c:v>
                </c:pt>
                <c:pt idx="1">
                  <c:v>3.3099999999999987</c:v>
                </c:pt>
                <c:pt idx="2">
                  <c:v>3.1</c:v>
                </c:pt>
                <c:pt idx="3">
                  <c:v>2.5</c:v>
                </c:pt>
                <c:pt idx="4">
                  <c:v>2.59</c:v>
                </c:pt>
                <c:pt idx="5">
                  <c:v>2.38</c:v>
                </c:pt>
              </c:numCache>
            </c:numRef>
          </c:val>
        </c:ser>
        <c:marker val="1"/>
        <c:axId val="100560256"/>
        <c:axId val="100615296"/>
      </c:lineChart>
      <c:catAx>
        <c:axId val="100560256"/>
        <c:scaling>
          <c:orientation val="minMax"/>
        </c:scaling>
        <c:axPos val="b"/>
        <c:numFmt formatCode="General" sourceLinked="0"/>
        <c:tickLblPos val="nextTo"/>
        <c:txPr>
          <a:bodyPr/>
          <a:lstStyle/>
          <a:p>
            <a:pPr>
              <a:defRPr lang="en-US" sz="800" b="1"/>
            </a:pPr>
            <a:endParaRPr lang="fr-FR"/>
          </a:p>
        </c:txPr>
        <c:crossAx val="100615296"/>
        <c:crosses val="autoZero"/>
        <c:auto val="1"/>
        <c:lblAlgn val="ctr"/>
        <c:lblOffset val="100"/>
      </c:catAx>
      <c:valAx>
        <c:axId val="100615296"/>
        <c:scaling>
          <c:orientation val="minMax"/>
        </c:scaling>
        <c:axPos val="l"/>
        <c:majorGridlines>
          <c:spPr>
            <a:ln>
              <a:solidFill>
                <a:schemeClr val="tx1"/>
              </a:solidFill>
            </a:ln>
          </c:spPr>
        </c:majorGridlines>
        <c:numFmt formatCode="General" sourceLinked="1"/>
        <c:tickLblPos val="nextTo"/>
        <c:txPr>
          <a:bodyPr/>
          <a:lstStyle/>
          <a:p>
            <a:pPr>
              <a:defRPr lang="en-US"/>
            </a:pPr>
            <a:endParaRPr lang="fr-FR"/>
          </a:p>
        </c:txPr>
        <c:crossAx val="100560256"/>
        <c:crosses val="autoZero"/>
        <c:crossBetween val="between"/>
      </c:valAx>
      <c:spPr>
        <a:noFill/>
      </c:spPr>
    </c:plotArea>
    <c:legend>
      <c:legendPos val="b"/>
      <c:layout>
        <c:manualLayout>
          <c:xMode val="edge"/>
          <c:yMode val="edge"/>
          <c:x val="0.28855698741826458"/>
          <c:y val="0.91786238257138708"/>
          <c:w val="0.56023406713272739"/>
          <c:h val="7.9150786741304907E-2"/>
        </c:manualLayout>
      </c:layout>
      <c:txPr>
        <a:bodyPr/>
        <a:lstStyle/>
        <a:p>
          <a:pPr>
            <a:defRPr lang="en-US" b="1"/>
          </a:pPr>
          <a:endParaRPr lang="fr-FR"/>
        </a:p>
      </c:txPr>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9934534045313302E-2"/>
          <c:y val="5.1400554097404488E-2"/>
          <c:w val="0.9588339651987946"/>
          <c:h val="0.72719768284434305"/>
        </c:manualLayout>
      </c:layout>
      <c:lineChart>
        <c:grouping val="standard"/>
        <c:ser>
          <c:idx val="0"/>
          <c:order val="0"/>
          <c:tx>
            <c:v>Urbain</c:v>
          </c:tx>
          <c:marker>
            <c:symbol val="triangle"/>
            <c:size val="5"/>
          </c:marker>
          <c:dLbls>
            <c:dLbl>
              <c:idx val="1"/>
              <c:layout>
                <c:manualLayout>
                  <c:x val="0"/>
                  <c:y val="-1.5640273704789841E-2"/>
                </c:manualLayout>
              </c:layout>
              <c:showVal val="1"/>
              <c:extLst>
                <c:ext xmlns:c15="http://schemas.microsoft.com/office/drawing/2012/chart" uri="{CE6537A1-D6FC-4f65-9D91-7224C49458BB}"/>
              </c:extLst>
            </c:dLbl>
            <c:dLbl>
              <c:idx val="2"/>
              <c:layout>
                <c:manualLayout>
                  <c:x val="1.7754105636928745E-3"/>
                  <c:y val="1.5640273704789841E-2"/>
                </c:manualLayout>
              </c:layout>
              <c:showVal val="1"/>
              <c:extLst>
                <c:ext xmlns:c15="http://schemas.microsoft.com/office/drawing/2012/chart" uri="{CE6537A1-D6FC-4f65-9D91-7224C49458BB}"/>
              </c:extLst>
            </c:dLbl>
            <c:dLbl>
              <c:idx val="3"/>
              <c:layout>
                <c:manualLayout>
                  <c:x val="0"/>
                  <c:y val="3.5190615835777136E-2"/>
                </c:manualLayout>
              </c:layout>
              <c:showVal val="1"/>
              <c:extLst>
                <c:ext xmlns:c15="http://schemas.microsoft.com/office/drawing/2012/chart" uri="{CE6537A1-D6FC-4f65-9D91-7224C49458BB}"/>
              </c:extLst>
            </c:dLbl>
            <c:dLbl>
              <c:idx val="4"/>
              <c:layout>
                <c:manualLayout>
                  <c:x val="0"/>
                  <c:y val="4.6920821114369467E-2"/>
                </c:manualLayout>
              </c:layout>
              <c:showVal val="1"/>
              <c:extLst>
                <c:ext xmlns:c15="http://schemas.microsoft.com/office/drawing/2012/chart" uri="{CE6537A1-D6FC-4f65-9D91-7224C49458BB}"/>
              </c:extLst>
            </c:dLbl>
            <c:dLbl>
              <c:idx val="5"/>
              <c:layout>
                <c:manualLayout>
                  <c:x val="0"/>
                  <c:y val="4.3010752688172046E-2"/>
                </c:manualLayout>
              </c:layout>
              <c:showVal val="1"/>
              <c:extLst>
                <c:ext xmlns:c15="http://schemas.microsoft.com/office/drawing/2012/chart" uri="{CE6537A1-D6FC-4f65-9D91-7224C49458BB}"/>
              </c:extLst>
            </c:dLbl>
            <c:dLbl>
              <c:idx val="6"/>
              <c:layout>
                <c:manualLayout>
                  <c:x val="0"/>
                  <c:y val="3.1280547409580216E-2"/>
                </c:manualLayout>
              </c:layout>
              <c:showVal val="1"/>
              <c:extLst>
                <c:ext xmlns:c15="http://schemas.microsoft.com/office/drawing/2012/chart" uri="{CE6537A1-D6FC-4f65-9D91-7224C49458BB}"/>
              </c:extLst>
            </c:dLbl>
            <c:dLbl>
              <c:idx val="7"/>
              <c:layout>
                <c:manualLayout>
                  <c:x val="1.7754105636928745E-3"/>
                  <c:y val="3.9100684261974585E-2"/>
                </c:manualLayout>
              </c:layout>
              <c:showVal val="1"/>
              <c:extLst>
                <c:ext xmlns:c15="http://schemas.microsoft.com/office/drawing/2012/chart" uri="{CE6537A1-D6FC-4f65-9D91-7224C49458BB}"/>
              </c:extLst>
            </c:dLbl>
            <c:dLbl>
              <c:idx val="8"/>
              <c:layout>
                <c:manualLayout>
                  <c:x val="0"/>
                  <c:y val="2.7370478983382209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Feuil1!$B$3:$B$11</c:f>
              <c:numCache>
                <c:formatCode>General</c:formatCode>
                <c:ptCount val="9"/>
                <c:pt idx="0">
                  <c:v>4.28</c:v>
                </c:pt>
                <c:pt idx="1">
                  <c:v>2.8499999999999988</c:v>
                </c:pt>
                <c:pt idx="2">
                  <c:v>2.17</c:v>
                </c:pt>
                <c:pt idx="3">
                  <c:v>2.56</c:v>
                </c:pt>
                <c:pt idx="4">
                  <c:v>2.2999999999999998</c:v>
                </c:pt>
                <c:pt idx="5">
                  <c:v>2.0499999999999998</c:v>
                </c:pt>
                <c:pt idx="6">
                  <c:v>1.8</c:v>
                </c:pt>
                <c:pt idx="7">
                  <c:v>2.0099999999999998</c:v>
                </c:pt>
                <c:pt idx="8">
                  <c:v>2.12</c:v>
                </c:pt>
              </c:numCache>
            </c:numRef>
          </c:val>
        </c:ser>
        <c:ser>
          <c:idx val="1"/>
          <c:order val="1"/>
          <c:tx>
            <c:v>Rural</c:v>
          </c:tx>
          <c:marker>
            <c:symbol val="square"/>
            <c:size val="5"/>
          </c:marker>
          <c:dLbls>
            <c:dLbl>
              <c:idx val="2"/>
              <c:layout>
                <c:manualLayout>
                  <c:x val="-1.7754105636928745E-3"/>
                  <c:y val="-1.5640273704789841E-2"/>
                </c:manualLayout>
              </c:layout>
              <c:showVal val="1"/>
              <c:extLst>
                <c:ext xmlns:c15="http://schemas.microsoft.com/office/drawing/2012/chart" uri="{CE6537A1-D6FC-4f65-9D91-7224C49458BB}"/>
              </c:extLst>
            </c:dLbl>
            <c:dLbl>
              <c:idx val="3"/>
              <c:layout>
                <c:manualLayout>
                  <c:x val="0"/>
                  <c:y val="-2.3460410557184751E-2"/>
                </c:manualLayout>
              </c:layout>
              <c:showVal val="1"/>
              <c:extLst>
                <c:ext xmlns:c15="http://schemas.microsoft.com/office/drawing/2012/chart" uri="{CE6537A1-D6FC-4f65-9D91-7224C49458BB}"/>
              </c:extLst>
            </c:dLbl>
            <c:dLbl>
              <c:idx val="5"/>
              <c:layout>
                <c:manualLayout>
                  <c:x val="-3.5508211273857092E-3"/>
                  <c:y val="-3.5190615835777136E-2"/>
                </c:manualLayout>
              </c:layout>
              <c:showVal val="1"/>
              <c:extLst>
                <c:ext xmlns:c15="http://schemas.microsoft.com/office/drawing/2012/chart" uri="{CE6537A1-D6FC-4f65-9D91-7224C49458BB}"/>
              </c:extLst>
            </c:dLbl>
            <c:dLbl>
              <c:idx val="6"/>
              <c:layout>
                <c:manualLayout>
                  <c:x val="0"/>
                  <c:y val="-4.3010752688172046E-2"/>
                </c:manualLayout>
              </c:layout>
              <c:showVal val="1"/>
              <c:extLst>
                <c:ext xmlns:c15="http://schemas.microsoft.com/office/drawing/2012/chart" uri="{CE6537A1-D6FC-4f65-9D91-7224C49458BB}"/>
              </c:extLst>
            </c:dLbl>
            <c:dLbl>
              <c:idx val="7"/>
              <c:layout>
                <c:manualLayout>
                  <c:x val="0"/>
                  <c:y val="-3.5190615835777136E-2"/>
                </c:manualLayout>
              </c:layout>
              <c:showVal val="1"/>
              <c:extLst>
                <c:ext xmlns:c15="http://schemas.microsoft.com/office/drawing/2012/chart" uri="{CE6537A1-D6FC-4f65-9D91-7224C49458BB}"/>
              </c:extLst>
            </c:dLbl>
            <c:dLbl>
              <c:idx val="8"/>
              <c:layout>
                <c:manualLayout>
                  <c:x val="0"/>
                  <c:y val="-2.3460410557184751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Feuil1!$C$3:$C$11</c:f>
              <c:numCache>
                <c:formatCode>General</c:formatCode>
                <c:ptCount val="9"/>
                <c:pt idx="0">
                  <c:v>6.59</c:v>
                </c:pt>
                <c:pt idx="1">
                  <c:v>5.9700000000000024</c:v>
                </c:pt>
                <c:pt idx="2">
                  <c:v>4.5</c:v>
                </c:pt>
                <c:pt idx="3">
                  <c:v>4.25</c:v>
                </c:pt>
                <c:pt idx="4">
                  <c:v>4.0999999999999996</c:v>
                </c:pt>
                <c:pt idx="5">
                  <c:v>3.06</c:v>
                </c:pt>
                <c:pt idx="6">
                  <c:v>2.7</c:v>
                </c:pt>
                <c:pt idx="7">
                  <c:v>2.5499999999999998</c:v>
                </c:pt>
                <c:pt idx="8">
                  <c:v>2.8</c:v>
                </c:pt>
              </c:numCache>
            </c:numRef>
          </c:val>
        </c:ser>
        <c:ser>
          <c:idx val="2"/>
          <c:order val="2"/>
          <c:tx>
            <c:v>Enseble</c:v>
          </c:tx>
          <c:marker>
            <c:symbol val="diamond"/>
            <c:size val="5"/>
          </c:marker>
          <c:dLbls>
            <c:dLbl>
              <c:idx val="2"/>
              <c:layout>
                <c:manualLayout>
                  <c:x val="-1.7754105636928745E-3"/>
                  <c:y val="-1.1730205278592401E-2"/>
                </c:manualLayout>
              </c:layout>
              <c:showVal val="1"/>
              <c:extLst>
                <c:ext xmlns:c15="http://schemas.microsoft.com/office/drawing/2012/chart" uri="{CE6537A1-D6FC-4f65-9D91-7224C49458BB}"/>
              </c:extLst>
            </c:dLbl>
            <c:spPr>
              <a:noFill/>
              <a:ln>
                <a:noFill/>
              </a:ln>
              <a:effectLst/>
            </c:spPr>
            <c:txPr>
              <a:bodyPr/>
              <a:lstStyle/>
              <a:p>
                <a:pPr>
                  <a:defRPr lang="en-US" sz="900"/>
                </a:pPr>
                <a:endParaRPr lang="fr-FR"/>
              </a:p>
            </c:txPr>
            <c:showVal val="1"/>
            <c:extLst>
              <c:ext xmlns:c15="http://schemas.microsoft.com/office/drawing/2012/chart" uri="{CE6537A1-D6FC-4f65-9D91-7224C49458BB}">
                <c15:showLeaderLines val="0"/>
              </c:ext>
            </c:extLst>
          </c:dLbls>
          <c:cat>
            <c:strRef>
              <c:f>Feuil1!$A$3:$A$11</c:f>
              <c:strCache>
                <c:ptCount val="9"/>
                <c:pt idx="0">
                  <c:v>RGPH 1982</c:v>
                </c:pt>
                <c:pt idx="1">
                  <c:v>EDS 1987</c:v>
                </c:pt>
                <c:pt idx="2">
                  <c:v>EDS 1992</c:v>
                </c:pt>
                <c:pt idx="3">
                  <c:v>RGPH 1994</c:v>
                </c:pt>
                <c:pt idx="4">
                  <c:v>PAPFAM 1997</c:v>
                </c:pt>
                <c:pt idx="5">
                  <c:v>RGPH 2004</c:v>
                </c:pt>
                <c:pt idx="6">
                  <c:v>END 2010</c:v>
                </c:pt>
                <c:pt idx="7">
                  <c:v>RGPH 2014</c:v>
                </c:pt>
                <c:pt idx="8">
                  <c:v>EDS 2018</c:v>
                </c:pt>
              </c:strCache>
            </c:strRef>
          </c:cat>
          <c:val>
            <c:numRef>
              <c:f>Feuil1!$D$3:$D$11</c:f>
              <c:numCache>
                <c:formatCode>General</c:formatCode>
                <c:ptCount val="9"/>
                <c:pt idx="0">
                  <c:v>5.52</c:v>
                </c:pt>
                <c:pt idx="1">
                  <c:v>4.46</c:v>
                </c:pt>
                <c:pt idx="2">
                  <c:v>3.3099999999999987</c:v>
                </c:pt>
                <c:pt idx="3">
                  <c:v>3.2800000000000002</c:v>
                </c:pt>
                <c:pt idx="4">
                  <c:v>3.1</c:v>
                </c:pt>
                <c:pt idx="5">
                  <c:v>2.4699999999999998</c:v>
                </c:pt>
                <c:pt idx="6">
                  <c:v>2.19</c:v>
                </c:pt>
                <c:pt idx="7">
                  <c:v>2.21</c:v>
                </c:pt>
                <c:pt idx="8">
                  <c:v>2.38</c:v>
                </c:pt>
              </c:numCache>
            </c:numRef>
          </c:val>
        </c:ser>
        <c:marker val="1"/>
        <c:axId val="100662272"/>
        <c:axId val="112726784"/>
      </c:lineChart>
      <c:catAx>
        <c:axId val="100662272"/>
        <c:scaling>
          <c:orientation val="minMax"/>
        </c:scaling>
        <c:axPos val="b"/>
        <c:numFmt formatCode="General" sourceLinked="0"/>
        <c:tickLblPos val="nextTo"/>
        <c:txPr>
          <a:bodyPr/>
          <a:lstStyle/>
          <a:p>
            <a:pPr>
              <a:defRPr lang="en-US" sz="700" b="1"/>
            </a:pPr>
            <a:endParaRPr lang="fr-FR"/>
          </a:p>
        </c:txPr>
        <c:crossAx val="112726784"/>
        <c:crosses val="autoZero"/>
        <c:auto val="1"/>
        <c:lblAlgn val="ctr"/>
        <c:lblOffset val="100"/>
      </c:catAx>
      <c:valAx>
        <c:axId val="112726784"/>
        <c:scaling>
          <c:orientation val="minMax"/>
        </c:scaling>
        <c:axPos val="l"/>
        <c:majorGridlines>
          <c:spPr>
            <a:ln>
              <a:solidFill>
                <a:schemeClr val="bg1"/>
              </a:solidFill>
            </a:ln>
          </c:spPr>
        </c:majorGridlines>
        <c:numFmt formatCode="General" sourceLinked="1"/>
        <c:tickLblPos val="nextTo"/>
        <c:txPr>
          <a:bodyPr/>
          <a:lstStyle/>
          <a:p>
            <a:pPr>
              <a:defRPr lang="en-US" sz="800"/>
            </a:pPr>
            <a:endParaRPr lang="fr-FR"/>
          </a:p>
        </c:txPr>
        <c:crossAx val="100662272"/>
        <c:crosses val="autoZero"/>
        <c:crossBetween val="between"/>
      </c:valAx>
      <c:spPr>
        <a:noFill/>
      </c:spPr>
    </c:plotArea>
    <c:legend>
      <c:legendPos val="b"/>
      <c:layout>
        <c:manualLayout>
          <c:xMode val="edge"/>
          <c:yMode val="edge"/>
          <c:x val="0.23976298600452087"/>
          <c:y val="0.8707246175725839"/>
          <c:w val="0.52623273803990722"/>
          <c:h val="0.12095594238011222"/>
        </c:manualLayout>
      </c:layout>
      <c:txPr>
        <a:bodyPr/>
        <a:lstStyle/>
        <a:p>
          <a:pPr>
            <a:defRPr lang="en-US"/>
          </a:pPr>
          <a:endParaRPr lang="fr-FR"/>
        </a:p>
      </c:txPr>
    </c:legend>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A1524-E0F8-4777-8314-221257D7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7696</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ROUIHA</dc:creator>
  <cp:lastModifiedBy>User</cp:lastModifiedBy>
  <cp:revision>2</cp:revision>
  <cp:lastPrinted>2019-03-18T14:12:00Z</cp:lastPrinted>
  <dcterms:created xsi:type="dcterms:W3CDTF">2019-03-19T15:05:00Z</dcterms:created>
  <dcterms:modified xsi:type="dcterms:W3CDTF">2019-03-19T15:05:00Z</dcterms:modified>
</cp:coreProperties>
</file>