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A5" w:rsidRDefault="00831396" w:rsidP="00831396">
      <w:pPr>
        <w:jc w:val="center"/>
      </w:pPr>
      <w:r>
        <w:t xml:space="preserve">                              </w:t>
      </w:r>
    </w:p>
    <w:p w:rsidR="0050323E" w:rsidRDefault="0050323E" w:rsidP="0050323E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50323E" w:rsidRDefault="0050323E" w:rsidP="0050323E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24"/>
          <w:szCs w:val="24"/>
        </w:rPr>
      </w:pPr>
    </w:p>
    <w:p w:rsidR="0050323E" w:rsidRDefault="0050323E" w:rsidP="0050323E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50323E" w:rsidRDefault="0050323E" w:rsidP="0050323E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</w:p>
    <w:p w:rsidR="00857A4D" w:rsidRDefault="00857A4D" w:rsidP="000E5955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  <w:rtl/>
        </w:rPr>
      </w:pPr>
    </w:p>
    <w:p w:rsidR="00C12E68" w:rsidRDefault="00C12E68" w:rsidP="00C12E68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N</w:t>
      </w: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ote d’information du </w:t>
      </w: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H</w:t>
      </w: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aut </w:t>
      </w: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C</w:t>
      </w: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ommissariat au </w:t>
      </w: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P</w:t>
      </w: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lan </w:t>
      </w:r>
    </w:p>
    <w:p w:rsidR="00C12E68" w:rsidRDefault="00C12E68" w:rsidP="00C12E68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relative aux principaux indicateurs du march</w:t>
      </w: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é</w:t>
      </w: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 d</w:t>
      </w: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e</w:t>
      </w: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 travail</w:t>
      </w:r>
      <w:r w:rsidR="0050323E" w:rsidRPr="00D46701">
        <w:rPr>
          <w:rFonts w:ascii="Book Antiqua" w:hAnsi="Book Antiqua" w:cs="Times New Roman" w:hint="cs"/>
          <w:b/>
          <w:bCs/>
          <w:noProof w:val="0"/>
          <w:color w:val="B33B69"/>
          <w:sz w:val="30"/>
          <w:szCs w:val="30"/>
          <w:rtl/>
        </w:rPr>
        <w:t xml:space="preserve"> </w:t>
      </w:r>
    </w:p>
    <w:p w:rsidR="0050323E" w:rsidRPr="00D46701" w:rsidRDefault="00C12E68" w:rsidP="00C12E68">
      <w:pPr>
        <w:bidi w:val="0"/>
        <w:jc w:val="center"/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</w:pPr>
      <w:r w:rsidRPr="00D46701"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 xml:space="preserve">au troisième trimestre de </w:t>
      </w:r>
      <w:r>
        <w:rPr>
          <w:rFonts w:ascii="Book Antiqua" w:hAnsi="Book Antiqua" w:cs="Times New Roman"/>
          <w:b/>
          <w:bCs/>
          <w:noProof w:val="0"/>
          <w:color w:val="B33B69"/>
          <w:sz w:val="30"/>
          <w:szCs w:val="30"/>
        </w:rPr>
        <w:t>2019</w:t>
      </w:r>
    </w:p>
    <w:p w:rsidR="0050323E" w:rsidRDefault="0050323E" w:rsidP="0050323E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0070C0"/>
          <w:sz w:val="28"/>
          <w:szCs w:val="28"/>
        </w:rPr>
      </w:pPr>
    </w:p>
    <w:p w:rsidR="00DF0AD3" w:rsidRPr="00411A33" w:rsidRDefault="00DF0AD3" w:rsidP="009039F5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strike/>
          <w:color w:val="0070C0"/>
          <w:sz w:val="26"/>
          <w:szCs w:val="26"/>
        </w:rPr>
      </w:pP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Entre le troisième trimestre de </w:t>
      </w:r>
      <w:r w:rsidR="001B76E8" w:rsidRPr="00411A33">
        <w:rPr>
          <w:rFonts w:ascii="Book Antiqua" w:hAnsi="Book Antiqua" w:cstheme="majorBidi"/>
          <w:color w:val="0070C0"/>
          <w:sz w:val="26"/>
          <w:szCs w:val="26"/>
        </w:rPr>
        <w:t>2018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 et la même période de </w:t>
      </w:r>
      <w:r w:rsidR="001B76E8" w:rsidRPr="00411A33">
        <w:rPr>
          <w:rFonts w:ascii="Book Antiqua" w:hAnsi="Book Antiqua" w:cstheme="majorBidi"/>
          <w:color w:val="0070C0"/>
          <w:sz w:val="26"/>
          <w:szCs w:val="26"/>
        </w:rPr>
        <w:t>2019</w:t>
      </w:r>
      <w:r w:rsidR="00244B5E">
        <w:rPr>
          <w:rFonts w:ascii="Book Antiqua" w:hAnsi="Book Antiqua" w:cstheme="majorBidi"/>
          <w:color w:val="0070C0"/>
          <w:sz w:val="26"/>
          <w:szCs w:val="26"/>
        </w:rPr>
        <w:t>, l’économie marocaine a créé</w:t>
      </w:r>
      <w:r w:rsidR="00244B5E" w:rsidRPr="00411A33">
        <w:rPr>
          <w:rFonts w:ascii="Book Antiqua" w:hAnsi="Book Antiqua" w:cstheme="majorBidi"/>
          <w:color w:val="0070C0"/>
          <w:sz w:val="26"/>
          <w:szCs w:val="26"/>
        </w:rPr>
        <w:t xml:space="preserve"> 262.000 postes en milieu urbain</w:t>
      </w:r>
      <w:r w:rsidR="00244B5E">
        <w:rPr>
          <w:rFonts w:ascii="Book Antiqua" w:hAnsi="Book Antiqua" w:cstheme="majorBidi"/>
          <w:color w:val="0070C0"/>
          <w:sz w:val="26"/>
          <w:szCs w:val="26"/>
        </w:rPr>
        <w:t xml:space="preserve"> et a perdu</w:t>
      </w:r>
      <w:r w:rsidR="00244B5E" w:rsidRPr="00411A33">
        <w:rPr>
          <w:rFonts w:ascii="Book Antiqua" w:hAnsi="Book Antiqua" w:cstheme="majorBidi"/>
          <w:color w:val="0070C0"/>
          <w:sz w:val="26"/>
          <w:szCs w:val="26"/>
        </w:rPr>
        <w:t xml:space="preserve"> 119.000 en milieu rural</w:t>
      </w:r>
      <w:r w:rsidR="00244B5E">
        <w:rPr>
          <w:rFonts w:ascii="Book Antiqua" w:hAnsi="Book Antiqua" w:cstheme="majorBidi"/>
          <w:color w:val="0070C0"/>
          <w:sz w:val="26"/>
          <w:szCs w:val="26"/>
        </w:rPr>
        <w:t xml:space="preserve">, </w:t>
      </w:r>
      <w:r w:rsidR="009039F5">
        <w:rPr>
          <w:rFonts w:ascii="Book Antiqua" w:hAnsi="Book Antiqua" w:cstheme="majorBidi"/>
          <w:color w:val="0070C0"/>
          <w:sz w:val="26"/>
          <w:szCs w:val="26"/>
        </w:rPr>
        <w:t>soit</w:t>
      </w:r>
      <w:r w:rsidR="00244B5E">
        <w:rPr>
          <w:rFonts w:ascii="Book Antiqua" w:hAnsi="Book Antiqua" w:cstheme="majorBidi"/>
          <w:color w:val="0070C0"/>
          <w:sz w:val="26"/>
          <w:szCs w:val="26"/>
        </w:rPr>
        <w:t xml:space="preserve"> une création nette de</w:t>
      </w:r>
      <w:r w:rsidR="00244B5E" w:rsidRPr="00411A33">
        <w:rPr>
          <w:rFonts w:ascii="Book Antiqua" w:hAnsi="Book Antiqua" w:cstheme="majorBidi"/>
          <w:color w:val="0070C0"/>
          <w:sz w:val="26"/>
          <w:szCs w:val="26"/>
        </w:rPr>
        <w:t xml:space="preserve"> </w:t>
      </w:r>
      <w:r w:rsidR="00A7636F" w:rsidRPr="00411A33">
        <w:rPr>
          <w:rFonts w:ascii="Book Antiqua" w:hAnsi="Book Antiqua" w:cstheme="majorBidi"/>
          <w:color w:val="0070C0"/>
          <w:sz w:val="26"/>
          <w:szCs w:val="26"/>
        </w:rPr>
        <w:t>143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.000 postes d’emploi</w:t>
      </w:r>
      <w:r w:rsidR="00C42611" w:rsidRPr="00411A33">
        <w:rPr>
          <w:rFonts w:ascii="Book Antiqua" w:hAnsi="Book Antiqua" w:cstheme="majorBidi"/>
          <w:color w:val="0070C0"/>
          <w:sz w:val="26"/>
          <w:szCs w:val="26"/>
        </w:rPr>
        <w:t>.</w:t>
      </w:r>
      <w:r w:rsidR="003B2DD3" w:rsidRPr="00411A33">
        <w:rPr>
          <w:rFonts w:ascii="Book Antiqua" w:hAnsi="Book Antiqua" w:cstheme="majorBidi"/>
          <w:color w:val="0070C0"/>
          <w:sz w:val="26"/>
          <w:szCs w:val="26"/>
        </w:rPr>
        <w:t xml:space="preserve"> Une année auparavant, entre le troisième trimestre de 2017 et la même période de 2018, l'économie marocaine avait créé 201.000 postes d'emploi.</w:t>
      </w:r>
    </w:p>
    <w:p w:rsidR="00DF0AD3" w:rsidRPr="00411A33" w:rsidRDefault="00DF0AD3" w:rsidP="0094166B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6"/>
          <w:szCs w:val="26"/>
        </w:rPr>
      </w:pPr>
      <w:r w:rsidRPr="00411A33">
        <w:rPr>
          <w:rFonts w:ascii="Book Antiqua" w:hAnsi="Book Antiqua" w:cstheme="majorBidi"/>
          <w:color w:val="0070C0"/>
          <w:sz w:val="26"/>
          <w:szCs w:val="26"/>
        </w:rPr>
        <w:t>Le</w:t>
      </w:r>
      <w:r w:rsidR="00C12E68" w:rsidRPr="00411A33">
        <w:rPr>
          <w:rFonts w:ascii="Book Antiqua" w:hAnsi="Book Antiqua" w:cstheme="majorBidi"/>
          <w:color w:val="0070C0"/>
          <w:sz w:val="26"/>
          <w:szCs w:val="26"/>
        </w:rPr>
        <w:t xml:space="preserve"> </w:t>
      </w:r>
      <w:r w:rsidR="002C5D7C" w:rsidRPr="00411A33">
        <w:rPr>
          <w:rFonts w:ascii="Book Antiqua" w:hAnsi="Book Antiqua" w:cstheme="majorBidi"/>
          <w:color w:val="0070C0"/>
          <w:sz w:val="26"/>
          <w:szCs w:val="26"/>
        </w:rPr>
        <w:t>s</w:t>
      </w:r>
      <w:r w:rsidR="00C12E68" w:rsidRPr="00411A33">
        <w:rPr>
          <w:rFonts w:ascii="Book Antiqua" w:hAnsi="Book Antiqua" w:cstheme="majorBidi"/>
          <w:color w:val="0070C0"/>
          <w:sz w:val="26"/>
          <w:szCs w:val="26"/>
        </w:rPr>
        <w:t>ecteur des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 services </w:t>
      </w:r>
      <w:r w:rsidR="00C12E68" w:rsidRPr="00411A33">
        <w:rPr>
          <w:rFonts w:ascii="Book Antiqua" w:hAnsi="Book Antiqua" w:cstheme="majorBidi"/>
          <w:color w:val="0070C0"/>
          <w:sz w:val="26"/>
          <w:szCs w:val="26"/>
        </w:rPr>
        <w:t>a</w:t>
      </w:r>
      <w:r w:rsidR="002C5D7C" w:rsidRPr="00411A33">
        <w:rPr>
          <w:rFonts w:ascii="Book Antiqua" w:hAnsi="Book Antiqua" w:cstheme="majorBidi"/>
          <w:color w:val="0070C0"/>
          <w:sz w:val="26"/>
          <w:szCs w:val="26"/>
        </w:rPr>
        <w:t xml:space="preserve"> 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créé </w:t>
      </w:r>
      <w:r w:rsidR="00A7636F" w:rsidRPr="00411A33">
        <w:rPr>
          <w:rFonts w:ascii="Book Antiqua" w:hAnsi="Book Antiqua" w:cstheme="majorBidi"/>
          <w:color w:val="0070C0"/>
          <w:sz w:val="26"/>
          <w:szCs w:val="26"/>
        </w:rPr>
        <w:t>33</w:t>
      </w:r>
      <w:r w:rsidR="001401BD" w:rsidRPr="00411A33">
        <w:rPr>
          <w:rFonts w:ascii="Book Antiqua" w:hAnsi="Book Antiqua" w:cstheme="majorBidi"/>
          <w:color w:val="0070C0"/>
          <w:sz w:val="26"/>
          <w:szCs w:val="26"/>
        </w:rPr>
        <w:t>6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.000 </w:t>
      </w:r>
      <w:r w:rsidR="00C12E68" w:rsidRPr="00411A33">
        <w:rPr>
          <w:rFonts w:ascii="Book Antiqua" w:hAnsi="Book Antiqua" w:cstheme="majorBidi"/>
          <w:color w:val="0070C0"/>
          <w:sz w:val="26"/>
          <w:szCs w:val="26"/>
        </w:rPr>
        <w:t xml:space="preserve">postes et celui </w:t>
      </w:r>
      <w:r w:rsidR="00D71335" w:rsidRPr="00411A33">
        <w:rPr>
          <w:rFonts w:ascii="Book Antiqua" w:hAnsi="Book Antiqua" w:cstheme="majorBidi"/>
          <w:color w:val="0070C0"/>
          <w:sz w:val="26"/>
          <w:szCs w:val="26"/>
        </w:rPr>
        <w:t xml:space="preserve">des BTP </w:t>
      </w:r>
      <w:r w:rsidR="001401BD" w:rsidRPr="00411A33">
        <w:rPr>
          <w:rFonts w:ascii="Book Antiqua" w:hAnsi="Book Antiqua" w:cstheme="majorBidi"/>
          <w:color w:val="0070C0"/>
          <w:sz w:val="26"/>
          <w:szCs w:val="26"/>
        </w:rPr>
        <w:t>37</w:t>
      </w:r>
      <w:r w:rsidR="00D71335" w:rsidRPr="00411A33">
        <w:rPr>
          <w:rFonts w:ascii="Book Antiqua" w:hAnsi="Book Antiqua" w:cstheme="majorBidi"/>
          <w:color w:val="0070C0"/>
          <w:sz w:val="26"/>
          <w:szCs w:val="26"/>
        </w:rPr>
        <w:t xml:space="preserve">.000 alors que l’"agriculture, forêt et pêche" </w:t>
      </w:r>
      <w:r w:rsidR="000A4AEE" w:rsidRPr="00411A33">
        <w:rPr>
          <w:rFonts w:ascii="Book Antiqua" w:hAnsi="Book Antiqua" w:cstheme="majorBidi"/>
          <w:color w:val="0070C0"/>
          <w:sz w:val="26"/>
          <w:szCs w:val="26"/>
        </w:rPr>
        <w:t xml:space="preserve">en </w:t>
      </w:r>
      <w:r w:rsidR="00D71335" w:rsidRPr="00411A33">
        <w:rPr>
          <w:rFonts w:ascii="Book Antiqua" w:hAnsi="Book Antiqua" w:cstheme="majorBidi"/>
          <w:color w:val="0070C0"/>
          <w:sz w:val="26"/>
          <w:szCs w:val="26"/>
        </w:rPr>
        <w:t xml:space="preserve">a perdu </w:t>
      </w:r>
      <w:r w:rsidR="001401BD" w:rsidRPr="00411A33">
        <w:rPr>
          <w:rFonts w:ascii="Book Antiqua" w:hAnsi="Book Antiqua" w:cstheme="majorBidi"/>
          <w:color w:val="0070C0"/>
          <w:sz w:val="26"/>
          <w:szCs w:val="26"/>
        </w:rPr>
        <w:t>204</w:t>
      </w:r>
      <w:r w:rsidR="000A4AEE" w:rsidRPr="00411A33">
        <w:rPr>
          <w:rFonts w:ascii="Book Antiqua" w:hAnsi="Book Antiqua" w:cstheme="majorBidi"/>
          <w:color w:val="0070C0"/>
          <w:sz w:val="26"/>
          <w:szCs w:val="26"/>
        </w:rPr>
        <w:t xml:space="preserve">.000 et 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l’"industrie y compris l'artisanat" </w:t>
      </w:r>
      <w:r w:rsidR="001401BD" w:rsidRPr="00411A33">
        <w:rPr>
          <w:rFonts w:ascii="Book Antiqua" w:hAnsi="Book Antiqua" w:cstheme="majorBidi"/>
          <w:color w:val="0070C0"/>
          <w:sz w:val="26"/>
          <w:szCs w:val="26"/>
        </w:rPr>
        <w:t>26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.000. </w:t>
      </w:r>
    </w:p>
    <w:p w:rsidR="0072189C" w:rsidRPr="00411A33" w:rsidRDefault="0072189C" w:rsidP="00237FF2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theme="majorBidi"/>
          <w:color w:val="0070C0"/>
          <w:sz w:val="26"/>
          <w:szCs w:val="26"/>
        </w:rPr>
      </w:pP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Avec une hausse de </w:t>
      </w:r>
      <w:r w:rsidR="00237FF2" w:rsidRPr="00411A33">
        <w:rPr>
          <w:rFonts w:ascii="Book Antiqua" w:hAnsi="Book Antiqua" w:cstheme="majorBidi"/>
          <w:color w:val="0070C0"/>
          <w:sz w:val="26"/>
          <w:szCs w:val="26"/>
        </w:rPr>
        <w:t>26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.000 personnes, </w:t>
      </w:r>
      <w:r w:rsidR="00237FF2" w:rsidRPr="00411A33">
        <w:rPr>
          <w:rFonts w:ascii="Book Antiqua" w:hAnsi="Book Antiqua" w:cstheme="majorBidi"/>
          <w:color w:val="0070C0"/>
          <w:sz w:val="26"/>
          <w:szCs w:val="26"/>
        </w:rPr>
        <w:t>23.000 en milieu rural et 3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.000 en milieu urbain, le volume global du chômage a atteint 1.1</w:t>
      </w:r>
      <w:r w:rsidR="00237FF2" w:rsidRPr="00411A33">
        <w:rPr>
          <w:rFonts w:ascii="Book Antiqua" w:hAnsi="Book Antiqua" w:cstheme="majorBidi"/>
          <w:color w:val="0070C0"/>
          <w:sz w:val="26"/>
          <w:szCs w:val="26"/>
        </w:rPr>
        <w:t>14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.000 personnes au niveau national. </w:t>
      </w:r>
    </w:p>
    <w:p w:rsidR="00761051" w:rsidRPr="00411A33" w:rsidRDefault="00FA77CC" w:rsidP="009039F5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6"/>
          <w:szCs w:val="26"/>
        </w:rPr>
      </w:pP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Le taux de chômage </w:t>
      </w:r>
      <w:r w:rsidR="00244B5E">
        <w:rPr>
          <w:rFonts w:ascii="Book Antiqua" w:hAnsi="Book Antiqua" w:cstheme="majorBidi"/>
          <w:color w:val="0070C0"/>
          <w:sz w:val="26"/>
          <w:szCs w:val="26"/>
        </w:rPr>
        <w:t>a diminué de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 1</w:t>
      </w:r>
      <w:r w:rsidR="00BF2972" w:rsidRPr="00411A33">
        <w:rPr>
          <w:rFonts w:ascii="Book Antiqua" w:hAnsi="Book Antiqua" w:cstheme="majorBidi"/>
          <w:color w:val="0070C0"/>
          <w:sz w:val="26"/>
          <w:szCs w:val="26"/>
        </w:rPr>
        <w:t>3</w:t>
      </w:r>
      <w:r w:rsidR="002C5D7C" w:rsidRPr="00411A33">
        <w:rPr>
          <w:rFonts w:ascii="Book Antiqua" w:hAnsi="Book Antiqua" w:cstheme="majorBidi"/>
          <w:color w:val="0070C0"/>
          <w:sz w:val="26"/>
          <w:szCs w:val="26"/>
        </w:rPr>
        <w:t>,</w:t>
      </w:r>
      <w:r w:rsidR="00BF2972" w:rsidRPr="00411A33">
        <w:rPr>
          <w:rFonts w:ascii="Book Antiqua" w:hAnsi="Book Antiqua" w:cstheme="majorBidi"/>
          <w:color w:val="0070C0"/>
          <w:sz w:val="26"/>
          <w:szCs w:val="26"/>
        </w:rPr>
        <w:t>1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% à 1</w:t>
      </w:r>
      <w:r w:rsidR="00BF2972" w:rsidRPr="00411A33">
        <w:rPr>
          <w:rFonts w:ascii="Book Antiqua" w:hAnsi="Book Antiqua" w:cstheme="majorBidi"/>
          <w:color w:val="0070C0"/>
          <w:sz w:val="26"/>
          <w:szCs w:val="26"/>
        </w:rPr>
        <w:t>2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,</w:t>
      </w:r>
      <w:r w:rsidR="00237FF2" w:rsidRPr="00411A33">
        <w:rPr>
          <w:rFonts w:ascii="Book Antiqua" w:hAnsi="Book Antiqua" w:cstheme="majorBidi"/>
          <w:color w:val="0070C0"/>
          <w:sz w:val="26"/>
          <w:szCs w:val="26"/>
        </w:rPr>
        <w:t>7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% en milieu urbain et </w:t>
      </w:r>
      <w:r w:rsidR="00244B5E">
        <w:rPr>
          <w:rFonts w:ascii="Book Antiqua" w:hAnsi="Book Antiqua" w:cstheme="majorBidi"/>
          <w:color w:val="0070C0"/>
          <w:sz w:val="26"/>
          <w:szCs w:val="26"/>
        </w:rPr>
        <w:t xml:space="preserve">a augmenté 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de </w:t>
      </w:r>
      <w:r w:rsidR="00BF2972" w:rsidRPr="00411A33">
        <w:rPr>
          <w:rFonts w:ascii="Book Antiqua" w:hAnsi="Book Antiqua" w:cstheme="majorBidi"/>
          <w:color w:val="0070C0"/>
          <w:sz w:val="26"/>
          <w:szCs w:val="26"/>
        </w:rPr>
        <w:t>3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,</w:t>
      </w:r>
      <w:r w:rsidR="00BF2972" w:rsidRPr="00411A33">
        <w:rPr>
          <w:rFonts w:ascii="Book Antiqua" w:hAnsi="Book Antiqua" w:cstheme="majorBidi"/>
          <w:color w:val="0070C0"/>
          <w:sz w:val="26"/>
          <w:szCs w:val="26"/>
        </w:rPr>
        <w:t>9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% à </w:t>
      </w:r>
      <w:r w:rsidR="00BF2972" w:rsidRPr="00411A33">
        <w:rPr>
          <w:rFonts w:ascii="Book Antiqua" w:hAnsi="Book Antiqua" w:cstheme="majorBidi"/>
          <w:color w:val="0070C0"/>
          <w:sz w:val="26"/>
          <w:szCs w:val="26"/>
        </w:rPr>
        <w:t>4</w:t>
      </w:r>
      <w:r w:rsidR="002C5D7C" w:rsidRPr="00411A33">
        <w:rPr>
          <w:rFonts w:ascii="Book Antiqua" w:hAnsi="Book Antiqua" w:cstheme="majorBidi"/>
          <w:color w:val="0070C0"/>
          <w:sz w:val="26"/>
          <w:szCs w:val="26"/>
        </w:rPr>
        <w:t>,</w:t>
      </w:r>
      <w:r w:rsidR="0072189C" w:rsidRPr="00411A33">
        <w:rPr>
          <w:rFonts w:ascii="Book Antiqua" w:hAnsi="Book Antiqua" w:cstheme="majorBidi"/>
          <w:color w:val="0070C0"/>
          <w:sz w:val="26"/>
          <w:szCs w:val="26"/>
        </w:rPr>
        <w:t>5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% en milieu rural</w:t>
      </w:r>
      <w:r w:rsidR="00244B5E">
        <w:rPr>
          <w:rFonts w:ascii="Book Antiqua" w:hAnsi="Book Antiqua" w:cstheme="majorBidi"/>
          <w:color w:val="0070C0"/>
          <w:sz w:val="26"/>
          <w:szCs w:val="26"/>
        </w:rPr>
        <w:t xml:space="preserve">, </w:t>
      </w:r>
      <w:r w:rsidR="009039F5">
        <w:rPr>
          <w:rFonts w:ascii="Book Antiqua" w:hAnsi="Book Antiqua" w:cstheme="majorBidi"/>
          <w:color w:val="0070C0"/>
          <w:sz w:val="26"/>
          <w:szCs w:val="26"/>
        </w:rPr>
        <w:t>correspondant</w:t>
      </w:r>
      <w:r w:rsidR="00244B5E">
        <w:rPr>
          <w:rFonts w:ascii="Book Antiqua" w:hAnsi="Book Antiqua" w:cstheme="majorBidi"/>
          <w:color w:val="0070C0"/>
          <w:sz w:val="26"/>
          <w:szCs w:val="26"/>
        </w:rPr>
        <w:t xml:space="preserve"> à une lègre augmentation </w:t>
      </w:r>
      <w:r w:rsidR="00244B5E" w:rsidRPr="00411A33">
        <w:rPr>
          <w:rFonts w:ascii="Book Antiqua" w:hAnsi="Book Antiqua" w:cstheme="majorBidi"/>
          <w:color w:val="0070C0"/>
          <w:sz w:val="26"/>
          <w:szCs w:val="26"/>
        </w:rPr>
        <w:t>de 9,3% à 9,4%</w:t>
      </w:r>
      <w:r w:rsidR="00244B5E">
        <w:rPr>
          <w:rFonts w:ascii="Book Antiqua" w:hAnsi="Book Antiqua" w:cstheme="majorBidi"/>
          <w:color w:val="0070C0"/>
          <w:sz w:val="26"/>
          <w:szCs w:val="26"/>
        </w:rPr>
        <w:t xml:space="preserve">  au niveau national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. </w:t>
      </w:r>
      <w:r w:rsidR="00121E7D" w:rsidRPr="00411A33">
        <w:rPr>
          <w:rFonts w:ascii="Book Antiqua" w:hAnsi="Book Antiqua" w:cstheme="majorBidi"/>
          <w:color w:val="0070C0"/>
          <w:sz w:val="26"/>
          <w:szCs w:val="26"/>
        </w:rPr>
        <w:t xml:space="preserve">Ce taux reste relativement élevé parmi les jeunes âgés de 15 à 24 ans </w:t>
      </w:r>
      <w:r w:rsidR="005C5D7F" w:rsidRPr="00411A33">
        <w:rPr>
          <w:rFonts w:ascii="Book Antiqua" w:hAnsi="Book Antiqua" w:cstheme="majorBidi"/>
          <w:color w:val="0070C0"/>
          <w:sz w:val="26"/>
          <w:szCs w:val="26"/>
        </w:rPr>
        <w:t xml:space="preserve">avec </w:t>
      </w:r>
      <w:r w:rsidR="00121E7D" w:rsidRPr="00411A33">
        <w:rPr>
          <w:rFonts w:ascii="Book Antiqua" w:hAnsi="Book Antiqua" w:cstheme="majorBidi"/>
          <w:color w:val="0070C0"/>
          <w:sz w:val="26"/>
          <w:szCs w:val="26"/>
        </w:rPr>
        <w:t>2</w:t>
      </w:r>
      <w:r w:rsidR="00BF2972" w:rsidRPr="00411A33">
        <w:rPr>
          <w:rFonts w:ascii="Book Antiqua" w:hAnsi="Book Antiqua" w:cstheme="majorBidi"/>
          <w:color w:val="0070C0"/>
          <w:sz w:val="26"/>
          <w:szCs w:val="26"/>
        </w:rPr>
        <w:t>6</w:t>
      </w:r>
      <w:r w:rsidR="00121E7D" w:rsidRPr="00411A33">
        <w:rPr>
          <w:rFonts w:ascii="Book Antiqua" w:hAnsi="Book Antiqua" w:cstheme="majorBidi"/>
          <w:color w:val="0070C0"/>
          <w:sz w:val="26"/>
          <w:szCs w:val="26"/>
        </w:rPr>
        <w:t>,</w:t>
      </w:r>
      <w:r w:rsidR="00BF2972" w:rsidRPr="00411A33">
        <w:rPr>
          <w:rFonts w:ascii="Book Antiqua" w:hAnsi="Book Antiqua" w:cstheme="majorBidi"/>
          <w:color w:val="0070C0"/>
          <w:sz w:val="26"/>
          <w:szCs w:val="26"/>
        </w:rPr>
        <w:t>7%, les femmes (13,9</w:t>
      </w:r>
      <w:r w:rsidR="00121E7D" w:rsidRPr="00411A33">
        <w:rPr>
          <w:rFonts w:ascii="Book Antiqua" w:hAnsi="Book Antiqua" w:cstheme="majorBidi"/>
          <w:color w:val="0070C0"/>
          <w:sz w:val="26"/>
          <w:szCs w:val="26"/>
        </w:rPr>
        <w:t>%) et les diplôm</w:t>
      </w:r>
      <w:r w:rsidR="00CD0D6D" w:rsidRPr="00411A33">
        <w:rPr>
          <w:rFonts w:ascii="Book Antiqua" w:hAnsi="Book Antiqua" w:cstheme="majorBidi"/>
          <w:color w:val="0070C0"/>
          <w:sz w:val="26"/>
          <w:szCs w:val="26"/>
        </w:rPr>
        <w:t>és</w:t>
      </w:r>
      <w:r w:rsidR="00121E7D" w:rsidRPr="00411A33">
        <w:rPr>
          <w:rFonts w:ascii="Book Antiqua" w:hAnsi="Book Antiqua" w:cstheme="majorBidi"/>
          <w:color w:val="0070C0"/>
          <w:sz w:val="26"/>
          <w:szCs w:val="26"/>
        </w:rPr>
        <w:t xml:space="preserve"> (1</w:t>
      </w:r>
      <w:r w:rsidR="00BF2972" w:rsidRPr="00411A33">
        <w:rPr>
          <w:rFonts w:ascii="Book Antiqua" w:hAnsi="Book Antiqua" w:cstheme="majorBidi"/>
          <w:color w:val="0070C0"/>
          <w:sz w:val="26"/>
          <w:szCs w:val="26"/>
        </w:rPr>
        <w:t>5</w:t>
      </w:r>
      <w:r w:rsidR="00121E7D" w:rsidRPr="00411A33">
        <w:rPr>
          <w:rFonts w:ascii="Book Antiqua" w:hAnsi="Book Antiqua" w:cstheme="majorBidi"/>
          <w:color w:val="0070C0"/>
          <w:sz w:val="26"/>
          <w:szCs w:val="26"/>
        </w:rPr>
        <w:t>,</w:t>
      </w:r>
      <w:r w:rsidR="00BF2972" w:rsidRPr="00411A33">
        <w:rPr>
          <w:rFonts w:ascii="Book Antiqua" w:hAnsi="Book Antiqua" w:cstheme="majorBidi"/>
          <w:color w:val="0070C0"/>
          <w:sz w:val="26"/>
          <w:szCs w:val="26"/>
        </w:rPr>
        <w:t>5</w:t>
      </w:r>
      <w:r w:rsidR="00121E7D" w:rsidRPr="00411A33">
        <w:rPr>
          <w:rFonts w:ascii="Book Antiqua" w:hAnsi="Book Antiqua" w:cstheme="majorBidi"/>
          <w:color w:val="0070C0"/>
          <w:sz w:val="26"/>
          <w:szCs w:val="26"/>
        </w:rPr>
        <w:t xml:space="preserve">%). </w:t>
      </w:r>
    </w:p>
    <w:p w:rsidR="00121E7D" w:rsidRPr="00411A33" w:rsidRDefault="00121E7D" w:rsidP="00BF6858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6"/>
          <w:szCs w:val="26"/>
        </w:rPr>
      </w:pPr>
      <w:r w:rsidRPr="00411A33">
        <w:rPr>
          <w:rFonts w:ascii="Book Antiqua" w:hAnsi="Book Antiqua" w:cstheme="majorBidi"/>
          <w:color w:val="0070C0"/>
          <w:sz w:val="26"/>
          <w:szCs w:val="26"/>
        </w:rPr>
        <w:t>P</w:t>
      </w:r>
      <w:r w:rsidR="00935B99" w:rsidRPr="00411A33">
        <w:rPr>
          <w:rFonts w:ascii="Book Antiqua" w:hAnsi="Book Antiqua" w:cstheme="majorBidi"/>
          <w:color w:val="0070C0"/>
          <w:sz w:val="26"/>
          <w:szCs w:val="26"/>
        </w:rPr>
        <w:t xml:space="preserve">lus de la moitié </w:t>
      </w:r>
      <w:r w:rsidR="003B2DD3" w:rsidRPr="00411A33">
        <w:rPr>
          <w:rFonts w:ascii="Book Antiqua" w:hAnsi="Book Antiqua" w:cstheme="majorBidi"/>
          <w:color w:val="0070C0"/>
          <w:sz w:val="26"/>
          <w:szCs w:val="26"/>
        </w:rPr>
        <w:t xml:space="preserve">des </w:t>
      </w:r>
      <w:r w:rsidR="00761051" w:rsidRPr="00411A33">
        <w:rPr>
          <w:rFonts w:ascii="Book Antiqua" w:hAnsi="Book Antiqua" w:cstheme="majorBidi"/>
          <w:color w:val="0070C0"/>
          <w:sz w:val="26"/>
          <w:szCs w:val="26"/>
        </w:rPr>
        <w:t>chômeurs (5</w:t>
      </w:r>
      <w:r w:rsidR="003C08F3" w:rsidRPr="00411A33">
        <w:rPr>
          <w:rFonts w:ascii="Book Antiqua" w:hAnsi="Book Antiqua" w:cstheme="majorBidi"/>
          <w:color w:val="0070C0"/>
          <w:sz w:val="26"/>
          <w:szCs w:val="26"/>
        </w:rPr>
        <w:t>5,</w:t>
      </w:r>
      <w:r w:rsidR="00BF6858" w:rsidRPr="00411A33">
        <w:rPr>
          <w:rFonts w:ascii="Book Antiqua" w:hAnsi="Book Antiqua" w:cstheme="majorBidi"/>
          <w:color w:val="0070C0"/>
          <w:sz w:val="26"/>
          <w:szCs w:val="26"/>
        </w:rPr>
        <w:t>3</w:t>
      </w:r>
      <w:r w:rsidR="00761051" w:rsidRPr="00411A33">
        <w:rPr>
          <w:rFonts w:ascii="Book Antiqua" w:hAnsi="Book Antiqua" w:cstheme="majorBidi"/>
          <w:color w:val="0070C0"/>
          <w:sz w:val="26"/>
          <w:szCs w:val="26"/>
        </w:rPr>
        <w:t xml:space="preserve">%) 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sont à la recherche de leur premier emploi</w:t>
      </w:r>
      <w:r w:rsidR="00761051" w:rsidRPr="00411A33">
        <w:rPr>
          <w:rFonts w:ascii="Book Antiqua" w:hAnsi="Book Antiqua" w:cstheme="majorBidi"/>
          <w:color w:val="0070C0"/>
          <w:sz w:val="26"/>
          <w:szCs w:val="26"/>
        </w:rPr>
        <w:t xml:space="preserve">, </w:t>
      </w:r>
      <w:r w:rsidR="00935B99" w:rsidRPr="00411A33">
        <w:rPr>
          <w:rFonts w:ascii="Book Antiqua" w:hAnsi="Book Antiqua" w:cstheme="majorBidi"/>
          <w:color w:val="0070C0"/>
          <w:sz w:val="26"/>
          <w:szCs w:val="26"/>
        </w:rPr>
        <w:t xml:space="preserve">les deux tiers </w:t>
      </w:r>
      <w:r w:rsidR="00761051" w:rsidRPr="00411A33">
        <w:rPr>
          <w:rFonts w:ascii="Book Antiqua" w:hAnsi="Book Antiqua" w:cstheme="majorBidi"/>
          <w:color w:val="0070C0"/>
          <w:sz w:val="26"/>
          <w:szCs w:val="26"/>
        </w:rPr>
        <w:t>(6</w:t>
      </w:r>
      <w:r w:rsidR="003C08F3" w:rsidRPr="00411A33">
        <w:rPr>
          <w:rFonts w:ascii="Book Antiqua" w:hAnsi="Book Antiqua" w:cstheme="majorBidi"/>
          <w:color w:val="0070C0"/>
          <w:sz w:val="26"/>
          <w:szCs w:val="26"/>
        </w:rPr>
        <w:t>6</w:t>
      </w:r>
      <w:r w:rsidR="00761051" w:rsidRPr="00411A33">
        <w:rPr>
          <w:rFonts w:ascii="Book Antiqua" w:hAnsi="Book Antiqua" w:cstheme="majorBidi"/>
          <w:color w:val="0070C0"/>
          <w:sz w:val="26"/>
          <w:szCs w:val="26"/>
        </w:rPr>
        <w:t>,</w:t>
      </w:r>
      <w:r w:rsidR="00BF6858" w:rsidRPr="00411A33">
        <w:rPr>
          <w:rFonts w:ascii="Book Antiqua" w:hAnsi="Book Antiqua" w:cstheme="majorBidi"/>
          <w:color w:val="0070C0"/>
          <w:sz w:val="26"/>
          <w:szCs w:val="26"/>
        </w:rPr>
        <w:t>8</w:t>
      </w:r>
      <w:r w:rsidR="00761051" w:rsidRPr="00411A33">
        <w:rPr>
          <w:rFonts w:ascii="Book Antiqua" w:hAnsi="Book Antiqua" w:cstheme="majorBidi"/>
          <w:color w:val="0070C0"/>
          <w:sz w:val="26"/>
          <w:szCs w:val="26"/>
        </w:rPr>
        <w:t xml:space="preserve">%) sont en chômage </w:t>
      </w:r>
      <w:r w:rsidR="00EA3A89" w:rsidRPr="00411A33">
        <w:rPr>
          <w:rFonts w:ascii="Book Antiqua" w:hAnsi="Book Antiqua" w:cstheme="majorBidi"/>
          <w:color w:val="0070C0"/>
          <w:sz w:val="26"/>
          <w:szCs w:val="26"/>
        </w:rPr>
        <w:t>de longue durée (une ann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ée ou plus</w:t>
      </w:r>
      <w:r w:rsidR="00EA3A89" w:rsidRPr="00411A33">
        <w:rPr>
          <w:rFonts w:ascii="Book Antiqua" w:hAnsi="Book Antiqua" w:cstheme="majorBidi"/>
          <w:color w:val="0070C0"/>
          <w:sz w:val="26"/>
          <w:szCs w:val="26"/>
        </w:rPr>
        <w:t>)</w:t>
      </w:r>
      <w:r w:rsidR="00761051" w:rsidRPr="00411A33">
        <w:rPr>
          <w:rFonts w:ascii="Book Antiqua" w:hAnsi="Book Antiqua" w:cstheme="majorBidi"/>
          <w:color w:val="0070C0"/>
          <w:sz w:val="26"/>
          <w:szCs w:val="26"/>
        </w:rPr>
        <w:t xml:space="preserve"> et </w:t>
      </w:r>
      <w:r w:rsidR="003B2DD3" w:rsidRPr="00411A33">
        <w:rPr>
          <w:rFonts w:ascii="Book Antiqua" w:hAnsi="Book Antiqua" w:cstheme="majorBidi"/>
          <w:color w:val="0070C0"/>
          <w:sz w:val="26"/>
          <w:szCs w:val="26"/>
        </w:rPr>
        <w:t>plus du</w:t>
      </w:r>
      <w:r w:rsidR="00CD0D6D" w:rsidRPr="00411A33">
        <w:rPr>
          <w:rFonts w:ascii="Book Antiqua" w:hAnsi="Book Antiqua" w:cstheme="majorBidi"/>
          <w:color w:val="0070C0"/>
          <w:sz w:val="26"/>
          <w:szCs w:val="26"/>
        </w:rPr>
        <w:t xml:space="preserve"> quart </w:t>
      </w:r>
      <w:r w:rsidR="00761051" w:rsidRPr="00411A33">
        <w:rPr>
          <w:rFonts w:ascii="Book Antiqua" w:hAnsi="Book Antiqua" w:cstheme="majorBidi"/>
          <w:color w:val="0070C0"/>
          <w:sz w:val="26"/>
          <w:szCs w:val="26"/>
        </w:rPr>
        <w:t>(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2</w:t>
      </w:r>
      <w:r w:rsidR="00E418F7" w:rsidRPr="00411A33">
        <w:rPr>
          <w:rFonts w:ascii="Book Antiqua" w:hAnsi="Book Antiqua" w:cstheme="majorBidi"/>
          <w:color w:val="0070C0"/>
          <w:sz w:val="26"/>
          <w:szCs w:val="26"/>
        </w:rPr>
        <w:t>7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,</w:t>
      </w:r>
      <w:r w:rsidR="00BF6858" w:rsidRPr="00411A33">
        <w:rPr>
          <w:rFonts w:ascii="Book Antiqua" w:hAnsi="Book Antiqua" w:cstheme="majorBidi"/>
          <w:color w:val="0070C0"/>
          <w:sz w:val="26"/>
          <w:szCs w:val="26"/>
        </w:rPr>
        <w:t>8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>%</w:t>
      </w:r>
      <w:r w:rsidR="00761051" w:rsidRPr="00411A33">
        <w:rPr>
          <w:rFonts w:ascii="Book Antiqua" w:hAnsi="Book Antiqua" w:cstheme="majorBidi"/>
          <w:color w:val="0070C0"/>
          <w:sz w:val="26"/>
          <w:szCs w:val="26"/>
        </w:rPr>
        <w:t>)</w:t>
      </w:r>
      <w:r w:rsidRPr="00411A33">
        <w:rPr>
          <w:rFonts w:ascii="Book Antiqua" w:hAnsi="Book Antiqua" w:cstheme="majorBidi"/>
          <w:color w:val="0070C0"/>
          <w:sz w:val="26"/>
          <w:szCs w:val="26"/>
        </w:rPr>
        <w:t xml:space="preserve"> se sont retrouvés dans cette situation suite au licenciement ou à l’arrêt d</w:t>
      </w:r>
      <w:r w:rsidR="00E418F7" w:rsidRPr="00411A33">
        <w:rPr>
          <w:rFonts w:ascii="Book Antiqua" w:hAnsi="Book Antiqua" w:cstheme="majorBidi"/>
          <w:color w:val="0070C0"/>
          <w:sz w:val="26"/>
          <w:szCs w:val="26"/>
        </w:rPr>
        <w:t>e l’activité de l’établissement</w:t>
      </w:r>
      <w:r w:rsidR="003B2DD3" w:rsidRPr="00411A33">
        <w:rPr>
          <w:rFonts w:ascii="Book Antiqua" w:hAnsi="Book Antiqua" w:cstheme="majorBidi"/>
          <w:color w:val="0070C0"/>
          <w:sz w:val="26"/>
          <w:szCs w:val="26"/>
        </w:rPr>
        <w:t xml:space="preserve"> employeur</w:t>
      </w:r>
      <w:r w:rsidR="00761051" w:rsidRPr="00411A33">
        <w:rPr>
          <w:rFonts w:ascii="Book Antiqua" w:hAnsi="Book Antiqua" w:cstheme="majorBidi"/>
          <w:color w:val="0070C0"/>
          <w:sz w:val="26"/>
          <w:szCs w:val="26"/>
        </w:rPr>
        <w:t>.</w:t>
      </w:r>
    </w:p>
    <w:p w:rsidR="00413C4E" w:rsidRDefault="00413C4E" w:rsidP="0094166B">
      <w:pPr>
        <w:autoSpaceDE w:val="0"/>
        <w:autoSpaceDN w:val="0"/>
        <w:bidi w:val="0"/>
        <w:adjustRightInd w:val="0"/>
        <w:spacing w:before="240" w:line="312" w:lineRule="auto"/>
        <w:jc w:val="both"/>
        <w:rPr>
          <w:rFonts w:ascii="Book Antiqua" w:hAnsi="Book Antiqua" w:cstheme="majorBidi"/>
          <w:color w:val="0070C0"/>
          <w:sz w:val="26"/>
          <w:szCs w:val="26"/>
        </w:rPr>
      </w:pPr>
      <w:r w:rsidRPr="00413C4E">
        <w:rPr>
          <w:rFonts w:ascii="Book Antiqua" w:hAnsi="Book Antiqua" w:cstheme="majorBidi"/>
          <w:color w:val="0070C0"/>
          <w:sz w:val="26"/>
          <w:szCs w:val="26"/>
        </w:rPr>
        <w:t>La population active occupée en situation de sous-emploi lié au nombre d’heures travaillées a atteint 380.000 personnes au niveau national</w:t>
      </w:r>
      <w:r w:rsidR="00920483">
        <w:rPr>
          <w:rFonts w:ascii="Book Antiqua" w:hAnsi="Book Antiqua" w:cstheme="majorBidi"/>
          <w:color w:val="0070C0"/>
          <w:sz w:val="26"/>
          <w:szCs w:val="26"/>
        </w:rPr>
        <w:t>,</w:t>
      </w:r>
      <w:r w:rsidRPr="00413C4E">
        <w:rPr>
          <w:rFonts w:ascii="Book Antiqua" w:hAnsi="Book Antiqua" w:cstheme="majorBidi"/>
          <w:color w:val="0070C0"/>
          <w:sz w:val="26"/>
          <w:szCs w:val="26"/>
        </w:rPr>
        <w:t xml:space="preserve"> avec un taux de 3,5%. La population en situation de sous-emploi lié à l’insuffisance du revenu ou à l’inadéquation entre la formation et l’emploi exercé est de 589.000 personnes (5,6%). </w:t>
      </w:r>
      <w:r w:rsidR="0094166B">
        <w:rPr>
          <w:rFonts w:ascii="Book Antiqua" w:hAnsi="Book Antiqua" w:cstheme="majorBidi"/>
          <w:color w:val="0070C0"/>
          <w:sz w:val="26"/>
          <w:szCs w:val="26"/>
        </w:rPr>
        <w:t xml:space="preserve"> En somme</w:t>
      </w:r>
      <w:r w:rsidRPr="00413C4E">
        <w:rPr>
          <w:rFonts w:ascii="Book Antiqua" w:hAnsi="Book Antiqua" w:cstheme="majorBidi"/>
          <w:color w:val="0070C0"/>
          <w:sz w:val="26"/>
          <w:szCs w:val="26"/>
        </w:rPr>
        <w:t>, le volume du sous-emploi, dans ses deux composantes, est</w:t>
      </w:r>
      <w:r w:rsidR="000B3E15">
        <w:rPr>
          <w:rFonts w:ascii="Book Antiqua" w:hAnsi="Book Antiqua" w:cstheme="majorBidi"/>
          <w:color w:val="0070C0"/>
          <w:sz w:val="26"/>
          <w:szCs w:val="26"/>
        </w:rPr>
        <w:t xml:space="preserve"> de 969.000 personnes. Le taux </w:t>
      </w:r>
      <w:r w:rsidR="000B3E15">
        <w:rPr>
          <w:rFonts w:ascii="Book Antiqua" w:hAnsi="Book Antiqua" w:cstheme="majorBidi"/>
          <w:color w:val="0070C0"/>
          <w:sz w:val="26"/>
          <w:szCs w:val="26"/>
        </w:rPr>
        <w:lastRenderedPageBreak/>
        <w:t xml:space="preserve">global </w:t>
      </w:r>
      <w:r w:rsidRPr="00413C4E">
        <w:rPr>
          <w:rFonts w:ascii="Book Antiqua" w:hAnsi="Book Antiqua" w:cstheme="majorBidi"/>
          <w:color w:val="0070C0"/>
          <w:sz w:val="26"/>
          <w:szCs w:val="26"/>
        </w:rPr>
        <w:t>de sous-emploi est passé de 9,6% à 9,1%, au niveau national, de 8% à 7,8% en milieu urbain et de 11,7% à 10,8% en milieu rural.</w:t>
      </w:r>
    </w:p>
    <w:p w:rsidR="009039F5" w:rsidRPr="00413C4E" w:rsidRDefault="009039F5" w:rsidP="009039F5">
      <w:pPr>
        <w:autoSpaceDE w:val="0"/>
        <w:autoSpaceDN w:val="0"/>
        <w:bidi w:val="0"/>
        <w:adjustRightInd w:val="0"/>
        <w:spacing w:before="240" w:line="312" w:lineRule="auto"/>
        <w:jc w:val="both"/>
        <w:rPr>
          <w:rFonts w:ascii="Book Antiqua" w:hAnsi="Book Antiqua" w:cstheme="majorBidi"/>
          <w:color w:val="0070C0"/>
          <w:sz w:val="26"/>
          <w:szCs w:val="26"/>
        </w:rPr>
      </w:pPr>
    </w:p>
    <w:p w:rsidR="00413C4E" w:rsidRPr="0003501A" w:rsidRDefault="00413C4E" w:rsidP="00413C4E"/>
    <w:p w:rsidR="0068355B" w:rsidRPr="00D46701" w:rsidRDefault="0068355B" w:rsidP="0068355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470689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Stagnation des taux d’activité et d’emploi</w:t>
      </w:r>
    </w:p>
    <w:p w:rsidR="0068355B" w:rsidRPr="00EA3A6F" w:rsidRDefault="0068355B" w:rsidP="0068355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68355B" w:rsidRPr="00710D6E" w:rsidRDefault="0068355B" w:rsidP="0068355B">
      <w:pPr>
        <w:bidi w:val="0"/>
        <w:rPr>
          <w:rFonts w:ascii="Book Antiqua" w:hAnsi="Book Antiqua" w:cs="Times New Roman"/>
          <w:b/>
          <w:bCs/>
          <w:noProof w:val="0"/>
          <w:color w:val="984806" w:themeColor="accent6" w:themeShade="80"/>
          <w:sz w:val="8"/>
          <w:szCs w:val="8"/>
        </w:rPr>
      </w:pPr>
    </w:p>
    <w:p w:rsidR="00C66EC4" w:rsidRPr="00411A33" w:rsidRDefault="00C66EC4" w:rsidP="00BF6858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Entre le </w:t>
      </w:r>
      <w:r w:rsidR="00C42611" w:rsidRPr="00411A33">
        <w:rPr>
          <w:rFonts w:ascii="Book Antiqua" w:hAnsi="Book Antiqua" w:cs="Times New Roman"/>
          <w:noProof w:val="0"/>
          <w:sz w:val="27"/>
          <w:szCs w:val="27"/>
        </w:rPr>
        <w:t>t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roisième trimestre de 201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8 et la même période de 2019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, </w:t>
      </w:r>
      <w:r w:rsidR="0060071E" w:rsidRPr="00411A33">
        <w:rPr>
          <w:rFonts w:ascii="Book Antiqua" w:hAnsi="Book Antiqua" w:cs="Times New Roman"/>
          <w:noProof w:val="0"/>
          <w:sz w:val="27"/>
          <w:szCs w:val="27"/>
        </w:rPr>
        <w:t>l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e taux d’activité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a connu</w:t>
      </w:r>
      <w:r w:rsidR="00EA3A89" w:rsidRPr="00411A33">
        <w:rPr>
          <w:rFonts w:ascii="Book Antiqua" w:hAnsi="Book Antiqua" w:cs="Times New Roman"/>
          <w:noProof w:val="0"/>
          <w:sz w:val="27"/>
          <w:szCs w:val="27"/>
        </w:rPr>
        <w:t>,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EA3A89" w:rsidRPr="00411A33">
        <w:rPr>
          <w:rFonts w:ascii="Book Antiqua" w:hAnsi="Book Antiqua" w:cs="Times New Roman"/>
          <w:noProof w:val="0"/>
          <w:sz w:val="27"/>
          <w:szCs w:val="27"/>
        </w:rPr>
        <w:t xml:space="preserve">au niveau national,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une stagnation autour de </w:t>
      </w:r>
      <w:r w:rsidR="00C42611" w:rsidRPr="00411A33">
        <w:rPr>
          <w:rFonts w:ascii="Book Antiqua" w:hAnsi="Book Antiqua" w:cs="Times New Roman"/>
          <w:noProof w:val="0"/>
          <w:sz w:val="27"/>
          <w:szCs w:val="27"/>
        </w:rPr>
        <w:t>44,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9</w:t>
      </w:r>
      <w:r w:rsidR="00C42611" w:rsidRPr="00411A33">
        <w:rPr>
          <w:rFonts w:ascii="Book Antiqua" w:hAnsi="Book Antiqua" w:cs="Times New Roman"/>
          <w:noProof w:val="0"/>
          <w:sz w:val="27"/>
          <w:szCs w:val="27"/>
        </w:rPr>
        <w:t>%</w:t>
      </w:r>
      <w:r w:rsidR="00EA3A89" w:rsidRPr="00411A33">
        <w:rPr>
          <w:rFonts w:ascii="Book Antiqua" w:hAnsi="Book Antiqua" w:cs="Times New Roman"/>
          <w:noProof w:val="0"/>
          <w:sz w:val="27"/>
          <w:szCs w:val="27"/>
        </w:rPr>
        <w:t xml:space="preserve">. Il s'est accru de 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41,1% à 41,7% en milieu urbain et </w:t>
      </w:r>
      <w:r w:rsidR="00EA3A89" w:rsidRPr="00411A33">
        <w:rPr>
          <w:rFonts w:ascii="Book Antiqua" w:hAnsi="Book Antiqua" w:cs="Times New Roman"/>
          <w:noProof w:val="0"/>
          <w:sz w:val="27"/>
          <w:szCs w:val="27"/>
        </w:rPr>
        <w:t xml:space="preserve">a régressé 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de 51,9% à 50,8% en milieu rural. L’écart entre hommes et femmes a atteint 49,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6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 points, avec des taux </w:t>
      </w:r>
      <w:r w:rsidR="0060071E" w:rsidRPr="00411A33">
        <w:rPr>
          <w:rFonts w:ascii="Book Antiqua" w:hAnsi="Book Antiqua" w:cs="Times New Roman"/>
          <w:noProof w:val="0"/>
          <w:sz w:val="27"/>
          <w:szCs w:val="27"/>
        </w:rPr>
        <w:t xml:space="preserve">d’activité 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respectifs de 70,1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% et de 20,5%.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</w:t>
      </w:r>
    </w:p>
    <w:p w:rsidR="00C66EC4" w:rsidRPr="00411A33" w:rsidRDefault="008C6532" w:rsidP="00BF6858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>De son côté, l</w:t>
      </w:r>
      <w:r w:rsidR="00C66EC4" w:rsidRPr="00411A33">
        <w:rPr>
          <w:rFonts w:ascii="Book Antiqua" w:hAnsi="Book Antiqua" w:cs="Times New Roman"/>
          <w:noProof w:val="0"/>
          <w:sz w:val="27"/>
          <w:szCs w:val="27"/>
        </w:rPr>
        <w:t xml:space="preserve">e taux d’emploi a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atteint </w:t>
      </w:r>
      <w:r w:rsidR="00C66EC4" w:rsidRPr="00411A33">
        <w:rPr>
          <w:rFonts w:ascii="Book Antiqua" w:hAnsi="Book Antiqua" w:cs="Times New Roman"/>
          <w:noProof w:val="0"/>
          <w:sz w:val="27"/>
          <w:szCs w:val="27"/>
        </w:rPr>
        <w:t xml:space="preserve">40,7%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témoignant également d'une stagnation au niveau national</w:t>
      </w:r>
      <w:r w:rsidR="00C66EC4" w:rsidRPr="00411A33">
        <w:rPr>
          <w:rFonts w:ascii="Book Antiqua" w:hAnsi="Book Antiqua" w:cs="Times New Roman"/>
          <w:noProof w:val="0"/>
          <w:sz w:val="27"/>
          <w:szCs w:val="27"/>
        </w:rPr>
        <w:t xml:space="preserve">.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Ce taux</w:t>
      </w:r>
      <w:r w:rsidR="00C66EC4" w:rsidRPr="00411A33">
        <w:rPr>
          <w:rFonts w:ascii="Book Antiqua" w:hAnsi="Book Antiqua" w:cs="Times New Roman"/>
          <w:noProof w:val="0"/>
          <w:sz w:val="27"/>
          <w:szCs w:val="27"/>
        </w:rPr>
        <w:t xml:space="preserve"> a </w:t>
      </w:r>
      <w:r w:rsidR="009E71BC" w:rsidRPr="00411A33">
        <w:rPr>
          <w:rFonts w:ascii="Book Antiqua" w:hAnsi="Book Antiqua" w:cs="Times New Roman"/>
          <w:noProof w:val="0"/>
          <w:sz w:val="27"/>
          <w:szCs w:val="27"/>
        </w:rPr>
        <w:t xml:space="preserve">connu une hausse </w:t>
      </w:r>
      <w:r w:rsidR="00C66EC4" w:rsidRPr="00411A33">
        <w:rPr>
          <w:rFonts w:ascii="Book Antiqua" w:hAnsi="Book Antiqua" w:cs="Times New Roman"/>
          <w:noProof w:val="0"/>
          <w:sz w:val="27"/>
          <w:szCs w:val="27"/>
        </w:rPr>
        <w:t>de 0,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7</w:t>
      </w:r>
      <w:r w:rsidR="00C66EC4" w:rsidRPr="00411A33">
        <w:rPr>
          <w:rFonts w:ascii="Book Antiqua" w:hAnsi="Book Antiqua" w:cs="Times New Roman"/>
          <w:noProof w:val="0"/>
          <w:sz w:val="27"/>
          <w:szCs w:val="27"/>
        </w:rPr>
        <w:t xml:space="preserve"> point en milieu urbain et </w:t>
      </w:r>
      <w:r w:rsidR="009E71BC" w:rsidRPr="00411A33">
        <w:rPr>
          <w:rFonts w:ascii="Book Antiqua" w:hAnsi="Book Antiqua" w:cs="Times New Roman"/>
          <w:noProof w:val="0"/>
          <w:sz w:val="27"/>
          <w:szCs w:val="27"/>
        </w:rPr>
        <w:t>une baisse</w:t>
      </w:r>
      <w:r w:rsidR="00C66EC4" w:rsidRPr="00411A33">
        <w:rPr>
          <w:rFonts w:ascii="Book Antiqua" w:hAnsi="Book Antiqua" w:cs="Times New Roman"/>
          <w:noProof w:val="0"/>
          <w:sz w:val="27"/>
          <w:szCs w:val="27"/>
        </w:rPr>
        <w:t xml:space="preserve"> de 1,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4</w:t>
      </w:r>
      <w:r w:rsidR="00C66EC4" w:rsidRPr="00411A33">
        <w:rPr>
          <w:rFonts w:ascii="Book Antiqua" w:hAnsi="Book Antiqua" w:cs="Times New Roman"/>
          <w:noProof w:val="0"/>
          <w:sz w:val="27"/>
          <w:szCs w:val="27"/>
        </w:rPr>
        <w:t xml:space="preserve"> point en milieu rural. L'écart entre hommes </w:t>
      </w:r>
      <w:r w:rsidR="009E71BC" w:rsidRPr="00411A33">
        <w:rPr>
          <w:rFonts w:ascii="Book Antiqua" w:hAnsi="Book Antiqua" w:cs="Times New Roman"/>
          <w:noProof w:val="0"/>
          <w:sz w:val="27"/>
          <w:szCs w:val="27"/>
        </w:rPr>
        <w:t>et femmes a atteint 46,8 points</w:t>
      </w:r>
      <w:r w:rsidR="00C66EC4" w:rsidRPr="00411A33">
        <w:rPr>
          <w:rFonts w:ascii="Book Antiqua" w:hAnsi="Book Antiqua" w:cs="Times New Roman"/>
          <w:noProof w:val="0"/>
          <w:sz w:val="27"/>
          <w:szCs w:val="27"/>
        </w:rPr>
        <w:t xml:space="preserve"> avec des taux </w:t>
      </w:r>
      <w:r w:rsidR="009E71BC" w:rsidRPr="00411A33">
        <w:rPr>
          <w:rFonts w:ascii="Book Antiqua" w:hAnsi="Book Antiqua" w:cs="Times New Roman"/>
          <w:noProof w:val="0"/>
          <w:sz w:val="27"/>
          <w:szCs w:val="27"/>
        </w:rPr>
        <w:t xml:space="preserve">d'emploi </w:t>
      </w:r>
      <w:r w:rsidR="00C66EC4" w:rsidRPr="00411A33">
        <w:rPr>
          <w:rFonts w:ascii="Book Antiqua" w:hAnsi="Book Antiqua" w:cs="Times New Roman"/>
          <w:noProof w:val="0"/>
          <w:sz w:val="27"/>
          <w:szCs w:val="27"/>
        </w:rPr>
        <w:t xml:space="preserve">respectifs de 64,5% et de 17,7%. </w:t>
      </w:r>
    </w:p>
    <w:p w:rsidR="00244B5E" w:rsidRPr="00244B5E" w:rsidRDefault="00244B5E" w:rsidP="00244B5E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244B5E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Emploi rémunéré en augmentation</w:t>
      </w:r>
    </w:p>
    <w:p w:rsidR="0068355B" w:rsidRPr="00411A33" w:rsidRDefault="0068355B" w:rsidP="00FF6646">
      <w:pPr>
        <w:autoSpaceDE w:val="0"/>
        <w:autoSpaceDN w:val="0"/>
        <w:bidi w:val="0"/>
        <w:adjustRightInd w:val="0"/>
        <w:spacing w:before="100" w:beforeAutospacing="1"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Le volume de l’emploi s’est accru de 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143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.000 postes</w:t>
      </w:r>
      <w:r w:rsidR="009E71BC" w:rsidRPr="00411A33">
        <w:rPr>
          <w:rFonts w:ascii="Book Antiqua" w:hAnsi="Book Antiqua" w:cs="Times New Roman"/>
          <w:noProof w:val="0"/>
          <w:sz w:val="27"/>
          <w:szCs w:val="27"/>
        </w:rPr>
        <w:t xml:space="preserve">, suite à une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création de 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262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</w:t>
      </w:r>
      <w:r w:rsidR="009E71BC" w:rsidRPr="00411A33">
        <w:rPr>
          <w:rFonts w:ascii="Book Antiqua" w:hAnsi="Book Antiqua" w:cs="Times New Roman"/>
          <w:noProof w:val="0"/>
          <w:sz w:val="27"/>
          <w:szCs w:val="27"/>
        </w:rPr>
        <w:t xml:space="preserve">postes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en milieu urbain et une perte de 1</w:t>
      </w:r>
      <w:r w:rsidR="000C5821" w:rsidRPr="00411A33">
        <w:rPr>
          <w:rFonts w:ascii="Book Antiqua" w:hAnsi="Book Antiqua" w:cs="Times New Roman"/>
          <w:noProof w:val="0"/>
          <w:sz w:val="27"/>
          <w:szCs w:val="27"/>
        </w:rPr>
        <w:t>1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9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en milieu rural. </w:t>
      </w:r>
      <w:r w:rsidR="009E71BC" w:rsidRPr="00411A33">
        <w:rPr>
          <w:rFonts w:ascii="Book Antiqua" w:hAnsi="Book Antiqua" w:cs="Times New Roman"/>
          <w:noProof w:val="0"/>
          <w:sz w:val="27"/>
          <w:szCs w:val="27"/>
        </w:rPr>
        <w:t xml:space="preserve">Par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type d’emploi, </w:t>
      </w:r>
      <w:r w:rsidR="00D85579" w:rsidRPr="00411A33">
        <w:rPr>
          <w:rFonts w:ascii="Book Antiqua" w:hAnsi="Book Antiqua" w:cs="Times New Roman"/>
          <w:noProof w:val="0"/>
          <w:sz w:val="27"/>
          <w:szCs w:val="27"/>
        </w:rPr>
        <w:t>238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emplois rémunérés ont été créés, résultat d’une création de </w:t>
      </w:r>
      <w:r w:rsidR="00D85579" w:rsidRPr="00411A33">
        <w:rPr>
          <w:rFonts w:ascii="Book Antiqua" w:hAnsi="Book Antiqua" w:cs="Times New Roman"/>
          <w:noProof w:val="0"/>
          <w:sz w:val="27"/>
          <w:szCs w:val="27"/>
        </w:rPr>
        <w:t>244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en milieu urbain et </w:t>
      </w:r>
      <w:r w:rsidR="00D85579" w:rsidRPr="00411A33">
        <w:rPr>
          <w:rFonts w:ascii="Book Antiqua" w:hAnsi="Book Antiqua" w:cs="Times New Roman"/>
          <w:noProof w:val="0"/>
          <w:sz w:val="27"/>
          <w:szCs w:val="27"/>
        </w:rPr>
        <w:t xml:space="preserve">d'une perte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de </w:t>
      </w:r>
      <w:r w:rsidR="00D85579" w:rsidRPr="00411A33">
        <w:rPr>
          <w:rFonts w:ascii="Book Antiqua" w:hAnsi="Book Antiqua" w:cs="Times New Roman"/>
          <w:noProof w:val="0"/>
          <w:sz w:val="27"/>
          <w:szCs w:val="27"/>
        </w:rPr>
        <w:t>6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en milieu rural. L’emploi non rémunéré, constitué d’environ 97% d’aides familiales, a </w:t>
      </w:r>
      <w:r w:rsidR="009E71BC" w:rsidRPr="00411A33">
        <w:rPr>
          <w:rFonts w:ascii="Book Antiqua" w:hAnsi="Book Antiqua" w:cs="Times New Roman"/>
          <w:noProof w:val="0"/>
          <w:sz w:val="27"/>
          <w:szCs w:val="27"/>
        </w:rPr>
        <w:t>régressé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de 9</w:t>
      </w:r>
      <w:r w:rsidR="00D85579" w:rsidRPr="00411A33">
        <w:rPr>
          <w:rFonts w:ascii="Book Antiqua" w:hAnsi="Book Antiqua" w:cs="Times New Roman"/>
          <w:noProof w:val="0"/>
          <w:sz w:val="27"/>
          <w:szCs w:val="27"/>
        </w:rPr>
        <w:t>5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postes, </w:t>
      </w:r>
      <w:r w:rsidR="009E71BC" w:rsidRPr="00411A33">
        <w:rPr>
          <w:rFonts w:ascii="Book Antiqua" w:hAnsi="Book Antiqua" w:cs="Times New Roman"/>
          <w:noProof w:val="0"/>
          <w:sz w:val="27"/>
          <w:szCs w:val="27"/>
        </w:rPr>
        <w:t>conséquence d'</w:t>
      </w:r>
      <w:r w:rsidR="00A30AA9" w:rsidRPr="00411A33">
        <w:rPr>
          <w:rFonts w:ascii="Book Antiqua" w:hAnsi="Book Antiqua" w:cs="Times New Roman"/>
          <w:noProof w:val="0"/>
          <w:sz w:val="27"/>
          <w:szCs w:val="27"/>
        </w:rPr>
        <w:t xml:space="preserve">une perte de 113.000 en zones rurales et </w:t>
      </w:r>
      <w:r w:rsidR="009E71BC" w:rsidRPr="00411A33">
        <w:rPr>
          <w:rFonts w:ascii="Book Antiqua" w:hAnsi="Book Antiqua" w:cs="Times New Roman"/>
          <w:noProof w:val="0"/>
          <w:sz w:val="27"/>
          <w:szCs w:val="27"/>
        </w:rPr>
        <w:t>d'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une création de </w:t>
      </w:r>
      <w:r w:rsidR="00D85579" w:rsidRPr="00411A33">
        <w:rPr>
          <w:rFonts w:ascii="Book Antiqua" w:hAnsi="Book Antiqua" w:cs="Times New Roman"/>
          <w:noProof w:val="0"/>
          <w:sz w:val="27"/>
          <w:szCs w:val="27"/>
        </w:rPr>
        <w:t>18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emplois en zones urbaines. </w:t>
      </w:r>
    </w:p>
    <w:p w:rsidR="0068355B" w:rsidRPr="00411A33" w:rsidRDefault="0068355B" w:rsidP="0068355B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68355B" w:rsidRPr="00411A33" w:rsidRDefault="0068355B" w:rsidP="00AB140E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 nette d’emploi entre le troisième trimestre de 2018 et celui de 2019</w:t>
      </w:r>
    </w:p>
    <w:p w:rsidR="0068355B" w:rsidRDefault="0068355B" w:rsidP="0068355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t>selon le milieu de résidence</w:t>
      </w:r>
    </w:p>
    <w:p w:rsidR="000C5821" w:rsidRPr="00954034" w:rsidRDefault="000C5821" w:rsidP="000C582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68355B" w:rsidRPr="00954034" w:rsidRDefault="00411A33" w:rsidP="0068355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12"/>
          <w:szCs w:val="12"/>
        </w:rPr>
      </w:pPr>
      <w:r w:rsidRPr="00411A33">
        <w:rPr>
          <w:rFonts w:ascii="Book Antiqua" w:hAnsi="Book Antiqua" w:cs="Times New Roman"/>
          <w:sz w:val="12"/>
          <w:szCs w:val="12"/>
        </w:rPr>
        <w:lastRenderedPageBreak/>
        <w:drawing>
          <wp:inline distT="0" distB="0" distL="0" distR="0">
            <wp:extent cx="6069101" cy="2699308"/>
            <wp:effectExtent l="19050" t="0" r="26899" b="5792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355B" w:rsidRPr="00954034" w:rsidRDefault="0068355B" w:rsidP="0068355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68355B" w:rsidRPr="00954034" w:rsidRDefault="0068355B" w:rsidP="0068355B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</w:p>
    <w:p w:rsidR="0068355B" w:rsidRPr="00954034" w:rsidRDefault="0068355B" w:rsidP="009039F5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  <w:r w:rsidRPr="00954034">
        <w:rPr>
          <w:rFonts w:ascii="Book Antiqua" w:hAnsi="Book Antiqua" w:cs="Times New Roman"/>
          <w:noProof w:val="0"/>
          <w:color w:val="0070C0"/>
          <w:sz w:val="28"/>
          <w:szCs w:val="28"/>
        </w:rPr>
        <w:br w:type="page"/>
      </w:r>
    </w:p>
    <w:p w:rsidR="0068355B" w:rsidRPr="00954034" w:rsidRDefault="0068355B" w:rsidP="00956433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954034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>Contribution sectorielle à la création nette d’emploi</w:t>
      </w:r>
    </w:p>
    <w:p w:rsidR="0068355B" w:rsidRPr="00954034" w:rsidRDefault="0068355B" w:rsidP="0068355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68355B" w:rsidRPr="00411A33" w:rsidRDefault="00470689" w:rsidP="009039F5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>Entre le troisième trimestre de 2018 et celui de 2019, l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e secteur des "services" a créé 3</w:t>
      </w:r>
      <w:r w:rsidR="00D81388" w:rsidRPr="00411A33">
        <w:rPr>
          <w:rFonts w:ascii="Book Antiqua" w:hAnsi="Book Antiqua" w:cs="Times New Roman"/>
          <w:noProof w:val="0"/>
          <w:sz w:val="27"/>
          <w:szCs w:val="27"/>
        </w:rPr>
        <w:t>36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.000 postes d’emploi </w:t>
      </w:r>
      <w:r w:rsidR="00F466FF" w:rsidRPr="00411A33">
        <w:rPr>
          <w:rFonts w:ascii="Book Antiqua" w:hAnsi="Book Antiqua" w:cs="Times New Roman"/>
          <w:noProof w:val="0"/>
          <w:sz w:val="27"/>
          <w:szCs w:val="27"/>
        </w:rPr>
        <w:t xml:space="preserve">au niveau national 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(</w:t>
      </w:r>
      <w:r w:rsidR="00D81388" w:rsidRPr="00411A33">
        <w:rPr>
          <w:rFonts w:ascii="Book Antiqua" w:hAnsi="Book Antiqua" w:cs="Times New Roman"/>
          <w:noProof w:val="0"/>
          <w:sz w:val="27"/>
          <w:szCs w:val="27"/>
        </w:rPr>
        <w:t>260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.000 en milieu urbain et </w:t>
      </w:r>
      <w:r w:rsidR="00D81388" w:rsidRPr="00411A33">
        <w:rPr>
          <w:rFonts w:ascii="Book Antiqua" w:hAnsi="Book Antiqua" w:cs="Times New Roman"/>
          <w:noProof w:val="0"/>
          <w:sz w:val="27"/>
          <w:szCs w:val="27"/>
        </w:rPr>
        <w:t>76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.000 en milieu rural), enregistrant un accroissement de </w:t>
      </w:r>
      <w:r w:rsidR="003B0AC2" w:rsidRPr="00411A33">
        <w:rPr>
          <w:rFonts w:ascii="Book Antiqua" w:hAnsi="Book Antiqua" w:cs="Times New Roman"/>
          <w:noProof w:val="0"/>
          <w:sz w:val="27"/>
          <w:szCs w:val="27"/>
        </w:rPr>
        <w:t>7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,</w:t>
      </w:r>
      <w:r w:rsidR="003B0AC2" w:rsidRPr="00411A33">
        <w:rPr>
          <w:rFonts w:ascii="Book Antiqua" w:hAnsi="Book Antiqua" w:cs="Times New Roman"/>
          <w:noProof w:val="0"/>
          <w:sz w:val="27"/>
          <w:szCs w:val="27"/>
        </w:rPr>
        <w:t>2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% de l’emploi dans ce secteur. Ces nouveaux postes ont été créés principalement par la branche du </w:t>
      </w:r>
      <w:r w:rsidR="009039F5">
        <w:rPr>
          <w:rFonts w:ascii="Book Antiqua" w:hAnsi="Book Antiqua" w:cs="Times New Roman"/>
          <w:noProof w:val="0"/>
          <w:sz w:val="27"/>
          <w:szCs w:val="27"/>
        </w:rPr>
        <w:t>"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commerce et de réparation d’automobiles et de motocycles</w:t>
      </w:r>
      <w:r w:rsidR="009039F5" w:rsidRPr="00411A33">
        <w:rPr>
          <w:rFonts w:ascii="Book Antiqua" w:hAnsi="Book Antiqua" w:cs="Times New Roman"/>
          <w:noProof w:val="0"/>
          <w:sz w:val="27"/>
          <w:szCs w:val="27"/>
        </w:rPr>
        <w:t xml:space="preserve">" 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avec 1</w:t>
      </w:r>
      <w:r w:rsidR="006232BC" w:rsidRPr="00411A33">
        <w:rPr>
          <w:rFonts w:ascii="Book Antiqua" w:hAnsi="Book Antiqua" w:cs="Times New Roman"/>
          <w:noProof w:val="0"/>
          <w:sz w:val="27"/>
          <w:szCs w:val="27"/>
        </w:rPr>
        <w:t>35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.000 postes.</w:t>
      </w:r>
    </w:p>
    <w:p w:rsidR="00470689" w:rsidRPr="00411A33" w:rsidRDefault="00470689" w:rsidP="003B0AC2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Le secteur des BTP a créé </w:t>
      </w:r>
      <w:r w:rsidR="00D81388" w:rsidRPr="00411A33">
        <w:rPr>
          <w:rFonts w:ascii="Book Antiqua" w:hAnsi="Book Antiqua" w:cs="Times New Roman"/>
          <w:noProof w:val="0"/>
          <w:sz w:val="27"/>
          <w:szCs w:val="27"/>
        </w:rPr>
        <w:t>37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postes d’emploi, résultat d’une création de </w:t>
      </w:r>
      <w:r w:rsidR="00D81388" w:rsidRPr="00411A33">
        <w:rPr>
          <w:rFonts w:ascii="Book Antiqua" w:hAnsi="Book Antiqua" w:cs="Times New Roman"/>
          <w:noProof w:val="0"/>
          <w:sz w:val="27"/>
          <w:szCs w:val="27"/>
        </w:rPr>
        <w:t>13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.000 postes en milieu urbain et de 2</w:t>
      </w:r>
      <w:r w:rsidR="000C5821" w:rsidRPr="00411A33">
        <w:rPr>
          <w:rFonts w:ascii="Book Antiqua" w:hAnsi="Book Antiqua" w:cs="Times New Roman"/>
          <w:noProof w:val="0"/>
          <w:sz w:val="27"/>
          <w:szCs w:val="27"/>
        </w:rPr>
        <w:t>4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en milieu rural, enregistrant une hausse de </w:t>
      </w:r>
      <w:r w:rsidR="003B0AC2" w:rsidRPr="00411A33">
        <w:rPr>
          <w:rFonts w:ascii="Book Antiqua" w:hAnsi="Book Antiqua" w:cs="Times New Roman"/>
          <w:noProof w:val="0"/>
          <w:sz w:val="27"/>
          <w:szCs w:val="27"/>
        </w:rPr>
        <w:t>3</w:t>
      </w:r>
      <w:r w:rsidR="006232BC" w:rsidRPr="00411A33">
        <w:rPr>
          <w:rFonts w:ascii="Book Antiqua" w:hAnsi="Book Antiqua" w:cs="Times New Roman"/>
          <w:noProof w:val="0"/>
          <w:sz w:val="27"/>
          <w:szCs w:val="27"/>
        </w:rPr>
        <w:t>,3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% du volume d’emploi </w:t>
      </w:r>
      <w:r w:rsidR="00F466FF" w:rsidRPr="00411A33">
        <w:rPr>
          <w:rFonts w:ascii="Book Antiqua" w:hAnsi="Book Antiqua" w:cs="Times New Roman"/>
          <w:noProof w:val="0"/>
          <w:sz w:val="27"/>
          <w:szCs w:val="27"/>
        </w:rPr>
        <w:t>dans ce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secteur.</w:t>
      </w:r>
    </w:p>
    <w:p w:rsidR="00F466FF" w:rsidRPr="00411A33" w:rsidRDefault="00F466FF" w:rsidP="00D81388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>En revanche, le secteur de l’"agricu</w:t>
      </w:r>
      <w:bookmarkStart w:id="0" w:name="_GoBack"/>
      <w:bookmarkEnd w:id="0"/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lture forêt et pêche" a perdu </w:t>
      </w:r>
      <w:r w:rsidR="00D81388" w:rsidRPr="00411A33">
        <w:rPr>
          <w:rFonts w:ascii="Book Antiqua" w:hAnsi="Book Antiqua" w:cs="Times New Roman"/>
          <w:noProof w:val="0"/>
          <w:sz w:val="27"/>
          <w:szCs w:val="27"/>
        </w:rPr>
        <w:t>204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postes d'emploi, </w:t>
      </w:r>
      <w:r w:rsidR="00D81388" w:rsidRPr="00411A33">
        <w:rPr>
          <w:rFonts w:ascii="Book Antiqua" w:hAnsi="Book Antiqua" w:cs="Times New Roman"/>
          <w:noProof w:val="0"/>
          <w:sz w:val="27"/>
          <w:szCs w:val="27"/>
        </w:rPr>
        <w:t>202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en milieu rural et 2.000 en milieu urbain. </w:t>
      </w:r>
    </w:p>
    <w:p w:rsidR="0068355B" w:rsidRPr="00411A33" w:rsidRDefault="00F466FF" w:rsidP="006232BC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>L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e secteur de l’"industrie y compris l’artisanat" a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perdu </w:t>
      </w:r>
      <w:r w:rsidR="00D81388" w:rsidRPr="00411A33">
        <w:rPr>
          <w:rFonts w:ascii="Book Antiqua" w:hAnsi="Book Antiqua" w:cs="Times New Roman"/>
          <w:noProof w:val="0"/>
          <w:sz w:val="27"/>
          <w:szCs w:val="27"/>
        </w:rPr>
        <w:t>26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.000 postes</w:t>
      </w:r>
      <w:r w:rsidR="00470689" w:rsidRPr="00411A33">
        <w:rPr>
          <w:rFonts w:ascii="Book Antiqua" w:hAnsi="Book Antiqua" w:cs="Times New Roman"/>
          <w:noProof w:val="0"/>
          <w:sz w:val="27"/>
          <w:szCs w:val="27"/>
        </w:rPr>
        <w:t xml:space="preserve">, </w:t>
      </w:r>
      <w:r w:rsidR="00D81388" w:rsidRPr="00411A33">
        <w:rPr>
          <w:rFonts w:ascii="Book Antiqua" w:hAnsi="Book Antiqua" w:cs="Times New Roman"/>
          <w:noProof w:val="0"/>
          <w:sz w:val="27"/>
          <w:szCs w:val="27"/>
        </w:rPr>
        <w:t>9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.000 en milieu urbain et </w:t>
      </w:r>
      <w:r w:rsidR="00470689" w:rsidRPr="00411A33">
        <w:rPr>
          <w:rFonts w:ascii="Book Antiqua" w:hAnsi="Book Antiqua" w:cs="Times New Roman"/>
          <w:noProof w:val="0"/>
          <w:sz w:val="27"/>
          <w:szCs w:val="27"/>
        </w:rPr>
        <w:t>17.000 en milieu rural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>, ce qui correspond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à une baisse de </w:t>
      </w:r>
      <w:r w:rsidR="006232BC" w:rsidRPr="00411A33">
        <w:rPr>
          <w:rFonts w:ascii="Book Antiqua" w:hAnsi="Book Antiqua" w:cs="Times New Roman"/>
          <w:noProof w:val="0"/>
          <w:sz w:val="27"/>
          <w:szCs w:val="27"/>
        </w:rPr>
        <w:t>2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% du volume de l'</w:t>
      </w:r>
      <w:r w:rsidR="0068355B" w:rsidRPr="00411A33">
        <w:rPr>
          <w:rFonts w:ascii="Book Antiqua" w:hAnsi="Book Antiqua" w:cs="Times New Roman"/>
          <w:noProof w:val="0"/>
          <w:sz w:val="27"/>
          <w:szCs w:val="27"/>
        </w:rPr>
        <w:t xml:space="preserve">emploi dans ce secteur. </w:t>
      </w:r>
    </w:p>
    <w:p w:rsidR="0068355B" w:rsidRDefault="0068355B" w:rsidP="00AB140E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t>Figure 2. Création nette d’emploi entre le troisième trimestre de 2018 et celui de 2019 par secteur d’activité économique et milieu de résidence</w:t>
      </w:r>
    </w:p>
    <w:p w:rsidR="000C5821" w:rsidRDefault="000C5821" w:rsidP="000C5821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68355B" w:rsidRDefault="008A1013" w:rsidP="008A1013">
      <w:pPr>
        <w:bidi w:val="0"/>
        <w:jc w:val="center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8A1013">
        <w:rPr>
          <w:rFonts w:ascii="Book Antiqua" w:hAnsi="Book Antiqua" w:cs="Times New Roman"/>
          <w:b/>
          <w:bCs/>
          <w:color w:val="0070C0"/>
          <w:sz w:val="28"/>
          <w:szCs w:val="28"/>
        </w:rPr>
        <w:drawing>
          <wp:inline distT="0" distB="0" distL="0" distR="0">
            <wp:extent cx="6667500" cy="2886075"/>
            <wp:effectExtent l="0" t="0" r="0" b="9525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355B" w:rsidRDefault="0068355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br w:type="page"/>
      </w:r>
    </w:p>
    <w:p w:rsidR="0068355B" w:rsidRDefault="0068355B" w:rsidP="0068355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921997" w:rsidRPr="00D46701" w:rsidRDefault="00921997" w:rsidP="00921997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Légère hausse</w:t>
      </w:r>
      <w:r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du chômage </w:t>
      </w:r>
    </w:p>
    <w:p w:rsidR="00921997" w:rsidRPr="00A0113F" w:rsidRDefault="00921997" w:rsidP="00921997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921997" w:rsidRPr="000C5098" w:rsidRDefault="00921997" w:rsidP="00921997">
      <w:pPr>
        <w:autoSpaceDE w:val="0"/>
        <w:autoSpaceDN w:val="0"/>
        <w:bidi w:val="0"/>
        <w:adjustRightInd w:val="0"/>
        <w:rPr>
          <w:rFonts w:ascii="Book Antiqua" w:hAnsi="Book Antiqua" w:cs="Times New Roman"/>
          <w:b/>
          <w:bCs/>
          <w:noProof w:val="0"/>
          <w:color w:val="0000FF"/>
          <w:sz w:val="8"/>
          <w:szCs w:val="8"/>
        </w:rPr>
      </w:pPr>
    </w:p>
    <w:p w:rsidR="00921997" w:rsidRPr="00411A33" w:rsidRDefault="00921997" w:rsidP="00DC40B7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Avec une hausse de 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26</w:t>
      </w:r>
      <w:r w:rsidR="00C42611" w:rsidRPr="00411A33">
        <w:rPr>
          <w:rFonts w:ascii="Book Antiqua" w:hAnsi="Book Antiqua" w:cs="Times New Roman"/>
          <w:noProof w:val="0"/>
          <w:sz w:val="27"/>
          <w:szCs w:val="27"/>
        </w:rPr>
        <w:t>.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000 personnes, 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23.000 en milieu rural et 3</w:t>
      </w:r>
      <w:r w:rsidR="00C42611" w:rsidRPr="00411A33">
        <w:rPr>
          <w:rFonts w:ascii="Book Antiqua" w:hAnsi="Book Antiqua" w:cs="Times New Roman"/>
          <w:noProof w:val="0"/>
          <w:sz w:val="27"/>
          <w:szCs w:val="27"/>
        </w:rPr>
        <w:t>.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000 en milie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u urbain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, le nombre de chômeurs est passé</w:t>
      </w:r>
      <w:r w:rsidR="001B3D44" w:rsidRPr="00411A33">
        <w:rPr>
          <w:rFonts w:ascii="Book Antiqua" w:hAnsi="Book Antiqua" w:cs="Times New Roman"/>
          <w:noProof w:val="0"/>
          <w:sz w:val="27"/>
          <w:szCs w:val="27"/>
        </w:rPr>
        <w:t>,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1B3D44" w:rsidRPr="00411A33">
        <w:rPr>
          <w:rFonts w:ascii="Book Antiqua" w:hAnsi="Book Antiqua" w:cs="Times New Roman"/>
          <w:noProof w:val="0"/>
          <w:sz w:val="27"/>
          <w:szCs w:val="27"/>
        </w:rPr>
        <w:t xml:space="preserve">au niveau national,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de 1.088.000 à 1.1</w:t>
      </w:r>
      <w:r w:rsidR="00BF6858" w:rsidRPr="00411A33">
        <w:rPr>
          <w:rFonts w:ascii="Book Antiqua" w:hAnsi="Book Antiqua" w:cs="Times New Roman"/>
          <w:noProof w:val="0"/>
          <w:sz w:val="27"/>
          <w:szCs w:val="27"/>
        </w:rPr>
        <w:t>14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.000 personnes entre le </w:t>
      </w:r>
      <w:r w:rsidR="00C42611" w:rsidRPr="00411A33">
        <w:rPr>
          <w:rFonts w:ascii="Book Antiqua" w:hAnsi="Book Antiqua" w:cs="Times New Roman"/>
          <w:noProof w:val="0"/>
          <w:sz w:val="27"/>
          <w:szCs w:val="27"/>
        </w:rPr>
        <w:t>troisième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trimestre de 2018 et la même période de 2019. Le taux de chômage est ainsi passé de 9,3% à 9,4%, de 13,1% à 12,</w:t>
      </w:r>
      <w:r w:rsidR="00DC40B7" w:rsidRPr="00411A33">
        <w:rPr>
          <w:rFonts w:ascii="Book Antiqua" w:hAnsi="Book Antiqua" w:cs="Times New Roman"/>
          <w:noProof w:val="0"/>
          <w:sz w:val="27"/>
          <w:szCs w:val="27"/>
        </w:rPr>
        <w:t>7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% en milieu urbain et de 3,9% à 4,5% en milieu rural. </w:t>
      </w:r>
    </w:p>
    <w:p w:rsidR="002A0842" w:rsidRPr="00411A33" w:rsidRDefault="002A0842" w:rsidP="00EA3A89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>L</w:t>
      </w:r>
      <w:r w:rsidR="00921997" w:rsidRPr="00411A33">
        <w:rPr>
          <w:rFonts w:ascii="Book Antiqua" w:hAnsi="Book Antiqua" w:cs="Times New Roman"/>
          <w:noProof w:val="0"/>
          <w:sz w:val="27"/>
          <w:szCs w:val="27"/>
        </w:rPr>
        <w:t xml:space="preserve">e chômage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reste relativement élevé parmi les jeunes âgés de 15 à 24 ans avec </w:t>
      </w:r>
      <w:r w:rsidR="00921997" w:rsidRPr="00411A33">
        <w:rPr>
          <w:rFonts w:ascii="Book Antiqua" w:hAnsi="Book Antiqua" w:cs="Times New Roman"/>
          <w:noProof w:val="0"/>
          <w:sz w:val="27"/>
          <w:szCs w:val="27"/>
        </w:rPr>
        <w:t>26,7%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(contre </w:t>
      </w:r>
      <w:r w:rsidR="00EA3A89" w:rsidRPr="00411A33">
        <w:rPr>
          <w:rFonts w:ascii="Book Antiqua" w:hAnsi="Book Antiqua" w:cs="Times New Roman"/>
          <w:noProof w:val="0"/>
          <w:sz w:val="27"/>
          <w:szCs w:val="27"/>
        </w:rPr>
        <w:t>7,0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% parmi les personnes âgées de 25 ans et plus), parmi </w:t>
      </w:r>
      <w:r w:rsidR="00921997" w:rsidRPr="00411A33">
        <w:rPr>
          <w:rFonts w:ascii="Book Antiqua" w:hAnsi="Book Antiqua" w:cs="Times New Roman"/>
          <w:noProof w:val="0"/>
          <w:sz w:val="27"/>
          <w:szCs w:val="27"/>
        </w:rPr>
        <w:t xml:space="preserve">les femmes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(13,9%, </w:t>
      </w:r>
      <w:r w:rsidR="00921997" w:rsidRPr="00411A33">
        <w:rPr>
          <w:rFonts w:ascii="Book Antiqua" w:hAnsi="Book Antiqua" w:cs="Times New Roman"/>
          <w:noProof w:val="0"/>
          <w:sz w:val="27"/>
          <w:szCs w:val="27"/>
        </w:rPr>
        <w:t xml:space="preserve">contre 8% parmi les hommes) et les détenteurs d’un diplôme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(15,5%, </w:t>
      </w:r>
      <w:r w:rsidR="00921997" w:rsidRPr="00411A33">
        <w:rPr>
          <w:rFonts w:ascii="Book Antiqua" w:hAnsi="Book Antiqua" w:cs="Times New Roman"/>
          <w:noProof w:val="0"/>
          <w:sz w:val="27"/>
          <w:szCs w:val="27"/>
        </w:rPr>
        <w:t xml:space="preserve">contre 3,7% parmi les personnes n’ayant aucun diplôme). </w:t>
      </w:r>
    </w:p>
    <w:p w:rsidR="00921997" w:rsidRPr="001F0CDE" w:rsidRDefault="00921997" w:rsidP="0092199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3 : Évolution du taux de chômage entre le troisième trimestre de 2018 et celui de 2019 parmi certaines catégories de la population </w:t>
      </w:r>
      <w:r w:rsidR="002A0842"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t>(en %)</w:t>
      </w:r>
    </w:p>
    <w:p w:rsidR="00921997" w:rsidRPr="007575D6" w:rsidRDefault="00921997" w:rsidP="0092199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21997" w:rsidRPr="00B21092" w:rsidRDefault="00921997" w:rsidP="0092199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21997" w:rsidRDefault="00DC40B7" w:rsidP="0092199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 w:rsidRPr="00DC40B7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6328829" cy="2855343"/>
            <wp:effectExtent l="19050" t="0" r="14821" b="2157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40B7" w:rsidRDefault="00DC40B7" w:rsidP="00DC40B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</w:p>
    <w:p w:rsidR="00DC40B7" w:rsidRDefault="00DC40B7">
      <w:pPr>
        <w:bidi w:val="0"/>
        <w:rPr>
          <w:rFonts w:ascii="Book Antiqua" w:hAnsi="Book Antiqua" w:cs="Times New Roman"/>
          <w:sz w:val="24"/>
          <w:szCs w:val="24"/>
        </w:rPr>
      </w:pPr>
    </w:p>
    <w:p w:rsidR="00921997" w:rsidRPr="00D46701" w:rsidRDefault="00921997" w:rsidP="00921997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D46701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Un chômage de longue durée et de première insertion</w:t>
      </w:r>
    </w:p>
    <w:p w:rsidR="00921997" w:rsidRPr="0090502A" w:rsidRDefault="00921997" w:rsidP="00921997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921997" w:rsidRPr="00411A33" w:rsidRDefault="00921997" w:rsidP="00053CA4">
      <w:pPr>
        <w:autoSpaceDE w:val="0"/>
        <w:autoSpaceDN w:val="0"/>
        <w:bidi w:val="0"/>
        <w:adjustRightInd w:val="0"/>
        <w:spacing w:after="20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Plus de </w:t>
      </w:r>
      <w:r w:rsidR="002A0842" w:rsidRPr="00411A33">
        <w:rPr>
          <w:rFonts w:ascii="Book Antiqua" w:hAnsi="Book Antiqua" w:cs="Times New Roman"/>
          <w:noProof w:val="0"/>
          <w:sz w:val="27"/>
          <w:szCs w:val="27"/>
        </w:rPr>
        <w:t xml:space="preserve">la moitié des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chômeurs (55,</w:t>
      </w:r>
      <w:r w:rsidR="00510384" w:rsidRPr="00411A33">
        <w:rPr>
          <w:rFonts w:ascii="Book Antiqua" w:hAnsi="Book Antiqua" w:cs="Times New Roman"/>
          <w:noProof w:val="0"/>
          <w:sz w:val="27"/>
          <w:szCs w:val="27"/>
        </w:rPr>
        <w:t>3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%) sont à la recherche de leur premier emploi</w:t>
      </w:r>
      <w:r w:rsidR="002A0842" w:rsidRPr="00411A33">
        <w:rPr>
          <w:rFonts w:ascii="Book Antiqua" w:hAnsi="Book Antiqua" w:cs="Times New Roman"/>
          <w:noProof w:val="0"/>
          <w:sz w:val="27"/>
          <w:szCs w:val="27"/>
        </w:rPr>
        <w:t xml:space="preserve">,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4</w:t>
      </w:r>
      <w:r w:rsidR="00510384" w:rsidRPr="00411A33">
        <w:rPr>
          <w:rFonts w:ascii="Book Antiqua" w:hAnsi="Book Antiqua" w:cs="Times New Roman"/>
          <w:noProof w:val="0"/>
          <w:sz w:val="27"/>
          <w:szCs w:val="27"/>
        </w:rPr>
        <w:t>9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,</w:t>
      </w:r>
      <w:r w:rsidR="00510384" w:rsidRPr="00411A33">
        <w:rPr>
          <w:rFonts w:ascii="Book Antiqua" w:hAnsi="Book Antiqua" w:cs="Times New Roman"/>
          <w:noProof w:val="0"/>
          <w:sz w:val="27"/>
          <w:szCs w:val="27"/>
        </w:rPr>
        <w:t>0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% parmi les hommes et 67,4% parmi les femmes. Les deux-tiers (66,</w:t>
      </w:r>
      <w:r w:rsidR="00510384" w:rsidRPr="00411A33">
        <w:rPr>
          <w:rFonts w:ascii="Book Antiqua" w:hAnsi="Book Antiqua" w:cs="Times New Roman"/>
          <w:noProof w:val="0"/>
          <w:sz w:val="27"/>
          <w:szCs w:val="27"/>
        </w:rPr>
        <w:t>8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%) </w:t>
      </w:r>
      <w:r w:rsidR="002A0842" w:rsidRPr="00411A33">
        <w:rPr>
          <w:rFonts w:ascii="Book Antiqua" w:hAnsi="Book Antiqua" w:cs="Times New Roman"/>
          <w:noProof w:val="0"/>
          <w:sz w:val="27"/>
          <w:szCs w:val="27"/>
        </w:rPr>
        <w:t xml:space="preserve">sont en situation de chômage </w:t>
      </w:r>
      <w:r w:rsidR="00EA09E8" w:rsidRPr="00411A33">
        <w:rPr>
          <w:rFonts w:ascii="Book Antiqua" w:hAnsi="Book Antiqua" w:cs="Times New Roman"/>
          <w:noProof w:val="0"/>
          <w:sz w:val="27"/>
          <w:szCs w:val="27"/>
        </w:rPr>
        <w:t>de longue durée</w:t>
      </w:r>
      <w:r w:rsidR="002A0842" w:rsidRPr="00411A33">
        <w:rPr>
          <w:rFonts w:ascii="Book Antiqua" w:hAnsi="Book Antiqua" w:cs="Times New Roman"/>
          <w:noProof w:val="0"/>
          <w:sz w:val="27"/>
          <w:szCs w:val="27"/>
        </w:rPr>
        <w:t xml:space="preserve">,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62,2% parmi les hommes et 7</w:t>
      </w:r>
      <w:r w:rsidR="00510384" w:rsidRPr="00411A33">
        <w:rPr>
          <w:rFonts w:ascii="Book Antiqua" w:hAnsi="Book Antiqua" w:cs="Times New Roman"/>
          <w:noProof w:val="0"/>
          <w:sz w:val="27"/>
          <w:szCs w:val="27"/>
        </w:rPr>
        <w:t>5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,</w:t>
      </w:r>
      <w:r w:rsidR="00510384" w:rsidRPr="00411A33">
        <w:rPr>
          <w:rFonts w:ascii="Book Antiqua" w:hAnsi="Book Antiqua" w:cs="Times New Roman"/>
          <w:noProof w:val="0"/>
          <w:sz w:val="27"/>
          <w:szCs w:val="27"/>
        </w:rPr>
        <w:t>1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% parmi les femmes. </w:t>
      </w:r>
      <w:r w:rsidR="00EA09E8" w:rsidRPr="00411A33">
        <w:rPr>
          <w:rFonts w:ascii="Book Antiqua" w:hAnsi="Book Antiqua" w:cs="Times New Roman"/>
          <w:noProof w:val="0"/>
          <w:sz w:val="27"/>
          <w:szCs w:val="27"/>
        </w:rPr>
        <w:t xml:space="preserve">En outre, plus du quart 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des chômeurs</w:t>
      </w:r>
      <w:r w:rsidR="00EA09E8" w:rsidRPr="00411A33">
        <w:rPr>
          <w:rFonts w:ascii="Book Antiqua" w:hAnsi="Book Antiqua" w:cs="Times New Roman"/>
          <w:noProof w:val="0"/>
          <w:sz w:val="27"/>
          <w:szCs w:val="27"/>
        </w:rPr>
        <w:t xml:space="preserve"> (27,</w:t>
      </w:r>
      <w:r w:rsidR="00510384" w:rsidRPr="00411A33">
        <w:rPr>
          <w:rFonts w:ascii="Book Antiqua" w:hAnsi="Book Antiqua" w:cs="Times New Roman"/>
          <w:noProof w:val="0"/>
          <w:sz w:val="27"/>
          <w:szCs w:val="27"/>
        </w:rPr>
        <w:t>8</w:t>
      </w:r>
      <w:r w:rsidR="00EA09E8" w:rsidRPr="00411A33">
        <w:rPr>
          <w:rFonts w:ascii="Book Antiqua" w:hAnsi="Book Antiqua" w:cs="Times New Roman"/>
          <w:noProof w:val="0"/>
          <w:sz w:val="27"/>
          <w:szCs w:val="27"/>
        </w:rPr>
        <w:t>%)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se sont retrouvés dans cette situation suite au licenciement ou à l’arrêt de l’activité de l’établissement</w:t>
      </w:r>
      <w:r w:rsidR="00EA09E8" w:rsidRPr="00411A33">
        <w:rPr>
          <w:rFonts w:ascii="Book Antiqua" w:hAnsi="Book Antiqua" w:cs="Times New Roman"/>
          <w:noProof w:val="0"/>
          <w:sz w:val="27"/>
          <w:szCs w:val="27"/>
        </w:rPr>
        <w:t xml:space="preserve"> employeur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.</w:t>
      </w:r>
    </w:p>
    <w:p w:rsidR="00330FD8" w:rsidRDefault="00330FD8" w:rsidP="00411A33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</w:p>
    <w:p w:rsidR="00921997" w:rsidRPr="00411A33" w:rsidRDefault="00921997" w:rsidP="00330FD8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 w:rsidRPr="00411A33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lastRenderedPageBreak/>
        <w:t xml:space="preserve">Recul du sous emploi  </w:t>
      </w:r>
    </w:p>
    <w:p w:rsidR="00921997" w:rsidRPr="00411A33" w:rsidRDefault="00921997" w:rsidP="00921997">
      <w:pPr>
        <w:autoSpaceDE w:val="0"/>
        <w:autoSpaceDN w:val="0"/>
        <w:bidi w:val="0"/>
        <w:adjustRightInd w:val="0"/>
        <w:spacing w:line="312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0B134A" w:rsidRDefault="00CF56A7" w:rsidP="0094166B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C</w:t>
      </w:r>
      <w:r w:rsidR="000B134A">
        <w:rPr>
          <w:rFonts w:ascii="Book Antiqua" w:hAnsi="Book Antiqua" w:cs="Times New Roman"/>
          <w:noProof w:val="0"/>
          <w:sz w:val="27"/>
          <w:szCs w:val="27"/>
        </w:rPr>
        <w:t xml:space="preserve">onformément aux recommandations du BIT, le sous-emploi 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>est constitué</w:t>
      </w:r>
      <w:r w:rsidR="000B134A">
        <w:rPr>
          <w:rFonts w:ascii="Book Antiqua" w:hAnsi="Book Antiqua" w:cs="Times New Roman"/>
          <w:noProof w:val="0"/>
          <w:sz w:val="27"/>
          <w:szCs w:val="27"/>
        </w:rPr>
        <w:t>, selon l’approche de l’E</w:t>
      </w:r>
      <w:r w:rsidR="0094166B">
        <w:rPr>
          <w:rFonts w:ascii="Book Antiqua" w:hAnsi="Book Antiqua" w:cs="Times New Roman"/>
          <w:noProof w:val="0"/>
          <w:sz w:val="27"/>
          <w:szCs w:val="27"/>
        </w:rPr>
        <w:t xml:space="preserve">nquête nationale sur l’emploi, </w:t>
      </w:r>
      <w:r w:rsidR="000B134A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>de deux composantes</w:t>
      </w:r>
      <w:r w:rsidR="000B134A">
        <w:rPr>
          <w:rFonts w:ascii="Book Antiqua" w:hAnsi="Book Antiqua" w:cs="Times New Roman"/>
          <w:noProof w:val="0"/>
          <w:sz w:val="27"/>
          <w:szCs w:val="27"/>
        </w:rPr>
        <w:t xml:space="preserve">, 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 xml:space="preserve">la première liée au nombre d’heures travaillées et la deuxième </w:t>
      </w:r>
      <w:r w:rsidR="000B134A">
        <w:rPr>
          <w:rFonts w:ascii="Book Antiqua" w:hAnsi="Book Antiqua" w:cs="Times New Roman"/>
          <w:noProof w:val="0"/>
          <w:sz w:val="27"/>
          <w:szCs w:val="27"/>
        </w:rPr>
        <w:t xml:space="preserve">à 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 xml:space="preserve">l’insuffisance du revenu </w:t>
      </w:r>
      <w:r>
        <w:rPr>
          <w:rFonts w:ascii="Book Antiqua" w:hAnsi="Book Antiqua" w:cs="Times New Roman"/>
          <w:noProof w:val="0"/>
          <w:sz w:val="27"/>
          <w:szCs w:val="27"/>
        </w:rPr>
        <w:t>ou</w:t>
      </w:r>
      <w:r w:rsidR="000B134A">
        <w:rPr>
          <w:rFonts w:ascii="Book Antiqua" w:hAnsi="Book Antiqua" w:cs="Times New Roman"/>
          <w:noProof w:val="0"/>
          <w:sz w:val="27"/>
          <w:szCs w:val="27"/>
        </w:rPr>
        <w:t xml:space="preserve"> à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 xml:space="preserve"> l’inadéquation entre la formation et l’emploi</w:t>
      </w:r>
      <w:r w:rsidR="000B134A">
        <w:rPr>
          <w:rFonts w:ascii="Book Antiqua" w:hAnsi="Book Antiqua" w:cs="Times New Roman"/>
          <w:noProof w:val="0"/>
          <w:sz w:val="27"/>
          <w:szCs w:val="27"/>
        </w:rPr>
        <w:t xml:space="preserve"> exercé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>.</w:t>
      </w:r>
      <w:r w:rsidR="000B134A" w:rsidRPr="000B134A">
        <w:rPr>
          <w:rFonts w:ascii="Book Antiqua" w:hAnsi="Book Antiqua" w:cs="Times New Roman"/>
          <w:noProof w:val="0"/>
          <w:sz w:val="27"/>
          <w:szCs w:val="27"/>
        </w:rPr>
        <w:t xml:space="preserve"> </w:t>
      </w:r>
    </w:p>
    <w:p w:rsidR="00053CA4" w:rsidRPr="00053CA4" w:rsidRDefault="00CF56A7" w:rsidP="0094166B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S’agissant de l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>a première composante, la population active occupée en situation de sous-emploi liée au nombre d’heures travaillées est passée, entre le troisième trimestre de 2018 et celui de 2019, de 352.000 à 380.000 personnes au niveau national</w:t>
      </w:r>
      <w:r w:rsidR="00053CA4">
        <w:rPr>
          <w:rFonts w:ascii="Book Antiqua" w:hAnsi="Book Antiqua" w:cs="Times New Roman"/>
          <w:noProof w:val="0"/>
          <w:sz w:val="27"/>
          <w:szCs w:val="27"/>
        </w:rPr>
        <w:t xml:space="preserve">. Le taux correspondant </w:t>
      </w:r>
      <w:r>
        <w:rPr>
          <w:rFonts w:ascii="Book Antiqua" w:hAnsi="Book Antiqua" w:cs="Times New Roman"/>
          <w:noProof w:val="0"/>
          <w:sz w:val="27"/>
          <w:szCs w:val="27"/>
        </w:rPr>
        <w:t>est</w:t>
      </w:r>
      <w:r w:rsidR="00053CA4">
        <w:rPr>
          <w:rFonts w:ascii="Book Antiqua" w:hAnsi="Book Antiqua" w:cs="Times New Roman"/>
          <w:noProof w:val="0"/>
          <w:sz w:val="27"/>
          <w:szCs w:val="27"/>
        </w:rPr>
        <w:t xml:space="preserve"> ainsi 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passé de </w:t>
      </w:r>
      <w:r w:rsidRPr="00053CA4">
        <w:rPr>
          <w:rFonts w:ascii="Book Antiqua" w:hAnsi="Book Antiqua" w:cs="Times New Roman"/>
          <w:noProof w:val="0"/>
          <w:sz w:val="27"/>
          <w:szCs w:val="27"/>
        </w:rPr>
        <w:t>3,3%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 à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 xml:space="preserve"> 3,5%. </w:t>
      </w:r>
    </w:p>
    <w:p w:rsidR="00053CA4" w:rsidRDefault="00CF56A7" w:rsidP="0094166B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>
        <w:rPr>
          <w:rFonts w:ascii="Book Antiqua" w:hAnsi="Book Antiqua" w:cs="Times New Roman"/>
          <w:noProof w:val="0"/>
          <w:sz w:val="27"/>
          <w:szCs w:val="27"/>
        </w:rPr>
        <w:t>L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 xml:space="preserve">a population active occupée en situation de sous-emploi lié 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à </w:t>
      </w:r>
      <w:r w:rsidRPr="00053CA4">
        <w:rPr>
          <w:rFonts w:ascii="Book Antiqua" w:hAnsi="Book Antiqua" w:cs="Times New Roman"/>
          <w:noProof w:val="0"/>
          <w:sz w:val="27"/>
          <w:szCs w:val="27"/>
        </w:rPr>
        <w:t xml:space="preserve">l’insuffisance du revenu </w:t>
      </w:r>
      <w:r>
        <w:rPr>
          <w:rFonts w:ascii="Book Antiqua" w:hAnsi="Book Antiqua" w:cs="Times New Roman"/>
          <w:noProof w:val="0"/>
          <w:sz w:val="27"/>
          <w:szCs w:val="27"/>
        </w:rPr>
        <w:t>ou à</w:t>
      </w:r>
      <w:r w:rsidRPr="00053CA4">
        <w:rPr>
          <w:rFonts w:ascii="Book Antiqua" w:hAnsi="Book Antiqua" w:cs="Times New Roman"/>
          <w:noProof w:val="0"/>
          <w:sz w:val="27"/>
          <w:szCs w:val="27"/>
        </w:rPr>
        <w:t xml:space="preserve"> l’inadéquation entre la formation et l’emploi</w:t>
      </w:r>
      <w:r>
        <w:rPr>
          <w:rFonts w:ascii="Book Antiqua" w:hAnsi="Book Antiqua" w:cs="Times New Roman"/>
          <w:noProof w:val="0"/>
          <w:sz w:val="27"/>
          <w:szCs w:val="27"/>
        </w:rPr>
        <w:t xml:space="preserve"> exercé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>, est passée, durant la même période, de 669.000 à 589.000 personnes au niveau national</w:t>
      </w:r>
      <w:r w:rsidR="0094166B">
        <w:rPr>
          <w:rFonts w:ascii="Book Antiqua" w:hAnsi="Book Antiqua" w:cs="Times New Roman"/>
          <w:noProof w:val="0"/>
          <w:sz w:val="27"/>
          <w:szCs w:val="27"/>
        </w:rPr>
        <w:t xml:space="preserve">, avec un taux </w:t>
      </w:r>
      <w:r>
        <w:rPr>
          <w:rFonts w:ascii="Book Antiqua" w:hAnsi="Book Antiqua" w:cs="Times New Roman"/>
          <w:noProof w:val="0"/>
          <w:sz w:val="27"/>
          <w:szCs w:val="27"/>
        </w:rPr>
        <w:t>passant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 xml:space="preserve"> de 6,3% à 5,</w:t>
      </w:r>
      <w:r w:rsidR="00053CA4">
        <w:rPr>
          <w:rFonts w:ascii="Book Antiqua" w:hAnsi="Book Antiqua" w:cs="Times New Roman"/>
          <w:noProof w:val="0"/>
          <w:sz w:val="27"/>
          <w:szCs w:val="27"/>
        </w:rPr>
        <w:t>6</w:t>
      </w:r>
      <w:r w:rsidR="00053CA4" w:rsidRPr="00053CA4">
        <w:rPr>
          <w:rFonts w:ascii="Book Antiqua" w:hAnsi="Book Antiqua" w:cs="Times New Roman"/>
          <w:noProof w:val="0"/>
          <w:sz w:val="27"/>
          <w:szCs w:val="27"/>
        </w:rPr>
        <w:t>%.</w:t>
      </w:r>
    </w:p>
    <w:p w:rsidR="00921997" w:rsidRPr="00411A33" w:rsidRDefault="00053CA4" w:rsidP="0094166B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053CA4">
        <w:rPr>
          <w:rFonts w:ascii="Book Antiqua" w:hAnsi="Book Antiqua" w:cs="Times New Roman"/>
          <w:noProof w:val="0"/>
          <w:sz w:val="27"/>
          <w:szCs w:val="27"/>
        </w:rPr>
        <w:t>En somme, le</w:t>
      </w:r>
      <w:r w:rsidR="00CF56A7">
        <w:rPr>
          <w:rFonts w:ascii="Book Antiqua" w:hAnsi="Book Antiqua" w:cs="Times New Roman"/>
          <w:noProof w:val="0"/>
          <w:sz w:val="27"/>
          <w:szCs w:val="27"/>
        </w:rPr>
        <w:t xml:space="preserve"> volume du</w:t>
      </w:r>
      <w:r w:rsidRPr="00053CA4">
        <w:rPr>
          <w:rFonts w:ascii="Book Antiqua" w:hAnsi="Book Antiqua" w:cs="Times New Roman"/>
          <w:noProof w:val="0"/>
          <w:sz w:val="27"/>
          <w:szCs w:val="27"/>
        </w:rPr>
        <w:t xml:space="preserve"> sous-emploi</w:t>
      </w:r>
      <w:r w:rsidR="00CF56A7">
        <w:rPr>
          <w:rFonts w:ascii="Book Antiqua" w:hAnsi="Book Antiqua" w:cs="Times New Roman"/>
          <w:noProof w:val="0"/>
          <w:sz w:val="27"/>
          <w:szCs w:val="27"/>
        </w:rPr>
        <w:t>,</w:t>
      </w:r>
      <w:r w:rsidR="00CF56A7" w:rsidRPr="00053CA4">
        <w:rPr>
          <w:rFonts w:ascii="Book Antiqua" w:hAnsi="Book Antiqua" w:cs="Times New Roman"/>
          <w:noProof w:val="0"/>
          <w:sz w:val="27"/>
          <w:szCs w:val="27"/>
        </w:rPr>
        <w:t xml:space="preserve"> </w:t>
      </w:r>
      <w:r w:rsidRPr="00053CA4">
        <w:rPr>
          <w:rFonts w:ascii="Book Antiqua" w:hAnsi="Book Antiqua" w:cs="Times New Roman"/>
          <w:noProof w:val="0"/>
          <w:sz w:val="27"/>
          <w:szCs w:val="27"/>
        </w:rPr>
        <w:t xml:space="preserve">dans ses deux </w:t>
      </w:r>
      <w:r w:rsidR="00CF56A7">
        <w:rPr>
          <w:rFonts w:ascii="Book Antiqua" w:hAnsi="Book Antiqua" w:cs="Times New Roman"/>
          <w:noProof w:val="0"/>
          <w:sz w:val="27"/>
          <w:szCs w:val="27"/>
        </w:rPr>
        <w:t>composantes</w:t>
      </w:r>
      <w:r w:rsidRPr="00053CA4">
        <w:rPr>
          <w:rFonts w:ascii="Book Antiqua" w:hAnsi="Book Antiqua" w:cs="Times New Roman"/>
          <w:noProof w:val="0"/>
          <w:sz w:val="27"/>
          <w:szCs w:val="27"/>
        </w:rPr>
        <w:t xml:space="preserve">, </w:t>
      </w:r>
      <w:r w:rsidR="00CF56A7">
        <w:rPr>
          <w:rFonts w:ascii="Book Antiqua" w:hAnsi="Book Antiqua" w:cs="Times New Roman"/>
          <w:noProof w:val="0"/>
          <w:sz w:val="27"/>
          <w:szCs w:val="27"/>
        </w:rPr>
        <w:t xml:space="preserve">est passé, durant la période, de </w:t>
      </w:r>
      <w:r w:rsidR="00CF56A7" w:rsidRPr="00053CA4">
        <w:rPr>
          <w:rFonts w:ascii="Book Antiqua" w:hAnsi="Book Antiqua" w:cs="Times New Roman"/>
          <w:noProof w:val="0"/>
          <w:sz w:val="27"/>
          <w:szCs w:val="27"/>
        </w:rPr>
        <w:t xml:space="preserve">1.021.000 </w:t>
      </w:r>
      <w:r w:rsidRPr="00053CA4">
        <w:rPr>
          <w:rFonts w:ascii="Book Antiqua" w:hAnsi="Book Antiqua" w:cs="Times New Roman"/>
          <w:noProof w:val="0"/>
          <w:sz w:val="27"/>
          <w:szCs w:val="27"/>
        </w:rPr>
        <w:t>personnes</w:t>
      </w:r>
      <w:r w:rsidR="00CF56A7">
        <w:rPr>
          <w:rFonts w:ascii="Book Antiqua" w:hAnsi="Book Antiqua" w:cs="Times New Roman"/>
          <w:noProof w:val="0"/>
          <w:sz w:val="27"/>
          <w:szCs w:val="27"/>
        </w:rPr>
        <w:t xml:space="preserve"> à </w:t>
      </w:r>
      <w:r w:rsidR="00CF56A7" w:rsidRPr="00053CA4">
        <w:rPr>
          <w:rFonts w:ascii="Book Antiqua" w:hAnsi="Book Antiqua" w:cs="Times New Roman"/>
          <w:noProof w:val="0"/>
          <w:sz w:val="27"/>
          <w:szCs w:val="27"/>
        </w:rPr>
        <w:t>969.000</w:t>
      </w:r>
      <w:r w:rsidR="00921997" w:rsidRPr="00411A33">
        <w:rPr>
          <w:rFonts w:ascii="Book Antiqua" w:hAnsi="Book Antiqua" w:cs="Times New Roman"/>
          <w:noProof w:val="0"/>
          <w:sz w:val="27"/>
          <w:szCs w:val="27"/>
        </w:rPr>
        <w:t xml:space="preserve">, de </w:t>
      </w:r>
      <w:r w:rsidR="001F3879" w:rsidRPr="00411A33">
        <w:rPr>
          <w:rFonts w:ascii="Book Antiqua" w:hAnsi="Book Antiqua" w:cs="Times New Roman"/>
          <w:noProof w:val="0"/>
          <w:sz w:val="27"/>
          <w:szCs w:val="27"/>
        </w:rPr>
        <w:t>476</w:t>
      </w:r>
      <w:r w:rsidR="00510384" w:rsidRPr="00411A33">
        <w:rPr>
          <w:rFonts w:ascii="Book Antiqua" w:hAnsi="Book Antiqua" w:cs="Times New Roman"/>
          <w:noProof w:val="0"/>
          <w:sz w:val="27"/>
          <w:szCs w:val="27"/>
        </w:rPr>
        <w:t>.000 à 481</w:t>
      </w:r>
      <w:r w:rsidR="00921997" w:rsidRPr="00411A33">
        <w:rPr>
          <w:rFonts w:ascii="Book Antiqua" w:hAnsi="Book Antiqua" w:cs="Times New Roman"/>
          <w:noProof w:val="0"/>
          <w:sz w:val="27"/>
          <w:szCs w:val="27"/>
        </w:rPr>
        <w:t>.000 dans les villes et de 545.000 à 488.000 à la campagne. Le taux de sous-emploi est ainsi passé de 9,</w:t>
      </w:r>
      <w:r w:rsidR="001F3879" w:rsidRPr="00411A33">
        <w:rPr>
          <w:rFonts w:ascii="Book Antiqua" w:hAnsi="Book Antiqua" w:cs="Times New Roman"/>
          <w:noProof w:val="0"/>
          <w:sz w:val="27"/>
          <w:szCs w:val="27"/>
        </w:rPr>
        <w:t>6</w:t>
      </w:r>
      <w:r w:rsidR="00921997" w:rsidRPr="00411A33">
        <w:rPr>
          <w:rFonts w:ascii="Book Antiqua" w:hAnsi="Book Antiqua" w:cs="Times New Roman"/>
          <w:noProof w:val="0"/>
          <w:sz w:val="27"/>
          <w:szCs w:val="27"/>
        </w:rPr>
        <w:t>% à 9,1%,</w:t>
      </w:r>
      <w:r w:rsidR="00513A4D">
        <w:rPr>
          <w:rFonts w:ascii="Book Antiqua" w:hAnsi="Book Antiqua" w:cs="Times New Roman"/>
          <w:noProof w:val="0"/>
          <w:sz w:val="27"/>
          <w:szCs w:val="27"/>
        </w:rPr>
        <w:t xml:space="preserve"> au niveau national, </w:t>
      </w:r>
      <w:r w:rsidR="00921997" w:rsidRPr="00411A33">
        <w:rPr>
          <w:rFonts w:ascii="Book Antiqua" w:hAnsi="Book Antiqua" w:cs="Times New Roman"/>
          <w:noProof w:val="0"/>
          <w:sz w:val="27"/>
          <w:szCs w:val="27"/>
        </w:rPr>
        <w:t>de 8% à 7,8% en milieu urbain et de 11,7% à 10,8% en milieu rural.</w:t>
      </w:r>
    </w:p>
    <w:p w:rsidR="00921997" w:rsidRPr="00411A33" w:rsidRDefault="00921997" w:rsidP="0094166B">
      <w:pPr>
        <w:autoSpaceDE w:val="0"/>
        <w:autoSpaceDN w:val="0"/>
        <w:bidi w:val="0"/>
        <w:adjustRightInd w:val="0"/>
        <w:spacing w:before="240" w:line="276" w:lineRule="auto"/>
        <w:jc w:val="both"/>
        <w:rPr>
          <w:rFonts w:ascii="Book Antiqua" w:hAnsi="Book Antiqua" w:cs="Times New Roman"/>
          <w:noProof w:val="0"/>
          <w:sz w:val="27"/>
          <w:szCs w:val="27"/>
        </w:rPr>
      </w:pPr>
      <w:r w:rsidRPr="00411A33">
        <w:rPr>
          <w:rFonts w:ascii="Book Antiqua" w:hAnsi="Book Antiqua" w:cs="Times New Roman"/>
          <w:noProof w:val="0"/>
          <w:sz w:val="27"/>
          <w:szCs w:val="27"/>
        </w:rPr>
        <w:t>Le taux de sous-emploi des hommes (10,</w:t>
      </w:r>
      <w:r w:rsidR="00457E2F" w:rsidRPr="00411A33">
        <w:rPr>
          <w:rFonts w:ascii="Book Antiqua" w:hAnsi="Book Antiqua" w:cs="Times New Roman"/>
          <w:noProof w:val="0"/>
          <w:sz w:val="27"/>
          <w:szCs w:val="27"/>
        </w:rPr>
        <w:t>2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>%) est deux fois plus élevé que celui des femmes (5,2%). Il est d</w:t>
      </w:r>
      <w:r w:rsidR="00EA09E8" w:rsidRPr="00411A33">
        <w:rPr>
          <w:rFonts w:ascii="Book Antiqua" w:hAnsi="Book Antiqua" w:cs="Times New Roman"/>
          <w:noProof w:val="0"/>
          <w:sz w:val="27"/>
          <w:szCs w:val="27"/>
        </w:rPr>
        <w:t>e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même niveau </w:t>
      </w:r>
      <w:r w:rsidR="00EA09E8" w:rsidRPr="00411A33">
        <w:rPr>
          <w:rFonts w:ascii="Book Antiqua" w:hAnsi="Book Antiqua" w:cs="Times New Roman"/>
          <w:noProof w:val="0"/>
          <w:sz w:val="27"/>
          <w:szCs w:val="27"/>
        </w:rPr>
        <w:t>en milieu urbain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(7,8%) alors qu’en milieu rural, il est presque 6 fois plus </w:t>
      </w:r>
      <w:r w:rsidR="004C7497" w:rsidRPr="00411A33">
        <w:rPr>
          <w:rFonts w:ascii="Book Antiqua" w:hAnsi="Book Antiqua" w:cs="Times New Roman"/>
          <w:noProof w:val="0"/>
          <w:sz w:val="27"/>
          <w:szCs w:val="27"/>
        </w:rPr>
        <w:t>élevé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parmi les hommes </w:t>
      </w:r>
      <w:r w:rsidR="004C7497" w:rsidRPr="00411A33">
        <w:rPr>
          <w:rFonts w:ascii="Book Antiqua" w:hAnsi="Book Antiqua" w:cs="Times New Roman"/>
          <w:noProof w:val="0"/>
          <w:sz w:val="27"/>
          <w:szCs w:val="27"/>
        </w:rPr>
        <w:t>avec 13,7%</w:t>
      </w:r>
      <w:r w:rsidRPr="00411A33">
        <w:rPr>
          <w:rFonts w:ascii="Book Antiqua" w:hAnsi="Book Antiqua" w:cs="Times New Roman"/>
          <w:noProof w:val="0"/>
          <w:sz w:val="27"/>
          <w:szCs w:val="27"/>
        </w:rPr>
        <w:t xml:space="preserve"> que parmi les femmes (2,4%).</w:t>
      </w:r>
    </w:p>
    <w:p w:rsidR="00921997" w:rsidRPr="00411A33" w:rsidRDefault="00921997" w:rsidP="0092199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921997" w:rsidRDefault="00053CA4" w:rsidP="00330FD8">
      <w:pPr>
        <w:bidi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>
        <w:rPr>
          <w:rFonts w:ascii="Book Antiqua" w:hAnsi="Book Antiqua" w:cs="Times New Roman"/>
          <w:b/>
          <w:bCs/>
          <w:noProof w:val="0"/>
          <w:sz w:val="24"/>
          <w:szCs w:val="24"/>
        </w:rPr>
        <w:br w:type="page"/>
      </w:r>
      <w:r w:rsidR="00921997"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lastRenderedPageBreak/>
        <w:t>Figure 4 : Évolution du taux de sous-emploi entre le troisième trimestre de 2018 et celui de 2019 parmi certaines cat</w:t>
      </w:r>
      <w:r w:rsidR="004C7497"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t>égories de la population (en %)</w:t>
      </w:r>
    </w:p>
    <w:p w:rsidR="00921997" w:rsidRPr="00EC7B69" w:rsidRDefault="00921997" w:rsidP="0092199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21997" w:rsidRPr="00B21092" w:rsidRDefault="00921997" w:rsidP="0092199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21997" w:rsidRDefault="000C5821" w:rsidP="0092199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6028066" cy="2303253"/>
            <wp:effectExtent l="19050" t="0" r="0" b="0"/>
            <wp:docPr id="3" name="Obje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230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997" w:rsidRDefault="00921997" w:rsidP="0092199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12"/>
          <w:szCs w:val="12"/>
        </w:rPr>
      </w:pPr>
    </w:p>
    <w:p w:rsidR="001F3879" w:rsidRPr="00B55E4B" w:rsidRDefault="001F3879" w:rsidP="001F387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12"/>
          <w:szCs w:val="12"/>
        </w:rPr>
      </w:pPr>
    </w:p>
    <w:p w:rsidR="00AA4A37" w:rsidRPr="00D46701" w:rsidRDefault="00CE31DD" w:rsidP="00F605BF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</w:pPr>
      <w:r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>Situation régionale du marché de</w:t>
      </w:r>
      <w:r w:rsidR="00AA4A37" w:rsidRPr="00097ACB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travail </w:t>
      </w:r>
    </w:p>
    <w:p w:rsidR="00AA4A37" w:rsidRDefault="00AA4A37" w:rsidP="00AA4A37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AA4A37" w:rsidRPr="0066304E" w:rsidRDefault="00AA4A37" w:rsidP="00AA4A37">
      <w:pPr>
        <w:bidi w:val="0"/>
        <w:rPr>
          <w:rFonts w:ascii="Book Antiqua" w:hAnsi="Book Antiqua" w:cs="Times New Roman"/>
          <w:noProof w:val="0"/>
          <w:color w:val="0070C0"/>
          <w:sz w:val="8"/>
          <w:szCs w:val="8"/>
        </w:rPr>
      </w:pPr>
    </w:p>
    <w:p w:rsidR="00AA4A37" w:rsidRPr="00411A33" w:rsidRDefault="00AA4A37" w:rsidP="006E0BBC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11A33">
        <w:rPr>
          <w:rFonts w:ascii="Book Antiqua" w:hAnsi="Book Antiqua" w:cs="Times New Roman"/>
          <w:noProof w:val="0"/>
          <w:sz w:val="26"/>
          <w:szCs w:val="26"/>
        </w:rPr>
        <w:t>Cinq régions abritent  7</w:t>
      </w:r>
      <w:r w:rsidR="006E0BBC" w:rsidRPr="00411A33">
        <w:rPr>
          <w:rFonts w:ascii="Book Antiqua" w:hAnsi="Book Antiqua" w:cs="Times New Roman"/>
          <w:noProof w:val="0"/>
          <w:sz w:val="26"/>
          <w:szCs w:val="26"/>
        </w:rPr>
        <w:t>1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>,</w:t>
      </w:r>
      <w:r w:rsidR="006E0BBC" w:rsidRPr="00411A33">
        <w:rPr>
          <w:rFonts w:ascii="Book Antiqua" w:hAnsi="Book Antiqua" w:cs="Times New Roman"/>
          <w:noProof w:val="0"/>
          <w:sz w:val="26"/>
          <w:szCs w:val="26"/>
        </w:rPr>
        <w:t>9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>% de l’ensemble des actifs âgés de 15 ans et plus. La région de Casablanca-Settat vient en première position avec 23% d’actifs, suivie de Marrakech-Safi (13,4%), de Rabat-Salé-Kénitra (13,3%), de Fès-Meknès (11,</w:t>
      </w:r>
      <w:r w:rsidR="006E0BBC" w:rsidRPr="00411A33">
        <w:rPr>
          <w:rFonts w:ascii="Book Antiqua" w:hAnsi="Book Antiqua" w:cs="Times New Roman"/>
          <w:noProof w:val="0"/>
          <w:sz w:val="26"/>
          <w:szCs w:val="26"/>
        </w:rPr>
        <w:t>6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>%) et de Tanger-Tétouan-Al Hoceïma (10,6%).</w:t>
      </w:r>
    </w:p>
    <w:p w:rsidR="00AA4A37" w:rsidRPr="00411A33" w:rsidRDefault="00AA4A37" w:rsidP="00956433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411A33">
        <w:rPr>
          <w:rFonts w:ascii="Book Antiqua" w:hAnsi="Book Antiqua" w:cs="Times New Roman"/>
          <w:noProof w:val="0"/>
          <w:sz w:val="26"/>
          <w:szCs w:val="26"/>
        </w:rPr>
        <w:t xml:space="preserve">Quatre régions </w:t>
      </w:r>
      <w:r w:rsidR="00F605BF" w:rsidRPr="00411A33">
        <w:rPr>
          <w:rFonts w:ascii="Book Antiqua" w:hAnsi="Book Antiqua" w:cs="Times New Roman"/>
          <w:noProof w:val="0"/>
          <w:sz w:val="26"/>
          <w:szCs w:val="26"/>
        </w:rPr>
        <w:t>enregistrent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 xml:space="preserve"> des taux d’activité plus élevés que  la  moyenne  nationale (44,9%)</w:t>
      </w:r>
      <w:r w:rsidR="00F605BF" w:rsidRPr="00411A33">
        <w:rPr>
          <w:rFonts w:ascii="Book Antiqua" w:hAnsi="Book Antiqua" w:cs="Times New Roman"/>
          <w:noProof w:val="0"/>
          <w:sz w:val="26"/>
          <w:szCs w:val="26"/>
        </w:rPr>
        <w:t xml:space="preserve">. Il s'agit des régions de 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 xml:space="preserve">Casablanca-Settat </w:t>
      </w:r>
      <w:r w:rsidR="00F605BF" w:rsidRPr="00411A33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>49,2%,</w:t>
      </w:r>
      <w:r w:rsidR="00F605BF" w:rsidRPr="00411A33">
        <w:rPr>
          <w:rFonts w:ascii="Book Antiqua" w:hAnsi="Book Antiqua" w:cs="Times New Roman"/>
          <w:noProof w:val="0"/>
          <w:sz w:val="26"/>
          <w:szCs w:val="26"/>
        </w:rPr>
        <w:t xml:space="preserve"> de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 xml:space="preserve"> Marrakech-Safi (46,7%), </w:t>
      </w:r>
      <w:r w:rsidR="00F605BF" w:rsidRPr="00411A33">
        <w:rPr>
          <w:rFonts w:ascii="Book Antiqua" w:hAnsi="Book Antiqua" w:cs="Times New Roman"/>
          <w:noProof w:val="0"/>
          <w:sz w:val="26"/>
          <w:szCs w:val="26"/>
        </w:rPr>
        <w:t xml:space="preserve">des 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 xml:space="preserve">Régions </w:t>
      </w:r>
      <w:r w:rsidR="00F605BF" w:rsidRPr="00411A33">
        <w:rPr>
          <w:rFonts w:ascii="Book Antiqua" w:hAnsi="Book Antiqua" w:cs="Times New Roman"/>
          <w:noProof w:val="0"/>
          <w:sz w:val="26"/>
          <w:szCs w:val="26"/>
        </w:rPr>
        <w:t>du Sud</w:t>
      </w:r>
      <w:r w:rsidRPr="00411A33">
        <w:rPr>
          <w:rStyle w:val="Appelnotedebasdep"/>
          <w:rFonts w:ascii="Book Antiqua" w:hAnsi="Book Antiqua" w:cs="Times New Roman"/>
          <w:noProof w:val="0"/>
          <w:sz w:val="26"/>
          <w:szCs w:val="26"/>
        </w:rPr>
        <w:footnoteReference w:id="1"/>
      </w:r>
      <w:r w:rsidRPr="00411A33" w:rsidDel="000948A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>(45,</w:t>
      </w:r>
      <w:r w:rsidR="00956433">
        <w:rPr>
          <w:rFonts w:ascii="Book Antiqua" w:hAnsi="Book Antiqua" w:cs="Times New Roman"/>
          <w:noProof w:val="0"/>
          <w:sz w:val="26"/>
          <w:szCs w:val="26"/>
        </w:rPr>
        <w:t>5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 xml:space="preserve">%) et </w:t>
      </w:r>
      <w:r w:rsidR="00F605BF" w:rsidRPr="00411A33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>Tanger-Tétouan-Al Hoceima (45%). En revanche, les taux les plus bas sont enregistrés dans les régions de l’Oriental (41,7%) et de Drâa-Tafilalet (40,4%).</w:t>
      </w:r>
    </w:p>
    <w:p w:rsidR="00330FD8" w:rsidRDefault="00330FD8">
      <w:pPr>
        <w:bidi w:val="0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>
        <w:rPr>
          <w:rFonts w:ascii="Book Antiqua" w:hAnsi="Book Antiqua" w:cs="Times New Roman"/>
          <w:b/>
          <w:bCs/>
          <w:noProof w:val="0"/>
          <w:sz w:val="24"/>
          <w:szCs w:val="24"/>
        </w:rPr>
        <w:br w:type="page"/>
      </w:r>
    </w:p>
    <w:p w:rsidR="00AA4A37" w:rsidRDefault="00AA4A37" w:rsidP="00F605BF">
      <w:pPr>
        <w:bidi w:val="0"/>
        <w:ind w:right="76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lastRenderedPageBreak/>
        <w:t xml:space="preserve">Figure 5 : Taux d’activité  selon les régions au troisième trimestre de </w:t>
      </w:r>
      <w:r w:rsidR="00F605BF"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2019 (en%)</w:t>
      </w:r>
    </w:p>
    <w:p w:rsidR="005D02AE" w:rsidRDefault="005D02AE" w:rsidP="005D02AE">
      <w:pPr>
        <w:bidi w:val="0"/>
        <w:ind w:right="76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FC5483" w:rsidRDefault="005D02AE" w:rsidP="00FC5483">
      <w:pPr>
        <w:bidi w:val="0"/>
        <w:ind w:right="76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5D02AE">
        <w:rPr>
          <w:rFonts w:ascii="Book Antiqua" w:hAnsi="Book Antiqua" w:cs="Times New Roman"/>
          <w:b/>
          <w:bCs/>
          <w:sz w:val="24"/>
          <w:szCs w:val="24"/>
        </w:rPr>
        <w:drawing>
          <wp:inline distT="0" distB="0" distL="0" distR="0">
            <wp:extent cx="6028067" cy="2435560"/>
            <wp:effectExtent l="19050" t="0" r="10783" b="284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4A37" w:rsidRDefault="00AA4A37" w:rsidP="00AA4A37">
      <w:pPr>
        <w:bidi w:val="0"/>
        <w:ind w:right="76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AA4A37" w:rsidRDefault="00AA4A37" w:rsidP="00AA4A37">
      <w:pPr>
        <w:bidi w:val="0"/>
        <w:ind w:right="76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AA4A37" w:rsidRPr="002F57C0" w:rsidRDefault="00AA4A37" w:rsidP="00AA4A37">
      <w:pPr>
        <w:bidi w:val="0"/>
        <w:ind w:right="76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9C7118" w:rsidRPr="00411A33" w:rsidRDefault="009C7118" w:rsidP="009C7118">
      <w:pPr>
        <w:bidi w:val="0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11A33">
        <w:rPr>
          <w:rFonts w:ascii="Book Antiqua" w:hAnsi="Book Antiqua" w:cs="Times New Roman"/>
          <w:noProof w:val="0"/>
          <w:sz w:val="26"/>
          <w:szCs w:val="26"/>
        </w:rPr>
        <w:t>Les taux de chômage les plus élevés sont relevés dans les Régions du Sud avec 15,5%, dans l’Oriental (14,2%), Souss-Massa (11,7%) et Tanger-Tétouan-Al Hoceima (11,2%). En revanche, les taux les plus bas sont observés dans les régions de Marrakech-Safi</w:t>
      </w:r>
      <w:r w:rsidRPr="00411A33">
        <w:rPr>
          <w:rFonts w:ascii="Arial" w:hAnsi="Arial" w:cs="Arial"/>
          <w:noProof w:val="0"/>
          <w:color w:val="264A60"/>
          <w:sz w:val="18"/>
          <w:szCs w:val="18"/>
        </w:rPr>
        <w:t xml:space="preserve"> 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 xml:space="preserve">et de Béni Mellal-Khénifra avec respectivement 6,3% et 4,7%. </w:t>
      </w:r>
    </w:p>
    <w:p w:rsidR="009C7118" w:rsidRPr="00411A33" w:rsidRDefault="009C7118" w:rsidP="009C7118">
      <w:pPr>
        <w:bidi w:val="0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AA4A37" w:rsidRPr="00411A33" w:rsidRDefault="00AA4A37" w:rsidP="009C7118">
      <w:pPr>
        <w:bidi w:val="0"/>
        <w:ind w:right="76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11A33">
        <w:rPr>
          <w:rFonts w:ascii="Book Antiqua" w:hAnsi="Book Antiqua" w:cs="Times New Roman"/>
          <w:noProof w:val="0"/>
          <w:sz w:val="26"/>
          <w:szCs w:val="26"/>
        </w:rPr>
        <w:t>D'un autre côté, 79</w:t>
      </w:r>
      <w:r w:rsidR="003B0AC2" w:rsidRPr="00411A33">
        <w:rPr>
          <w:rFonts w:ascii="Book Antiqua" w:hAnsi="Book Antiqua" w:cs="Times New Roman"/>
          <w:noProof w:val="0"/>
          <w:sz w:val="26"/>
          <w:szCs w:val="26"/>
        </w:rPr>
        <w:t>,2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 xml:space="preserve">% des chômeurs sont concentrés dans </w:t>
      </w:r>
      <w:r w:rsidR="00F605BF" w:rsidRPr="00411A33">
        <w:rPr>
          <w:rFonts w:ascii="Book Antiqua" w:hAnsi="Book Antiqua" w:cs="Times New Roman"/>
          <w:noProof w:val="0"/>
          <w:sz w:val="26"/>
          <w:szCs w:val="26"/>
        </w:rPr>
        <w:t xml:space="preserve">6 régions. Il s'agit des régions de 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>Casablanca-Settat avec 24,1%, de Rabat-Salé-Kénitra (13,</w:t>
      </w:r>
      <w:r w:rsidR="003B0AC2" w:rsidRPr="00411A33">
        <w:rPr>
          <w:rFonts w:ascii="Book Antiqua" w:hAnsi="Book Antiqua" w:cs="Times New Roman"/>
          <w:noProof w:val="0"/>
          <w:sz w:val="26"/>
          <w:szCs w:val="26"/>
        </w:rPr>
        <w:t>9</w:t>
      </w:r>
      <w:r w:rsidRPr="00411A33">
        <w:rPr>
          <w:rFonts w:ascii="Book Antiqua" w:hAnsi="Book Antiqua" w:cs="Times New Roman"/>
          <w:noProof w:val="0"/>
          <w:sz w:val="26"/>
          <w:szCs w:val="26"/>
        </w:rPr>
        <w:t xml:space="preserve">%), de Tanger-Tétouan-Al Hoceima (12,6%), de l’Oriental (9,8%), de Souss-Massa (9,4%) et de Fès-Meknès (9,4%). </w:t>
      </w:r>
    </w:p>
    <w:p w:rsidR="00AA4A37" w:rsidRPr="00411A33" w:rsidRDefault="00AA4A37" w:rsidP="00AA4A37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AA4A37" w:rsidRPr="00411A33" w:rsidRDefault="00AA4A37" w:rsidP="00AA4A37">
      <w:pPr>
        <w:bidi w:val="0"/>
        <w:jc w:val="both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AA4A37" w:rsidRPr="006E0BBC" w:rsidRDefault="00AA4A37" w:rsidP="00AA4A3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6 : Taux de chômage (en%) selon les régions au troisième trimestre de </w:t>
      </w:r>
      <w:r w:rsidR="00046824" w:rsidRPr="00411A33">
        <w:rPr>
          <w:rFonts w:ascii="Book Antiqua" w:hAnsi="Book Antiqua" w:cs="Times New Roman"/>
          <w:b/>
          <w:bCs/>
          <w:noProof w:val="0"/>
          <w:sz w:val="24"/>
          <w:szCs w:val="24"/>
        </w:rPr>
        <w:t>2019.</w:t>
      </w:r>
    </w:p>
    <w:p w:rsidR="00AA4A37" w:rsidRDefault="00AA4A37" w:rsidP="00AA4A3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AA4A37" w:rsidRDefault="005D02AE" w:rsidP="00AA4A3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5D02AE">
        <w:rPr>
          <w:rFonts w:ascii="Book Antiqua" w:hAnsi="Book Antiqua" w:cs="Times New Roman"/>
          <w:b/>
          <w:bCs/>
          <w:sz w:val="24"/>
          <w:szCs w:val="24"/>
        </w:rPr>
        <w:drawing>
          <wp:inline distT="0" distB="0" distL="0" distR="0">
            <wp:extent cx="5888248" cy="3114136"/>
            <wp:effectExtent l="19050" t="0" r="17252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4A37" w:rsidRDefault="00AA4A37" w:rsidP="00AA4A3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AA4A37" w:rsidRPr="0066304E" w:rsidRDefault="00AA4A37" w:rsidP="00AA4A37">
      <w:pPr>
        <w:bidi w:val="0"/>
        <w:rPr>
          <w:rFonts w:ascii="Book Antiqua" w:hAnsi="Book Antiqua" w:cs="Times New Roman"/>
          <w:sz w:val="8"/>
          <w:szCs w:val="8"/>
        </w:rPr>
      </w:pPr>
    </w:p>
    <w:p w:rsidR="005C5D97" w:rsidRPr="000A341A" w:rsidRDefault="002E1C95" w:rsidP="00330FD8">
      <w:pPr>
        <w:bidi w:val="0"/>
        <w:rPr>
          <w:rFonts w:ascii="Book Antiqua" w:hAnsi="Book Antiqua"/>
        </w:rPr>
      </w:pPr>
      <w:r w:rsidRPr="000A341A">
        <w:rPr>
          <w:rFonts w:ascii="Book Antiqua" w:hAnsi="Book Antiqua" w:cs="Times New Roman"/>
          <w:color w:val="0070C0"/>
        </w:rPr>
        <w:lastRenderedPageBreak/>
        <w:t xml:space="preserve">Tableau 1. </w:t>
      </w:r>
      <w:r w:rsidR="005C5D97" w:rsidRPr="000A341A">
        <w:rPr>
          <w:rFonts w:ascii="Book Antiqua" w:hAnsi="Book Antiqua" w:cs="Times New Roman"/>
          <w:color w:val="0070C0"/>
        </w:rPr>
        <w:t xml:space="preserve">Indicateurs trimestriels d'activité, d’emploi et de chômage par milieu de résidence </w:t>
      </w:r>
      <w:r w:rsidR="005C5D97" w:rsidRPr="000A341A">
        <w:rPr>
          <w:rFonts w:ascii="Book Antiqua" w:hAnsi="Book Antiqua" w:cs="Times New Roman"/>
          <w:color w:val="0070C0"/>
          <w:vertAlign w:val="superscript"/>
        </w:rPr>
        <w:t>(1)</w:t>
      </w:r>
    </w:p>
    <w:p w:rsidR="005C5D97" w:rsidRPr="000A341A" w:rsidRDefault="005C5D97" w:rsidP="005C5D97">
      <w:pPr>
        <w:pStyle w:val="Corpsdetexte2"/>
        <w:jc w:val="both"/>
        <w:rPr>
          <w:rFonts w:ascii="Book Antiqua" w:hAnsi="Book Antiqua" w:cs="Times New Roman"/>
          <w:sz w:val="16"/>
          <w:szCs w:val="16"/>
        </w:rPr>
      </w:pPr>
      <w:r w:rsidRPr="000C77C1">
        <w:rPr>
          <w:rFonts w:ascii="Book Antiqua" w:hAnsi="Book Antiqua" w:cs="Times New Roman"/>
          <w:sz w:val="18"/>
          <w:szCs w:val="18"/>
        </w:rPr>
        <w:t xml:space="preserve">                                                                                            </w:t>
      </w:r>
      <w:r w:rsidRPr="000A341A">
        <w:rPr>
          <w:rFonts w:ascii="Book Antiqua" w:hAnsi="Book Antiqua" w:cs="Times New Roman"/>
          <w:sz w:val="16"/>
          <w:szCs w:val="16"/>
        </w:rPr>
        <w:t xml:space="preserve">(Effectifs en milliers et taux en %) </w:t>
      </w:r>
    </w:p>
    <w:tbl>
      <w:tblPr>
        <w:tblW w:w="4969" w:type="pct"/>
        <w:tblCellMar>
          <w:left w:w="70" w:type="dxa"/>
          <w:right w:w="70" w:type="dxa"/>
        </w:tblCellMar>
        <w:tblLook w:val="04A0"/>
      </w:tblPr>
      <w:tblGrid>
        <w:gridCol w:w="4414"/>
        <w:gridCol w:w="949"/>
        <w:gridCol w:w="997"/>
        <w:gridCol w:w="1008"/>
        <w:gridCol w:w="1097"/>
        <w:gridCol w:w="914"/>
        <w:gridCol w:w="1008"/>
      </w:tblGrid>
      <w:tr w:rsidR="007125E8" w:rsidRPr="00B0160F" w:rsidTr="00F10842">
        <w:trPr>
          <w:trHeight w:hRule="exact" w:val="213"/>
        </w:trPr>
        <w:tc>
          <w:tcPr>
            <w:tcW w:w="2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7125E8">
            <w:pPr>
              <w:jc w:val="right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Indicateurs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E8" w:rsidRPr="007125E8" w:rsidRDefault="007125E8" w:rsidP="007125E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16"/>
                <w:szCs w:val="16"/>
              </w:rPr>
            </w:pPr>
            <w:r w:rsidRPr="007125E8">
              <w:rPr>
                <w:rFonts w:ascii="Garamond" w:hAnsi="Garamond"/>
                <w:b/>
                <w:spacing w:val="-2"/>
                <w:sz w:val="16"/>
                <w:szCs w:val="16"/>
              </w:rPr>
              <w:t>3</w:t>
            </w:r>
            <w:r w:rsidRPr="007125E8">
              <w:rPr>
                <w:rFonts w:ascii="Garamond" w:hAnsi="Garamond"/>
                <w:b/>
                <w:spacing w:val="-2"/>
                <w:sz w:val="16"/>
                <w:szCs w:val="16"/>
                <w:vertAlign w:val="superscript"/>
              </w:rPr>
              <w:t>ème</w:t>
            </w:r>
            <w:r w:rsidRPr="007125E8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  trimestre 2018</w:t>
            </w:r>
          </w:p>
        </w:tc>
        <w:tc>
          <w:tcPr>
            <w:tcW w:w="1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5E8" w:rsidRPr="007125E8" w:rsidRDefault="007125E8" w:rsidP="007125E8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  <w:sz w:val="16"/>
                <w:szCs w:val="16"/>
              </w:rPr>
            </w:pPr>
            <w:r w:rsidRPr="007125E8">
              <w:rPr>
                <w:rFonts w:ascii="Garamond" w:hAnsi="Garamond"/>
                <w:b/>
                <w:spacing w:val="-2"/>
                <w:sz w:val="16"/>
                <w:szCs w:val="16"/>
              </w:rPr>
              <w:t>3</w:t>
            </w:r>
            <w:r w:rsidRPr="007125E8">
              <w:rPr>
                <w:rFonts w:ascii="Garamond" w:hAnsi="Garamond"/>
                <w:b/>
                <w:spacing w:val="-2"/>
                <w:sz w:val="16"/>
                <w:szCs w:val="16"/>
                <w:vertAlign w:val="superscript"/>
              </w:rPr>
              <w:t>ème</w:t>
            </w:r>
            <w:r w:rsidRPr="007125E8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  trimestre 2019</w:t>
            </w:r>
          </w:p>
        </w:tc>
      </w:tr>
      <w:tr w:rsidR="007125E8" w:rsidRPr="00F86618" w:rsidTr="00F10842">
        <w:trPr>
          <w:trHeight w:hRule="exact" w:val="272"/>
        </w:trPr>
        <w:tc>
          <w:tcPr>
            <w:tcW w:w="21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0A341A" w:rsidRDefault="007125E8" w:rsidP="007125E8">
            <w:pPr>
              <w:jc w:val="right"/>
              <w:rPr>
                <w:rFonts w:ascii="Garamond" w:hAnsi="Garamond" w:cs="Times New Roman"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7125E8" w:rsidRDefault="007125E8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7125E8"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  <w:t>Urbain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7125E8" w:rsidRDefault="007125E8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7125E8"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7125E8" w:rsidRDefault="007125E8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7125E8"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  <w:t>National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7125E8" w:rsidRDefault="007125E8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7125E8"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  <w:t>Urbain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7125E8" w:rsidRDefault="007125E8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7125E8"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7125E8" w:rsidRDefault="007125E8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</w:pPr>
            <w:r w:rsidRPr="007125E8"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  <w:t>National</w:t>
            </w:r>
          </w:p>
        </w:tc>
      </w:tr>
      <w:tr w:rsidR="007125E8" w:rsidRPr="000A341A" w:rsidTr="00F10842">
        <w:trPr>
          <w:trHeight w:hRule="exact" w:val="277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0A341A" w:rsidRDefault="007125E8" w:rsidP="00CF38D4">
            <w:pPr>
              <w:bidi w:val="0"/>
              <w:rPr>
                <w:rFonts w:ascii="Garamond" w:hAnsi="Garamond" w:cs="Times New Roman"/>
                <w:b/>
                <w:bCs/>
                <w:i/>
                <w:iCs/>
                <w:color w:val="00B050"/>
                <w:sz w:val="16"/>
                <w:szCs w:val="16"/>
              </w:rPr>
            </w:pPr>
            <w:r w:rsidRPr="00CF38D4">
              <w:rPr>
                <w:rFonts w:ascii="Book Antiqua" w:hAnsi="Book Antiqua" w:cs="Times New Roman"/>
                <w:color w:val="0070C0"/>
              </w:rPr>
              <w:t>Activité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5E8" w:rsidRPr="000A341A" w:rsidRDefault="007125E8" w:rsidP="007125E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E8" w:rsidRPr="000A341A" w:rsidRDefault="007125E8" w:rsidP="007125E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E8" w:rsidRPr="000A341A" w:rsidRDefault="007125E8" w:rsidP="007125E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0A341A" w:rsidRDefault="007125E8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0A341A" w:rsidRDefault="007125E8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0A341A" w:rsidRDefault="007125E8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458E" w:rsidRPr="000A341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58E" w:rsidRPr="00E662A1" w:rsidRDefault="0057458E" w:rsidP="007125E8">
            <w:pPr>
              <w:jc w:val="right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Population active (en milliers)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58E" w:rsidRPr="00E662A1" w:rsidRDefault="0057458E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6 852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8E" w:rsidRPr="00E662A1" w:rsidRDefault="0057458E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4 841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58E" w:rsidRPr="00E662A1" w:rsidRDefault="0057458E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11 692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8E" w:rsidRPr="00E662A1" w:rsidRDefault="0057458E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7115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8E" w:rsidRPr="00E662A1" w:rsidRDefault="0057458E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4746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58E" w:rsidRPr="00E662A1" w:rsidRDefault="0057458E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11861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Taux de féminisation de la population active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23,2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Taux d'activité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44,9</w:t>
            </w:r>
          </w:p>
        </w:tc>
      </w:tr>
      <w:tr w:rsidR="007125E8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. Selon le sexe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Hommes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70,1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Femmes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20,5</w:t>
            </w:r>
          </w:p>
        </w:tc>
      </w:tr>
      <w:tr w:rsidR="007125E8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. Selon l’âge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15 - 24 ans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24,7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25 - 34 ans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59,0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35 - 44 ans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60,4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45 ans et plus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41,2</w:t>
            </w:r>
          </w:p>
        </w:tc>
      </w:tr>
      <w:tr w:rsidR="007125E8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. Selon le diplôme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Sans diplôme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44,0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Ayant un diplôme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45,9</w:t>
            </w:r>
          </w:p>
        </w:tc>
      </w:tr>
      <w:tr w:rsidR="00CF38D4" w:rsidRPr="000A341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8D4" w:rsidRPr="00E662A1" w:rsidRDefault="00CF38D4" w:rsidP="00CF38D4">
            <w:pPr>
              <w:bidi w:val="0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Book Antiqua" w:hAnsi="Book Antiqua" w:cs="Times New Roman"/>
                <w:color w:val="0070C0"/>
                <w:sz w:val="18"/>
                <w:szCs w:val="18"/>
              </w:rPr>
              <w:t>Emploi</w:t>
            </w: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8D4" w:rsidRPr="00E662A1" w:rsidRDefault="00CF38D4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D4" w:rsidRPr="00E662A1" w:rsidRDefault="00CF38D4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D4" w:rsidRPr="00E662A1" w:rsidRDefault="00CF38D4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4" w:rsidRPr="00E662A1" w:rsidRDefault="00CF38D4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4" w:rsidRPr="00E662A1" w:rsidRDefault="00CF38D4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8D4" w:rsidRPr="00E662A1" w:rsidRDefault="00CF38D4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5E1179" w:rsidRPr="000A341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Population active occupée (en milliers)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5 952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4 652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10 604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6213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4534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10747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Taux d’emploi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40,7</w:t>
            </w:r>
          </w:p>
        </w:tc>
      </w:tr>
      <w:tr w:rsidR="007125E8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. Selon le sexe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Hommes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64,5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Femmes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17,7</w:t>
            </w:r>
          </w:p>
        </w:tc>
      </w:tr>
      <w:tr w:rsidR="007125E8" w:rsidRPr="009904CA" w:rsidTr="00F10842">
        <w:trPr>
          <w:trHeight w:hRule="exact" w:val="319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Structure de l'emploi selon les secteurs d'activité économique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Agriculture forêt et pêche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69,4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30,8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Industrie  y compris  l'artisanat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11,7</w:t>
            </w:r>
          </w:p>
        </w:tc>
      </w:tr>
      <w:tr w:rsidR="005E1179" w:rsidRPr="009904CA" w:rsidTr="00F10842">
        <w:trPr>
          <w:trHeight w:hRule="exact" w:val="191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BTP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10,9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66,4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46,5</w:t>
            </w:r>
          </w:p>
        </w:tc>
      </w:tr>
      <w:tr w:rsidR="005E1179" w:rsidRPr="009904CA" w:rsidTr="00F10842">
        <w:trPr>
          <w:trHeight w:hRule="exact" w:val="363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 xml:space="preserve">Part de l’emploi  rémunéré dans l’emploi total. </w:t>
            </w:r>
          </w:p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Dont 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68,4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96,9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85,6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Salariés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59,1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Auto-employés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40,9</w:t>
            </w:r>
          </w:p>
        </w:tc>
      </w:tr>
      <w:tr w:rsidR="005E1179" w:rsidRPr="000A341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b/>
                <w:bCs/>
                <w:i/>
                <w:iCs/>
                <w:color w:val="00B05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Population active occupée sous-employée (en milliers)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476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545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1F3879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488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969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i/>
                <w:iCs/>
                <w:color w:val="00B05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Taux de sous-emploi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1F3879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9,1</w:t>
            </w:r>
          </w:p>
        </w:tc>
      </w:tr>
      <w:tr w:rsidR="007125E8" w:rsidRPr="000A341A" w:rsidTr="00F10842">
        <w:trPr>
          <w:trHeight w:hRule="exact" w:val="273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CF38D4">
            <w:pPr>
              <w:bidi w:val="0"/>
              <w:rPr>
                <w:rFonts w:ascii="Garamond" w:hAnsi="Garamond" w:cs="Times New Roman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E662A1">
              <w:rPr>
                <w:rFonts w:ascii="Book Antiqua" w:hAnsi="Book Antiqua" w:cs="Times New Roman"/>
                <w:color w:val="0070C0"/>
                <w:sz w:val="18"/>
                <w:szCs w:val="18"/>
              </w:rPr>
              <w:t>Chômage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5E1179" w:rsidRPr="000A341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Population active en chômage (en milliers)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899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1 088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  <w:t>1114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Taux de féminisation de la Population active en chômage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34,4</w:t>
            </w:r>
          </w:p>
        </w:tc>
      </w:tr>
      <w:tr w:rsidR="005E1179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179" w:rsidRPr="00E662A1" w:rsidRDefault="005E1179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Taux de chômage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79" w:rsidRPr="00E662A1" w:rsidRDefault="005E1179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179" w:rsidRPr="00E662A1" w:rsidRDefault="005E1179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9,4</w:t>
            </w:r>
          </w:p>
        </w:tc>
      </w:tr>
      <w:tr w:rsidR="007125E8" w:rsidRPr="009904CA" w:rsidTr="00F10842">
        <w:trPr>
          <w:trHeight w:hRule="exact" w:val="26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. Selon le sexe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F10842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42" w:rsidRPr="00E662A1" w:rsidRDefault="00F10842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Hommes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8,0</w:t>
            </w:r>
          </w:p>
        </w:tc>
      </w:tr>
      <w:tr w:rsidR="00F10842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42" w:rsidRPr="00E662A1" w:rsidRDefault="00F10842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Femmes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13,9</w:t>
            </w:r>
          </w:p>
        </w:tc>
      </w:tr>
      <w:tr w:rsidR="007125E8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. Selon l'âge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F10842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42" w:rsidRPr="00E662A1" w:rsidRDefault="00F10842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15-24 ans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26,7</w:t>
            </w:r>
          </w:p>
        </w:tc>
      </w:tr>
      <w:tr w:rsidR="00F10842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42" w:rsidRPr="00E662A1" w:rsidRDefault="00F10842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25-34 ans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15,0</w:t>
            </w:r>
          </w:p>
        </w:tc>
      </w:tr>
      <w:tr w:rsidR="00F10842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42" w:rsidRPr="00E662A1" w:rsidRDefault="00F10842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35-44 ans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4,6</w:t>
            </w:r>
          </w:p>
        </w:tc>
      </w:tr>
      <w:tr w:rsidR="00F10842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42" w:rsidRPr="00E662A1" w:rsidRDefault="00F10842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45 ans et plus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842" w:rsidRPr="00E662A1" w:rsidRDefault="00F10842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2,1</w:t>
            </w:r>
          </w:p>
        </w:tc>
      </w:tr>
      <w:tr w:rsidR="007125E8" w:rsidRPr="009904CA" w:rsidTr="00F10842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. Selon le diplôme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5E8" w:rsidRPr="00E662A1" w:rsidRDefault="007125E8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5E8" w:rsidRPr="00E662A1" w:rsidRDefault="007125E8" w:rsidP="00F10842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</w:p>
        </w:tc>
      </w:tr>
      <w:tr w:rsidR="00F10842" w:rsidRPr="009904CA" w:rsidTr="00A7636F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42" w:rsidRPr="00E662A1" w:rsidRDefault="00F10842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Sans diplôme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42" w:rsidRPr="00E662A1" w:rsidRDefault="00F10842" w:rsidP="00411A33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42" w:rsidRPr="00E662A1" w:rsidRDefault="00F10842" w:rsidP="00411A33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42" w:rsidRPr="00E662A1" w:rsidRDefault="00F10842" w:rsidP="00411A33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3,7</w:t>
            </w:r>
          </w:p>
        </w:tc>
      </w:tr>
      <w:tr w:rsidR="00F10842" w:rsidRPr="009904CA" w:rsidTr="00A7636F">
        <w:trPr>
          <w:trHeight w:hRule="exact" w:val="277"/>
        </w:trPr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42" w:rsidRPr="00E662A1" w:rsidRDefault="00F10842" w:rsidP="007125E8">
            <w:pPr>
              <w:jc w:val="right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Ayant un diplôme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Pr="00E662A1" w:rsidRDefault="00F10842" w:rsidP="007125E8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42" w:rsidRPr="00E662A1" w:rsidRDefault="00F10842" w:rsidP="00411A33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42" w:rsidRPr="00E662A1" w:rsidRDefault="00F10842" w:rsidP="00411A33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842" w:rsidRPr="00E662A1" w:rsidRDefault="00F10842" w:rsidP="00411A33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</w:rPr>
            </w:pPr>
            <w:r w:rsidRPr="00E662A1">
              <w:rPr>
                <w:rFonts w:ascii="Garamond" w:hAnsi="Garamond" w:cs="Times New Roman"/>
                <w:color w:val="000000"/>
                <w:sz w:val="18"/>
                <w:szCs w:val="18"/>
              </w:rPr>
              <w:t>15,5</w:t>
            </w:r>
          </w:p>
        </w:tc>
      </w:tr>
    </w:tbl>
    <w:p w:rsidR="00314288" w:rsidRDefault="00314288" w:rsidP="00314288">
      <w:pPr>
        <w:bidi w:val="0"/>
        <w:ind w:left="-284"/>
        <w:rPr>
          <w:rFonts w:ascii="Book Antiqua" w:hAnsi="Book Antiqua" w:cs="Times New Roman"/>
          <w:color w:val="0070C0"/>
          <w:sz w:val="21"/>
          <w:szCs w:val="21"/>
        </w:rPr>
      </w:pPr>
    </w:p>
    <w:p w:rsidR="00921997" w:rsidRDefault="00E03EC7" w:rsidP="00046824">
      <w:pPr>
        <w:bidi w:val="0"/>
        <w:jc w:val="center"/>
        <w:rPr>
          <w:rFonts w:ascii="Book Antiqua" w:hAnsi="Book Antiqua" w:cs="Times New Roman"/>
          <w:b/>
          <w:bCs/>
          <w:color w:val="0070C0"/>
          <w:vertAlign w:val="superscript"/>
        </w:rPr>
      </w:pPr>
      <w:r w:rsidRPr="00012F0E">
        <w:rPr>
          <w:rFonts w:ascii="Book Antiqua" w:hAnsi="Book Antiqua" w:cs="Times New Roman"/>
          <w:b/>
          <w:bCs/>
          <w:color w:val="0070C0"/>
        </w:rPr>
        <w:t xml:space="preserve">Tableau 2: Taux d'activité, </w:t>
      </w:r>
      <w:r w:rsidR="00046824">
        <w:rPr>
          <w:rFonts w:ascii="Book Antiqua" w:hAnsi="Book Antiqua" w:cs="Times New Roman"/>
          <w:b/>
          <w:bCs/>
          <w:color w:val="0070C0"/>
        </w:rPr>
        <w:t xml:space="preserve">d’emploi et de chômage </w:t>
      </w:r>
      <w:r w:rsidRPr="00012F0E">
        <w:rPr>
          <w:rFonts w:ascii="Book Antiqua" w:hAnsi="Book Antiqua" w:cs="Times New Roman"/>
          <w:b/>
          <w:bCs/>
          <w:color w:val="0070C0"/>
        </w:rPr>
        <w:t>par région (en%)</w:t>
      </w:r>
    </w:p>
    <w:p w:rsidR="00E03EC7" w:rsidRPr="00012F0E" w:rsidRDefault="00E03EC7" w:rsidP="00921997">
      <w:pPr>
        <w:bidi w:val="0"/>
        <w:ind w:left="-284"/>
        <w:rPr>
          <w:rFonts w:ascii="Book Antiqua" w:hAnsi="Book Antiqua" w:cs="Times New Roman"/>
          <w:b/>
          <w:bCs/>
          <w:color w:val="0070C0"/>
          <w:sz w:val="22"/>
          <w:szCs w:val="22"/>
        </w:rPr>
      </w:pPr>
      <w:r w:rsidRPr="00012F0E">
        <w:rPr>
          <w:rFonts w:ascii="Book Antiqua" w:hAnsi="Book Antiqua" w:cs="Times New Roman"/>
          <w:b/>
          <w:bCs/>
          <w:sz w:val="18"/>
          <w:szCs w:val="18"/>
        </w:rPr>
        <w:t xml:space="preserve">                                                                                          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58"/>
        <w:gridCol w:w="2495"/>
        <w:gridCol w:w="2215"/>
      </w:tblGrid>
      <w:tr w:rsidR="00E662A1" w:rsidRPr="00E92552" w:rsidTr="00E662A1">
        <w:trPr>
          <w:trHeight w:val="79"/>
        </w:trPr>
        <w:tc>
          <w:tcPr>
            <w:tcW w:w="2729" w:type="pct"/>
            <w:vAlign w:val="center"/>
          </w:tcPr>
          <w:p w:rsidR="00E662A1" w:rsidRPr="00E662A1" w:rsidRDefault="00E662A1" w:rsidP="00E662A1">
            <w:pPr>
              <w:jc w:val="right"/>
              <w:rPr>
                <w:rFonts w:ascii="Garamond" w:hAnsi="Garamond" w:cs="Times New Roman"/>
                <w:b/>
                <w:bCs/>
                <w:color w:val="000000"/>
                <w:sz w:val="18"/>
                <w:szCs w:val="18"/>
              </w:rPr>
            </w:pPr>
            <w:r w:rsidRPr="00E662A1">
              <w:rPr>
                <w:rFonts w:ascii="Book Antiqua" w:hAnsi="Book Antiqua" w:cs="Arial"/>
                <w:bCs/>
                <w:sz w:val="18"/>
                <w:szCs w:val="18"/>
              </w:rPr>
              <w:t>Indicateurs</w:t>
            </w:r>
          </w:p>
        </w:tc>
        <w:tc>
          <w:tcPr>
            <w:tcW w:w="1203" w:type="pct"/>
          </w:tcPr>
          <w:p w:rsidR="00E662A1" w:rsidRPr="00E662A1" w:rsidRDefault="00E662A1" w:rsidP="00921997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bCs/>
                <w:color w:val="0070C0"/>
              </w:rPr>
            </w:pPr>
            <w:r w:rsidRPr="00E662A1">
              <w:rPr>
                <w:rFonts w:ascii="Book Antiqua" w:hAnsi="Book Antiqua" w:cs="Times New Roman"/>
                <w:b/>
                <w:bCs/>
                <w:color w:val="0070C0"/>
              </w:rPr>
              <w:t>Troisieme trimestre de 2018</w:t>
            </w:r>
          </w:p>
        </w:tc>
        <w:tc>
          <w:tcPr>
            <w:tcW w:w="1068" w:type="pct"/>
          </w:tcPr>
          <w:p w:rsidR="00E662A1" w:rsidRPr="00E662A1" w:rsidRDefault="00E662A1" w:rsidP="00921997">
            <w:pPr>
              <w:tabs>
                <w:tab w:val="left" w:pos="-720"/>
              </w:tabs>
              <w:suppressAutoHyphens/>
              <w:jc w:val="center"/>
              <w:rPr>
                <w:rFonts w:ascii="Book Antiqua" w:hAnsi="Book Antiqua" w:cs="Times New Roman"/>
                <w:b/>
                <w:bCs/>
                <w:color w:val="0070C0"/>
              </w:rPr>
            </w:pPr>
            <w:r w:rsidRPr="00E662A1">
              <w:rPr>
                <w:rFonts w:ascii="Book Antiqua" w:hAnsi="Book Antiqua" w:cs="Times New Roman"/>
                <w:b/>
                <w:bCs/>
                <w:color w:val="0070C0"/>
              </w:rPr>
              <w:t>Troisieme trimestre de 2019</w:t>
            </w:r>
          </w:p>
        </w:tc>
      </w:tr>
      <w:tr w:rsidR="00E662A1" w:rsidRPr="00E92552" w:rsidTr="00E662A1">
        <w:trPr>
          <w:trHeight w:val="153"/>
        </w:trPr>
        <w:tc>
          <w:tcPr>
            <w:tcW w:w="5000" w:type="pct"/>
            <w:gridSpan w:val="3"/>
          </w:tcPr>
          <w:p w:rsidR="00E662A1" w:rsidRPr="00E92552" w:rsidRDefault="00E662A1" w:rsidP="00E662A1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  <w:sz w:val="18"/>
                <w:szCs w:val="18"/>
              </w:rPr>
            </w:pPr>
            <w:r w:rsidRPr="00E92552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8"/>
                <w:szCs w:val="18"/>
              </w:rPr>
              <w:t xml:space="preserve"> Taux d’activité ( 15 ans et plus )</w:t>
            </w:r>
          </w:p>
        </w:tc>
      </w:tr>
      <w:tr w:rsidR="00E662A1" w:rsidRPr="000E6D76" w:rsidTr="005E1179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1 : Tanger-Tétouan-Al Hoceima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45,4</w:t>
            </w:r>
          </w:p>
        </w:tc>
        <w:tc>
          <w:tcPr>
            <w:tcW w:w="1068" w:type="pct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45,0</w:t>
            </w:r>
          </w:p>
        </w:tc>
      </w:tr>
      <w:tr w:rsidR="00E662A1" w:rsidRPr="000E6D76" w:rsidTr="005E1179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2 : Oriental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43,1</w:t>
            </w:r>
          </w:p>
        </w:tc>
        <w:tc>
          <w:tcPr>
            <w:tcW w:w="1068" w:type="pct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41,7</w:t>
            </w:r>
          </w:p>
        </w:tc>
      </w:tr>
      <w:tr w:rsidR="00E662A1" w:rsidRPr="000E6D76" w:rsidTr="005E1179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3 : Fès-Meknès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42,7</w:t>
            </w:r>
          </w:p>
        </w:tc>
        <w:tc>
          <w:tcPr>
            <w:tcW w:w="1068" w:type="pct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42,2</w:t>
            </w:r>
          </w:p>
        </w:tc>
      </w:tr>
      <w:tr w:rsidR="00E662A1" w:rsidRPr="000E6D76" w:rsidTr="005E1179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4 : Rabat-Salé-Kénitra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44,6</w:t>
            </w:r>
          </w:p>
        </w:tc>
        <w:tc>
          <w:tcPr>
            <w:tcW w:w="1068" w:type="pct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43,8</w:t>
            </w:r>
          </w:p>
        </w:tc>
      </w:tr>
      <w:tr w:rsidR="00E662A1" w:rsidRPr="000E6D76" w:rsidTr="005E1179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5 : Béni Mellal-Khénifra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44,5</w:t>
            </w:r>
          </w:p>
        </w:tc>
        <w:tc>
          <w:tcPr>
            <w:tcW w:w="1068" w:type="pct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44,8</w:t>
            </w:r>
          </w:p>
        </w:tc>
      </w:tr>
      <w:tr w:rsidR="00E662A1" w:rsidRPr="000E6D76" w:rsidTr="005E1179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6 :  Casablanca-Settat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48,8</w:t>
            </w:r>
          </w:p>
        </w:tc>
        <w:tc>
          <w:tcPr>
            <w:tcW w:w="1068" w:type="pct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49,2</w:t>
            </w:r>
          </w:p>
        </w:tc>
      </w:tr>
      <w:tr w:rsidR="00E662A1" w:rsidRPr="000E6D76" w:rsidTr="005E1179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7 : Marrakech-Safi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47,1</w:t>
            </w:r>
          </w:p>
        </w:tc>
        <w:tc>
          <w:tcPr>
            <w:tcW w:w="1068" w:type="pct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46,7</w:t>
            </w:r>
          </w:p>
        </w:tc>
      </w:tr>
      <w:tr w:rsidR="00E662A1" w:rsidRPr="000E6D76" w:rsidTr="005E1179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8 : Drâa-Tafilalet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38,1</w:t>
            </w:r>
          </w:p>
        </w:tc>
        <w:tc>
          <w:tcPr>
            <w:tcW w:w="1068" w:type="pct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40,4</w:t>
            </w:r>
          </w:p>
        </w:tc>
      </w:tr>
      <w:tr w:rsidR="00E662A1" w:rsidRPr="000E6D76" w:rsidTr="005E1179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9 : Souss-Massa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42,0</w:t>
            </w:r>
          </w:p>
        </w:tc>
        <w:tc>
          <w:tcPr>
            <w:tcW w:w="1068" w:type="pct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42,1</w:t>
            </w:r>
          </w:p>
        </w:tc>
      </w:tr>
      <w:tr w:rsidR="00E662A1" w:rsidRPr="000E6D76" w:rsidTr="005E1179">
        <w:trPr>
          <w:trHeight w:val="113"/>
        </w:trPr>
        <w:tc>
          <w:tcPr>
            <w:tcW w:w="2729" w:type="pct"/>
          </w:tcPr>
          <w:p w:rsidR="00E662A1" w:rsidRPr="00E92552" w:rsidRDefault="00E662A1" w:rsidP="00E662A1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 xml:space="preserve">Régions du Sud 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41,5</w:t>
            </w:r>
          </w:p>
        </w:tc>
        <w:tc>
          <w:tcPr>
            <w:tcW w:w="1068" w:type="pct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45,5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/>
                <w:sz w:val="18"/>
                <w:szCs w:val="18"/>
              </w:rPr>
              <w:t xml:space="preserve">    Total</w:t>
            </w:r>
          </w:p>
        </w:tc>
        <w:tc>
          <w:tcPr>
            <w:tcW w:w="1203" w:type="pct"/>
            <w:vAlign w:val="center"/>
          </w:tcPr>
          <w:p w:rsidR="00E662A1" w:rsidRPr="00E662A1" w:rsidRDefault="00E662A1" w:rsidP="006C2272">
            <w:pPr>
              <w:bidi w:val="0"/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E662A1">
              <w:rPr>
                <w:rFonts w:ascii="Book Antiqua" w:hAnsi="Book Antiqua" w:cs="Arial"/>
                <w:b/>
                <w:sz w:val="18"/>
                <w:szCs w:val="18"/>
              </w:rPr>
              <w:t>45,0</w:t>
            </w:r>
          </w:p>
        </w:tc>
        <w:tc>
          <w:tcPr>
            <w:tcW w:w="1068" w:type="pct"/>
            <w:vAlign w:val="center"/>
          </w:tcPr>
          <w:p w:rsidR="00E662A1" w:rsidRPr="00E662A1" w:rsidRDefault="00E662A1" w:rsidP="0057458E">
            <w:pPr>
              <w:bidi w:val="0"/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E662A1">
              <w:rPr>
                <w:rFonts w:ascii="Book Antiqua" w:hAnsi="Book Antiqua" w:cs="Arial"/>
                <w:b/>
                <w:sz w:val="18"/>
                <w:szCs w:val="18"/>
              </w:rPr>
              <w:t>44,9</w:t>
            </w:r>
          </w:p>
        </w:tc>
      </w:tr>
      <w:tr w:rsidR="00E662A1" w:rsidRPr="000E6D76" w:rsidTr="00E662A1">
        <w:trPr>
          <w:trHeight w:val="200"/>
        </w:trPr>
        <w:tc>
          <w:tcPr>
            <w:tcW w:w="5000" w:type="pct"/>
            <w:gridSpan w:val="3"/>
          </w:tcPr>
          <w:p w:rsidR="00E662A1" w:rsidRPr="00411A33" w:rsidRDefault="00E662A1" w:rsidP="00E662A1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8"/>
                <w:szCs w:val="18"/>
              </w:rPr>
              <w:t xml:space="preserve"> Taux d’emploi ( 15 ans et plus )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1 : Tanger-Tétouan-Al Hoceima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41,9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40,0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2 : Oriental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36,6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35,8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3 : Fès-Meknès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39,0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38,9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4 : Rabat-Salé-Kénitra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39,5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39,5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5 : Béni Mellal-Khénifra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42,4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42,7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6 :  Casablanca-Settat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44,1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44,4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7 : Marrakech-Safi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44,2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43,7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8 : Drâa-Tafilalet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35,4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37,0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9 : Souss-Massa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37,5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37,2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E662A1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 xml:space="preserve">Régions du Sud 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34,5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38,4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8"/>
                <w:szCs w:val="18"/>
              </w:rPr>
            </w:pPr>
            <w:r w:rsidRPr="00E92552">
              <w:rPr>
                <w:rFonts w:ascii="Book Antiqua" w:hAnsi="Book Antiqua" w:cs="Times New Roman"/>
                <w:bCs/>
                <w:spacing w:val="-2"/>
                <w:sz w:val="18"/>
                <w:szCs w:val="18"/>
              </w:rPr>
              <w:t xml:space="preserve">      </w:t>
            </w:r>
            <w:r w:rsidRPr="00E92552">
              <w:rPr>
                <w:rFonts w:ascii="Book Antiqua" w:hAnsi="Book Antiqua" w:cs="Arial"/>
                <w:b/>
                <w:sz w:val="18"/>
                <w:szCs w:val="18"/>
              </w:rPr>
              <w:t>Total</w:t>
            </w:r>
          </w:p>
        </w:tc>
        <w:tc>
          <w:tcPr>
            <w:tcW w:w="1203" w:type="pct"/>
            <w:vAlign w:val="center"/>
          </w:tcPr>
          <w:p w:rsidR="00E662A1" w:rsidRPr="00E662A1" w:rsidRDefault="00E662A1" w:rsidP="006C2272">
            <w:pPr>
              <w:bidi w:val="0"/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E662A1">
              <w:rPr>
                <w:rFonts w:ascii="Book Antiqua" w:hAnsi="Book Antiqua" w:cs="Arial"/>
                <w:b/>
                <w:sz w:val="18"/>
                <w:szCs w:val="18"/>
              </w:rPr>
              <w:t>40,8</w:t>
            </w:r>
          </w:p>
        </w:tc>
        <w:tc>
          <w:tcPr>
            <w:tcW w:w="1068" w:type="pct"/>
            <w:vAlign w:val="center"/>
          </w:tcPr>
          <w:p w:rsidR="00E662A1" w:rsidRPr="00E662A1" w:rsidRDefault="00E662A1" w:rsidP="0057458E">
            <w:pPr>
              <w:bidi w:val="0"/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E662A1">
              <w:rPr>
                <w:rFonts w:ascii="Book Antiqua" w:hAnsi="Book Antiqua" w:cs="Arial"/>
                <w:b/>
                <w:sz w:val="18"/>
                <w:szCs w:val="18"/>
              </w:rPr>
              <w:t>40,7</w:t>
            </w:r>
          </w:p>
        </w:tc>
      </w:tr>
      <w:tr w:rsidR="00E662A1" w:rsidRPr="000E6D76" w:rsidTr="00E662A1">
        <w:trPr>
          <w:trHeight w:val="113"/>
        </w:trPr>
        <w:tc>
          <w:tcPr>
            <w:tcW w:w="5000" w:type="pct"/>
            <w:gridSpan w:val="3"/>
          </w:tcPr>
          <w:p w:rsidR="00E662A1" w:rsidRPr="006C2272" w:rsidRDefault="00E662A1" w:rsidP="00E662A1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Times New Roman"/>
                <w:b/>
                <w:i/>
                <w:color w:val="0070C0"/>
                <w:spacing w:val="-2"/>
                <w:sz w:val="18"/>
                <w:szCs w:val="18"/>
              </w:rPr>
              <w:t xml:space="preserve"> Taux de chômage ( 15 ans et plus )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1 : Tanger-Tétouan-Al Hoceima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7,7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11,2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2 : Oriental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15,0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14,2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3 : Fès-Meknès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8,7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7,7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4 : Rabat-Salé-Kénitra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11,4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9,8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5 : Béni Mellal-Khénifra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4,8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4,7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6 :  Casablanca-Settat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9,7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9,8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7 : Marrakech-Safi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6,3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6,3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8 : Drâa-Tafilalet</w:t>
            </w:r>
          </w:p>
        </w:tc>
        <w:tc>
          <w:tcPr>
            <w:tcW w:w="1203" w:type="pct"/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7,2</w:t>
            </w:r>
          </w:p>
        </w:tc>
        <w:tc>
          <w:tcPr>
            <w:tcW w:w="1068" w:type="pct"/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8,2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A1" w:rsidRPr="00E92552" w:rsidRDefault="00E662A1" w:rsidP="00921997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>Région 9 : Souss-Massa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10,7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11,7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A1" w:rsidRPr="00E92552" w:rsidRDefault="00E662A1" w:rsidP="00E662A1">
            <w:pPr>
              <w:bidi w:val="0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E92552">
              <w:rPr>
                <w:rFonts w:ascii="Book Antiqua" w:hAnsi="Book Antiqua" w:cs="Arial"/>
                <w:bCs/>
                <w:sz w:val="18"/>
                <w:szCs w:val="18"/>
              </w:rPr>
              <w:t xml:space="preserve">Régions du Sud 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2A1" w:rsidRPr="006C2272" w:rsidRDefault="00E662A1" w:rsidP="006C2272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6C2272">
              <w:rPr>
                <w:rFonts w:ascii="Book Antiqua" w:hAnsi="Book Antiqua" w:cs="Arial"/>
                <w:bCs/>
                <w:sz w:val="18"/>
                <w:szCs w:val="18"/>
              </w:rPr>
              <w:t>17,0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2A1" w:rsidRPr="00411A33" w:rsidRDefault="00E662A1" w:rsidP="0057458E">
            <w:pPr>
              <w:bidi w:val="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411A33">
              <w:rPr>
                <w:rFonts w:ascii="Book Antiqua" w:hAnsi="Book Antiqua" w:cs="Arial"/>
                <w:bCs/>
                <w:sz w:val="18"/>
                <w:szCs w:val="18"/>
              </w:rPr>
              <w:t>15,5</w:t>
            </w:r>
          </w:p>
        </w:tc>
      </w:tr>
      <w:tr w:rsidR="00E662A1" w:rsidRPr="000E6D76" w:rsidTr="0057458E">
        <w:trPr>
          <w:trHeight w:val="113"/>
        </w:trPr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A1" w:rsidRPr="00E92552" w:rsidRDefault="00E662A1" w:rsidP="00921997">
            <w:pPr>
              <w:tabs>
                <w:tab w:val="left" w:pos="-720"/>
              </w:tabs>
              <w:suppressAutoHyphens/>
              <w:jc w:val="right"/>
              <w:rPr>
                <w:rFonts w:ascii="Book Antiqua" w:hAnsi="Book Antiqua" w:cs="Times New Roman"/>
                <w:b/>
                <w:spacing w:val="-2"/>
                <w:sz w:val="18"/>
                <w:szCs w:val="18"/>
              </w:rPr>
            </w:pPr>
            <w:r w:rsidRPr="00E92552">
              <w:rPr>
                <w:rFonts w:ascii="Book Antiqua" w:hAnsi="Book Antiqua" w:cs="Times New Roman"/>
                <w:bCs/>
                <w:spacing w:val="-2"/>
                <w:sz w:val="18"/>
                <w:szCs w:val="18"/>
              </w:rPr>
              <w:t xml:space="preserve">      </w:t>
            </w:r>
            <w:r w:rsidRPr="00E92552">
              <w:rPr>
                <w:rFonts w:ascii="Book Antiqua" w:hAnsi="Book Antiqua" w:cs="Arial"/>
                <w:b/>
                <w:sz w:val="18"/>
                <w:szCs w:val="18"/>
              </w:rPr>
              <w:t>Total</w:t>
            </w:r>
          </w:p>
        </w:tc>
        <w:tc>
          <w:tcPr>
            <w:tcW w:w="1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2A1" w:rsidRPr="00E662A1" w:rsidRDefault="00E662A1" w:rsidP="006C2272">
            <w:pPr>
              <w:bidi w:val="0"/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E662A1">
              <w:rPr>
                <w:rFonts w:ascii="Book Antiqua" w:hAnsi="Book Antiqua" w:cs="Arial"/>
                <w:b/>
                <w:sz w:val="18"/>
                <w:szCs w:val="18"/>
              </w:rPr>
              <w:t>9,3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2A1" w:rsidRPr="00E662A1" w:rsidRDefault="00E662A1" w:rsidP="0057458E">
            <w:pPr>
              <w:bidi w:val="0"/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E662A1">
              <w:rPr>
                <w:rFonts w:ascii="Book Antiqua" w:hAnsi="Book Antiqua" w:cs="Arial"/>
                <w:b/>
                <w:sz w:val="18"/>
                <w:szCs w:val="18"/>
              </w:rPr>
              <w:t>9,4</w:t>
            </w:r>
          </w:p>
        </w:tc>
      </w:tr>
    </w:tbl>
    <w:p w:rsidR="00921997" w:rsidRDefault="00921997" w:rsidP="00AD7231">
      <w:pPr>
        <w:tabs>
          <w:tab w:val="left" w:pos="-720"/>
        </w:tabs>
        <w:suppressAutoHyphens/>
        <w:jc w:val="right"/>
        <w:rPr>
          <w:rFonts w:ascii="Book Antiqua" w:hAnsi="Book Antiqua" w:cs="Times New Roman"/>
          <w:b/>
          <w:spacing w:val="-2"/>
          <w:sz w:val="14"/>
          <w:szCs w:val="14"/>
          <w:u w:val="single"/>
        </w:rPr>
      </w:pPr>
    </w:p>
    <w:p w:rsidR="00046824" w:rsidRDefault="00046824" w:rsidP="00046824">
      <w:pPr>
        <w:tabs>
          <w:tab w:val="left" w:pos="-720"/>
        </w:tabs>
        <w:suppressAutoHyphens/>
        <w:jc w:val="right"/>
      </w:pPr>
      <w:r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</w:t>
      </w:r>
      <w:r w:rsidRPr="00E10AC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ource</w:t>
      </w:r>
      <w:r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 :Enquête nationale sur l'emploi, Haut Commissariat au Plan</w:t>
      </w:r>
      <w:r w:rsidRPr="00E10ACC">
        <w:rPr>
          <w:rFonts w:ascii="Book Antiqua" w:hAnsi="Book Antiqua" w:cs="Times New Roman"/>
          <w:spacing w:val="-2"/>
          <w:sz w:val="16"/>
          <w:szCs w:val="16"/>
        </w:rPr>
        <w:t xml:space="preserve"> </w:t>
      </w:r>
      <w:r w:rsidRPr="00E10ACC">
        <w:rPr>
          <w:rFonts w:ascii="Book Antiqua" w:hAnsi="Book Antiqua" w:cs="Times New Roman"/>
          <w:b/>
          <w:spacing w:val="-2"/>
          <w:sz w:val="16"/>
          <w:szCs w:val="16"/>
        </w:rPr>
        <w:t xml:space="preserve">. </w:t>
      </w:r>
      <w:r w:rsidRPr="002F57C0">
        <w:rPr>
          <w:rFonts w:ascii="Book Antiqua" w:hAnsi="Book Antiqua" w:cs="Times New Roman"/>
          <w:b/>
          <w:sz w:val="16"/>
          <w:szCs w:val="16"/>
          <w:vertAlign w:val="superscript"/>
        </w:rPr>
        <w:t>(1)</w:t>
      </w:r>
      <w:r w:rsidRPr="00E10ACC">
        <w:rPr>
          <w:rFonts w:ascii="Book Antiqua" w:hAnsi="Book Antiqua" w:cs="Times New Roman"/>
          <w:b/>
          <w:sz w:val="16"/>
          <w:szCs w:val="16"/>
        </w:rPr>
        <w:t xml:space="preserve"> Pour les définitions des concepts et indicateurs utilisés, se référer au glossaire disponible sur le site web du HCP : </w:t>
      </w:r>
      <w:hyperlink r:id="rId14" w:history="1">
        <w:r w:rsidRPr="00E10AC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p w:rsidR="00046824" w:rsidRDefault="00046824" w:rsidP="00046824">
      <w:pPr>
        <w:bidi w:val="0"/>
        <w:ind w:left="-284"/>
        <w:rPr>
          <w:rFonts w:ascii="Book Antiqua" w:hAnsi="Book Antiqua" w:cs="Times New Roman"/>
          <w:color w:val="0070C0"/>
          <w:sz w:val="22"/>
          <w:szCs w:val="22"/>
        </w:rPr>
      </w:pPr>
    </w:p>
    <w:p w:rsidR="00E03EC7" w:rsidRPr="00046824" w:rsidRDefault="00E03EC7" w:rsidP="00E03EC7"/>
    <w:p w:rsidR="00E03EC7" w:rsidRDefault="00E03EC7" w:rsidP="00E03EC7">
      <w:pPr>
        <w:bidi w:val="0"/>
        <w:ind w:left="-284"/>
        <w:rPr>
          <w:rFonts w:ascii="Book Antiqua" w:hAnsi="Book Antiqua" w:cs="Times New Roman"/>
          <w:color w:val="0070C0"/>
          <w:sz w:val="22"/>
          <w:szCs w:val="22"/>
        </w:rPr>
      </w:pPr>
    </w:p>
    <w:sectPr w:rsidR="00E03EC7" w:rsidSect="00314288">
      <w:footerReference w:type="even" r:id="rId15"/>
      <w:footerReference w:type="default" r:id="rId16"/>
      <w:pgSz w:w="12240" w:h="15840"/>
      <w:pgMar w:top="851" w:right="964" w:bottom="851" w:left="96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0D" w:rsidRDefault="00C8540D" w:rsidP="009B7BDC">
      <w:r>
        <w:separator/>
      </w:r>
    </w:p>
  </w:endnote>
  <w:endnote w:type="continuationSeparator" w:id="0">
    <w:p w:rsidR="00C8540D" w:rsidRDefault="00C8540D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5E" w:rsidRDefault="001A3892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244B5E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244B5E" w:rsidRDefault="00244B5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5E" w:rsidRDefault="001A3892">
    <w:pPr>
      <w:pStyle w:val="Pieddepage"/>
      <w:jc w:val="center"/>
    </w:pPr>
    <w:r>
      <w:fldChar w:fldCharType="begin"/>
    </w:r>
    <w:r w:rsidR="00244B5E">
      <w:instrText xml:space="preserve"> PAGE   \* MERGEFORMAT </w:instrText>
    </w:r>
    <w:r>
      <w:fldChar w:fldCharType="separate"/>
    </w:r>
    <w:r w:rsidR="00831396">
      <w:rPr>
        <w:rtl/>
      </w:rPr>
      <w:t>1</w:t>
    </w:r>
    <w:r>
      <w:fldChar w:fldCharType="end"/>
    </w:r>
  </w:p>
  <w:p w:rsidR="00244B5E" w:rsidRDefault="00244B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0D" w:rsidRDefault="00C8540D" w:rsidP="009B7BDC">
      <w:r>
        <w:separator/>
      </w:r>
    </w:p>
  </w:footnote>
  <w:footnote w:type="continuationSeparator" w:id="0">
    <w:p w:rsidR="00C8540D" w:rsidRDefault="00C8540D" w:rsidP="009B7BDC">
      <w:r>
        <w:continuationSeparator/>
      </w:r>
    </w:p>
  </w:footnote>
  <w:footnote w:id="1">
    <w:p w:rsidR="00244B5E" w:rsidRDefault="00244B5E" w:rsidP="00AA4A37">
      <w:pPr>
        <w:pStyle w:val="Notedebasdepage"/>
      </w:pPr>
      <w:r>
        <w:rPr>
          <w:rStyle w:val="Appelnotedebasdep"/>
        </w:rPr>
        <w:footnoteRef/>
      </w:r>
      <w:r>
        <w:t xml:space="preserve"> Les Régions du Sud englobent les régions de </w:t>
      </w:r>
      <w:r w:rsidRPr="00E92552">
        <w:rPr>
          <w:rFonts w:ascii="Book Antiqua" w:hAnsi="Book Antiqua" w:cs="Arial"/>
          <w:bCs/>
          <w:sz w:val="18"/>
          <w:szCs w:val="18"/>
        </w:rPr>
        <w:t xml:space="preserve">Guelmim-Oued Noun, </w:t>
      </w:r>
      <w:r>
        <w:rPr>
          <w:rFonts w:ascii="Book Antiqua" w:hAnsi="Book Antiqua" w:cs="Arial"/>
          <w:bCs/>
          <w:sz w:val="18"/>
          <w:szCs w:val="18"/>
        </w:rPr>
        <w:t xml:space="preserve">de </w:t>
      </w:r>
      <w:r w:rsidRPr="00E92552">
        <w:rPr>
          <w:rFonts w:ascii="Book Antiqua" w:hAnsi="Book Antiqua" w:cs="Arial"/>
          <w:bCs/>
          <w:sz w:val="18"/>
          <w:szCs w:val="18"/>
        </w:rPr>
        <w:t>Laayoune-Sakia El Hamra</w:t>
      </w:r>
      <w:r>
        <w:rPr>
          <w:rFonts w:ascii="Book Antiqua" w:hAnsi="Book Antiqua" w:cs="Arial"/>
          <w:bCs/>
          <w:sz w:val="18"/>
          <w:szCs w:val="18"/>
        </w:rPr>
        <w:t xml:space="preserve"> et </w:t>
      </w:r>
      <w:r w:rsidRPr="00E92552">
        <w:rPr>
          <w:rFonts w:ascii="Book Antiqua" w:hAnsi="Book Antiqua" w:cs="Arial"/>
          <w:bCs/>
          <w:sz w:val="18"/>
          <w:szCs w:val="18"/>
        </w:rPr>
        <w:t xml:space="preserve"> </w:t>
      </w:r>
      <w:r>
        <w:rPr>
          <w:rFonts w:ascii="Book Antiqua" w:hAnsi="Book Antiqua" w:cs="Arial"/>
          <w:bCs/>
          <w:sz w:val="18"/>
          <w:szCs w:val="18"/>
        </w:rPr>
        <w:t xml:space="preserve">de </w:t>
      </w:r>
      <w:r w:rsidRPr="00E92552">
        <w:rPr>
          <w:rFonts w:ascii="Book Antiqua" w:hAnsi="Book Antiqua" w:cs="Arial"/>
          <w:bCs/>
          <w:sz w:val="18"/>
          <w:szCs w:val="18"/>
        </w:rPr>
        <w:t>Eddakhla-Oued Eddahab</w:t>
      </w:r>
      <w:r>
        <w:rPr>
          <w:rFonts w:ascii="Book Antiqua" w:hAnsi="Book Antiqua" w:cs="Arial"/>
          <w:bCs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6D377E8"/>
    <w:multiLevelType w:val="hybridMultilevel"/>
    <w:tmpl w:val="10EC85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5282C"/>
    <w:multiLevelType w:val="hybridMultilevel"/>
    <w:tmpl w:val="9900090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E422A4"/>
    <w:multiLevelType w:val="hybridMultilevel"/>
    <w:tmpl w:val="48C066DE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47191"/>
    <w:multiLevelType w:val="hybridMultilevel"/>
    <w:tmpl w:val="42C860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AD08C2"/>
    <w:multiLevelType w:val="hybridMultilevel"/>
    <w:tmpl w:val="5100F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D55F0"/>
    <w:multiLevelType w:val="hybridMultilevel"/>
    <w:tmpl w:val="539E41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23"/>
  </w:num>
  <w:num w:numId="11">
    <w:abstractNumId w:val="16"/>
  </w:num>
  <w:num w:numId="12">
    <w:abstractNumId w:val="13"/>
  </w:num>
  <w:num w:numId="13">
    <w:abstractNumId w:val="9"/>
  </w:num>
  <w:num w:numId="14">
    <w:abstractNumId w:val="15"/>
  </w:num>
  <w:num w:numId="15">
    <w:abstractNumId w:val="1"/>
  </w:num>
  <w:num w:numId="16">
    <w:abstractNumId w:val="8"/>
  </w:num>
  <w:num w:numId="17">
    <w:abstractNumId w:val="12"/>
  </w:num>
  <w:num w:numId="18">
    <w:abstractNumId w:val="17"/>
  </w:num>
  <w:num w:numId="19">
    <w:abstractNumId w:val="19"/>
  </w:num>
  <w:num w:numId="20">
    <w:abstractNumId w:val="21"/>
  </w:num>
  <w:num w:numId="21">
    <w:abstractNumId w:val="18"/>
  </w:num>
  <w:num w:numId="22">
    <w:abstractNumId w:val="24"/>
  </w:num>
  <w:num w:numId="23">
    <w:abstractNumId w:val="14"/>
  </w:num>
  <w:num w:numId="24">
    <w:abstractNumId w:val="1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BDC"/>
    <w:rsid w:val="000015A4"/>
    <w:rsid w:val="000036D5"/>
    <w:rsid w:val="00004F06"/>
    <w:rsid w:val="000067CA"/>
    <w:rsid w:val="00011D3D"/>
    <w:rsid w:val="00012F0E"/>
    <w:rsid w:val="00013BA3"/>
    <w:rsid w:val="00014582"/>
    <w:rsid w:val="00014CF6"/>
    <w:rsid w:val="000202F5"/>
    <w:rsid w:val="0002267C"/>
    <w:rsid w:val="000232B7"/>
    <w:rsid w:val="00024B90"/>
    <w:rsid w:val="000270BA"/>
    <w:rsid w:val="0003105E"/>
    <w:rsid w:val="00031DFB"/>
    <w:rsid w:val="00031FF6"/>
    <w:rsid w:val="000321DC"/>
    <w:rsid w:val="000329FD"/>
    <w:rsid w:val="00032ECC"/>
    <w:rsid w:val="00034227"/>
    <w:rsid w:val="0003474C"/>
    <w:rsid w:val="00034E9E"/>
    <w:rsid w:val="0003694C"/>
    <w:rsid w:val="000371EE"/>
    <w:rsid w:val="00041421"/>
    <w:rsid w:val="00041CFC"/>
    <w:rsid w:val="00044B4A"/>
    <w:rsid w:val="00045ADB"/>
    <w:rsid w:val="00046824"/>
    <w:rsid w:val="00050424"/>
    <w:rsid w:val="000504B2"/>
    <w:rsid w:val="00050A74"/>
    <w:rsid w:val="00051B7D"/>
    <w:rsid w:val="00052B32"/>
    <w:rsid w:val="00053261"/>
    <w:rsid w:val="000535DC"/>
    <w:rsid w:val="00053C02"/>
    <w:rsid w:val="00053CA4"/>
    <w:rsid w:val="00053E33"/>
    <w:rsid w:val="0005515C"/>
    <w:rsid w:val="000602F1"/>
    <w:rsid w:val="00061F04"/>
    <w:rsid w:val="00062969"/>
    <w:rsid w:val="00063B96"/>
    <w:rsid w:val="00067BF6"/>
    <w:rsid w:val="00070C32"/>
    <w:rsid w:val="00072D21"/>
    <w:rsid w:val="00073EAF"/>
    <w:rsid w:val="00076C19"/>
    <w:rsid w:val="000777D9"/>
    <w:rsid w:val="00077CA6"/>
    <w:rsid w:val="00080969"/>
    <w:rsid w:val="000818D5"/>
    <w:rsid w:val="00081E34"/>
    <w:rsid w:val="00083DF9"/>
    <w:rsid w:val="0008797F"/>
    <w:rsid w:val="00087A04"/>
    <w:rsid w:val="000900D2"/>
    <w:rsid w:val="00092F8D"/>
    <w:rsid w:val="00093F6E"/>
    <w:rsid w:val="000941F7"/>
    <w:rsid w:val="000956F4"/>
    <w:rsid w:val="00095E28"/>
    <w:rsid w:val="00095F91"/>
    <w:rsid w:val="00096A55"/>
    <w:rsid w:val="00097663"/>
    <w:rsid w:val="000A1143"/>
    <w:rsid w:val="000A1756"/>
    <w:rsid w:val="000A2BD0"/>
    <w:rsid w:val="000A341A"/>
    <w:rsid w:val="000A4AEE"/>
    <w:rsid w:val="000A63B7"/>
    <w:rsid w:val="000A7F83"/>
    <w:rsid w:val="000B020E"/>
    <w:rsid w:val="000B03F8"/>
    <w:rsid w:val="000B0723"/>
    <w:rsid w:val="000B0787"/>
    <w:rsid w:val="000B1147"/>
    <w:rsid w:val="000B11D7"/>
    <w:rsid w:val="000B134A"/>
    <w:rsid w:val="000B22E0"/>
    <w:rsid w:val="000B32B3"/>
    <w:rsid w:val="000B3E15"/>
    <w:rsid w:val="000B4082"/>
    <w:rsid w:val="000B40A9"/>
    <w:rsid w:val="000B621B"/>
    <w:rsid w:val="000B7C44"/>
    <w:rsid w:val="000C0A3F"/>
    <w:rsid w:val="000C14C7"/>
    <w:rsid w:val="000C1515"/>
    <w:rsid w:val="000C333C"/>
    <w:rsid w:val="000C3880"/>
    <w:rsid w:val="000C3F2F"/>
    <w:rsid w:val="000C55E7"/>
    <w:rsid w:val="000C5821"/>
    <w:rsid w:val="000C67DE"/>
    <w:rsid w:val="000C77C1"/>
    <w:rsid w:val="000D0DE5"/>
    <w:rsid w:val="000D1994"/>
    <w:rsid w:val="000D2029"/>
    <w:rsid w:val="000D32D4"/>
    <w:rsid w:val="000D3D51"/>
    <w:rsid w:val="000D4E21"/>
    <w:rsid w:val="000D620D"/>
    <w:rsid w:val="000D66F8"/>
    <w:rsid w:val="000D6D42"/>
    <w:rsid w:val="000D6E13"/>
    <w:rsid w:val="000D73BC"/>
    <w:rsid w:val="000E0D8B"/>
    <w:rsid w:val="000E173A"/>
    <w:rsid w:val="000E35C2"/>
    <w:rsid w:val="000E3932"/>
    <w:rsid w:val="000E39ED"/>
    <w:rsid w:val="000E520F"/>
    <w:rsid w:val="000E5955"/>
    <w:rsid w:val="000F06FA"/>
    <w:rsid w:val="000F0F08"/>
    <w:rsid w:val="000F2AC1"/>
    <w:rsid w:val="000F3CD3"/>
    <w:rsid w:val="000F5277"/>
    <w:rsid w:val="000F6E48"/>
    <w:rsid w:val="000F760C"/>
    <w:rsid w:val="00100B48"/>
    <w:rsid w:val="00103D01"/>
    <w:rsid w:val="00104668"/>
    <w:rsid w:val="00104C01"/>
    <w:rsid w:val="00104C8E"/>
    <w:rsid w:val="00105507"/>
    <w:rsid w:val="00105F5B"/>
    <w:rsid w:val="00106903"/>
    <w:rsid w:val="0010723B"/>
    <w:rsid w:val="00107266"/>
    <w:rsid w:val="001079B3"/>
    <w:rsid w:val="001142FC"/>
    <w:rsid w:val="001149F3"/>
    <w:rsid w:val="001154E9"/>
    <w:rsid w:val="00115DE3"/>
    <w:rsid w:val="00115E39"/>
    <w:rsid w:val="00121E7D"/>
    <w:rsid w:val="00121E86"/>
    <w:rsid w:val="00122067"/>
    <w:rsid w:val="00124191"/>
    <w:rsid w:val="00125A7B"/>
    <w:rsid w:val="00130230"/>
    <w:rsid w:val="00134887"/>
    <w:rsid w:val="00136051"/>
    <w:rsid w:val="00136EF4"/>
    <w:rsid w:val="001370F6"/>
    <w:rsid w:val="00137512"/>
    <w:rsid w:val="001377D7"/>
    <w:rsid w:val="001401BD"/>
    <w:rsid w:val="00141451"/>
    <w:rsid w:val="00141B87"/>
    <w:rsid w:val="0014271B"/>
    <w:rsid w:val="0014305A"/>
    <w:rsid w:val="00143672"/>
    <w:rsid w:val="0014456F"/>
    <w:rsid w:val="00145712"/>
    <w:rsid w:val="00145E01"/>
    <w:rsid w:val="00145F6F"/>
    <w:rsid w:val="001473F7"/>
    <w:rsid w:val="00150331"/>
    <w:rsid w:val="0015532D"/>
    <w:rsid w:val="00155475"/>
    <w:rsid w:val="001567BD"/>
    <w:rsid w:val="001572AE"/>
    <w:rsid w:val="00162307"/>
    <w:rsid w:val="001632B1"/>
    <w:rsid w:val="001642D5"/>
    <w:rsid w:val="00166584"/>
    <w:rsid w:val="00167332"/>
    <w:rsid w:val="001702E4"/>
    <w:rsid w:val="00170D82"/>
    <w:rsid w:val="00172C3B"/>
    <w:rsid w:val="0017384A"/>
    <w:rsid w:val="00176A6B"/>
    <w:rsid w:val="00180F59"/>
    <w:rsid w:val="0018257C"/>
    <w:rsid w:val="0018285B"/>
    <w:rsid w:val="00182B14"/>
    <w:rsid w:val="00183B22"/>
    <w:rsid w:val="00185198"/>
    <w:rsid w:val="00185CBB"/>
    <w:rsid w:val="00187758"/>
    <w:rsid w:val="0019159E"/>
    <w:rsid w:val="00191D38"/>
    <w:rsid w:val="00192C7A"/>
    <w:rsid w:val="00193E74"/>
    <w:rsid w:val="00196031"/>
    <w:rsid w:val="00197DD9"/>
    <w:rsid w:val="001A1000"/>
    <w:rsid w:val="001A26CC"/>
    <w:rsid w:val="001A2FBA"/>
    <w:rsid w:val="001A3335"/>
    <w:rsid w:val="001A3892"/>
    <w:rsid w:val="001A41FD"/>
    <w:rsid w:val="001A5213"/>
    <w:rsid w:val="001A57B8"/>
    <w:rsid w:val="001A6AC6"/>
    <w:rsid w:val="001A79E3"/>
    <w:rsid w:val="001B3D44"/>
    <w:rsid w:val="001B752F"/>
    <w:rsid w:val="001B76E8"/>
    <w:rsid w:val="001C1C98"/>
    <w:rsid w:val="001C2022"/>
    <w:rsid w:val="001C2B79"/>
    <w:rsid w:val="001C3191"/>
    <w:rsid w:val="001C369C"/>
    <w:rsid w:val="001C477B"/>
    <w:rsid w:val="001C4959"/>
    <w:rsid w:val="001C7650"/>
    <w:rsid w:val="001D056F"/>
    <w:rsid w:val="001D0B3C"/>
    <w:rsid w:val="001D6147"/>
    <w:rsid w:val="001D6423"/>
    <w:rsid w:val="001D6962"/>
    <w:rsid w:val="001D69C5"/>
    <w:rsid w:val="001D6C2B"/>
    <w:rsid w:val="001E29FB"/>
    <w:rsid w:val="001E3468"/>
    <w:rsid w:val="001E5A43"/>
    <w:rsid w:val="001E6700"/>
    <w:rsid w:val="001E6B87"/>
    <w:rsid w:val="001F0CDE"/>
    <w:rsid w:val="001F3879"/>
    <w:rsid w:val="001F5D2F"/>
    <w:rsid w:val="001F7274"/>
    <w:rsid w:val="00200153"/>
    <w:rsid w:val="00200DD0"/>
    <w:rsid w:val="00201055"/>
    <w:rsid w:val="00201C59"/>
    <w:rsid w:val="00203B9A"/>
    <w:rsid w:val="00204404"/>
    <w:rsid w:val="00205B08"/>
    <w:rsid w:val="00206359"/>
    <w:rsid w:val="0020642E"/>
    <w:rsid w:val="00207BA8"/>
    <w:rsid w:val="002100F1"/>
    <w:rsid w:val="0021012C"/>
    <w:rsid w:val="00211C48"/>
    <w:rsid w:val="00212B1D"/>
    <w:rsid w:val="00213DF5"/>
    <w:rsid w:val="00214325"/>
    <w:rsid w:val="002152BE"/>
    <w:rsid w:val="00215680"/>
    <w:rsid w:val="00224A26"/>
    <w:rsid w:val="00226434"/>
    <w:rsid w:val="002266DF"/>
    <w:rsid w:val="00232484"/>
    <w:rsid w:val="002335AD"/>
    <w:rsid w:val="002335BD"/>
    <w:rsid w:val="0023364B"/>
    <w:rsid w:val="0023498F"/>
    <w:rsid w:val="002362C2"/>
    <w:rsid w:val="002366AA"/>
    <w:rsid w:val="00237E3C"/>
    <w:rsid w:val="00237FF2"/>
    <w:rsid w:val="002401EC"/>
    <w:rsid w:val="00240A6C"/>
    <w:rsid w:val="00240C92"/>
    <w:rsid w:val="002418DA"/>
    <w:rsid w:val="00241A45"/>
    <w:rsid w:val="00244174"/>
    <w:rsid w:val="00244488"/>
    <w:rsid w:val="00244B5E"/>
    <w:rsid w:val="00245679"/>
    <w:rsid w:val="00245D10"/>
    <w:rsid w:val="00245E10"/>
    <w:rsid w:val="00246DBB"/>
    <w:rsid w:val="00246FAD"/>
    <w:rsid w:val="00247433"/>
    <w:rsid w:val="0024749E"/>
    <w:rsid w:val="00253C9D"/>
    <w:rsid w:val="002541A4"/>
    <w:rsid w:val="00260506"/>
    <w:rsid w:val="00262DE6"/>
    <w:rsid w:val="002658D2"/>
    <w:rsid w:val="00266EC8"/>
    <w:rsid w:val="002740C0"/>
    <w:rsid w:val="002751AD"/>
    <w:rsid w:val="00280727"/>
    <w:rsid w:val="002860FA"/>
    <w:rsid w:val="00286BA9"/>
    <w:rsid w:val="002904B2"/>
    <w:rsid w:val="002904D5"/>
    <w:rsid w:val="00291E1C"/>
    <w:rsid w:val="00292342"/>
    <w:rsid w:val="002927C0"/>
    <w:rsid w:val="00294DB0"/>
    <w:rsid w:val="0029702A"/>
    <w:rsid w:val="00297F0C"/>
    <w:rsid w:val="002A0842"/>
    <w:rsid w:val="002A4BDC"/>
    <w:rsid w:val="002A529C"/>
    <w:rsid w:val="002A705A"/>
    <w:rsid w:val="002B4A90"/>
    <w:rsid w:val="002B6766"/>
    <w:rsid w:val="002B7327"/>
    <w:rsid w:val="002C0306"/>
    <w:rsid w:val="002C0E45"/>
    <w:rsid w:val="002C45B6"/>
    <w:rsid w:val="002C5D7C"/>
    <w:rsid w:val="002C5DF0"/>
    <w:rsid w:val="002C5E0A"/>
    <w:rsid w:val="002C6F14"/>
    <w:rsid w:val="002D215C"/>
    <w:rsid w:val="002D2713"/>
    <w:rsid w:val="002D3A05"/>
    <w:rsid w:val="002D50D3"/>
    <w:rsid w:val="002D52E3"/>
    <w:rsid w:val="002E1C95"/>
    <w:rsid w:val="002E2A9E"/>
    <w:rsid w:val="002E3D9E"/>
    <w:rsid w:val="002E4D82"/>
    <w:rsid w:val="002E5331"/>
    <w:rsid w:val="002E5E89"/>
    <w:rsid w:val="002F0097"/>
    <w:rsid w:val="002F0F38"/>
    <w:rsid w:val="002F1DDA"/>
    <w:rsid w:val="002F2041"/>
    <w:rsid w:val="002F57C0"/>
    <w:rsid w:val="002F5A6D"/>
    <w:rsid w:val="002F61B0"/>
    <w:rsid w:val="002F6965"/>
    <w:rsid w:val="002F77EA"/>
    <w:rsid w:val="003009BE"/>
    <w:rsid w:val="00300A13"/>
    <w:rsid w:val="003016C7"/>
    <w:rsid w:val="00301C9F"/>
    <w:rsid w:val="00303C6A"/>
    <w:rsid w:val="00303D9A"/>
    <w:rsid w:val="00307067"/>
    <w:rsid w:val="0030747B"/>
    <w:rsid w:val="00310647"/>
    <w:rsid w:val="00311472"/>
    <w:rsid w:val="0031272B"/>
    <w:rsid w:val="00314288"/>
    <w:rsid w:val="003147DC"/>
    <w:rsid w:val="0031789D"/>
    <w:rsid w:val="00321589"/>
    <w:rsid w:val="003234EF"/>
    <w:rsid w:val="003243C6"/>
    <w:rsid w:val="00324D85"/>
    <w:rsid w:val="00326668"/>
    <w:rsid w:val="00330FD8"/>
    <w:rsid w:val="0033138F"/>
    <w:rsid w:val="003327AC"/>
    <w:rsid w:val="00332FCB"/>
    <w:rsid w:val="003336CF"/>
    <w:rsid w:val="003339D0"/>
    <w:rsid w:val="00333E03"/>
    <w:rsid w:val="003351DB"/>
    <w:rsid w:val="00335229"/>
    <w:rsid w:val="003357ED"/>
    <w:rsid w:val="003406FA"/>
    <w:rsid w:val="00346C90"/>
    <w:rsid w:val="003476B8"/>
    <w:rsid w:val="003501C3"/>
    <w:rsid w:val="00350E17"/>
    <w:rsid w:val="0035192E"/>
    <w:rsid w:val="00351C37"/>
    <w:rsid w:val="0035285B"/>
    <w:rsid w:val="00354F8F"/>
    <w:rsid w:val="003559CF"/>
    <w:rsid w:val="003566D9"/>
    <w:rsid w:val="00356D69"/>
    <w:rsid w:val="0035750D"/>
    <w:rsid w:val="00357B9A"/>
    <w:rsid w:val="0036114C"/>
    <w:rsid w:val="00365E1C"/>
    <w:rsid w:val="00365F31"/>
    <w:rsid w:val="00366F24"/>
    <w:rsid w:val="00370166"/>
    <w:rsid w:val="00370945"/>
    <w:rsid w:val="00371790"/>
    <w:rsid w:val="00377111"/>
    <w:rsid w:val="00381928"/>
    <w:rsid w:val="003821F6"/>
    <w:rsid w:val="00382DBA"/>
    <w:rsid w:val="0038352E"/>
    <w:rsid w:val="003867A7"/>
    <w:rsid w:val="00387079"/>
    <w:rsid w:val="003916BC"/>
    <w:rsid w:val="00391E0C"/>
    <w:rsid w:val="00392DE5"/>
    <w:rsid w:val="003942D1"/>
    <w:rsid w:val="003947EF"/>
    <w:rsid w:val="003974FC"/>
    <w:rsid w:val="0039754C"/>
    <w:rsid w:val="003A390F"/>
    <w:rsid w:val="003A41F5"/>
    <w:rsid w:val="003A4FA4"/>
    <w:rsid w:val="003A6F9C"/>
    <w:rsid w:val="003A7ED4"/>
    <w:rsid w:val="003B0AC2"/>
    <w:rsid w:val="003B1344"/>
    <w:rsid w:val="003B14DA"/>
    <w:rsid w:val="003B2C21"/>
    <w:rsid w:val="003B2DD3"/>
    <w:rsid w:val="003B3302"/>
    <w:rsid w:val="003B3864"/>
    <w:rsid w:val="003B532C"/>
    <w:rsid w:val="003B6BD1"/>
    <w:rsid w:val="003C08F3"/>
    <w:rsid w:val="003C1233"/>
    <w:rsid w:val="003C7C3E"/>
    <w:rsid w:val="003D3F08"/>
    <w:rsid w:val="003D46ED"/>
    <w:rsid w:val="003D7C3C"/>
    <w:rsid w:val="003E021C"/>
    <w:rsid w:val="003E0955"/>
    <w:rsid w:val="003E0AB3"/>
    <w:rsid w:val="003E439F"/>
    <w:rsid w:val="003E551D"/>
    <w:rsid w:val="003E5801"/>
    <w:rsid w:val="003E663D"/>
    <w:rsid w:val="003E69E3"/>
    <w:rsid w:val="003F0DBA"/>
    <w:rsid w:val="003F3ED2"/>
    <w:rsid w:val="00401B35"/>
    <w:rsid w:val="00402747"/>
    <w:rsid w:val="00402C0A"/>
    <w:rsid w:val="004058D1"/>
    <w:rsid w:val="00407137"/>
    <w:rsid w:val="00407321"/>
    <w:rsid w:val="00411265"/>
    <w:rsid w:val="00411874"/>
    <w:rsid w:val="00411A33"/>
    <w:rsid w:val="00413C4E"/>
    <w:rsid w:val="00415FC5"/>
    <w:rsid w:val="00416531"/>
    <w:rsid w:val="00416BB2"/>
    <w:rsid w:val="00416BCB"/>
    <w:rsid w:val="00421A0D"/>
    <w:rsid w:val="0042300F"/>
    <w:rsid w:val="004239C2"/>
    <w:rsid w:val="00426AC5"/>
    <w:rsid w:val="00430900"/>
    <w:rsid w:val="0043193F"/>
    <w:rsid w:val="00436005"/>
    <w:rsid w:val="00440400"/>
    <w:rsid w:val="004416B2"/>
    <w:rsid w:val="00443063"/>
    <w:rsid w:val="004438FD"/>
    <w:rsid w:val="004446EF"/>
    <w:rsid w:val="0044517B"/>
    <w:rsid w:val="00450554"/>
    <w:rsid w:val="004507A2"/>
    <w:rsid w:val="004508A6"/>
    <w:rsid w:val="00451EA7"/>
    <w:rsid w:val="00452148"/>
    <w:rsid w:val="00455DCB"/>
    <w:rsid w:val="00455DD5"/>
    <w:rsid w:val="00457E00"/>
    <w:rsid w:val="00457E2F"/>
    <w:rsid w:val="00461B8C"/>
    <w:rsid w:val="004624DA"/>
    <w:rsid w:val="0046280A"/>
    <w:rsid w:val="0046351A"/>
    <w:rsid w:val="00463923"/>
    <w:rsid w:val="004652B8"/>
    <w:rsid w:val="0046540F"/>
    <w:rsid w:val="00466A26"/>
    <w:rsid w:val="0047003F"/>
    <w:rsid w:val="00470689"/>
    <w:rsid w:val="004714A7"/>
    <w:rsid w:val="004715DC"/>
    <w:rsid w:val="00472B08"/>
    <w:rsid w:val="00473081"/>
    <w:rsid w:val="004730E4"/>
    <w:rsid w:val="00473D2A"/>
    <w:rsid w:val="00475616"/>
    <w:rsid w:val="00475ADB"/>
    <w:rsid w:val="00480436"/>
    <w:rsid w:val="004818EB"/>
    <w:rsid w:val="00482CD8"/>
    <w:rsid w:val="0048324E"/>
    <w:rsid w:val="00483EEA"/>
    <w:rsid w:val="00484F28"/>
    <w:rsid w:val="004850F2"/>
    <w:rsid w:val="00485161"/>
    <w:rsid w:val="00485825"/>
    <w:rsid w:val="004865A5"/>
    <w:rsid w:val="00486714"/>
    <w:rsid w:val="00486A69"/>
    <w:rsid w:val="004949BA"/>
    <w:rsid w:val="0049522F"/>
    <w:rsid w:val="004A0089"/>
    <w:rsid w:val="004A1C93"/>
    <w:rsid w:val="004A3499"/>
    <w:rsid w:val="004A3846"/>
    <w:rsid w:val="004A44FB"/>
    <w:rsid w:val="004A6379"/>
    <w:rsid w:val="004A6B2B"/>
    <w:rsid w:val="004A76B1"/>
    <w:rsid w:val="004A78A5"/>
    <w:rsid w:val="004B1246"/>
    <w:rsid w:val="004B57CB"/>
    <w:rsid w:val="004B7E67"/>
    <w:rsid w:val="004C3146"/>
    <w:rsid w:val="004C3E90"/>
    <w:rsid w:val="004C5CDF"/>
    <w:rsid w:val="004C65BB"/>
    <w:rsid w:val="004C7497"/>
    <w:rsid w:val="004D2DAF"/>
    <w:rsid w:val="004D5F28"/>
    <w:rsid w:val="004D5FBA"/>
    <w:rsid w:val="004D6E56"/>
    <w:rsid w:val="004D75CF"/>
    <w:rsid w:val="004E191F"/>
    <w:rsid w:val="004E591D"/>
    <w:rsid w:val="004E5F1B"/>
    <w:rsid w:val="004F1682"/>
    <w:rsid w:val="004F19A4"/>
    <w:rsid w:val="004F377E"/>
    <w:rsid w:val="004F7B85"/>
    <w:rsid w:val="004F7EDC"/>
    <w:rsid w:val="0050184E"/>
    <w:rsid w:val="0050323E"/>
    <w:rsid w:val="005049E1"/>
    <w:rsid w:val="005073A0"/>
    <w:rsid w:val="0051011B"/>
    <w:rsid w:val="00510384"/>
    <w:rsid w:val="005107C6"/>
    <w:rsid w:val="00513A4D"/>
    <w:rsid w:val="005146C1"/>
    <w:rsid w:val="00515FF7"/>
    <w:rsid w:val="00516A0D"/>
    <w:rsid w:val="00516ACE"/>
    <w:rsid w:val="005206DF"/>
    <w:rsid w:val="00520F1C"/>
    <w:rsid w:val="0052155A"/>
    <w:rsid w:val="0052168E"/>
    <w:rsid w:val="0052199A"/>
    <w:rsid w:val="00522B80"/>
    <w:rsid w:val="005234EA"/>
    <w:rsid w:val="00526EC4"/>
    <w:rsid w:val="005271FB"/>
    <w:rsid w:val="0053070C"/>
    <w:rsid w:val="0053115F"/>
    <w:rsid w:val="0053260B"/>
    <w:rsid w:val="00532C03"/>
    <w:rsid w:val="00532C83"/>
    <w:rsid w:val="00534907"/>
    <w:rsid w:val="00535072"/>
    <w:rsid w:val="00535CDB"/>
    <w:rsid w:val="00542BFE"/>
    <w:rsid w:val="00543836"/>
    <w:rsid w:val="00544D40"/>
    <w:rsid w:val="005450D3"/>
    <w:rsid w:val="0054799F"/>
    <w:rsid w:val="00551DEF"/>
    <w:rsid w:val="0055311A"/>
    <w:rsid w:val="00553EAF"/>
    <w:rsid w:val="00554CED"/>
    <w:rsid w:val="00556660"/>
    <w:rsid w:val="00556844"/>
    <w:rsid w:val="005575CD"/>
    <w:rsid w:val="00560D4E"/>
    <w:rsid w:val="00561B74"/>
    <w:rsid w:val="00561BBC"/>
    <w:rsid w:val="00562615"/>
    <w:rsid w:val="00566CC3"/>
    <w:rsid w:val="00567084"/>
    <w:rsid w:val="00567A38"/>
    <w:rsid w:val="00567C6D"/>
    <w:rsid w:val="005712EB"/>
    <w:rsid w:val="00572032"/>
    <w:rsid w:val="0057242B"/>
    <w:rsid w:val="00573B4F"/>
    <w:rsid w:val="0057458E"/>
    <w:rsid w:val="005757FC"/>
    <w:rsid w:val="0058340E"/>
    <w:rsid w:val="0058396E"/>
    <w:rsid w:val="0058541B"/>
    <w:rsid w:val="005862F4"/>
    <w:rsid w:val="00586D40"/>
    <w:rsid w:val="00586FB3"/>
    <w:rsid w:val="0058746A"/>
    <w:rsid w:val="00587F1E"/>
    <w:rsid w:val="00592218"/>
    <w:rsid w:val="00592C17"/>
    <w:rsid w:val="00592E33"/>
    <w:rsid w:val="00593374"/>
    <w:rsid w:val="00593846"/>
    <w:rsid w:val="0059568E"/>
    <w:rsid w:val="00595BCE"/>
    <w:rsid w:val="005963A3"/>
    <w:rsid w:val="00596488"/>
    <w:rsid w:val="00596BF9"/>
    <w:rsid w:val="0059727A"/>
    <w:rsid w:val="005A4E3E"/>
    <w:rsid w:val="005A659F"/>
    <w:rsid w:val="005A6C46"/>
    <w:rsid w:val="005A7645"/>
    <w:rsid w:val="005B36A7"/>
    <w:rsid w:val="005B4074"/>
    <w:rsid w:val="005B4762"/>
    <w:rsid w:val="005B73FC"/>
    <w:rsid w:val="005C004D"/>
    <w:rsid w:val="005C4A2E"/>
    <w:rsid w:val="005C4D04"/>
    <w:rsid w:val="005C4D7A"/>
    <w:rsid w:val="005C4DC4"/>
    <w:rsid w:val="005C5D7F"/>
    <w:rsid w:val="005C5D97"/>
    <w:rsid w:val="005C617E"/>
    <w:rsid w:val="005D02AE"/>
    <w:rsid w:val="005D0BB3"/>
    <w:rsid w:val="005D1F4F"/>
    <w:rsid w:val="005D2D4F"/>
    <w:rsid w:val="005D340B"/>
    <w:rsid w:val="005D3B15"/>
    <w:rsid w:val="005D3E76"/>
    <w:rsid w:val="005D3FBE"/>
    <w:rsid w:val="005D75FA"/>
    <w:rsid w:val="005D78B6"/>
    <w:rsid w:val="005D7925"/>
    <w:rsid w:val="005D7C6C"/>
    <w:rsid w:val="005E0E59"/>
    <w:rsid w:val="005E1179"/>
    <w:rsid w:val="005E3B8E"/>
    <w:rsid w:val="005E6E00"/>
    <w:rsid w:val="005E6EBB"/>
    <w:rsid w:val="005F27BD"/>
    <w:rsid w:val="005F436C"/>
    <w:rsid w:val="005F4871"/>
    <w:rsid w:val="005F4FA0"/>
    <w:rsid w:val="005F5A75"/>
    <w:rsid w:val="005F745D"/>
    <w:rsid w:val="00600239"/>
    <w:rsid w:val="0060048A"/>
    <w:rsid w:val="0060071E"/>
    <w:rsid w:val="00600F7F"/>
    <w:rsid w:val="0060132A"/>
    <w:rsid w:val="006022C1"/>
    <w:rsid w:val="00602445"/>
    <w:rsid w:val="00607AB0"/>
    <w:rsid w:val="00607EFC"/>
    <w:rsid w:val="006104CC"/>
    <w:rsid w:val="0061151B"/>
    <w:rsid w:val="006147D1"/>
    <w:rsid w:val="006158A0"/>
    <w:rsid w:val="00617A07"/>
    <w:rsid w:val="00620A29"/>
    <w:rsid w:val="00621116"/>
    <w:rsid w:val="006232BC"/>
    <w:rsid w:val="0062483C"/>
    <w:rsid w:val="00624F45"/>
    <w:rsid w:val="0062649B"/>
    <w:rsid w:val="00631629"/>
    <w:rsid w:val="00632FC8"/>
    <w:rsid w:val="00633B4C"/>
    <w:rsid w:val="00634C97"/>
    <w:rsid w:val="00635833"/>
    <w:rsid w:val="006369B4"/>
    <w:rsid w:val="0064010A"/>
    <w:rsid w:val="006424B5"/>
    <w:rsid w:val="00645857"/>
    <w:rsid w:val="0064685F"/>
    <w:rsid w:val="00646968"/>
    <w:rsid w:val="0065328B"/>
    <w:rsid w:val="00653A48"/>
    <w:rsid w:val="00654DE5"/>
    <w:rsid w:val="00654EC8"/>
    <w:rsid w:val="006554F1"/>
    <w:rsid w:val="00656156"/>
    <w:rsid w:val="00657675"/>
    <w:rsid w:val="00657C7A"/>
    <w:rsid w:val="00660E1C"/>
    <w:rsid w:val="0066304E"/>
    <w:rsid w:val="0066326E"/>
    <w:rsid w:val="00664BB5"/>
    <w:rsid w:val="006656EC"/>
    <w:rsid w:val="00665ACB"/>
    <w:rsid w:val="0066661D"/>
    <w:rsid w:val="006705AE"/>
    <w:rsid w:val="00671F15"/>
    <w:rsid w:val="00672098"/>
    <w:rsid w:val="00672B4E"/>
    <w:rsid w:val="00674639"/>
    <w:rsid w:val="006754B9"/>
    <w:rsid w:val="0067620B"/>
    <w:rsid w:val="00676D3F"/>
    <w:rsid w:val="00676FA5"/>
    <w:rsid w:val="00680F7F"/>
    <w:rsid w:val="00681EB8"/>
    <w:rsid w:val="0068355B"/>
    <w:rsid w:val="006844F7"/>
    <w:rsid w:val="00685DC2"/>
    <w:rsid w:val="00686C7D"/>
    <w:rsid w:val="00687AC8"/>
    <w:rsid w:val="006916D1"/>
    <w:rsid w:val="00692D50"/>
    <w:rsid w:val="00694895"/>
    <w:rsid w:val="00694C10"/>
    <w:rsid w:val="006A0027"/>
    <w:rsid w:val="006A0743"/>
    <w:rsid w:val="006A2722"/>
    <w:rsid w:val="006A44B7"/>
    <w:rsid w:val="006A487C"/>
    <w:rsid w:val="006A7914"/>
    <w:rsid w:val="006A7A6F"/>
    <w:rsid w:val="006B01AA"/>
    <w:rsid w:val="006B076E"/>
    <w:rsid w:val="006B1372"/>
    <w:rsid w:val="006B2DCD"/>
    <w:rsid w:val="006B4380"/>
    <w:rsid w:val="006B54BC"/>
    <w:rsid w:val="006B5E31"/>
    <w:rsid w:val="006B728A"/>
    <w:rsid w:val="006C0EFF"/>
    <w:rsid w:val="006C2272"/>
    <w:rsid w:val="006C27F1"/>
    <w:rsid w:val="006C41C1"/>
    <w:rsid w:val="006D2076"/>
    <w:rsid w:val="006D2C13"/>
    <w:rsid w:val="006D2DA8"/>
    <w:rsid w:val="006D3A5A"/>
    <w:rsid w:val="006D3CA9"/>
    <w:rsid w:val="006D689B"/>
    <w:rsid w:val="006D6CA2"/>
    <w:rsid w:val="006D78AE"/>
    <w:rsid w:val="006D7CAE"/>
    <w:rsid w:val="006E0314"/>
    <w:rsid w:val="006E04AB"/>
    <w:rsid w:val="006E0BBC"/>
    <w:rsid w:val="006E247C"/>
    <w:rsid w:val="006E2D69"/>
    <w:rsid w:val="006E7126"/>
    <w:rsid w:val="006F089A"/>
    <w:rsid w:val="006F12EA"/>
    <w:rsid w:val="006F1B04"/>
    <w:rsid w:val="006F1B18"/>
    <w:rsid w:val="006F2AD2"/>
    <w:rsid w:val="006F30DB"/>
    <w:rsid w:val="006F36DA"/>
    <w:rsid w:val="006F3794"/>
    <w:rsid w:val="006F3A59"/>
    <w:rsid w:val="00700EDE"/>
    <w:rsid w:val="007031F3"/>
    <w:rsid w:val="00706C8C"/>
    <w:rsid w:val="007074DC"/>
    <w:rsid w:val="00710D6E"/>
    <w:rsid w:val="00711523"/>
    <w:rsid w:val="00711D60"/>
    <w:rsid w:val="007125E8"/>
    <w:rsid w:val="00712D4F"/>
    <w:rsid w:val="00713ABE"/>
    <w:rsid w:val="00716A57"/>
    <w:rsid w:val="00720F88"/>
    <w:rsid w:val="0072189C"/>
    <w:rsid w:val="00722A3E"/>
    <w:rsid w:val="00722E2B"/>
    <w:rsid w:val="00723961"/>
    <w:rsid w:val="00723E86"/>
    <w:rsid w:val="00725405"/>
    <w:rsid w:val="0072639B"/>
    <w:rsid w:val="007277B9"/>
    <w:rsid w:val="0073004D"/>
    <w:rsid w:val="0073214C"/>
    <w:rsid w:val="0073240E"/>
    <w:rsid w:val="00732456"/>
    <w:rsid w:val="00734C10"/>
    <w:rsid w:val="007362C4"/>
    <w:rsid w:val="007363FB"/>
    <w:rsid w:val="00737133"/>
    <w:rsid w:val="007403B9"/>
    <w:rsid w:val="00740F5B"/>
    <w:rsid w:val="007416B0"/>
    <w:rsid w:val="007417C8"/>
    <w:rsid w:val="00742B5A"/>
    <w:rsid w:val="00743362"/>
    <w:rsid w:val="007448F5"/>
    <w:rsid w:val="00745765"/>
    <w:rsid w:val="00745D4F"/>
    <w:rsid w:val="00746978"/>
    <w:rsid w:val="00746FDD"/>
    <w:rsid w:val="00747AA9"/>
    <w:rsid w:val="007504F7"/>
    <w:rsid w:val="0075061D"/>
    <w:rsid w:val="00752217"/>
    <w:rsid w:val="0075243B"/>
    <w:rsid w:val="007529A1"/>
    <w:rsid w:val="00753B4B"/>
    <w:rsid w:val="007575D6"/>
    <w:rsid w:val="00760EE0"/>
    <w:rsid w:val="00761051"/>
    <w:rsid w:val="007642AC"/>
    <w:rsid w:val="00764681"/>
    <w:rsid w:val="00767144"/>
    <w:rsid w:val="007717FA"/>
    <w:rsid w:val="00771C92"/>
    <w:rsid w:val="007723E6"/>
    <w:rsid w:val="00774493"/>
    <w:rsid w:val="007747E3"/>
    <w:rsid w:val="007749F3"/>
    <w:rsid w:val="007753FD"/>
    <w:rsid w:val="00776830"/>
    <w:rsid w:val="007818E7"/>
    <w:rsid w:val="00782432"/>
    <w:rsid w:val="0078318D"/>
    <w:rsid w:val="007853EB"/>
    <w:rsid w:val="00785A77"/>
    <w:rsid w:val="00785A8C"/>
    <w:rsid w:val="00785D09"/>
    <w:rsid w:val="00785F0E"/>
    <w:rsid w:val="00786E25"/>
    <w:rsid w:val="00791326"/>
    <w:rsid w:val="00791A93"/>
    <w:rsid w:val="00791E2E"/>
    <w:rsid w:val="00791E7E"/>
    <w:rsid w:val="00793247"/>
    <w:rsid w:val="00794894"/>
    <w:rsid w:val="00794ADD"/>
    <w:rsid w:val="007951FF"/>
    <w:rsid w:val="007A1048"/>
    <w:rsid w:val="007A2D64"/>
    <w:rsid w:val="007A3FBB"/>
    <w:rsid w:val="007A4F6D"/>
    <w:rsid w:val="007A54E5"/>
    <w:rsid w:val="007A6A56"/>
    <w:rsid w:val="007A7447"/>
    <w:rsid w:val="007B126F"/>
    <w:rsid w:val="007B12DE"/>
    <w:rsid w:val="007B41B8"/>
    <w:rsid w:val="007B758E"/>
    <w:rsid w:val="007C196B"/>
    <w:rsid w:val="007C30FE"/>
    <w:rsid w:val="007C356C"/>
    <w:rsid w:val="007C37A3"/>
    <w:rsid w:val="007C5A0E"/>
    <w:rsid w:val="007D10CB"/>
    <w:rsid w:val="007D1831"/>
    <w:rsid w:val="007D3350"/>
    <w:rsid w:val="007D41EF"/>
    <w:rsid w:val="007D5A6D"/>
    <w:rsid w:val="007D6A1E"/>
    <w:rsid w:val="007E260A"/>
    <w:rsid w:val="007E5256"/>
    <w:rsid w:val="007E592B"/>
    <w:rsid w:val="007E726B"/>
    <w:rsid w:val="007F00DF"/>
    <w:rsid w:val="007F14BB"/>
    <w:rsid w:val="007F16AC"/>
    <w:rsid w:val="007F172F"/>
    <w:rsid w:val="007F67B1"/>
    <w:rsid w:val="007F7AB0"/>
    <w:rsid w:val="008003D8"/>
    <w:rsid w:val="008015FE"/>
    <w:rsid w:val="00804DAA"/>
    <w:rsid w:val="00807289"/>
    <w:rsid w:val="00807696"/>
    <w:rsid w:val="00807D02"/>
    <w:rsid w:val="00810127"/>
    <w:rsid w:val="00810A54"/>
    <w:rsid w:val="00813A41"/>
    <w:rsid w:val="008146CB"/>
    <w:rsid w:val="0082143B"/>
    <w:rsid w:val="00822150"/>
    <w:rsid w:val="008226F6"/>
    <w:rsid w:val="00822B6A"/>
    <w:rsid w:val="00823B59"/>
    <w:rsid w:val="00824645"/>
    <w:rsid w:val="008252BB"/>
    <w:rsid w:val="00825761"/>
    <w:rsid w:val="00826974"/>
    <w:rsid w:val="008269E3"/>
    <w:rsid w:val="00831396"/>
    <w:rsid w:val="00832E39"/>
    <w:rsid w:val="00837DDF"/>
    <w:rsid w:val="00840CB8"/>
    <w:rsid w:val="00842D0F"/>
    <w:rsid w:val="0084327E"/>
    <w:rsid w:val="00843345"/>
    <w:rsid w:val="00845ACE"/>
    <w:rsid w:val="00846616"/>
    <w:rsid w:val="00846B55"/>
    <w:rsid w:val="008475C9"/>
    <w:rsid w:val="00847DF6"/>
    <w:rsid w:val="00852079"/>
    <w:rsid w:val="00853E6F"/>
    <w:rsid w:val="00854E8C"/>
    <w:rsid w:val="00855EAB"/>
    <w:rsid w:val="008575D2"/>
    <w:rsid w:val="00857A4D"/>
    <w:rsid w:val="00857F9F"/>
    <w:rsid w:val="00862464"/>
    <w:rsid w:val="00863346"/>
    <w:rsid w:val="00864554"/>
    <w:rsid w:val="00865D27"/>
    <w:rsid w:val="0086612A"/>
    <w:rsid w:val="00866FDE"/>
    <w:rsid w:val="00867ECB"/>
    <w:rsid w:val="008719DC"/>
    <w:rsid w:val="00872CCC"/>
    <w:rsid w:val="00873B48"/>
    <w:rsid w:val="00873FB9"/>
    <w:rsid w:val="00876BD4"/>
    <w:rsid w:val="0088159B"/>
    <w:rsid w:val="00881D7B"/>
    <w:rsid w:val="00885FD0"/>
    <w:rsid w:val="00887308"/>
    <w:rsid w:val="00887424"/>
    <w:rsid w:val="00887BFD"/>
    <w:rsid w:val="00891862"/>
    <w:rsid w:val="00892C5F"/>
    <w:rsid w:val="00893381"/>
    <w:rsid w:val="008964E5"/>
    <w:rsid w:val="00896AF8"/>
    <w:rsid w:val="008A1013"/>
    <w:rsid w:val="008A1B54"/>
    <w:rsid w:val="008A66DD"/>
    <w:rsid w:val="008B0CB8"/>
    <w:rsid w:val="008B0E5A"/>
    <w:rsid w:val="008B2A79"/>
    <w:rsid w:val="008B3011"/>
    <w:rsid w:val="008B3AF1"/>
    <w:rsid w:val="008B52E6"/>
    <w:rsid w:val="008B76A2"/>
    <w:rsid w:val="008C0C1E"/>
    <w:rsid w:val="008C0C61"/>
    <w:rsid w:val="008C2987"/>
    <w:rsid w:val="008C326A"/>
    <w:rsid w:val="008C428E"/>
    <w:rsid w:val="008C44D7"/>
    <w:rsid w:val="008C451D"/>
    <w:rsid w:val="008C6532"/>
    <w:rsid w:val="008C6CCB"/>
    <w:rsid w:val="008C74AD"/>
    <w:rsid w:val="008C7604"/>
    <w:rsid w:val="008D2488"/>
    <w:rsid w:val="008D32FF"/>
    <w:rsid w:val="008D455D"/>
    <w:rsid w:val="008D5AF7"/>
    <w:rsid w:val="008D6077"/>
    <w:rsid w:val="008D6162"/>
    <w:rsid w:val="008E04FB"/>
    <w:rsid w:val="008E0569"/>
    <w:rsid w:val="008E2DEE"/>
    <w:rsid w:val="008E5B0A"/>
    <w:rsid w:val="008E6B8F"/>
    <w:rsid w:val="008E6C83"/>
    <w:rsid w:val="008E7CB8"/>
    <w:rsid w:val="008F3F93"/>
    <w:rsid w:val="008F5F11"/>
    <w:rsid w:val="009024D0"/>
    <w:rsid w:val="009029E2"/>
    <w:rsid w:val="00902A5B"/>
    <w:rsid w:val="009039F5"/>
    <w:rsid w:val="00903C80"/>
    <w:rsid w:val="0090502A"/>
    <w:rsid w:val="00905EF1"/>
    <w:rsid w:val="00906579"/>
    <w:rsid w:val="00906A83"/>
    <w:rsid w:val="00907294"/>
    <w:rsid w:val="00907776"/>
    <w:rsid w:val="00915E14"/>
    <w:rsid w:val="0091756D"/>
    <w:rsid w:val="00917619"/>
    <w:rsid w:val="00917700"/>
    <w:rsid w:val="00920483"/>
    <w:rsid w:val="00921997"/>
    <w:rsid w:val="00921C3D"/>
    <w:rsid w:val="00923A85"/>
    <w:rsid w:val="00924CEE"/>
    <w:rsid w:val="00925EC2"/>
    <w:rsid w:val="0093287B"/>
    <w:rsid w:val="00933D8F"/>
    <w:rsid w:val="00934160"/>
    <w:rsid w:val="0093445A"/>
    <w:rsid w:val="00935004"/>
    <w:rsid w:val="00935350"/>
    <w:rsid w:val="009358D4"/>
    <w:rsid w:val="00935B99"/>
    <w:rsid w:val="00936097"/>
    <w:rsid w:val="00936FF7"/>
    <w:rsid w:val="0094166B"/>
    <w:rsid w:val="009421DB"/>
    <w:rsid w:val="009430FC"/>
    <w:rsid w:val="00943444"/>
    <w:rsid w:val="0094430D"/>
    <w:rsid w:val="0094509D"/>
    <w:rsid w:val="0094553F"/>
    <w:rsid w:val="00945675"/>
    <w:rsid w:val="0094638B"/>
    <w:rsid w:val="00947677"/>
    <w:rsid w:val="009477D2"/>
    <w:rsid w:val="0095022F"/>
    <w:rsid w:val="009507C1"/>
    <w:rsid w:val="00950B9D"/>
    <w:rsid w:val="00951269"/>
    <w:rsid w:val="00952068"/>
    <w:rsid w:val="009523CF"/>
    <w:rsid w:val="009539AD"/>
    <w:rsid w:val="00955515"/>
    <w:rsid w:val="00956433"/>
    <w:rsid w:val="009576FF"/>
    <w:rsid w:val="00957B36"/>
    <w:rsid w:val="00960353"/>
    <w:rsid w:val="00960C43"/>
    <w:rsid w:val="00961BF9"/>
    <w:rsid w:val="009624A6"/>
    <w:rsid w:val="009625D4"/>
    <w:rsid w:val="00962EDB"/>
    <w:rsid w:val="00963940"/>
    <w:rsid w:val="00965D03"/>
    <w:rsid w:val="009677B6"/>
    <w:rsid w:val="00967E7A"/>
    <w:rsid w:val="00972E9C"/>
    <w:rsid w:val="00973017"/>
    <w:rsid w:val="00973CF3"/>
    <w:rsid w:val="00974FAC"/>
    <w:rsid w:val="00975020"/>
    <w:rsid w:val="00975662"/>
    <w:rsid w:val="00976A52"/>
    <w:rsid w:val="00976D3D"/>
    <w:rsid w:val="00981033"/>
    <w:rsid w:val="009813C9"/>
    <w:rsid w:val="00981804"/>
    <w:rsid w:val="00982928"/>
    <w:rsid w:val="00984344"/>
    <w:rsid w:val="00986BE9"/>
    <w:rsid w:val="00986DC4"/>
    <w:rsid w:val="00987679"/>
    <w:rsid w:val="00987B4B"/>
    <w:rsid w:val="00987CBD"/>
    <w:rsid w:val="00990ABF"/>
    <w:rsid w:val="00991146"/>
    <w:rsid w:val="00993A35"/>
    <w:rsid w:val="00995C68"/>
    <w:rsid w:val="009960EF"/>
    <w:rsid w:val="009970C7"/>
    <w:rsid w:val="009A0C9A"/>
    <w:rsid w:val="009A2E65"/>
    <w:rsid w:val="009A30B6"/>
    <w:rsid w:val="009A322D"/>
    <w:rsid w:val="009B0FC9"/>
    <w:rsid w:val="009B1B4B"/>
    <w:rsid w:val="009B30F8"/>
    <w:rsid w:val="009B36F5"/>
    <w:rsid w:val="009B3889"/>
    <w:rsid w:val="009B3CCA"/>
    <w:rsid w:val="009B47AB"/>
    <w:rsid w:val="009B5D75"/>
    <w:rsid w:val="009B71F3"/>
    <w:rsid w:val="009B7BDC"/>
    <w:rsid w:val="009C0396"/>
    <w:rsid w:val="009C22A4"/>
    <w:rsid w:val="009C2C7D"/>
    <w:rsid w:val="009C2E76"/>
    <w:rsid w:val="009C3B34"/>
    <w:rsid w:val="009C3EFD"/>
    <w:rsid w:val="009C4411"/>
    <w:rsid w:val="009C6C3B"/>
    <w:rsid w:val="009C7118"/>
    <w:rsid w:val="009D0019"/>
    <w:rsid w:val="009D1417"/>
    <w:rsid w:val="009D1F8E"/>
    <w:rsid w:val="009E0022"/>
    <w:rsid w:val="009E1C81"/>
    <w:rsid w:val="009E4714"/>
    <w:rsid w:val="009E6715"/>
    <w:rsid w:val="009E71BC"/>
    <w:rsid w:val="009E7C97"/>
    <w:rsid w:val="009F12F5"/>
    <w:rsid w:val="009F1C48"/>
    <w:rsid w:val="009F1E0A"/>
    <w:rsid w:val="009F2CF0"/>
    <w:rsid w:val="009F49C5"/>
    <w:rsid w:val="009F4CE2"/>
    <w:rsid w:val="009F58FE"/>
    <w:rsid w:val="009F5BFE"/>
    <w:rsid w:val="009F7607"/>
    <w:rsid w:val="009F7CBB"/>
    <w:rsid w:val="00A0113F"/>
    <w:rsid w:val="00A0226B"/>
    <w:rsid w:val="00A02809"/>
    <w:rsid w:val="00A036A5"/>
    <w:rsid w:val="00A04014"/>
    <w:rsid w:val="00A04AEB"/>
    <w:rsid w:val="00A062D6"/>
    <w:rsid w:val="00A0632F"/>
    <w:rsid w:val="00A06968"/>
    <w:rsid w:val="00A06F61"/>
    <w:rsid w:val="00A071A7"/>
    <w:rsid w:val="00A07723"/>
    <w:rsid w:val="00A079D5"/>
    <w:rsid w:val="00A07B8A"/>
    <w:rsid w:val="00A11B53"/>
    <w:rsid w:val="00A124E7"/>
    <w:rsid w:val="00A12C5C"/>
    <w:rsid w:val="00A143A0"/>
    <w:rsid w:val="00A144F2"/>
    <w:rsid w:val="00A14A11"/>
    <w:rsid w:val="00A16E9C"/>
    <w:rsid w:val="00A214E5"/>
    <w:rsid w:val="00A239B8"/>
    <w:rsid w:val="00A24E4D"/>
    <w:rsid w:val="00A26394"/>
    <w:rsid w:val="00A307B4"/>
    <w:rsid w:val="00A30AA9"/>
    <w:rsid w:val="00A31234"/>
    <w:rsid w:val="00A32CBF"/>
    <w:rsid w:val="00A33763"/>
    <w:rsid w:val="00A33BF2"/>
    <w:rsid w:val="00A3468F"/>
    <w:rsid w:val="00A3669C"/>
    <w:rsid w:val="00A43641"/>
    <w:rsid w:val="00A4441B"/>
    <w:rsid w:val="00A45ACE"/>
    <w:rsid w:val="00A46AD9"/>
    <w:rsid w:val="00A46D99"/>
    <w:rsid w:val="00A50A98"/>
    <w:rsid w:val="00A50E6D"/>
    <w:rsid w:val="00A54037"/>
    <w:rsid w:val="00A542DA"/>
    <w:rsid w:val="00A55B76"/>
    <w:rsid w:val="00A57935"/>
    <w:rsid w:val="00A57BAB"/>
    <w:rsid w:val="00A60C47"/>
    <w:rsid w:val="00A63AA2"/>
    <w:rsid w:val="00A6451A"/>
    <w:rsid w:val="00A651A0"/>
    <w:rsid w:val="00A65800"/>
    <w:rsid w:val="00A6695B"/>
    <w:rsid w:val="00A67B03"/>
    <w:rsid w:val="00A71650"/>
    <w:rsid w:val="00A71A3F"/>
    <w:rsid w:val="00A7636F"/>
    <w:rsid w:val="00A7731C"/>
    <w:rsid w:val="00A775E8"/>
    <w:rsid w:val="00A809D4"/>
    <w:rsid w:val="00A80F1F"/>
    <w:rsid w:val="00A822B6"/>
    <w:rsid w:val="00A82335"/>
    <w:rsid w:val="00A83E30"/>
    <w:rsid w:val="00A84215"/>
    <w:rsid w:val="00A842B9"/>
    <w:rsid w:val="00A84394"/>
    <w:rsid w:val="00A84CA1"/>
    <w:rsid w:val="00A854F3"/>
    <w:rsid w:val="00A85D11"/>
    <w:rsid w:val="00A8606B"/>
    <w:rsid w:val="00A878E6"/>
    <w:rsid w:val="00A879BC"/>
    <w:rsid w:val="00A925C4"/>
    <w:rsid w:val="00A937D3"/>
    <w:rsid w:val="00A94292"/>
    <w:rsid w:val="00AA0629"/>
    <w:rsid w:val="00AA0C4A"/>
    <w:rsid w:val="00AA3665"/>
    <w:rsid w:val="00AA468F"/>
    <w:rsid w:val="00AA4A37"/>
    <w:rsid w:val="00AA5005"/>
    <w:rsid w:val="00AA559F"/>
    <w:rsid w:val="00AA6DFA"/>
    <w:rsid w:val="00AB0075"/>
    <w:rsid w:val="00AB140E"/>
    <w:rsid w:val="00AB2206"/>
    <w:rsid w:val="00AB31F8"/>
    <w:rsid w:val="00AB33E6"/>
    <w:rsid w:val="00AB4C6C"/>
    <w:rsid w:val="00AB53EF"/>
    <w:rsid w:val="00AB5675"/>
    <w:rsid w:val="00AB7BC6"/>
    <w:rsid w:val="00AC0687"/>
    <w:rsid w:val="00AC07DF"/>
    <w:rsid w:val="00AC0AA6"/>
    <w:rsid w:val="00AC0F7F"/>
    <w:rsid w:val="00AC14CA"/>
    <w:rsid w:val="00AC22EF"/>
    <w:rsid w:val="00AC2330"/>
    <w:rsid w:val="00AC27CD"/>
    <w:rsid w:val="00AC5253"/>
    <w:rsid w:val="00AC712C"/>
    <w:rsid w:val="00AD0776"/>
    <w:rsid w:val="00AD08C6"/>
    <w:rsid w:val="00AD2408"/>
    <w:rsid w:val="00AD2EAE"/>
    <w:rsid w:val="00AD51DD"/>
    <w:rsid w:val="00AD535D"/>
    <w:rsid w:val="00AD578E"/>
    <w:rsid w:val="00AD7231"/>
    <w:rsid w:val="00AD79F9"/>
    <w:rsid w:val="00AE04B1"/>
    <w:rsid w:val="00AE0C0F"/>
    <w:rsid w:val="00AE2160"/>
    <w:rsid w:val="00AE27B6"/>
    <w:rsid w:val="00AE2E62"/>
    <w:rsid w:val="00AE7038"/>
    <w:rsid w:val="00AE73E1"/>
    <w:rsid w:val="00AE7C2B"/>
    <w:rsid w:val="00AF0ACE"/>
    <w:rsid w:val="00AF3DB7"/>
    <w:rsid w:val="00AF4F4B"/>
    <w:rsid w:val="00AF6AE6"/>
    <w:rsid w:val="00AF73D4"/>
    <w:rsid w:val="00B014CA"/>
    <w:rsid w:val="00B01518"/>
    <w:rsid w:val="00B0160F"/>
    <w:rsid w:val="00B045D3"/>
    <w:rsid w:val="00B04955"/>
    <w:rsid w:val="00B04CDD"/>
    <w:rsid w:val="00B0628E"/>
    <w:rsid w:val="00B06DD9"/>
    <w:rsid w:val="00B10715"/>
    <w:rsid w:val="00B10C0D"/>
    <w:rsid w:val="00B1139E"/>
    <w:rsid w:val="00B16D22"/>
    <w:rsid w:val="00B20553"/>
    <w:rsid w:val="00B20A2A"/>
    <w:rsid w:val="00B20A66"/>
    <w:rsid w:val="00B21E73"/>
    <w:rsid w:val="00B229B7"/>
    <w:rsid w:val="00B22CA2"/>
    <w:rsid w:val="00B24851"/>
    <w:rsid w:val="00B2485D"/>
    <w:rsid w:val="00B26924"/>
    <w:rsid w:val="00B27800"/>
    <w:rsid w:val="00B30B07"/>
    <w:rsid w:val="00B31874"/>
    <w:rsid w:val="00B32E02"/>
    <w:rsid w:val="00B33A95"/>
    <w:rsid w:val="00B33D27"/>
    <w:rsid w:val="00B3471A"/>
    <w:rsid w:val="00B35F84"/>
    <w:rsid w:val="00B378CE"/>
    <w:rsid w:val="00B40C98"/>
    <w:rsid w:val="00B42C52"/>
    <w:rsid w:val="00B43327"/>
    <w:rsid w:val="00B43912"/>
    <w:rsid w:val="00B43B01"/>
    <w:rsid w:val="00B445B7"/>
    <w:rsid w:val="00B44FE1"/>
    <w:rsid w:val="00B45519"/>
    <w:rsid w:val="00B46181"/>
    <w:rsid w:val="00B46596"/>
    <w:rsid w:val="00B46A66"/>
    <w:rsid w:val="00B4741F"/>
    <w:rsid w:val="00B525D5"/>
    <w:rsid w:val="00B53AF8"/>
    <w:rsid w:val="00B55E4B"/>
    <w:rsid w:val="00B56B31"/>
    <w:rsid w:val="00B57324"/>
    <w:rsid w:val="00B57BF8"/>
    <w:rsid w:val="00B614CF"/>
    <w:rsid w:val="00B63C22"/>
    <w:rsid w:val="00B6404D"/>
    <w:rsid w:val="00B65171"/>
    <w:rsid w:val="00B678F1"/>
    <w:rsid w:val="00B70BAB"/>
    <w:rsid w:val="00B71EDC"/>
    <w:rsid w:val="00B73CFD"/>
    <w:rsid w:val="00B74CFA"/>
    <w:rsid w:val="00B74DAC"/>
    <w:rsid w:val="00B75A29"/>
    <w:rsid w:val="00B75DFF"/>
    <w:rsid w:val="00B75F84"/>
    <w:rsid w:val="00B76473"/>
    <w:rsid w:val="00B76A79"/>
    <w:rsid w:val="00B77424"/>
    <w:rsid w:val="00B775F4"/>
    <w:rsid w:val="00B7782D"/>
    <w:rsid w:val="00B8005E"/>
    <w:rsid w:val="00B83965"/>
    <w:rsid w:val="00B84CBD"/>
    <w:rsid w:val="00B84F13"/>
    <w:rsid w:val="00B8657C"/>
    <w:rsid w:val="00B86CCF"/>
    <w:rsid w:val="00B87883"/>
    <w:rsid w:val="00B87D64"/>
    <w:rsid w:val="00B91C03"/>
    <w:rsid w:val="00B920A2"/>
    <w:rsid w:val="00B937F1"/>
    <w:rsid w:val="00B93B08"/>
    <w:rsid w:val="00B93D1C"/>
    <w:rsid w:val="00B94323"/>
    <w:rsid w:val="00B9590F"/>
    <w:rsid w:val="00B96570"/>
    <w:rsid w:val="00B9685E"/>
    <w:rsid w:val="00B974F9"/>
    <w:rsid w:val="00BA20F0"/>
    <w:rsid w:val="00BA3EA9"/>
    <w:rsid w:val="00BA3F63"/>
    <w:rsid w:val="00BA4E21"/>
    <w:rsid w:val="00BA59DF"/>
    <w:rsid w:val="00BA6D89"/>
    <w:rsid w:val="00BA6DCD"/>
    <w:rsid w:val="00BB07CD"/>
    <w:rsid w:val="00BC2118"/>
    <w:rsid w:val="00BC39F5"/>
    <w:rsid w:val="00BC6BAE"/>
    <w:rsid w:val="00BC7ECE"/>
    <w:rsid w:val="00BD0F4F"/>
    <w:rsid w:val="00BD52C1"/>
    <w:rsid w:val="00BD760A"/>
    <w:rsid w:val="00BE056D"/>
    <w:rsid w:val="00BE105F"/>
    <w:rsid w:val="00BE173C"/>
    <w:rsid w:val="00BE21DC"/>
    <w:rsid w:val="00BE230A"/>
    <w:rsid w:val="00BE3429"/>
    <w:rsid w:val="00BE6644"/>
    <w:rsid w:val="00BF112D"/>
    <w:rsid w:val="00BF1DA0"/>
    <w:rsid w:val="00BF2972"/>
    <w:rsid w:val="00BF2BCE"/>
    <w:rsid w:val="00BF365E"/>
    <w:rsid w:val="00BF5242"/>
    <w:rsid w:val="00BF59F4"/>
    <w:rsid w:val="00BF6858"/>
    <w:rsid w:val="00BF75D5"/>
    <w:rsid w:val="00C01023"/>
    <w:rsid w:val="00C01D64"/>
    <w:rsid w:val="00C01DF2"/>
    <w:rsid w:val="00C02E6F"/>
    <w:rsid w:val="00C04A41"/>
    <w:rsid w:val="00C04EB8"/>
    <w:rsid w:val="00C05871"/>
    <w:rsid w:val="00C1090E"/>
    <w:rsid w:val="00C12E68"/>
    <w:rsid w:val="00C20340"/>
    <w:rsid w:val="00C23080"/>
    <w:rsid w:val="00C23AED"/>
    <w:rsid w:val="00C24553"/>
    <w:rsid w:val="00C24CED"/>
    <w:rsid w:val="00C2526E"/>
    <w:rsid w:val="00C256FA"/>
    <w:rsid w:val="00C31A0B"/>
    <w:rsid w:val="00C32F4C"/>
    <w:rsid w:val="00C33281"/>
    <w:rsid w:val="00C340BE"/>
    <w:rsid w:val="00C3531D"/>
    <w:rsid w:val="00C40001"/>
    <w:rsid w:val="00C412DC"/>
    <w:rsid w:val="00C41FD6"/>
    <w:rsid w:val="00C42611"/>
    <w:rsid w:val="00C42C7E"/>
    <w:rsid w:val="00C4323B"/>
    <w:rsid w:val="00C45AAE"/>
    <w:rsid w:val="00C46B55"/>
    <w:rsid w:val="00C46DE0"/>
    <w:rsid w:val="00C479FC"/>
    <w:rsid w:val="00C508D9"/>
    <w:rsid w:val="00C520A7"/>
    <w:rsid w:val="00C52E95"/>
    <w:rsid w:val="00C534A2"/>
    <w:rsid w:val="00C53B01"/>
    <w:rsid w:val="00C55818"/>
    <w:rsid w:val="00C56D59"/>
    <w:rsid w:val="00C6267F"/>
    <w:rsid w:val="00C6374D"/>
    <w:rsid w:val="00C63ABB"/>
    <w:rsid w:val="00C64164"/>
    <w:rsid w:val="00C66730"/>
    <w:rsid w:val="00C66EC4"/>
    <w:rsid w:val="00C6785E"/>
    <w:rsid w:val="00C71F01"/>
    <w:rsid w:val="00C722A2"/>
    <w:rsid w:val="00C72658"/>
    <w:rsid w:val="00C727D2"/>
    <w:rsid w:val="00C73EBD"/>
    <w:rsid w:val="00C74E83"/>
    <w:rsid w:val="00C75A0F"/>
    <w:rsid w:val="00C76005"/>
    <w:rsid w:val="00C767E3"/>
    <w:rsid w:val="00C76B7A"/>
    <w:rsid w:val="00C77C45"/>
    <w:rsid w:val="00C8197B"/>
    <w:rsid w:val="00C81B34"/>
    <w:rsid w:val="00C81DFD"/>
    <w:rsid w:val="00C83A4C"/>
    <w:rsid w:val="00C8488C"/>
    <w:rsid w:val="00C8540D"/>
    <w:rsid w:val="00C85F15"/>
    <w:rsid w:val="00C871B7"/>
    <w:rsid w:val="00C928F5"/>
    <w:rsid w:val="00C954B1"/>
    <w:rsid w:val="00C9556F"/>
    <w:rsid w:val="00C97077"/>
    <w:rsid w:val="00C9721C"/>
    <w:rsid w:val="00CA1B1C"/>
    <w:rsid w:val="00CA20AB"/>
    <w:rsid w:val="00CA23A0"/>
    <w:rsid w:val="00CA3CD3"/>
    <w:rsid w:val="00CA4C81"/>
    <w:rsid w:val="00CA5047"/>
    <w:rsid w:val="00CA615A"/>
    <w:rsid w:val="00CA771E"/>
    <w:rsid w:val="00CA7D69"/>
    <w:rsid w:val="00CA7DEB"/>
    <w:rsid w:val="00CB16CC"/>
    <w:rsid w:val="00CB42CC"/>
    <w:rsid w:val="00CB56CE"/>
    <w:rsid w:val="00CB6AA8"/>
    <w:rsid w:val="00CB72B9"/>
    <w:rsid w:val="00CC008D"/>
    <w:rsid w:val="00CC0CBB"/>
    <w:rsid w:val="00CC2DEA"/>
    <w:rsid w:val="00CC2E3A"/>
    <w:rsid w:val="00CC4D8F"/>
    <w:rsid w:val="00CC5512"/>
    <w:rsid w:val="00CC66CB"/>
    <w:rsid w:val="00CC6C4F"/>
    <w:rsid w:val="00CD0D6D"/>
    <w:rsid w:val="00CD1E69"/>
    <w:rsid w:val="00CD6C0E"/>
    <w:rsid w:val="00CE004D"/>
    <w:rsid w:val="00CE0586"/>
    <w:rsid w:val="00CE16AF"/>
    <w:rsid w:val="00CE1C23"/>
    <w:rsid w:val="00CE31DD"/>
    <w:rsid w:val="00CE43E0"/>
    <w:rsid w:val="00CE4BF2"/>
    <w:rsid w:val="00CE5DDF"/>
    <w:rsid w:val="00CE5FFA"/>
    <w:rsid w:val="00CE7038"/>
    <w:rsid w:val="00CF0D64"/>
    <w:rsid w:val="00CF143B"/>
    <w:rsid w:val="00CF16AB"/>
    <w:rsid w:val="00CF1EBE"/>
    <w:rsid w:val="00CF24B8"/>
    <w:rsid w:val="00CF38D4"/>
    <w:rsid w:val="00CF56A7"/>
    <w:rsid w:val="00CF6CD1"/>
    <w:rsid w:val="00D0055D"/>
    <w:rsid w:val="00D01AB5"/>
    <w:rsid w:val="00D02100"/>
    <w:rsid w:val="00D03CC1"/>
    <w:rsid w:val="00D0675F"/>
    <w:rsid w:val="00D12A12"/>
    <w:rsid w:val="00D1318D"/>
    <w:rsid w:val="00D13F41"/>
    <w:rsid w:val="00D14015"/>
    <w:rsid w:val="00D14C18"/>
    <w:rsid w:val="00D153BD"/>
    <w:rsid w:val="00D1642D"/>
    <w:rsid w:val="00D17614"/>
    <w:rsid w:val="00D21548"/>
    <w:rsid w:val="00D2180A"/>
    <w:rsid w:val="00D22359"/>
    <w:rsid w:val="00D23E3C"/>
    <w:rsid w:val="00D253CD"/>
    <w:rsid w:val="00D258AE"/>
    <w:rsid w:val="00D26A55"/>
    <w:rsid w:val="00D320E9"/>
    <w:rsid w:val="00D32161"/>
    <w:rsid w:val="00D32454"/>
    <w:rsid w:val="00D349A6"/>
    <w:rsid w:val="00D34D94"/>
    <w:rsid w:val="00D35779"/>
    <w:rsid w:val="00D40DAA"/>
    <w:rsid w:val="00D41053"/>
    <w:rsid w:val="00D41F27"/>
    <w:rsid w:val="00D42077"/>
    <w:rsid w:val="00D4219F"/>
    <w:rsid w:val="00D44710"/>
    <w:rsid w:val="00D45EF9"/>
    <w:rsid w:val="00D46545"/>
    <w:rsid w:val="00D46701"/>
    <w:rsid w:val="00D4718D"/>
    <w:rsid w:val="00D52920"/>
    <w:rsid w:val="00D53BC6"/>
    <w:rsid w:val="00D57840"/>
    <w:rsid w:val="00D57D57"/>
    <w:rsid w:val="00D609E1"/>
    <w:rsid w:val="00D60B57"/>
    <w:rsid w:val="00D61357"/>
    <w:rsid w:val="00D613A4"/>
    <w:rsid w:val="00D61C4D"/>
    <w:rsid w:val="00D62098"/>
    <w:rsid w:val="00D6770D"/>
    <w:rsid w:val="00D702F1"/>
    <w:rsid w:val="00D71335"/>
    <w:rsid w:val="00D71BF8"/>
    <w:rsid w:val="00D72162"/>
    <w:rsid w:val="00D726D5"/>
    <w:rsid w:val="00D74D73"/>
    <w:rsid w:val="00D754A8"/>
    <w:rsid w:val="00D75E66"/>
    <w:rsid w:val="00D77A88"/>
    <w:rsid w:val="00D808D0"/>
    <w:rsid w:val="00D809B3"/>
    <w:rsid w:val="00D81388"/>
    <w:rsid w:val="00D837A7"/>
    <w:rsid w:val="00D839C6"/>
    <w:rsid w:val="00D84D9C"/>
    <w:rsid w:val="00D850B6"/>
    <w:rsid w:val="00D85579"/>
    <w:rsid w:val="00D85A96"/>
    <w:rsid w:val="00D86869"/>
    <w:rsid w:val="00D86972"/>
    <w:rsid w:val="00D911D4"/>
    <w:rsid w:val="00DA254E"/>
    <w:rsid w:val="00DA6A9A"/>
    <w:rsid w:val="00DB21D8"/>
    <w:rsid w:val="00DB304F"/>
    <w:rsid w:val="00DB4F6D"/>
    <w:rsid w:val="00DB5026"/>
    <w:rsid w:val="00DB539C"/>
    <w:rsid w:val="00DB55EC"/>
    <w:rsid w:val="00DB64E6"/>
    <w:rsid w:val="00DB6B54"/>
    <w:rsid w:val="00DB6C48"/>
    <w:rsid w:val="00DC170F"/>
    <w:rsid w:val="00DC2F84"/>
    <w:rsid w:val="00DC339F"/>
    <w:rsid w:val="00DC40B7"/>
    <w:rsid w:val="00DC5784"/>
    <w:rsid w:val="00DD07EC"/>
    <w:rsid w:val="00DD0BF2"/>
    <w:rsid w:val="00DD32F8"/>
    <w:rsid w:val="00DE0504"/>
    <w:rsid w:val="00DE5A91"/>
    <w:rsid w:val="00DE6548"/>
    <w:rsid w:val="00DE6DAC"/>
    <w:rsid w:val="00DF00DB"/>
    <w:rsid w:val="00DF0AD3"/>
    <w:rsid w:val="00DF1A6A"/>
    <w:rsid w:val="00DF32EE"/>
    <w:rsid w:val="00DF44AC"/>
    <w:rsid w:val="00DF5CD2"/>
    <w:rsid w:val="00DF780D"/>
    <w:rsid w:val="00E02692"/>
    <w:rsid w:val="00E03282"/>
    <w:rsid w:val="00E03EC7"/>
    <w:rsid w:val="00E03F2C"/>
    <w:rsid w:val="00E058D3"/>
    <w:rsid w:val="00E0682C"/>
    <w:rsid w:val="00E10ACC"/>
    <w:rsid w:val="00E17018"/>
    <w:rsid w:val="00E207B2"/>
    <w:rsid w:val="00E22B76"/>
    <w:rsid w:val="00E238DB"/>
    <w:rsid w:val="00E24B56"/>
    <w:rsid w:val="00E2690E"/>
    <w:rsid w:val="00E26D88"/>
    <w:rsid w:val="00E314CE"/>
    <w:rsid w:val="00E31771"/>
    <w:rsid w:val="00E32B68"/>
    <w:rsid w:val="00E33AE0"/>
    <w:rsid w:val="00E34FEA"/>
    <w:rsid w:val="00E40677"/>
    <w:rsid w:val="00E40EF5"/>
    <w:rsid w:val="00E418F7"/>
    <w:rsid w:val="00E4547C"/>
    <w:rsid w:val="00E45B5D"/>
    <w:rsid w:val="00E50E9B"/>
    <w:rsid w:val="00E52237"/>
    <w:rsid w:val="00E5283D"/>
    <w:rsid w:val="00E5417B"/>
    <w:rsid w:val="00E54B24"/>
    <w:rsid w:val="00E54FD7"/>
    <w:rsid w:val="00E56412"/>
    <w:rsid w:val="00E56570"/>
    <w:rsid w:val="00E56FD0"/>
    <w:rsid w:val="00E60BF2"/>
    <w:rsid w:val="00E60C5D"/>
    <w:rsid w:val="00E61B70"/>
    <w:rsid w:val="00E6387C"/>
    <w:rsid w:val="00E63C59"/>
    <w:rsid w:val="00E65F06"/>
    <w:rsid w:val="00E662A1"/>
    <w:rsid w:val="00E664DA"/>
    <w:rsid w:val="00E66C60"/>
    <w:rsid w:val="00E700E1"/>
    <w:rsid w:val="00E71773"/>
    <w:rsid w:val="00E71969"/>
    <w:rsid w:val="00E73880"/>
    <w:rsid w:val="00E74D6D"/>
    <w:rsid w:val="00E77DE9"/>
    <w:rsid w:val="00E84086"/>
    <w:rsid w:val="00E84837"/>
    <w:rsid w:val="00E857D5"/>
    <w:rsid w:val="00E90150"/>
    <w:rsid w:val="00E90667"/>
    <w:rsid w:val="00E90E9F"/>
    <w:rsid w:val="00E913DE"/>
    <w:rsid w:val="00E91639"/>
    <w:rsid w:val="00E92F6B"/>
    <w:rsid w:val="00E94336"/>
    <w:rsid w:val="00E95128"/>
    <w:rsid w:val="00E953D1"/>
    <w:rsid w:val="00E9705E"/>
    <w:rsid w:val="00EA0115"/>
    <w:rsid w:val="00EA0434"/>
    <w:rsid w:val="00EA09E8"/>
    <w:rsid w:val="00EA1313"/>
    <w:rsid w:val="00EA1C1B"/>
    <w:rsid w:val="00EA3A6F"/>
    <w:rsid w:val="00EA3A89"/>
    <w:rsid w:val="00EA65BF"/>
    <w:rsid w:val="00EA7622"/>
    <w:rsid w:val="00EB06E0"/>
    <w:rsid w:val="00EB0F6E"/>
    <w:rsid w:val="00EB32E6"/>
    <w:rsid w:val="00EB3C18"/>
    <w:rsid w:val="00EB44A3"/>
    <w:rsid w:val="00EB48C5"/>
    <w:rsid w:val="00EB4CBA"/>
    <w:rsid w:val="00EB57FE"/>
    <w:rsid w:val="00EB5B54"/>
    <w:rsid w:val="00EB5C02"/>
    <w:rsid w:val="00EB7225"/>
    <w:rsid w:val="00EB794A"/>
    <w:rsid w:val="00EC130F"/>
    <w:rsid w:val="00EC1573"/>
    <w:rsid w:val="00EC1B56"/>
    <w:rsid w:val="00EC3BB7"/>
    <w:rsid w:val="00EC49A3"/>
    <w:rsid w:val="00EC5169"/>
    <w:rsid w:val="00EC6093"/>
    <w:rsid w:val="00EC6FB2"/>
    <w:rsid w:val="00EC7B69"/>
    <w:rsid w:val="00ED1353"/>
    <w:rsid w:val="00ED4A11"/>
    <w:rsid w:val="00ED5807"/>
    <w:rsid w:val="00ED689B"/>
    <w:rsid w:val="00ED6F17"/>
    <w:rsid w:val="00ED7017"/>
    <w:rsid w:val="00ED7C0C"/>
    <w:rsid w:val="00EE0423"/>
    <w:rsid w:val="00EE0858"/>
    <w:rsid w:val="00EE1147"/>
    <w:rsid w:val="00EE1528"/>
    <w:rsid w:val="00EE2ED7"/>
    <w:rsid w:val="00EE4DCD"/>
    <w:rsid w:val="00EF1238"/>
    <w:rsid w:val="00EF3DE1"/>
    <w:rsid w:val="00EF439F"/>
    <w:rsid w:val="00EF5CB9"/>
    <w:rsid w:val="00EF5F95"/>
    <w:rsid w:val="00EF652D"/>
    <w:rsid w:val="00EF724F"/>
    <w:rsid w:val="00F03802"/>
    <w:rsid w:val="00F043B0"/>
    <w:rsid w:val="00F05958"/>
    <w:rsid w:val="00F06FB3"/>
    <w:rsid w:val="00F07620"/>
    <w:rsid w:val="00F07E38"/>
    <w:rsid w:val="00F1002C"/>
    <w:rsid w:val="00F10756"/>
    <w:rsid w:val="00F10842"/>
    <w:rsid w:val="00F1273B"/>
    <w:rsid w:val="00F15554"/>
    <w:rsid w:val="00F16A39"/>
    <w:rsid w:val="00F2209E"/>
    <w:rsid w:val="00F228CA"/>
    <w:rsid w:val="00F22D05"/>
    <w:rsid w:val="00F24677"/>
    <w:rsid w:val="00F24FAC"/>
    <w:rsid w:val="00F26674"/>
    <w:rsid w:val="00F27146"/>
    <w:rsid w:val="00F27CDE"/>
    <w:rsid w:val="00F3162B"/>
    <w:rsid w:val="00F326BE"/>
    <w:rsid w:val="00F36892"/>
    <w:rsid w:val="00F36F1A"/>
    <w:rsid w:val="00F42735"/>
    <w:rsid w:val="00F427D1"/>
    <w:rsid w:val="00F43640"/>
    <w:rsid w:val="00F436F6"/>
    <w:rsid w:val="00F441BF"/>
    <w:rsid w:val="00F466FF"/>
    <w:rsid w:val="00F46A28"/>
    <w:rsid w:val="00F472B4"/>
    <w:rsid w:val="00F476C7"/>
    <w:rsid w:val="00F506B6"/>
    <w:rsid w:val="00F515E6"/>
    <w:rsid w:val="00F51CBE"/>
    <w:rsid w:val="00F528B5"/>
    <w:rsid w:val="00F52909"/>
    <w:rsid w:val="00F55849"/>
    <w:rsid w:val="00F57EAA"/>
    <w:rsid w:val="00F605BF"/>
    <w:rsid w:val="00F60C85"/>
    <w:rsid w:val="00F6141E"/>
    <w:rsid w:val="00F65377"/>
    <w:rsid w:val="00F659E0"/>
    <w:rsid w:val="00F665A1"/>
    <w:rsid w:val="00F66D63"/>
    <w:rsid w:val="00F67337"/>
    <w:rsid w:val="00F7394C"/>
    <w:rsid w:val="00F7409C"/>
    <w:rsid w:val="00F74A53"/>
    <w:rsid w:val="00F75AF5"/>
    <w:rsid w:val="00F76C31"/>
    <w:rsid w:val="00F80046"/>
    <w:rsid w:val="00F80B08"/>
    <w:rsid w:val="00F821AB"/>
    <w:rsid w:val="00F83AF7"/>
    <w:rsid w:val="00F83B82"/>
    <w:rsid w:val="00F8550D"/>
    <w:rsid w:val="00F85C3D"/>
    <w:rsid w:val="00F9074D"/>
    <w:rsid w:val="00F90B74"/>
    <w:rsid w:val="00F933AC"/>
    <w:rsid w:val="00F94AE8"/>
    <w:rsid w:val="00F96099"/>
    <w:rsid w:val="00FA0856"/>
    <w:rsid w:val="00FA1197"/>
    <w:rsid w:val="00FA4487"/>
    <w:rsid w:val="00FA663C"/>
    <w:rsid w:val="00FA6DB8"/>
    <w:rsid w:val="00FA7631"/>
    <w:rsid w:val="00FA77CC"/>
    <w:rsid w:val="00FB00DD"/>
    <w:rsid w:val="00FB065E"/>
    <w:rsid w:val="00FB0CC2"/>
    <w:rsid w:val="00FB11FD"/>
    <w:rsid w:val="00FB16F0"/>
    <w:rsid w:val="00FB2821"/>
    <w:rsid w:val="00FB5147"/>
    <w:rsid w:val="00FB5CCD"/>
    <w:rsid w:val="00FB5F09"/>
    <w:rsid w:val="00FC1D28"/>
    <w:rsid w:val="00FC4A4B"/>
    <w:rsid w:val="00FC5483"/>
    <w:rsid w:val="00FC55F9"/>
    <w:rsid w:val="00FC5B75"/>
    <w:rsid w:val="00FC75E9"/>
    <w:rsid w:val="00FC7C9C"/>
    <w:rsid w:val="00FD0DD6"/>
    <w:rsid w:val="00FD25BA"/>
    <w:rsid w:val="00FD363F"/>
    <w:rsid w:val="00FD478A"/>
    <w:rsid w:val="00FD5ACC"/>
    <w:rsid w:val="00FD729C"/>
    <w:rsid w:val="00FE0EDA"/>
    <w:rsid w:val="00FE2FDA"/>
    <w:rsid w:val="00FE30FC"/>
    <w:rsid w:val="00FE46E4"/>
    <w:rsid w:val="00FE678F"/>
    <w:rsid w:val="00FE6F38"/>
    <w:rsid w:val="00FF0E9C"/>
    <w:rsid w:val="00FF2829"/>
    <w:rsid w:val="00FF3FE6"/>
    <w:rsid w:val="00FF4B28"/>
    <w:rsid w:val="00FF6646"/>
    <w:rsid w:val="00FF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2E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styleId="Sansinterligne">
    <w:name w:val="No Spacing"/>
    <w:uiPriority w:val="1"/>
    <w:qFormat/>
    <w:rsid w:val="00DF1A6A"/>
    <w:pPr>
      <w:bidi/>
    </w:pPr>
    <w:rPr>
      <w:rFonts w:ascii="Times New Roman" w:eastAsia="Times New Roman" w:hAnsi="Times New Roman" w:cs="Traditional Arabic"/>
      <w:noProof/>
    </w:rPr>
  </w:style>
  <w:style w:type="character" w:customStyle="1" w:styleId="Titre3Car">
    <w:name w:val="Titre 3 Car"/>
    <w:basedOn w:val="Policepardfaut"/>
    <w:link w:val="Titre3"/>
    <w:uiPriority w:val="9"/>
    <w:semiHidden/>
    <w:rsid w:val="009C2E76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customStyle="1" w:styleId="Paragraphedeliste2">
    <w:name w:val="Paragraphe de liste2"/>
    <w:basedOn w:val="Normal"/>
    <w:rsid w:val="00E45B5D"/>
    <w:pPr>
      <w:bidi w:val="0"/>
      <w:ind w:left="720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graphe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TABULATIONT3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graphe-emplo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GraphiquesR&#233;gion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GraphiquesR&#233;gio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Feuil2!$C$37</c:f>
              <c:strCache>
                <c:ptCount val="1"/>
                <c:pt idx="0">
                  <c:v>Emploi rémunéré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Feuil2!$D$36:$F$36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 National</c:v>
                </c:pt>
              </c:strCache>
            </c:strRef>
          </c:cat>
          <c:val>
            <c:numRef>
              <c:f>Feuil2!$D$37:$F$37</c:f>
              <c:numCache>
                <c:formatCode>General</c:formatCode>
                <c:ptCount val="3"/>
                <c:pt idx="0">
                  <c:v>244000</c:v>
                </c:pt>
                <c:pt idx="1">
                  <c:v>-6000</c:v>
                </c:pt>
                <c:pt idx="2">
                  <c:v>238000</c:v>
                </c:pt>
              </c:numCache>
            </c:numRef>
          </c:val>
        </c:ser>
        <c:ser>
          <c:idx val="1"/>
          <c:order val="1"/>
          <c:tx>
            <c:strRef>
              <c:f>Feuil2!$C$38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Feuil2!$D$36:$F$36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 National</c:v>
                </c:pt>
              </c:strCache>
            </c:strRef>
          </c:cat>
          <c:val>
            <c:numRef>
              <c:f>Feuil2!$D$38:$F$38</c:f>
              <c:numCache>
                <c:formatCode>General</c:formatCode>
                <c:ptCount val="3"/>
                <c:pt idx="0">
                  <c:v>18000</c:v>
                </c:pt>
                <c:pt idx="1">
                  <c:v>-113000</c:v>
                </c:pt>
                <c:pt idx="2">
                  <c:v>-95000</c:v>
                </c:pt>
              </c:numCache>
            </c:numRef>
          </c:val>
        </c:ser>
        <c:ser>
          <c:idx val="2"/>
          <c:order val="2"/>
          <c:tx>
            <c:strRef>
              <c:f>Feuil2!$C$39</c:f>
              <c:strCache>
                <c:ptCount val="1"/>
                <c:pt idx="0">
                  <c:v>Emploi 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Feuil2!$D$36:$F$36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 National</c:v>
                </c:pt>
              </c:strCache>
            </c:strRef>
          </c:cat>
          <c:val>
            <c:numRef>
              <c:f>Feuil2!$D$39:$F$39</c:f>
              <c:numCache>
                <c:formatCode>General</c:formatCode>
                <c:ptCount val="3"/>
                <c:pt idx="0">
                  <c:v>262000</c:v>
                </c:pt>
                <c:pt idx="1">
                  <c:v>-119000</c:v>
                </c:pt>
                <c:pt idx="2">
                  <c:v>143000</c:v>
                </c:pt>
              </c:numCache>
            </c:numRef>
          </c:val>
        </c:ser>
        <c:dLbls>
          <c:showVal val="1"/>
        </c:dLbls>
        <c:overlap val="-25"/>
        <c:axId val="70342912"/>
        <c:axId val="70352896"/>
      </c:barChart>
      <c:catAx>
        <c:axId val="70342912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70352896"/>
        <c:crosses val="autoZero"/>
        <c:auto val="1"/>
        <c:lblAlgn val="ctr"/>
        <c:lblOffset val="100"/>
      </c:catAx>
      <c:valAx>
        <c:axId val="70352896"/>
        <c:scaling>
          <c:orientation val="minMax"/>
        </c:scaling>
        <c:delete val="1"/>
        <c:axPos val="l"/>
        <c:numFmt formatCode="General" sourceLinked="1"/>
        <c:tickLblPos val="none"/>
        <c:crossAx val="70342912"/>
        <c:crosses val="autoZero"/>
        <c:crossBetween val="between"/>
      </c:valAx>
    </c:plotArea>
    <c:legend>
      <c:legendPos val="t"/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3"/>
  <c:chart>
    <c:plotArea>
      <c:layout>
        <c:manualLayout>
          <c:layoutTarget val="inner"/>
          <c:xMode val="edge"/>
          <c:yMode val="edge"/>
          <c:x val="0"/>
          <c:y val="5.0925925925925923E-2"/>
          <c:w val="0.96546223299019962"/>
          <c:h val="0.83309419655876549"/>
        </c:manualLayout>
      </c:layout>
      <c:barChart>
        <c:barDir val="col"/>
        <c:grouping val="clustered"/>
        <c:ser>
          <c:idx val="0"/>
          <c:order val="0"/>
          <c:tx>
            <c:strRef>
              <c:f>creationsecteurs!$J$42</c:f>
              <c:strCache>
                <c:ptCount val="1"/>
                <c:pt idx="0">
                  <c:v>Urbain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creationsecteurs!$I$43:$I$46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creationsecteurs!$J$43:$J$46</c:f>
              <c:numCache>
                <c:formatCode>General</c:formatCode>
                <c:ptCount val="4"/>
                <c:pt idx="0">
                  <c:v>-2000</c:v>
                </c:pt>
                <c:pt idx="1">
                  <c:v>-9000</c:v>
                </c:pt>
                <c:pt idx="2">
                  <c:v>13000</c:v>
                </c:pt>
                <c:pt idx="3">
                  <c:v>260000</c:v>
                </c:pt>
              </c:numCache>
            </c:numRef>
          </c:val>
        </c:ser>
        <c:ser>
          <c:idx val="1"/>
          <c:order val="1"/>
          <c:tx>
            <c:strRef>
              <c:f>creationsecteurs!$K$42</c:f>
              <c:strCache>
                <c:ptCount val="1"/>
                <c:pt idx="0">
                  <c:v>Rural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creationsecteurs!$I$43:$I$46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creationsecteurs!$K$43:$K$46</c:f>
              <c:numCache>
                <c:formatCode>General</c:formatCode>
                <c:ptCount val="4"/>
                <c:pt idx="0">
                  <c:v>-202000</c:v>
                </c:pt>
                <c:pt idx="1">
                  <c:v>-17000</c:v>
                </c:pt>
                <c:pt idx="2">
                  <c:v>24000</c:v>
                </c:pt>
                <c:pt idx="3">
                  <c:v>76000</c:v>
                </c:pt>
              </c:numCache>
            </c:numRef>
          </c:val>
        </c:ser>
        <c:ser>
          <c:idx val="2"/>
          <c:order val="2"/>
          <c:tx>
            <c:strRef>
              <c:f>creationsecteurs!$L$42</c:f>
              <c:strCache>
                <c:ptCount val="1"/>
                <c:pt idx="0">
                  <c:v>National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creationsecteurs!$I$43:$I$46</c:f>
              <c:strCache>
                <c:ptCount val="4"/>
                <c:pt idx="0">
                  <c:v>Agriculture, forêt et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creationsecteurs!$L$43:$L$46</c:f>
              <c:numCache>
                <c:formatCode>General</c:formatCode>
                <c:ptCount val="4"/>
                <c:pt idx="0">
                  <c:v>-204000</c:v>
                </c:pt>
                <c:pt idx="1">
                  <c:v>-26000</c:v>
                </c:pt>
                <c:pt idx="2">
                  <c:v>37000</c:v>
                </c:pt>
                <c:pt idx="3">
                  <c:v>336000</c:v>
                </c:pt>
              </c:numCache>
            </c:numRef>
          </c:val>
        </c:ser>
        <c:axId val="70383488"/>
        <c:axId val="70385024"/>
      </c:barChart>
      <c:catAx>
        <c:axId val="70383488"/>
        <c:scaling>
          <c:orientation val="minMax"/>
        </c:scaling>
        <c:axPos val="b"/>
        <c:numFmt formatCode="General" sourceLinked="0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70385024"/>
        <c:crosses val="autoZero"/>
        <c:auto val="1"/>
        <c:lblAlgn val="ctr"/>
        <c:lblOffset val="100"/>
        <c:tickLblSkip val="1"/>
      </c:catAx>
      <c:valAx>
        <c:axId val="70385024"/>
        <c:scaling>
          <c:orientation val="minMax"/>
        </c:scaling>
        <c:delete val="1"/>
        <c:axPos val="l"/>
        <c:numFmt formatCode="General" sourceLinked="1"/>
        <c:tickLblPos val="none"/>
        <c:crossAx val="70383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844676209014963"/>
          <c:y val="3.6461067366579274E-2"/>
          <c:w val="0.2688403686937853"/>
          <c:h val="7.9582883021975193E-2"/>
        </c:manualLayout>
      </c:layout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[1]Feuil1!$B$4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[1]Feuil1!$A$5:$A$11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[1]Feuil1!$B$5:$B$11</c:f>
              <c:numCache>
                <c:formatCode>General</c:formatCode>
                <c:ptCount val="7"/>
                <c:pt idx="0">
                  <c:v>13.1</c:v>
                </c:pt>
                <c:pt idx="1">
                  <c:v>3.9</c:v>
                </c:pt>
                <c:pt idx="2">
                  <c:v>8.2000000000000011</c:v>
                </c:pt>
                <c:pt idx="3">
                  <c:v>13.1</c:v>
                </c:pt>
                <c:pt idx="4">
                  <c:v>26.2</c:v>
                </c:pt>
                <c:pt idx="5">
                  <c:v>16.100000000000001</c:v>
                </c:pt>
                <c:pt idx="6">
                  <c:v>9.3000000000000007</c:v>
                </c:pt>
              </c:numCache>
            </c:numRef>
          </c:val>
        </c:ser>
        <c:ser>
          <c:idx val="1"/>
          <c:order val="1"/>
          <c:tx>
            <c:strRef>
              <c:f>[1]Feuil1!$C$4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en-US"/>
                      <a:t>2,7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[1]Feuil1!$A$5:$A$11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[1]Feuil1!$C$5:$C$11</c:f>
              <c:numCache>
                <c:formatCode>General</c:formatCode>
                <c:ptCount val="7"/>
                <c:pt idx="0">
                  <c:v>12.6</c:v>
                </c:pt>
                <c:pt idx="1">
                  <c:v>4.5</c:v>
                </c:pt>
                <c:pt idx="2">
                  <c:v>8</c:v>
                </c:pt>
                <c:pt idx="3">
                  <c:v>13.9</c:v>
                </c:pt>
                <c:pt idx="4">
                  <c:v>26.7</c:v>
                </c:pt>
                <c:pt idx="5">
                  <c:v>15.5</c:v>
                </c:pt>
                <c:pt idx="6">
                  <c:v>9.4</c:v>
                </c:pt>
              </c:numCache>
            </c:numRef>
          </c:val>
        </c:ser>
        <c:axId val="59888000"/>
        <c:axId val="59889536"/>
      </c:barChart>
      <c:catAx>
        <c:axId val="5988800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 b="1"/>
            </a:pPr>
            <a:endParaRPr lang="fr-FR"/>
          </a:p>
        </c:txPr>
        <c:crossAx val="59889536"/>
        <c:crosses val="autoZero"/>
        <c:auto val="1"/>
        <c:lblAlgn val="ctr"/>
        <c:lblOffset val="100"/>
      </c:catAx>
      <c:valAx>
        <c:axId val="59889536"/>
        <c:scaling>
          <c:orientation val="minMax"/>
        </c:scaling>
        <c:delete val="1"/>
        <c:axPos val="l"/>
        <c:numFmt formatCode="General" sourceLinked="1"/>
        <c:tickLblPos val="none"/>
        <c:crossAx val="59888000"/>
        <c:crosses val="autoZero"/>
        <c:crossBetween val="between"/>
      </c:valAx>
    </c:plotArea>
    <c:legend>
      <c:legendPos val="b"/>
      <c:txPr>
        <a:bodyPr/>
        <a:lstStyle/>
        <a:p>
          <a:pPr>
            <a:defRPr b="1"/>
          </a:pPr>
          <a:endParaRPr lang="fr-FR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45,5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spPr>
              <a:noFill/>
              <a:ln>
                <a:noFill/>
              </a:ln>
              <a:effectLst/>
            </c:spPr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Feuil3!$C$4:$C$14</c:f>
              <c:strCache>
                <c:ptCount val="11"/>
                <c:pt idx="0">
                  <c:v>Tanger-Tétouan-Al Hoceïma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Régions  du Sud</c:v>
                </c:pt>
                <c:pt idx="10">
                  <c:v>Total</c:v>
                </c:pt>
              </c:strCache>
            </c:strRef>
          </c:cat>
          <c:val>
            <c:numRef>
              <c:f>Feuil3!$D$4:$D$14</c:f>
              <c:numCache>
                <c:formatCode>###0.0</c:formatCode>
                <c:ptCount val="11"/>
                <c:pt idx="0">
                  <c:v>44.976458988322108</c:v>
                </c:pt>
                <c:pt idx="1">
                  <c:v>41.679125233967063</c:v>
                </c:pt>
                <c:pt idx="2">
                  <c:v>42.157941673875328</c:v>
                </c:pt>
                <c:pt idx="3">
                  <c:v>43.801210639626099</c:v>
                </c:pt>
                <c:pt idx="4">
                  <c:v>44.81941453953835</c:v>
                </c:pt>
                <c:pt idx="5">
                  <c:v>49.206232817876689</c:v>
                </c:pt>
                <c:pt idx="6">
                  <c:v>46.701039580078302</c:v>
                </c:pt>
                <c:pt idx="7">
                  <c:v>40.376893628283199</c:v>
                </c:pt>
                <c:pt idx="8">
                  <c:v>42.173937012444981</c:v>
                </c:pt>
                <c:pt idx="9">
                  <c:v>45.857936108098322</c:v>
                </c:pt>
                <c:pt idx="10">
                  <c:v>44.930910786042752</c:v>
                </c:pt>
              </c:numCache>
            </c:numRef>
          </c:val>
        </c:ser>
        <c:axId val="87982464"/>
        <c:axId val="87984000"/>
      </c:barChart>
      <c:catAx>
        <c:axId val="87982464"/>
        <c:scaling>
          <c:orientation val="minMax"/>
        </c:scaling>
        <c:axPos val="b"/>
        <c:numFmt formatCode="General" sourceLinked="0"/>
        <c:tickLblPos val="nextTo"/>
        <c:crossAx val="87984000"/>
        <c:crosses val="autoZero"/>
        <c:auto val="1"/>
        <c:lblAlgn val="ctr"/>
        <c:lblOffset val="100"/>
      </c:catAx>
      <c:valAx>
        <c:axId val="87984000"/>
        <c:scaling>
          <c:orientation val="minMax"/>
        </c:scaling>
        <c:delete val="1"/>
        <c:axPos val="l"/>
        <c:numFmt formatCode="###0.0" sourceLinked="1"/>
        <c:tickLblPos val="none"/>
        <c:crossAx val="8798246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11,2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7,7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9,8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15,5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Feuil3!$C$18:$C$28</c:f>
              <c:strCache>
                <c:ptCount val="11"/>
                <c:pt idx="0">
                  <c:v>Tanger-Tétouan-Al Hoceïma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Régions  du Sud</c:v>
                </c:pt>
                <c:pt idx="10">
                  <c:v>Total</c:v>
                </c:pt>
              </c:strCache>
            </c:strRef>
          </c:cat>
          <c:val>
            <c:numRef>
              <c:f>Feuil3!$D$18:$D$28</c:f>
              <c:numCache>
                <c:formatCode>General</c:formatCode>
                <c:ptCount val="11"/>
                <c:pt idx="0">
                  <c:v>11.1</c:v>
                </c:pt>
                <c:pt idx="1">
                  <c:v>14.2</c:v>
                </c:pt>
                <c:pt idx="2">
                  <c:v>7.6</c:v>
                </c:pt>
                <c:pt idx="3">
                  <c:v>9.7000000000000011</c:v>
                </c:pt>
                <c:pt idx="4">
                  <c:v>4.7</c:v>
                </c:pt>
                <c:pt idx="5">
                  <c:v>9.8000000000000007</c:v>
                </c:pt>
                <c:pt idx="6">
                  <c:v>6.3</c:v>
                </c:pt>
                <c:pt idx="7">
                  <c:v>8.2000000000000011</c:v>
                </c:pt>
                <c:pt idx="8">
                  <c:v>11.7</c:v>
                </c:pt>
                <c:pt idx="9">
                  <c:v>15.8</c:v>
                </c:pt>
                <c:pt idx="10">
                  <c:v>9.4</c:v>
                </c:pt>
              </c:numCache>
            </c:numRef>
          </c:val>
        </c:ser>
        <c:axId val="68104960"/>
        <c:axId val="68106496"/>
      </c:barChart>
      <c:catAx>
        <c:axId val="68104960"/>
        <c:scaling>
          <c:orientation val="minMax"/>
        </c:scaling>
        <c:axPos val="b"/>
        <c:numFmt formatCode="General" sourceLinked="0"/>
        <c:tickLblPos val="nextTo"/>
        <c:crossAx val="68106496"/>
        <c:crosses val="autoZero"/>
        <c:auto val="1"/>
        <c:lblAlgn val="ctr"/>
        <c:lblOffset val="100"/>
      </c:catAx>
      <c:valAx>
        <c:axId val="68106496"/>
        <c:scaling>
          <c:orientation val="minMax"/>
        </c:scaling>
        <c:delete val="1"/>
        <c:axPos val="l"/>
        <c:numFmt formatCode="General" sourceLinked="1"/>
        <c:tickLblPos val="none"/>
        <c:crossAx val="6810496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1719-40CA-45B4-904E-EB1FAA7D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2013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2019-11-02T13:31:00Z</cp:lastPrinted>
  <dcterms:created xsi:type="dcterms:W3CDTF">2019-11-06T15:23:00Z</dcterms:created>
  <dcterms:modified xsi:type="dcterms:W3CDTF">2019-11-06T15:23:00Z</dcterms:modified>
</cp:coreProperties>
</file>