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596CDD" w:rsidRDefault="00596CDD" w:rsidP="008864AD">
      <w:pPr>
        <w:ind w:left="993" w:hanging="993"/>
        <w:jc w:val="center"/>
        <w:rPr>
          <w:rFonts w:ascii="Palatino" w:hAnsi="Palatino"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B6708D" w:rsidRDefault="00B6708D" w:rsidP="008864AD">
      <w:pPr>
        <w:ind w:left="993" w:hanging="993"/>
        <w:jc w:val="center"/>
        <w:rPr>
          <w:rFonts w:ascii="Palatino" w:hAnsi="Palatino" w:cs="Times"/>
          <w:b/>
          <w:bCs/>
          <w:shadow/>
          <w:color w:val="FF9900"/>
          <w:sz w:val="26"/>
          <w:szCs w:val="26"/>
        </w:rPr>
      </w:pPr>
    </w:p>
    <w:p w:rsidR="00DF3058" w:rsidRDefault="00DF3058"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p>
    <w:p w:rsidR="00EF11E3" w:rsidRDefault="00EF11E3"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DF3058" w:rsidRDefault="00E641F6" w:rsidP="00E641F6">
      <w:pPr>
        <w:pStyle w:val="Titre"/>
        <w:spacing w:line="288" w:lineRule="auto"/>
        <w:ind w:left="992" w:hanging="992"/>
        <w:rPr>
          <w:rFonts w:asciiTheme="minorHAnsi" w:hAnsiTheme="minorHAnsi" w:cs="Calibri"/>
          <w:shadow/>
          <w:color w:val="800080"/>
          <w:sz w:val="26"/>
          <w:szCs w:val="26"/>
        </w:rPr>
      </w:pPr>
      <w:r w:rsidRPr="00E641F6">
        <w:rPr>
          <w:rFonts w:asciiTheme="minorHAnsi" w:hAnsiTheme="minorHAnsi" w:cs="Calibri"/>
          <w:shadow/>
          <w:color w:val="800080"/>
          <w:sz w:val="26"/>
          <w:szCs w:val="26"/>
        </w:rPr>
        <w:t>Atelier de p</w:t>
      </w:r>
      <w:r w:rsidR="00DF3058" w:rsidRPr="00DF3058">
        <w:rPr>
          <w:rFonts w:asciiTheme="minorHAnsi" w:hAnsiTheme="minorHAnsi" w:cs="Calibri"/>
          <w:shadow/>
          <w:color w:val="800080"/>
          <w:sz w:val="26"/>
          <w:szCs w:val="26"/>
        </w:rPr>
        <w:t>résentation des résultats de l’étude sur</w:t>
      </w:r>
      <w:r w:rsidR="00DF3058">
        <w:rPr>
          <w:rFonts w:asciiTheme="minorHAnsi" w:hAnsiTheme="minorHAnsi" w:cs="Calibri"/>
          <w:shadow/>
          <w:color w:val="800080"/>
          <w:sz w:val="26"/>
          <w:szCs w:val="26"/>
        </w:rPr>
        <w:t xml:space="preserve">  </w:t>
      </w:r>
    </w:p>
    <w:p w:rsidR="00596CDD" w:rsidRPr="00E641F6" w:rsidRDefault="00E641F6" w:rsidP="00E641F6">
      <w:pPr>
        <w:pStyle w:val="Titre"/>
        <w:spacing w:line="312" w:lineRule="auto"/>
        <w:ind w:left="992" w:hanging="992"/>
        <w:rPr>
          <w:rFonts w:asciiTheme="minorHAnsi" w:hAnsiTheme="minorHAnsi" w:cs="Calibri"/>
          <w:shadow/>
          <w:color w:val="800080"/>
          <w:sz w:val="26"/>
          <w:szCs w:val="26"/>
        </w:rPr>
      </w:pPr>
      <w:r w:rsidRPr="00E641F6">
        <w:rPr>
          <w:rFonts w:asciiTheme="minorHAnsi" w:hAnsiTheme="minorHAnsi" w:cs="Calibri"/>
          <w:shadow/>
          <w:color w:val="800080"/>
          <w:sz w:val="26"/>
          <w:szCs w:val="26"/>
        </w:rPr>
        <w:t>l’état des lieux des statistiques sensibles au genre au Maroc</w:t>
      </w:r>
    </w:p>
    <w:p w:rsidR="00DF3058" w:rsidRPr="00596CDD" w:rsidRDefault="00DF3058" w:rsidP="007C2F91">
      <w:pPr>
        <w:pStyle w:val="Titre"/>
        <w:ind w:left="993" w:hanging="993"/>
        <w:rPr>
          <w:rFonts w:ascii="Book Antiqua" w:hAnsi="Book Antiqua"/>
          <w:iCs/>
          <w:color w:val="800080"/>
          <w:szCs w:val="24"/>
        </w:rPr>
      </w:pPr>
    </w:p>
    <w:p w:rsidR="004F553E" w:rsidRDefault="00E20901" w:rsidP="007570CB">
      <w:pPr>
        <w:spacing w:line="312" w:lineRule="auto"/>
        <w:ind w:left="851" w:hanging="851"/>
        <w:jc w:val="both"/>
        <w:rPr>
          <w:rFonts w:ascii="Book Antiqua" w:hAnsi="Book Antiqua"/>
          <w:b/>
          <w:bCs/>
        </w:rPr>
      </w:pPr>
      <w:r>
        <w:rPr>
          <w:rFonts w:ascii="Book Antiqua" w:hAnsi="Book Antiqua"/>
          <w:b/>
          <w:bCs/>
        </w:rPr>
        <w:t xml:space="preserve"> </w:t>
      </w:r>
    </w:p>
    <w:p w:rsidR="001E1EB5" w:rsidRDefault="001E1EB5" w:rsidP="007570CB">
      <w:pPr>
        <w:spacing w:line="312" w:lineRule="auto"/>
        <w:ind w:left="851" w:hanging="851"/>
        <w:jc w:val="both"/>
        <w:rPr>
          <w:rFonts w:ascii="Book Antiqua" w:hAnsi="Book Antiqua"/>
          <w:b/>
          <w:bCs/>
        </w:rPr>
      </w:pPr>
    </w:p>
    <w:p w:rsidR="00E641F6" w:rsidRDefault="004F553E" w:rsidP="00E641F6">
      <w:pPr>
        <w:spacing w:line="288" w:lineRule="auto"/>
        <w:jc w:val="both"/>
        <w:rPr>
          <w:b/>
          <w:bCs/>
          <w:color w:val="808080"/>
        </w:rPr>
      </w:pPr>
      <w:r w:rsidRPr="00E641F6">
        <w:rPr>
          <w:b/>
          <w:bCs/>
          <w:color w:val="808080"/>
        </w:rPr>
        <w:t xml:space="preserve">             </w:t>
      </w:r>
      <w:r w:rsidR="00E641F6" w:rsidRPr="00E641F6">
        <w:rPr>
          <w:b/>
          <w:bCs/>
          <w:color w:val="808080"/>
        </w:rPr>
        <w:t xml:space="preserve">Le Haut Commissariat au Plan (HCP) s'est engagé, en partenariat avec l’Entité des Nations Unies pour l'égalité des sexes et l'autonomisation des femmes (ONU-FEMMES), dans le programme de coopération intitulé « Prendre en considération chaque femme et chaque fille » visant à développer des données sur le genre pour le suivi et l'évaluation des Objectifs de Développement Durable et des stratégies nationales en matière d’égalité des sexes et d'autonomisation des femmes. </w:t>
      </w:r>
    </w:p>
    <w:p w:rsidR="00E641F6" w:rsidRPr="00E641F6" w:rsidRDefault="00E641F6" w:rsidP="00E641F6">
      <w:pPr>
        <w:jc w:val="both"/>
        <w:rPr>
          <w:b/>
          <w:bCs/>
          <w:color w:val="808080"/>
        </w:rPr>
      </w:pPr>
    </w:p>
    <w:p w:rsidR="00E641F6" w:rsidRDefault="00E641F6" w:rsidP="00E641F6">
      <w:pPr>
        <w:spacing w:line="288" w:lineRule="auto"/>
        <w:jc w:val="both"/>
        <w:rPr>
          <w:b/>
          <w:bCs/>
          <w:color w:val="808080"/>
        </w:rPr>
      </w:pPr>
      <w:r w:rsidRPr="00E641F6">
        <w:rPr>
          <w:b/>
          <w:bCs/>
          <w:color w:val="808080"/>
        </w:rPr>
        <w:tab/>
        <w:t>Dans ce cadre, une étude a été réalisée pour établir l'état des lieux des statistiques sur le genre dans notre pays et évaluer le niveau de prise en compte de l’approche genre dans le processus de production, de diffusion et d'utilisation de l'information statistique. Cette étude a été menée en consultation avec l'ensemble des partenaires concernés, en particulier les départements ministériels, les institutions nationales représentatives, les organisations internationales et le secteur privé et associatif.</w:t>
      </w:r>
    </w:p>
    <w:p w:rsidR="00E641F6" w:rsidRPr="00E641F6" w:rsidRDefault="00E641F6" w:rsidP="00E641F6">
      <w:pPr>
        <w:jc w:val="both"/>
        <w:rPr>
          <w:b/>
          <w:bCs/>
          <w:color w:val="808080"/>
        </w:rPr>
      </w:pPr>
    </w:p>
    <w:p w:rsidR="00E641F6" w:rsidRPr="00E641F6" w:rsidRDefault="00E641F6" w:rsidP="00B14AAA">
      <w:pPr>
        <w:spacing w:line="288" w:lineRule="auto"/>
        <w:jc w:val="both"/>
        <w:rPr>
          <w:b/>
          <w:bCs/>
          <w:color w:val="808080"/>
        </w:rPr>
      </w:pPr>
      <w:r w:rsidRPr="00E641F6">
        <w:rPr>
          <w:b/>
          <w:bCs/>
          <w:color w:val="808080"/>
        </w:rPr>
        <w:tab/>
        <w:t xml:space="preserve">A cette occasion, le HCP et ONU-Femmes organisent, le </w:t>
      </w:r>
      <w:r w:rsidR="009E6EDD">
        <w:rPr>
          <w:b/>
          <w:bCs/>
          <w:color w:val="808080"/>
        </w:rPr>
        <w:t xml:space="preserve">mercredi </w:t>
      </w:r>
      <w:r w:rsidRPr="00E641F6">
        <w:rPr>
          <w:b/>
          <w:bCs/>
          <w:color w:val="808080"/>
        </w:rPr>
        <w:t xml:space="preserve">18 décembre 2019 à 15 heures au siège du HCP </w:t>
      </w:r>
      <w:r w:rsidR="00B14AAA">
        <w:rPr>
          <w:b/>
          <w:bCs/>
          <w:color w:val="808080"/>
        </w:rPr>
        <w:t>(</w:t>
      </w:r>
      <w:r w:rsidRPr="00E641F6">
        <w:rPr>
          <w:b/>
          <w:bCs/>
          <w:color w:val="808080"/>
        </w:rPr>
        <w:t xml:space="preserve">Hay Riad </w:t>
      </w:r>
      <w:r w:rsidR="00B14AAA">
        <w:rPr>
          <w:b/>
          <w:bCs/>
          <w:color w:val="808080"/>
        </w:rPr>
        <w:t>–</w:t>
      </w:r>
      <w:r w:rsidRPr="00E641F6">
        <w:rPr>
          <w:b/>
          <w:bCs/>
          <w:color w:val="808080"/>
        </w:rPr>
        <w:t xml:space="preserve"> Rabat</w:t>
      </w:r>
      <w:r w:rsidR="00B14AAA">
        <w:rPr>
          <w:b/>
          <w:bCs/>
          <w:color w:val="808080"/>
        </w:rPr>
        <w:t>)</w:t>
      </w:r>
      <w:r w:rsidRPr="00E641F6">
        <w:rPr>
          <w:b/>
          <w:bCs/>
          <w:color w:val="808080"/>
        </w:rPr>
        <w:t>, un atelier où seront présentés les résultats de cette étude.</w:t>
      </w:r>
    </w:p>
    <w:p w:rsidR="004F553E" w:rsidRDefault="009E4DD6" w:rsidP="004F553E">
      <w:pPr>
        <w:spacing w:line="276" w:lineRule="auto"/>
        <w:jc w:val="both"/>
        <w:rPr>
          <w:b/>
          <w:bCs/>
          <w:color w:val="808080"/>
        </w:rPr>
      </w:pPr>
      <w:r>
        <w:rPr>
          <w:b/>
          <w:bCs/>
          <w:color w:val="808080"/>
        </w:rPr>
        <w:t xml:space="preserve">   </w:t>
      </w:r>
    </w:p>
    <w:p w:rsidR="004F553E" w:rsidRPr="00E641F6" w:rsidRDefault="004F553E" w:rsidP="004F553E">
      <w:pPr>
        <w:jc w:val="both"/>
        <w:rPr>
          <w:b/>
          <w:bCs/>
          <w:color w:val="808080"/>
        </w:rPr>
      </w:pPr>
    </w:p>
    <w:p w:rsidR="004F553E" w:rsidRDefault="004F553E" w:rsidP="00CB055F">
      <w:pPr>
        <w:jc w:val="both"/>
        <w:rPr>
          <w:b/>
          <w:bCs/>
          <w:color w:val="808080"/>
        </w:rPr>
      </w:pPr>
    </w:p>
    <w:p w:rsidR="00E20901" w:rsidRPr="00360101" w:rsidRDefault="004F553E" w:rsidP="00B6708D">
      <w:pPr>
        <w:spacing w:line="288" w:lineRule="auto"/>
        <w:jc w:val="both"/>
        <w:rPr>
          <w:b/>
          <w:bCs/>
          <w:color w:val="808080"/>
        </w:rPr>
      </w:pPr>
      <w:r>
        <w:rPr>
          <w:b/>
          <w:bCs/>
          <w:color w:val="808080"/>
        </w:rPr>
        <w:t xml:space="preserve">                                                                                                 </w:t>
      </w:r>
      <w:r w:rsidR="007570CB">
        <w:rPr>
          <w:b/>
          <w:bCs/>
          <w:color w:val="808080"/>
        </w:rPr>
        <w:t xml:space="preserve">     </w:t>
      </w:r>
      <w:r>
        <w:rPr>
          <w:b/>
          <w:bCs/>
          <w:color w:val="808080"/>
        </w:rPr>
        <w:t xml:space="preserve">   </w:t>
      </w:r>
      <w:r w:rsidR="00884F15">
        <w:rPr>
          <w:b/>
          <w:bCs/>
          <w:color w:val="808080"/>
        </w:rPr>
        <w:t xml:space="preserve">          </w:t>
      </w: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E15AA3" w:rsidRPr="00E641F6" w:rsidRDefault="00E15AA3" w:rsidP="00E15AA3">
      <w:pPr>
        <w:jc w:val="right"/>
        <w:rPr>
          <w:b/>
          <w:bCs/>
          <w:color w:val="808080"/>
        </w:rPr>
      </w:pPr>
    </w:p>
    <w:p w:rsidR="00867FAB" w:rsidRPr="00E641F6" w:rsidRDefault="00867FAB" w:rsidP="00E15AA3">
      <w:pPr>
        <w:spacing w:line="360" w:lineRule="auto"/>
        <w:jc w:val="both"/>
        <w:rPr>
          <w:b/>
          <w:bCs/>
          <w:color w:val="808080"/>
        </w:rPr>
      </w:pPr>
    </w:p>
    <w:sectPr w:rsidR="00867FAB" w:rsidRPr="00E641F6" w:rsidSect="00E20901">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A9B" w:rsidRDefault="001D3A9B">
      <w:r>
        <w:separator/>
      </w:r>
    </w:p>
  </w:endnote>
  <w:endnote w:type="continuationSeparator" w:id="1">
    <w:p w:rsidR="001D3A9B" w:rsidRDefault="001D3A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7480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77480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B6708D">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B6708D">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774809">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A9B" w:rsidRDefault="001D3A9B">
      <w:r>
        <w:separator/>
      </w:r>
    </w:p>
  </w:footnote>
  <w:footnote w:type="continuationSeparator" w:id="1">
    <w:p w:rsidR="001D3A9B" w:rsidRDefault="001D3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144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4D2B"/>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17290"/>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7BA"/>
    <w:rsid w:val="001C4BE1"/>
    <w:rsid w:val="001C7937"/>
    <w:rsid w:val="001D07F7"/>
    <w:rsid w:val="001D0B13"/>
    <w:rsid w:val="001D34E6"/>
    <w:rsid w:val="001D3A9B"/>
    <w:rsid w:val="001D57E1"/>
    <w:rsid w:val="001D5940"/>
    <w:rsid w:val="001E05D5"/>
    <w:rsid w:val="001E1EB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B3042"/>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55C7"/>
    <w:rsid w:val="00376048"/>
    <w:rsid w:val="00376C2C"/>
    <w:rsid w:val="00376C4A"/>
    <w:rsid w:val="00385013"/>
    <w:rsid w:val="0039063A"/>
    <w:rsid w:val="00393B90"/>
    <w:rsid w:val="00393EF8"/>
    <w:rsid w:val="003A0BAE"/>
    <w:rsid w:val="003A14B5"/>
    <w:rsid w:val="003A2698"/>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57DC1"/>
    <w:rsid w:val="00461967"/>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23908"/>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5FDB"/>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570CB"/>
    <w:rsid w:val="00762728"/>
    <w:rsid w:val="00763069"/>
    <w:rsid w:val="00763262"/>
    <w:rsid w:val="0076370A"/>
    <w:rsid w:val="00765F4E"/>
    <w:rsid w:val="00772673"/>
    <w:rsid w:val="00773F09"/>
    <w:rsid w:val="00774608"/>
    <w:rsid w:val="00774809"/>
    <w:rsid w:val="007760AE"/>
    <w:rsid w:val="00776F26"/>
    <w:rsid w:val="00782073"/>
    <w:rsid w:val="00785179"/>
    <w:rsid w:val="00790B01"/>
    <w:rsid w:val="00791486"/>
    <w:rsid w:val="007933FB"/>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4F15"/>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02472"/>
    <w:rsid w:val="00910948"/>
    <w:rsid w:val="00930BC1"/>
    <w:rsid w:val="00930EB8"/>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E4DD6"/>
    <w:rsid w:val="009E6EDD"/>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6C72"/>
    <w:rsid w:val="00AA723E"/>
    <w:rsid w:val="00AB16AA"/>
    <w:rsid w:val="00AB4E07"/>
    <w:rsid w:val="00AB6A95"/>
    <w:rsid w:val="00AC09CB"/>
    <w:rsid w:val="00AC198C"/>
    <w:rsid w:val="00AC3133"/>
    <w:rsid w:val="00AC3EF4"/>
    <w:rsid w:val="00AC44F5"/>
    <w:rsid w:val="00AC5B9D"/>
    <w:rsid w:val="00AD3FE4"/>
    <w:rsid w:val="00AD6B99"/>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AAA"/>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08D"/>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1036"/>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A4D7F"/>
    <w:rsid w:val="00DB27A9"/>
    <w:rsid w:val="00DB293A"/>
    <w:rsid w:val="00DB41D2"/>
    <w:rsid w:val="00DB4566"/>
    <w:rsid w:val="00DB5B3F"/>
    <w:rsid w:val="00DC0C38"/>
    <w:rsid w:val="00DD1685"/>
    <w:rsid w:val="00DD4344"/>
    <w:rsid w:val="00DD4AEF"/>
    <w:rsid w:val="00DD5A2F"/>
    <w:rsid w:val="00DE1986"/>
    <w:rsid w:val="00DE635A"/>
    <w:rsid w:val="00DF3058"/>
    <w:rsid w:val="00E022E3"/>
    <w:rsid w:val="00E03B7C"/>
    <w:rsid w:val="00E052C6"/>
    <w:rsid w:val="00E10773"/>
    <w:rsid w:val="00E1478F"/>
    <w:rsid w:val="00E15AA3"/>
    <w:rsid w:val="00E20239"/>
    <w:rsid w:val="00E20901"/>
    <w:rsid w:val="00E2252B"/>
    <w:rsid w:val="00E225AC"/>
    <w:rsid w:val="00E24DC2"/>
    <w:rsid w:val="00E26241"/>
    <w:rsid w:val="00E30992"/>
    <w:rsid w:val="00E315DB"/>
    <w:rsid w:val="00E32D1F"/>
    <w:rsid w:val="00E343C3"/>
    <w:rsid w:val="00E37F80"/>
    <w:rsid w:val="00E40104"/>
    <w:rsid w:val="00E41A5C"/>
    <w:rsid w:val="00E4560A"/>
    <w:rsid w:val="00E52A17"/>
    <w:rsid w:val="00E52E24"/>
    <w:rsid w:val="00E54E88"/>
    <w:rsid w:val="00E62E93"/>
    <w:rsid w:val="00E641F6"/>
    <w:rsid w:val="00E643D8"/>
    <w:rsid w:val="00E6596F"/>
    <w:rsid w:val="00E66C12"/>
    <w:rsid w:val="00E81203"/>
    <w:rsid w:val="00E81537"/>
    <w:rsid w:val="00E82E2E"/>
    <w:rsid w:val="00E84D02"/>
    <w:rsid w:val="00E85B18"/>
    <w:rsid w:val="00E86900"/>
    <w:rsid w:val="00E900D7"/>
    <w:rsid w:val="00E947A6"/>
    <w:rsid w:val="00E9733C"/>
    <w:rsid w:val="00EA5644"/>
    <w:rsid w:val="00EB3383"/>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427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8</cp:revision>
  <cp:lastPrinted>2012-11-26T10:50:00Z</cp:lastPrinted>
  <dcterms:created xsi:type="dcterms:W3CDTF">2019-12-16T11:37:00Z</dcterms:created>
  <dcterms:modified xsi:type="dcterms:W3CDTF">2019-12-16T14:58:00Z</dcterms:modified>
</cp:coreProperties>
</file>