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F7A" w:rsidRDefault="00941F7A" w:rsidP="00941F7A">
      <w:pPr>
        <w:jc w:val="center"/>
        <w:rPr>
          <w:rFonts w:ascii="Arial" w:hAnsi="Arial"/>
          <w:b/>
          <w:sz w:val="28"/>
        </w:rPr>
      </w:pPr>
      <w:r>
        <w:rPr>
          <w:rFonts w:ascii="Arial" w:hAnsi="Arial"/>
          <w:b/>
          <w:sz w:val="28"/>
        </w:rPr>
        <w:t>INDICES DU COMMERCE EXTERIEUR</w:t>
      </w:r>
    </w:p>
    <w:p w:rsidR="00941F7A" w:rsidRDefault="00941F7A" w:rsidP="00941F7A">
      <w:pPr>
        <w:jc w:val="center"/>
        <w:rPr>
          <w:rFonts w:ascii="Arial" w:hAnsi="Arial"/>
          <w:sz w:val="24"/>
        </w:rPr>
      </w:pPr>
      <w:r>
        <w:rPr>
          <w:rFonts w:ascii="Arial" w:hAnsi="Arial"/>
          <w:b/>
          <w:sz w:val="28"/>
        </w:rPr>
        <w:t>(Base 100 : 2012)</w:t>
      </w:r>
    </w:p>
    <w:p w:rsidR="00941F7A" w:rsidRDefault="00941F7A" w:rsidP="00941F7A">
      <w:pPr>
        <w:jc w:val="center"/>
        <w:rPr>
          <w:rFonts w:ascii="Arial" w:hAnsi="Arial"/>
          <w:sz w:val="24"/>
        </w:rPr>
      </w:pPr>
    </w:p>
    <w:p w:rsidR="00941F7A" w:rsidRPr="00A63CB0" w:rsidRDefault="00941F7A" w:rsidP="00941F7A">
      <w:pPr>
        <w:jc w:val="center"/>
        <w:rPr>
          <w:rFonts w:ascii="Calibri" w:eastAsia="Calibri" w:hAnsi="Calibri" w:cs="Arial"/>
          <w:b/>
          <w:bCs/>
          <w:sz w:val="26"/>
          <w:szCs w:val="26"/>
          <w:u w:val="single"/>
          <w:lang w:eastAsia="en-US"/>
        </w:rPr>
      </w:pPr>
    </w:p>
    <w:p w:rsidR="00941F7A" w:rsidRPr="0058414B" w:rsidRDefault="00941F7A" w:rsidP="00941F7A">
      <w:pPr>
        <w:jc w:val="both"/>
        <w:rPr>
          <w:rFonts w:ascii="Calibri" w:eastAsia="Calibri" w:hAnsi="Calibri" w:cs="Arial"/>
          <w:b/>
          <w:bCs/>
          <w:sz w:val="26"/>
          <w:szCs w:val="26"/>
          <w:u w:val="single"/>
          <w:lang w:eastAsia="en-US"/>
        </w:rPr>
      </w:pPr>
      <w:r w:rsidRPr="0058414B">
        <w:rPr>
          <w:rFonts w:ascii="Calibri" w:eastAsia="Calibri" w:hAnsi="Calibri" w:cs="Arial"/>
          <w:b/>
          <w:bCs/>
          <w:sz w:val="26"/>
          <w:szCs w:val="26"/>
          <w:lang w:eastAsia="en-US"/>
        </w:rPr>
        <w:t xml:space="preserve">1. </w:t>
      </w:r>
      <w:r w:rsidRPr="001F6860">
        <w:rPr>
          <w:rFonts w:ascii="Arial" w:hAnsi="Arial"/>
          <w:b/>
          <w:sz w:val="24"/>
          <w:u w:val="single"/>
        </w:rPr>
        <w:t>Présentation</w:t>
      </w:r>
    </w:p>
    <w:p w:rsidR="00941F7A" w:rsidRPr="0058414B" w:rsidRDefault="00941F7A" w:rsidP="00941F7A">
      <w:pPr>
        <w:jc w:val="both"/>
        <w:rPr>
          <w:rFonts w:ascii="Arial" w:hAnsi="Arial"/>
          <w:sz w:val="24"/>
          <w:u w:val="single"/>
        </w:rPr>
      </w:pPr>
    </w:p>
    <w:p w:rsidR="00941F7A" w:rsidRDefault="00941F7A" w:rsidP="00941F7A">
      <w:pPr>
        <w:jc w:val="both"/>
        <w:rPr>
          <w:rFonts w:ascii="Arial" w:hAnsi="Arial"/>
          <w:sz w:val="24"/>
        </w:rPr>
      </w:pPr>
      <w:r>
        <w:rPr>
          <w:rFonts w:ascii="Arial" w:hAnsi="Arial"/>
          <w:sz w:val="24"/>
        </w:rPr>
        <w:t xml:space="preserve">    </w:t>
      </w:r>
    </w:p>
    <w:p w:rsidR="00941F7A" w:rsidRPr="00BC0620" w:rsidRDefault="00941F7A" w:rsidP="004A00ED">
      <w:pPr>
        <w:spacing w:line="360" w:lineRule="auto"/>
        <w:jc w:val="both"/>
        <w:rPr>
          <w:rFonts w:ascii="Arial" w:hAnsi="Arial"/>
          <w:sz w:val="24"/>
        </w:rPr>
      </w:pPr>
      <w:r>
        <w:rPr>
          <w:rFonts w:ascii="Arial" w:hAnsi="Arial"/>
          <w:sz w:val="24"/>
        </w:rPr>
        <w:t xml:space="preserve">        Les </w:t>
      </w:r>
      <w:r w:rsidRPr="00BC0620">
        <w:rPr>
          <w:rFonts w:ascii="Arial" w:hAnsi="Arial"/>
          <w:sz w:val="24"/>
        </w:rPr>
        <w:t xml:space="preserve">indices du commerce extérieur permettent de retracer l’évolution dans le temps des valeurs </w:t>
      </w:r>
      <w:r w:rsidR="004A00ED">
        <w:rPr>
          <w:rFonts w:ascii="Arial" w:hAnsi="Arial"/>
          <w:sz w:val="24"/>
        </w:rPr>
        <w:t>unitaires</w:t>
      </w:r>
      <w:r w:rsidRPr="00BC0620">
        <w:rPr>
          <w:rFonts w:ascii="Arial" w:hAnsi="Arial"/>
          <w:sz w:val="24"/>
        </w:rPr>
        <w:t xml:space="preserve"> des marchandises échangées.</w:t>
      </w:r>
    </w:p>
    <w:p w:rsidR="00941F7A" w:rsidRPr="00BC0620" w:rsidRDefault="00941F7A" w:rsidP="004A00ED">
      <w:pPr>
        <w:spacing w:line="360" w:lineRule="auto"/>
        <w:jc w:val="both"/>
        <w:rPr>
          <w:rFonts w:ascii="Arial" w:hAnsi="Arial"/>
          <w:sz w:val="24"/>
        </w:rPr>
      </w:pPr>
      <w:r>
        <w:rPr>
          <w:rFonts w:ascii="Arial" w:hAnsi="Arial"/>
          <w:sz w:val="24"/>
        </w:rPr>
        <w:t xml:space="preserve">       </w:t>
      </w:r>
      <w:r w:rsidRPr="00BC0620">
        <w:rPr>
          <w:rFonts w:ascii="Arial" w:hAnsi="Arial"/>
          <w:sz w:val="24"/>
        </w:rPr>
        <w:t xml:space="preserve">      </w:t>
      </w:r>
    </w:p>
    <w:p w:rsidR="00941F7A" w:rsidRPr="00BC0620" w:rsidRDefault="00941F7A" w:rsidP="00941F7A">
      <w:pPr>
        <w:pStyle w:val="Paragraphedeliste"/>
        <w:spacing w:line="360" w:lineRule="auto"/>
        <w:ind w:left="0"/>
        <w:rPr>
          <w:rFonts w:ascii="Arial" w:eastAsia="Times New Roman" w:hAnsi="Arial" w:cs="Times New Roman"/>
          <w:sz w:val="24"/>
          <w:szCs w:val="20"/>
          <w:lang w:eastAsia="zh-TW"/>
        </w:rPr>
      </w:pPr>
      <w:r>
        <w:rPr>
          <w:rFonts w:ascii="Arial" w:eastAsia="Times New Roman" w:hAnsi="Arial" w:cs="Times New Roman"/>
          <w:sz w:val="24"/>
          <w:szCs w:val="20"/>
          <w:lang w:eastAsia="zh-TW"/>
        </w:rPr>
        <w:t xml:space="preserve">      </w:t>
      </w:r>
      <w:r w:rsidRPr="00BC0620">
        <w:rPr>
          <w:rFonts w:ascii="Arial" w:eastAsia="Times New Roman" w:hAnsi="Arial" w:cs="Times New Roman"/>
          <w:sz w:val="24"/>
          <w:szCs w:val="20"/>
          <w:lang w:eastAsia="zh-TW"/>
        </w:rPr>
        <w:t xml:space="preserve"> Ces indices du commerce extérieur sont cal</w:t>
      </w:r>
      <w:r>
        <w:rPr>
          <w:rFonts w:ascii="Arial" w:eastAsia="Times New Roman" w:hAnsi="Arial" w:cs="Times New Roman"/>
          <w:sz w:val="24"/>
          <w:szCs w:val="20"/>
          <w:lang w:eastAsia="zh-TW"/>
        </w:rPr>
        <w:t>culés</w:t>
      </w:r>
      <w:r w:rsidRPr="00BC0620">
        <w:rPr>
          <w:rFonts w:ascii="Arial" w:eastAsia="Times New Roman" w:hAnsi="Arial" w:cs="Times New Roman"/>
          <w:sz w:val="24"/>
          <w:szCs w:val="20"/>
          <w:lang w:eastAsia="zh-TW"/>
        </w:rPr>
        <w:t xml:space="preserve"> selon deux types de classification : </w:t>
      </w:r>
    </w:p>
    <w:p w:rsidR="00941F7A" w:rsidRPr="00BC0620" w:rsidRDefault="00941F7A" w:rsidP="00941F7A">
      <w:pPr>
        <w:pStyle w:val="Paragraphedeliste"/>
        <w:numPr>
          <w:ilvl w:val="0"/>
          <w:numId w:val="2"/>
        </w:numPr>
        <w:spacing w:line="360" w:lineRule="auto"/>
        <w:rPr>
          <w:rFonts w:ascii="Arial" w:eastAsia="Times New Roman" w:hAnsi="Arial" w:cs="Times New Roman"/>
          <w:sz w:val="24"/>
          <w:szCs w:val="20"/>
          <w:lang w:eastAsia="zh-TW"/>
        </w:rPr>
      </w:pPr>
      <w:r w:rsidRPr="00BC0620">
        <w:rPr>
          <w:rFonts w:ascii="Arial" w:eastAsia="Times New Roman" w:hAnsi="Arial" w:cs="Times New Roman"/>
          <w:sz w:val="24"/>
          <w:szCs w:val="20"/>
          <w:lang w:eastAsia="zh-TW"/>
        </w:rPr>
        <w:t xml:space="preserve">par branches et sous-branches de la Nomenclature Marocaine des </w:t>
      </w:r>
      <w:r>
        <w:rPr>
          <w:rFonts w:ascii="Arial" w:eastAsia="Times New Roman" w:hAnsi="Arial" w:cs="Times New Roman"/>
          <w:sz w:val="24"/>
          <w:szCs w:val="20"/>
          <w:lang w:eastAsia="zh-TW"/>
        </w:rPr>
        <w:t>Activités</w:t>
      </w:r>
      <w:r w:rsidRPr="00BC0620">
        <w:rPr>
          <w:rFonts w:ascii="Arial" w:eastAsia="Times New Roman" w:hAnsi="Arial" w:cs="Times New Roman"/>
          <w:sz w:val="24"/>
          <w:szCs w:val="20"/>
          <w:lang w:eastAsia="zh-TW"/>
        </w:rPr>
        <w:t> ;</w:t>
      </w:r>
    </w:p>
    <w:p w:rsidR="00941F7A" w:rsidRPr="00BC0620" w:rsidRDefault="00941F7A" w:rsidP="00941F7A">
      <w:pPr>
        <w:pStyle w:val="Paragraphedeliste"/>
        <w:numPr>
          <w:ilvl w:val="0"/>
          <w:numId w:val="2"/>
        </w:numPr>
        <w:spacing w:line="360" w:lineRule="auto"/>
        <w:rPr>
          <w:rFonts w:ascii="Arial" w:eastAsia="Times New Roman" w:hAnsi="Arial" w:cs="Times New Roman"/>
          <w:sz w:val="24"/>
          <w:szCs w:val="20"/>
          <w:lang w:eastAsia="zh-TW"/>
        </w:rPr>
      </w:pPr>
      <w:r w:rsidRPr="00BC0620">
        <w:rPr>
          <w:rFonts w:ascii="Arial" w:eastAsia="Times New Roman" w:hAnsi="Arial" w:cs="Times New Roman"/>
          <w:sz w:val="24"/>
          <w:szCs w:val="20"/>
          <w:lang w:eastAsia="zh-TW"/>
        </w:rPr>
        <w:t>par groupements d'utilisation et produits remarquables de la nomenclature douanière SH (Système Harmonisé</w:t>
      </w:r>
      <w:r>
        <w:rPr>
          <w:rFonts w:ascii="Arial" w:eastAsia="Times New Roman" w:hAnsi="Arial" w:cs="Times New Roman"/>
          <w:sz w:val="24"/>
          <w:szCs w:val="20"/>
          <w:lang w:eastAsia="zh-TW"/>
        </w:rPr>
        <w:t xml:space="preserve"> de Désignation et de Codification des marchandises</w:t>
      </w:r>
      <w:r w:rsidRPr="00BC0620">
        <w:rPr>
          <w:rFonts w:ascii="Arial" w:eastAsia="Times New Roman" w:hAnsi="Arial" w:cs="Times New Roman"/>
          <w:sz w:val="24"/>
          <w:szCs w:val="20"/>
          <w:lang w:eastAsia="zh-TW"/>
        </w:rPr>
        <w:t>).</w:t>
      </w:r>
    </w:p>
    <w:p w:rsidR="00941F7A" w:rsidRPr="002D0E5B" w:rsidRDefault="00941F7A" w:rsidP="00D73C65">
      <w:pPr>
        <w:jc w:val="both"/>
        <w:rPr>
          <w:rFonts w:ascii="Calibri" w:eastAsia="Calibri" w:hAnsi="Calibri" w:cs="Arial"/>
          <w:sz w:val="26"/>
          <w:szCs w:val="26"/>
          <w:lang w:eastAsia="en-US"/>
        </w:rPr>
      </w:pPr>
      <w:r>
        <w:rPr>
          <w:rFonts w:ascii="Arial" w:hAnsi="Arial"/>
          <w:sz w:val="24"/>
        </w:rPr>
        <w:tab/>
      </w:r>
    </w:p>
    <w:p w:rsidR="00941F7A" w:rsidRPr="00A63CB0" w:rsidRDefault="00941F7A" w:rsidP="00941F7A">
      <w:pPr>
        <w:jc w:val="both"/>
        <w:rPr>
          <w:rFonts w:ascii="Calibri" w:eastAsia="Calibri" w:hAnsi="Calibri" w:cs="Arial"/>
          <w:sz w:val="26"/>
          <w:szCs w:val="26"/>
          <w:lang w:eastAsia="en-US"/>
        </w:rPr>
      </w:pPr>
      <w:r>
        <w:rPr>
          <w:rFonts w:ascii="Arial" w:hAnsi="Arial"/>
          <w:b/>
          <w:sz w:val="24"/>
        </w:rPr>
        <w:t>2</w:t>
      </w:r>
      <w:r w:rsidRPr="00A63CB0">
        <w:rPr>
          <w:rFonts w:ascii="Calibri" w:eastAsia="Calibri" w:hAnsi="Calibri" w:cs="Arial"/>
          <w:sz w:val="26"/>
          <w:szCs w:val="26"/>
          <w:lang w:eastAsia="en-US"/>
        </w:rPr>
        <w:t xml:space="preserve">. </w:t>
      </w:r>
      <w:r w:rsidRPr="001F6860">
        <w:rPr>
          <w:rFonts w:ascii="Arial" w:hAnsi="Arial"/>
          <w:b/>
          <w:sz w:val="24"/>
          <w:u w:val="single"/>
        </w:rPr>
        <w:t>Objectifs des indices du commerce extérieur</w:t>
      </w:r>
    </w:p>
    <w:p w:rsidR="00941F7A" w:rsidRPr="00A63CB0" w:rsidRDefault="00941F7A" w:rsidP="00941F7A">
      <w:pPr>
        <w:jc w:val="both"/>
        <w:rPr>
          <w:rFonts w:ascii="Calibri" w:eastAsia="Calibri" w:hAnsi="Calibri" w:cs="Arial"/>
          <w:sz w:val="26"/>
          <w:szCs w:val="26"/>
          <w:lang w:eastAsia="en-US"/>
        </w:rPr>
      </w:pPr>
    </w:p>
    <w:p w:rsidR="00941F7A" w:rsidRPr="00BC0620" w:rsidRDefault="00941F7A" w:rsidP="00941F7A">
      <w:pPr>
        <w:jc w:val="both"/>
        <w:rPr>
          <w:rFonts w:ascii="Arial" w:hAnsi="Arial"/>
          <w:sz w:val="24"/>
        </w:rPr>
      </w:pPr>
      <w:r>
        <w:rPr>
          <w:rFonts w:ascii="Arial" w:hAnsi="Arial"/>
          <w:sz w:val="24"/>
        </w:rPr>
        <w:tab/>
      </w:r>
      <w:r w:rsidRPr="00BC0620">
        <w:rPr>
          <w:rFonts w:ascii="Arial" w:hAnsi="Arial"/>
          <w:sz w:val="24"/>
        </w:rPr>
        <w:t>Ces indices sont utilisés</w:t>
      </w:r>
      <w:r>
        <w:rPr>
          <w:rFonts w:ascii="Arial" w:hAnsi="Arial"/>
          <w:sz w:val="24"/>
        </w:rPr>
        <w:t>, entre autres,</w:t>
      </w:r>
      <w:r w:rsidRPr="00BC0620">
        <w:rPr>
          <w:rFonts w:ascii="Arial" w:hAnsi="Arial"/>
          <w:sz w:val="24"/>
        </w:rPr>
        <w:t xml:space="preserve"> dans le cadre :</w:t>
      </w:r>
    </w:p>
    <w:p w:rsidR="00941F7A" w:rsidRPr="00BC0620" w:rsidRDefault="00941F7A" w:rsidP="00941F7A">
      <w:pPr>
        <w:jc w:val="both"/>
        <w:rPr>
          <w:rFonts w:ascii="Arial" w:hAnsi="Arial"/>
          <w:sz w:val="24"/>
        </w:rPr>
      </w:pPr>
    </w:p>
    <w:p w:rsidR="00B449C7" w:rsidRDefault="00941F7A" w:rsidP="00B449C7">
      <w:pPr>
        <w:spacing w:line="360" w:lineRule="auto"/>
        <w:jc w:val="both"/>
        <w:rPr>
          <w:rFonts w:ascii="Arial" w:hAnsi="Arial"/>
          <w:sz w:val="24"/>
        </w:rPr>
      </w:pPr>
      <w:r w:rsidRPr="00BC0620">
        <w:rPr>
          <w:rFonts w:ascii="Arial" w:hAnsi="Arial"/>
          <w:sz w:val="24"/>
        </w:rPr>
        <w:tab/>
        <w:t>-- Du suivi de la variation des prix des marchandises importées et exportées</w:t>
      </w:r>
      <w:r w:rsidR="00B449C7">
        <w:rPr>
          <w:rFonts w:ascii="Arial" w:hAnsi="Arial"/>
          <w:sz w:val="24"/>
        </w:rPr>
        <w:t xml:space="preserve">  </w:t>
      </w:r>
    </w:p>
    <w:p w:rsidR="00941F7A" w:rsidRPr="00BC0620" w:rsidRDefault="00B449C7" w:rsidP="00B449C7">
      <w:pPr>
        <w:spacing w:line="360" w:lineRule="auto"/>
        <w:jc w:val="both"/>
        <w:rPr>
          <w:rFonts w:ascii="Arial" w:hAnsi="Arial"/>
          <w:sz w:val="24"/>
        </w:rPr>
      </w:pPr>
      <w:r>
        <w:rPr>
          <w:rFonts w:ascii="Arial" w:hAnsi="Arial"/>
          <w:sz w:val="24"/>
        </w:rPr>
        <w:t xml:space="preserve">             </w:t>
      </w:r>
      <w:proofErr w:type="gramStart"/>
      <w:r>
        <w:rPr>
          <w:rFonts w:ascii="Arial" w:hAnsi="Arial"/>
          <w:sz w:val="24"/>
        </w:rPr>
        <w:t>évalués</w:t>
      </w:r>
      <w:proofErr w:type="gramEnd"/>
      <w:r>
        <w:rPr>
          <w:rFonts w:ascii="Arial" w:hAnsi="Arial"/>
          <w:sz w:val="24"/>
        </w:rPr>
        <w:t xml:space="preserve"> par les valeurs unitaires</w:t>
      </w:r>
      <w:r w:rsidR="00941F7A" w:rsidRPr="00BC0620">
        <w:rPr>
          <w:rFonts w:ascii="Arial" w:hAnsi="Arial"/>
          <w:sz w:val="24"/>
        </w:rPr>
        <w:t xml:space="preserve"> ;</w:t>
      </w:r>
    </w:p>
    <w:p w:rsidR="00941F7A" w:rsidRPr="00BC0620" w:rsidRDefault="00941F7A" w:rsidP="00941F7A">
      <w:pPr>
        <w:spacing w:line="360" w:lineRule="auto"/>
        <w:jc w:val="both"/>
        <w:rPr>
          <w:rFonts w:ascii="Arial" w:hAnsi="Arial"/>
          <w:sz w:val="24"/>
        </w:rPr>
      </w:pPr>
      <w:r w:rsidRPr="00BC0620">
        <w:rPr>
          <w:rFonts w:ascii="Arial" w:hAnsi="Arial"/>
          <w:sz w:val="24"/>
        </w:rPr>
        <w:tab/>
        <w:t>- De la détermination des termes de l’échange ;</w:t>
      </w:r>
    </w:p>
    <w:p w:rsidR="00941F7A" w:rsidRPr="00BC0620" w:rsidRDefault="00941F7A" w:rsidP="00941F7A">
      <w:pPr>
        <w:spacing w:line="360" w:lineRule="auto"/>
        <w:jc w:val="both"/>
        <w:rPr>
          <w:rFonts w:ascii="Arial" w:hAnsi="Arial"/>
          <w:sz w:val="24"/>
        </w:rPr>
      </w:pPr>
      <w:r w:rsidRPr="00BC0620">
        <w:rPr>
          <w:rFonts w:ascii="Arial" w:hAnsi="Arial"/>
          <w:sz w:val="24"/>
        </w:rPr>
        <w:tab/>
        <w:t xml:space="preserve">- De l’estimation à prix constants des importations et des exportations par </w:t>
      </w:r>
    </w:p>
    <w:p w:rsidR="00941F7A" w:rsidRPr="00BC0620" w:rsidRDefault="00941F7A" w:rsidP="00941F7A">
      <w:pPr>
        <w:spacing w:line="360" w:lineRule="auto"/>
        <w:jc w:val="both"/>
        <w:rPr>
          <w:rFonts w:ascii="Arial" w:hAnsi="Arial"/>
          <w:sz w:val="24"/>
        </w:rPr>
      </w:pPr>
      <w:r w:rsidRPr="00BC0620">
        <w:rPr>
          <w:rFonts w:ascii="Arial" w:hAnsi="Arial"/>
          <w:sz w:val="24"/>
        </w:rPr>
        <w:tab/>
        <w:t xml:space="preserve">  Branches et sous-branches de la nomenclature marocaine d’activités ;</w:t>
      </w:r>
    </w:p>
    <w:p w:rsidR="00941F7A" w:rsidRDefault="00941F7A" w:rsidP="00941F7A">
      <w:pPr>
        <w:spacing w:line="360" w:lineRule="auto"/>
        <w:jc w:val="both"/>
        <w:rPr>
          <w:rFonts w:ascii="Arial" w:hAnsi="Arial"/>
          <w:sz w:val="24"/>
        </w:rPr>
      </w:pPr>
      <w:r w:rsidRPr="00BC0620">
        <w:rPr>
          <w:rFonts w:ascii="Arial" w:hAnsi="Arial"/>
          <w:sz w:val="24"/>
        </w:rPr>
        <w:tab/>
        <w:t>- De l’analyse de la conjoncture économique</w:t>
      </w:r>
      <w:r>
        <w:rPr>
          <w:rFonts w:ascii="Arial" w:hAnsi="Arial"/>
          <w:sz w:val="24"/>
        </w:rPr>
        <w:t>.</w:t>
      </w:r>
    </w:p>
    <w:p w:rsidR="00941F7A" w:rsidRDefault="00941F7A" w:rsidP="00941F7A">
      <w:pPr>
        <w:jc w:val="both"/>
        <w:rPr>
          <w:rFonts w:ascii="Arial" w:hAnsi="Arial"/>
          <w:sz w:val="24"/>
        </w:rPr>
      </w:pPr>
    </w:p>
    <w:p w:rsidR="00941F7A" w:rsidRDefault="00941F7A" w:rsidP="00941F7A">
      <w:pPr>
        <w:jc w:val="both"/>
        <w:rPr>
          <w:rFonts w:ascii="Arial" w:hAnsi="Arial"/>
          <w:sz w:val="24"/>
        </w:rPr>
      </w:pPr>
    </w:p>
    <w:p w:rsidR="00941F7A" w:rsidRDefault="00C217E5" w:rsidP="00941F7A">
      <w:pPr>
        <w:jc w:val="both"/>
        <w:rPr>
          <w:rFonts w:ascii="Arial" w:hAnsi="Arial"/>
          <w:b/>
          <w:sz w:val="24"/>
        </w:rPr>
      </w:pPr>
      <w:r>
        <w:rPr>
          <w:rFonts w:ascii="Arial" w:hAnsi="Arial"/>
          <w:b/>
          <w:sz w:val="24"/>
        </w:rPr>
        <w:t>3</w:t>
      </w:r>
      <w:r w:rsidR="00941F7A">
        <w:rPr>
          <w:rFonts w:ascii="Arial" w:hAnsi="Arial"/>
          <w:b/>
          <w:sz w:val="24"/>
        </w:rPr>
        <w:t xml:space="preserve">. </w:t>
      </w:r>
      <w:r w:rsidR="00941F7A">
        <w:rPr>
          <w:rFonts w:ascii="Arial" w:hAnsi="Arial"/>
          <w:b/>
          <w:sz w:val="24"/>
          <w:u w:val="single"/>
        </w:rPr>
        <w:t>Champ couvert et échantillon</w:t>
      </w:r>
      <w:r w:rsidR="00941F7A">
        <w:rPr>
          <w:rFonts w:ascii="Arial" w:hAnsi="Arial"/>
          <w:b/>
          <w:sz w:val="24"/>
        </w:rPr>
        <w:t xml:space="preserve"> </w:t>
      </w:r>
    </w:p>
    <w:p w:rsidR="00941F7A" w:rsidRDefault="00941F7A" w:rsidP="00941F7A">
      <w:pPr>
        <w:jc w:val="both"/>
        <w:rPr>
          <w:rFonts w:ascii="Arial" w:hAnsi="Arial"/>
          <w:sz w:val="24"/>
        </w:rPr>
      </w:pPr>
    </w:p>
    <w:p w:rsidR="00941F7A" w:rsidRPr="00FA463E" w:rsidRDefault="00941F7A" w:rsidP="009D00E1">
      <w:pPr>
        <w:spacing w:line="360" w:lineRule="auto"/>
        <w:jc w:val="both"/>
        <w:rPr>
          <w:rFonts w:ascii="Book Antiqua" w:hAnsi="Book Antiqua" w:cs="Arial"/>
          <w:sz w:val="26"/>
          <w:szCs w:val="26"/>
          <w:lang w:eastAsia="fr-FR"/>
        </w:rPr>
      </w:pPr>
      <w:r>
        <w:rPr>
          <w:rFonts w:ascii="Arial" w:hAnsi="Arial"/>
          <w:sz w:val="24"/>
        </w:rPr>
        <w:tab/>
        <w:t xml:space="preserve">Le champ des indices du commerce extérieur comprend l’ensemble des marchandises échangées avec le reste du monde. </w:t>
      </w:r>
      <w:r w:rsidRPr="00A45778">
        <w:rPr>
          <w:rFonts w:ascii="Arial" w:hAnsi="Arial"/>
          <w:sz w:val="24"/>
        </w:rPr>
        <w:t xml:space="preserve"> À la fin de chaque année les produits échangé</w:t>
      </w:r>
      <w:r>
        <w:rPr>
          <w:rFonts w:ascii="Arial" w:hAnsi="Arial"/>
          <w:sz w:val="24"/>
        </w:rPr>
        <w:t>s sont séparés en deux groupes : g</w:t>
      </w:r>
      <w:r w:rsidRPr="00A45778">
        <w:rPr>
          <w:rFonts w:ascii="Arial" w:hAnsi="Arial"/>
          <w:sz w:val="24"/>
        </w:rPr>
        <w:t>r</w:t>
      </w:r>
      <w:r>
        <w:rPr>
          <w:rFonts w:ascii="Arial" w:hAnsi="Arial"/>
          <w:sz w:val="24"/>
        </w:rPr>
        <w:t>oupe de produits représentatifs et g</w:t>
      </w:r>
      <w:r w:rsidRPr="00A45778">
        <w:rPr>
          <w:rFonts w:ascii="Arial" w:hAnsi="Arial"/>
          <w:sz w:val="24"/>
        </w:rPr>
        <w:t xml:space="preserve">roupe de produits non représentatifs. </w:t>
      </w:r>
      <w:r w:rsidRPr="00C61A3E">
        <w:rPr>
          <w:rFonts w:ascii="Arial" w:hAnsi="Arial"/>
          <w:sz w:val="24"/>
        </w:rPr>
        <w:t xml:space="preserve"> </w:t>
      </w:r>
      <w:r w:rsidRPr="00A45778">
        <w:rPr>
          <w:rFonts w:ascii="Arial" w:hAnsi="Arial"/>
          <w:sz w:val="24"/>
        </w:rPr>
        <w:t>Ainsi</w:t>
      </w:r>
      <w:r>
        <w:rPr>
          <w:rFonts w:ascii="Arial" w:hAnsi="Arial"/>
          <w:sz w:val="24"/>
        </w:rPr>
        <w:t xml:space="preserve">, </w:t>
      </w:r>
      <w:r w:rsidRPr="00A45778">
        <w:rPr>
          <w:rFonts w:ascii="Arial" w:hAnsi="Arial"/>
          <w:sz w:val="24"/>
        </w:rPr>
        <w:t xml:space="preserve">l’indice de valeurs moyennes est calculé sur la base du groupe de produits représentatifs </w:t>
      </w:r>
      <w:r w:rsidR="00FA463E" w:rsidRPr="00FA463E">
        <w:rPr>
          <w:rFonts w:ascii="Arial" w:hAnsi="Arial"/>
          <w:sz w:val="24"/>
        </w:rPr>
        <w:t xml:space="preserve">qui comportent les produits </w:t>
      </w:r>
      <w:r w:rsidR="00FA463E" w:rsidRPr="00FA463E">
        <w:rPr>
          <w:rFonts w:ascii="Arial" w:hAnsi="Arial"/>
          <w:sz w:val="24"/>
        </w:rPr>
        <w:lastRenderedPageBreak/>
        <w:t>les plus importants en termes de valeur et constituent plus de 95% de la valeur globale de nos échanges extérieurs</w:t>
      </w:r>
      <w:r w:rsidR="009D00E1">
        <w:rPr>
          <w:rFonts w:ascii="Arial" w:hAnsi="Arial"/>
          <w:sz w:val="24"/>
        </w:rPr>
        <w:t xml:space="preserve">. </w:t>
      </w:r>
    </w:p>
    <w:p w:rsidR="00941F7A" w:rsidRPr="00C61A3E" w:rsidRDefault="00941F7A" w:rsidP="00941F7A">
      <w:pPr>
        <w:spacing w:line="360" w:lineRule="auto"/>
        <w:rPr>
          <w:sz w:val="24"/>
          <w:szCs w:val="24"/>
        </w:rPr>
      </w:pPr>
    </w:p>
    <w:p w:rsidR="00941F7A" w:rsidRDefault="00C217E5" w:rsidP="00941F7A">
      <w:pPr>
        <w:jc w:val="both"/>
        <w:rPr>
          <w:rFonts w:ascii="Arial" w:hAnsi="Arial"/>
          <w:b/>
          <w:sz w:val="24"/>
        </w:rPr>
      </w:pPr>
      <w:r>
        <w:rPr>
          <w:rFonts w:ascii="Arial" w:hAnsi="Arial"/>
          <w:b/>
          <w:sz w:val="24"/>
        </w:rPr>
        <w:t>4</w:t>
      </w:r>
      <w:r w:rsidR="00941F7A">
        <w:rPr>
          <w:rFonts w:ascii="Arial" w:hAnsi="Arial"/>
          <w:b/>
          <w:sz w:val="24"/>
        </w:rPr>
        <w:t xml:space="preserve">. </w:t>
      </w:r>
      <w:r w:rsidR="00941F7A" w:rsidRPr="0058414B">
        <w:rPr>
          <w:rFonts w:ascii="Arial" w:hAnsi="Arial"/>
          <w:b/>
          <w:sz w:val="24"/>
          <w:u w:val="single"/>
        </w:rPr>
        <w:t>Source des données</w:t>
      </w:r>
    </w:p>
    <w:p w:rsidR="00941F7A" w:rsidRDefault="00941F7A" w:rsidP="00941F7A">
      <w:pPr>
        <w:jc w:val="both"/>
        <w:rPr>
          <w:rFonts w:ascii="Arial" w:hAnsi="Arial"/>
          <w:sz w:val="24"/>
        </w:rPr>
      </w:pPr>
      <w:r>
        <w:rPr>
          <w:rFonts w:ascii="Arial" w:hAnsi="Arial"/>
          <w:sz w:val="24"/>
        </w:rPr>
        <w:tab/>
      </w:r>
    </w:p>
    <w:p w:rsidR="00941F7A" w:rsidRDefault="00941F7A" w:rsidP="009D00E1">
      <w:pPr>
        <w:spacing w:line="360" w:lineRule="auto"/>
        <w:jc w:val="both"/>
        <w:rPr>
          <w:rFonts w:ascii="Arial" w:hAnsi="Arial"/>
          <w:sz w:val="24"/>
        </w:rPr>
      </w:pPr>
      <w:r>
        <w:rPr>
          <w:rFonts w:ascii="Arial" w:hAnsi="Arial"/>
          <w:sz w:val="24"/>
        </w:rPr>
        <w:t xml:space="preserve">         Les données sur les échanges avec l’extérieur sont recueillies auprès de l’Office des </w:t>
      </w:r>
      <w:r w:rsidR="009D00E1">
        <w:rPr>
          <w:rFonts w:ascii="Arial" w:hAnsi="Arial"/>
          <w:sz w:val="24"/>
        </w:rPr>
        <w:t>C</w:t>
      </w:r>
      <w:r>
        <w:rPr>
          <w:rFonts w:ascii="Arial" w:hAnsi="Arial"/>
          <w:sz w:val="24"/>
        </w:rPr>
        <w:t>hanges et traitées avant d’effectuer le calcul des indices du commerce extérieur.</w:t>
      </w:r>
    </w:p>
    <w:p w:rsidR="00941F7A" w:rsidRDefault="00941F7A" w:rsidP="00941F7A">
      <w:pPr>
        <w:jc w:val="both"/>
        <w:rPr>
          <w:rFonts w:ascii="Arial" w:hAnsi="Arial"/>
          <w:sz w:val="24"/>
        </w:rPr>
      </w:pPr>
    </w:p>
    <w:p w:rsidR="00941F7A" w:rsidRPr="0058414B" w:rsidRDefault="00C217E5" w:rsidP="00941F7A">
      <w:pPr>
        <w:jc w:val="both"/>
        <w:rPr>
          <w:rFonts w:ascii="Arial" w:hAnsi="Arial"/>
          <w:b/>
          <w:sz w:val="24"/>
        </w:rPr>
      </w:pPr>
      <w:r>
        <w:rPr>
          <w:rFonts w:ascii="Arial" w:hAnsi="Arial"/>
          <w:b/>
          <w:sz w:val="24"/>
        </w:rPr>
        <w:t>5</w:t>
      </w:r>
      <w:r w:rsidR="00941F7A">
        <w:rPr>
          <w:rFonts w:ascii="Arial" w:hAnsi="Arial"/>
          <w:b/>
          <w:sz w:val="24"/>
        </w:rPr>
        <w:t xml:space="preserve">. </w:t>
      </w:r>
      <w:r w:rsidR="00941F7A" w:rsidRPr="0058414B">
        <w:rPr>
          <w:rFonts w:ascii="Arial" w:hAnsi="Arial"/>
          <w:b/>
          <w:sz w:val="24"/>
          <w:u w:val="single"/>
        </w:rPr>
        <w:t>Calcul des indices</w:t>
      </w:r>
    </w:p>
    <w:p w:rsidR="00941F7A" w:rsidRPr="0058414B" w:rsidRDefault="00941F7A" w:rsidP="00941F7A">
      <w:pPr>
        <w:jc w:val="both"/>
        <w:rPr>
          <w:rFonts w:ascii="Arial" w:hAnsi="Arial"/>
          <w:sz w:val="24"/>
        </w:rPr>
      </w:pPr>
    </w:p>
    <w:p w:rsidR="00941F7A" w:rsidRPr="00C217E5" w:rsidRDefault="00941F7A" w:rsidP="009D00E1">
      <w:pPr>
        <w:spacing w:line="360" w:lineRule="auto"/>
        <w:jc w:val="both"/>
        <w:rPr>
          <w:sz w:val="24"/>
          <w:szCs w:val="24"/>
        </w:rPr>
      </w:pPr>
      <w:r>
        <w:rPr>
          <w:rFonts w:ascii="Arial" w:hAnsi="Arial"/>
          <w:b/>
          <w:sz w:val="24"/>
        </w:rPr>
        <w:t xml:space="preserve">      </w:t>
      </w:r>
    </w:p>
    <w:p w:rsidR="00941F7A" w:rsidRPr="00BC0620" w:rsidRDefault="00941F7A" w:rsidP="009D00E1">
      <w:pPr>
        <w:spacing w:line="360" w:lineRule="auto"/>
        <w:jc w:val="both"/>
        <w:rPr>
          <w:rFonts w:ascii="Arial" w:hAnsi="Arial"/>
          <w:sz w:val="24"/>
        </w:rPr>
      </w:pPr>
      <w:r>
        <w:rPr>
          <w:rFonts w:ascii="Arial" w:hAnsi="Arial"/>
          <w:sz w:val="24"/>
        </w:rPr>
        <w:t xml:space="preserve">           </w:t>
      </w:r>
      <w:r w:rsidRPr="00BC0620">
        <w:rPr>
          <w:rFonts w:ascii="Arial" w:hAnsi="Arial"/>
          <w:sz w:val="24"/>
        </w:rPr>
        <w:t>Les indices du commerce extérieur sont calculés en base courante c’est-à-dire par rapport à l’année précédente</w:t>
      </w:r>
      <w:r w:rsidR="009D00E1">
        <w:rPr>
          <w:rFonts w:ascii="Arial" w:hAnsi="Arial"/>
          <w:sz w:val="24"/>
        </w:rPr>
        <w:t xml:space="preserve"> moyennant la formule de Fisher</w:t>
      </w:r>
      <w:r w:rsidRPr="00BC0620">
        <w:rPr>
          <w:rFonts w:ascii="Arial" w:hAnsi="Arial"/>
          <w:sz w:val="24"/>
        </w:rPr>
        <w:t>. Par la suite, ces indices sont enchainés pour obtenir les indices par rapport à l’année de base 2012.</w:t>
      </w:r>
    </w:p>
    <w:p w:rsidR="00941F7A" w:rsidRDefault="00941F7A" w:rsidP="00941F7A">
      <w:pPr>
        <w:jc w:val="both"/>
        <w:rPr>
          <w:rFonts w:ascii="Arial" w:hAnsi="Arial"/>
          <w:sz w:val="24"/>
        </w:rPr>
      </w:pPr>
    </w:p>
    <w:p w:rsidR="00941F7A" w:rsidRPr="0058414B" w:rsidRDefault="00C217E5" w:rsidP="00941F7A">
      <w:pPr>
        <w:jc w:val="both"/>
        <w:rPr>
          <w:rFonts w:ascii="Arial" w:hAnsi="Arial"/>
          <w:b/>
          <w:sz w:val="24"/>
        </w:rPr>
      </w:pPr>
      <w:r>
        <w:rPr>
          <w:rFonts w:ascii="Arial" w:hAnsi="Arial"/>
          <w:b/>
          <w:sz w:val="24"/>
        </w:rPr>
        <w:t>6</w:t>
      </w:r>
      <w:r w:rsidR="00941F7A">
        <w:rPr>
          <w:rFonts w:ascii="Arial" w:hAnsi="Arial"/>
          <w:b/>
          <w:sz w:val="24"/>
        </w:rPr>
        <w:t xml:space="preserve">. </w:t>
      </w:r>
      <w:r w:rsidR="00941F7A" w:rsidRPr="00BC0620">
        <w:rPr>
          <w:rFonts w:ascii="Arial" w:hAnsi="Arial"/>
          <w:b/>
          <w:sz w:val="24"/>
          <w:u w:val="single"/>
        </w:rPr>
        <w:t>Périodicité</w:t>
      </w:r>
    </w:p>
    <w:p w:rsidR="00941F7A" w:rsidRDefault="00941F7A" w:rsidP="00941F7A">
      <w:pPr>
        <w:jc w:val="both"/>
        <w:rPr>
          <w:rFonts w:ascii="Arial" w:hAnsi="Arial"/>
          <w:sz w:val="24"/>
        </w:rPr>
      </w:pPr>
    </w:p>
    <w:p w:rsidR="00445A5A" w:rsidRPr="00445A5A" w:rsidRDefault="00445A5A" w:rsidP="009D00E1">
      <w:pPr>
        <w:spacing w:after="120" w:line="360" w:lineRule="auto"/>
        <w:ind w:firstLine="708"/>
        <w:jc w:val="both"/>
        <w:rPr>
          <w:rFonts w:ascii="Arial" w:hAnsi="Arial"/>
          <w:sz w:val="24"/>
        </w:rPr>
      </w:pPr>
      <w:r w:rsidRPr="00445A5A">
        <w:rPr>
          <w:rFonts w:ascii="Arial" w:hAnsi="Arial"/>
          <w:sz w:val="24"/>
        </w:rPr>
        <w:t>Les indices du commerce extérieur des valeurs unitaires sont calculés mensuellement, trimestriellement et annuellement pour les importations et les exportations des produits et ce pour les deux nomenclatures SH et NMA.</w:t>
      </w:r>
    </w:p>
    <w:p w:rsidR="00941F7A" w:rsidRDefault="00941F7A" w:rsidP="00941F7A">
      <w:pPr>
        <w:jc w:val="both"/>
        <w:rPr>
          <w:rFonts w:ascii="Arial" w:hAnsi="Arial"/>
          <w:sz w:val="24"/>
        </w:rPr>
      </w:pPr>
    </w:p>
    <w:p w:rsidR="009460C1" w:rsidRDefault="009460C1"/>
    <w:sectPr w:rsidR="009460C1" w:rsidSect="008F14C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1C6" w:rsidRDefault="00F141C6" w:rsidP="00802046">
      <w:r>
        <w:separator/>
      </w:r>
    </w:p>
  </w:endnote>
  <w:endnote w:type="continuationSeparator" w:id="0">
    <w:p w:rsidR="00F141C6" w:rsidRDefault="00F141C6" w:rsidP="0080204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802046">
      <w:tc>
        <w:tcPr>
          <w:tcW w:w="918" w:type="dxa"/>
        </w:tcPr>
        <w:p w:rsidR="00802046" w:rsidRDefault="00BC5FB1">
          <w:pPr>
            <w:pStyle w:val="Pieddepage"/>
            <w:jc w:val="right"/>
            <w:rPr>
              <w:b/>
              <w:color w:val="5B9BD5" w:themeColor="accent1"/>
              <w:sz w:val="32"/>
              <w:szCs w:val="32"/>
            </w:rPr>
          </w:pPr>
          <w:fldSimple w:instr=" PAGE   \* MERGEFORMAT ">
            <w:r w:rsidR="009D00E1" w:rsidRPr="009D00E1">
              <w:rPr>
                <w:b/>
                <w:noProof/>
                <w:color w:val="5B9BD5" w:themeColor="accent1"/>
                <w:sz w:val="32"/>
                <w:szCs w:val="32"/>
              </w:rPr>
              <w:t>2</w:t>
            </w:r>
          </w:fldSimple>
        </w:p>
      </w:tc>
      <w:tc>
        <w:tcPr>
          <w:tcW w:w="7938" w:type="dxa"/>
        </w:tcPr>
        <w:p w:rsidR="00802046" w:rsidRDefault="00802046">
          <w:pPr>
            <w:pStyle w:val="Pieddepage"/>
          </w:pPr>
        </w:p>
      </w:tc>
    </w:tr>
  </w:tbl>
  <w:p w:rsidR="00802046" w:rsidRDefault="0080204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1C6" w:rsidRDefault="00F141C6" w:rsidP="00802046">
      <w:r>
        <w:separator/>
      </w:r>
    </w:p>
  </w:footnote>
  <w:footnote w:type="continuationSeparator" w:id="0">
    <w:p w:rsidR="00F141C6" w:rsidRDefault="00F141C6" w:rsidP="008020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23E53"/>
    <w:multiLevelType w:val="hybridMultilevel"/>
    <w:tmpl w:val="D9C86E62"/>
    <w:lvl w:ilvl="0" w:tplc="0A688BB4">
      <w:start w:val="6"/>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5B2F57E2"/>
    <w:multiLevelType w:val="singleLevel"/>
    <w:tmpl w:val="7ECCD22A"/>
    <w:lvl w:ilvl="0">
      <w:start w:val="4"/>
      <w:numFmt w:val="decimal"/>
      <w:lvlText w:val=""/>
      <w:lvlJc w:val="left"/>
      <w:pPr>
        <w:tabs>
          <w:tab w:val="num" w:pos="360"/>
        </w:tabs>
        <w:ind w:left="360" w:hanging="360"/>
      </w:pPr>
      <w:rPr>
        <w:rFonts w:hint="default"/>
        <w:b/>
      </w:rPr>
    </w:lvl>
  </w:abstractNum>
  <w:abstractNum w:abstractNumId="2">
    <w:nsid w:val="721733E1"/>
    <w:multiLevelType w:val="hybridMultilevel"/>
    <w:tmpl w:val="4D866874"/>
    <w:lvl w:ilvl="0" w:tplc="040C0005">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
  <w:rsids>
    <w:rsidRoot w:val="00941F7A"/>
    <w:rsid w:val="000A4D29"/>
    <w:rsid w:val="00152446"/>
    <w:rsid w:val="002C29D9"/>
    <w:rsid w:val="00445A5A"/>
    <w:rsid w:val="004A00ED"/>
    <w:rsid w:val="00802046"/>
    <w:rsid w:val="008F14C3"/>
    <w:rsid w:val="00941F7A"/>
    <w:rsid w:val="009460C1"/>
    <w:rsid w:val="009D00E1"/>
    <w:rsid w:val="00B449C7"/>
    <w:rsid w:val="00BC5FB1"/>
    <w:rsid w:val="00C217E5"/>
    <w:rsid w:val="00D73C65"/>
    <w:rsid w:val="00F141C6"/>
    <w:rsid w:val="00FA46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7A"/>
    <w:pPr>
      <w:spacing w:after="0" w:line="240" w:lineRule="auto"/>
    </w:pPr>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1F7A"/>
    <w:pPr>
      <w:spacing w:after="200" w:line="276" w:lineRule="auto"/>
      <w:ind w:left="720"/>
      <w:contextualSpacing/>
    </w:pPr>
    <w:rPr>
      <w:rFonts w:ascii="Calibri" w:eastAsia="Calibri" w:hAnsi="Calibri" w:cs="Arial"/>
      <w:sz w:val="22"/>
      <w:szCs w:val="22"/>
      <w:lang w:eastAsia="en-US"/>
    </w:rPr>
  </w:style>
  <w:style w:type="paragraph" w:styleId="Corpsdetexte2">
    <w:name w:val="Body Text 2"/>
    <w:basedOn w:val="Normal"/>
    <w:link w:val="Corpsdetexte2Car"/>
    <w:uiPriority w:val="99"/>
    <w:unhideWhenUsed/>
    <w:rsid w:val="00941F7A"/>
    <w:pPr>
      <w:spacing w:after="120" w:line="480" w:lineRule="auto"/>
    </w:pPr>
    <w:rPr>
      <w:lang w:eastAsia="en-US"/>
    </w:rPr>
  </w:style>
  <w:style w:type="character" w:customStyle="1" w:styleId="Corpsdetexte2Car">
    <w:name w:val="Corps de texte 2 Car"/>
    <w:basedOn w:val="Policepardfaut"/>
    <w:link w:val="Corpsdetexte2"/>
    <w:uiPriority w:val="99"/>
    <w:rsid w:val="00941F7A"/>
    <w:rPr>
      <w:rFonts w:ascii="Times New Roman" w:eastAsia="Times New Roman" w:hAnsi="Times New Roman" w:cs="Times New Roman"/>
      <w:sz w:val="20"/>
      <w:szCs w:val="20"/>
      <w:lang w:eastAsia="en-US"/>
    </w:rPr>
  </w:style>
  <w:style w:type="paragraph" w:styleId="En-tte">
    <w:name w:val="header"/>
    <w:basedOn w:val="Normal"/>
    <w:link w:val="En-tteCar"/>
    <w:uiPriority w:val="99"/>
    <w:semiHidden/>
    <w:unhideWhenUsed/>
    <w:rsid w:val="00802046"/>
    <w:pPr>
      <w:tabs>
        <w:tab w:val="center" w:pos="4536"/>
        <w:tab w:val="right" w:pos="9072"/>
      </w:tabs>
    </w:pPr>
  </w:style>
  <w:style w:type="character" w:customStyle="1" w:styleId="En-tteCar">
    <w:name w:val="En-tête Car"/>
    <w:basedOn w:val="Policepardfaut"/>
    <w:link w:val="En-tte"/>
    <w:uiPriority w:val="99"/>
    <w:semiHidden/>
    <w:rsid w:val="00802046"/>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802046"/>
    <w:pPr>
      <w:tabs>
        <w:tab w:val="center" w:pos="4536"/>
        <w:tab w:val="right" w:pos="9072"/>
      </w:tabs>
    </w:pPr>
  </w:style>
  <w:style w:type="character" w:customStyle="1" w:styleId="PieddepageCar">
    <w:name w:val="Pied de page Car"/>
    <w:basedOn w:val="Policepardfaut"/>
    <w:link w:val="Pieddepage"/>
    <w:uiPriority w:val="99"/>
    <w:rsid w:val="00802046"/>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356</Words>
  <Characters>1958</Characters>
  <Application>Microsoft Office Word</Application>
  <DocSecurity>0</DocSecurity>
  <Lines>16</Lines>
  <Paragraphs>4</Paragraphs>
  <ScaleCrop>false</ScaleCrop>
  <Company>Hewlett-Packard Company</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Amine Amar</dc:creator>
  <cp:keywords/>
  <dc:description/>
  <cp:lastModifiedBy>melmaliki</cp:lastModifiedBy>
  <cp:revision>11</cp:revision>
  <dcterms:created xsi:type="dcterms:W3CDTF">2019-12-26T13:02:00Z</dcterms:created>
  <dcterms:modified xsi:type="dcterms:W3CDTF">2019-12-27T14:56:00Z</dcterms:modified>
</cp:coreProperties>
</file>