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935C02" w:rsidRDefault="003C0A81" w:rsidP="00462FB6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       </w:t>
      </w:r>
    </w:p>
    <w:p w:rsidR="00B779FE" w:rsidRDefault="003C0A81" w:rsidP="00935C02">
      <w:pPr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  <w:r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  <w:t xml:space="preserve">     </w:t>
      </w:r>
    </w:p>
    <w:p w:rsidR="00107754" w:rsidRDefault="00107754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3C0A81" w:rsidRPr="003C0A81" w:rsidRDefault="003C0A81" w:rsidP="003C0A81">
      <w:pPr>
        <w:jc w:val="center"/>
        <w:rPr>
          <w:shadow/>
          <w:color w:val="FF9900"/>
          <w:sz w:val="30"/>
          <w:szCs w:val="30"/>
          <w:rtl/>
        </w:rPr>
      </w:pPr>
      <w:r w:rsidRPr="003C0A81">
        <w:rPr>
          <w:shadow/>
          <w:color w:val="FF9900"/>
          <w:sz w:val="30"/>
          <w:szCs w:val="30"/>
          <w:rtl/>
        </w:rPr>
        <w:t>مذكرة إخبارية للمندوبية السامية للتخطيط</w:t>
      </w:r>
    </w:p>
    <w:p w:rsidR="003C0A81" w:rsidRDefault="003C0A81" w:rsidP="003C0A81">
      <w:pPr>
        <w:jc w:val="center"/>
        <w:rPr>
          <w:rStyle w:val="lev"/>
          <w:rFonts w:eastAsiaTheme="majorEastAsia"/>
          <w:color w:val="0000CD"/>
          <w:rtl/>
        </w:rPr>
      </w:pPr>
    </w:p>
    <w:p w:rsidR="00107754" w:rsidRPr="003C0A81" w:rsidRDefault="003C0A81" w:rsidP="003C0A81">
      <w:pPr>
        <w:ind w:left="993" w:hanging="993"/>
        <w:jc w:val="center"/>
        <w:rPr>
          <w:rFonts w:ascii="Palatino" w:hAnsi="Palatino" w:cs="Times"/>
          <w:b/>
          <w:bCs/>
          <w:shadow/>
          <w:color w:val="7030A0"/>
          <w:sz w:val="26"/>
          <w:szCs w:val="26"/>
          <w:rtl/>
        </w:rPr>
      </w:pPr>
      <w:r w:rsidRPr="003C0A81">
        <w:rPr>
          <w:rStyle w:val="lev"/>
          <w:rFonts w:eastAsiaTheme="majorEastAsia" w:hint="cs"/>
          <w:shadow/>
          <w:color w:val="7030A0"/>
          <w:rtl/>
        </w:rPr>
        <w:t>إنجاز بحث وطني حول تأثير جائحة فيروس كورونا على الوضعية الاقتصادية والاجتماعية والنفسية للأسر</w:t>
      </w:r>
    </w:p>
    <w:p w:rsidR="00107754" w:rsidRDefault="00107754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EF3F98" w:rsidRDefault="00EF3F98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</w:pPr>
    </w:p>
    <w:p w:rsidR="00191D6C" w:rsidRPr="00191D6C" w:rsidRDefault="00191D6C" w:rsidP="00462FB6">
      <w:pPr>
        <w:bidi/>
        <w:spacing w:before="240" w:line="312" w:lineRule="auto"/>
        <w:ind w:firstLine="709"/>
        <w:jc w:val="both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</w:pP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في سياق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الظرفية الصعبة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التي تجتازها بلادنا وما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ينشأ عنها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من احتياجات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إلى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مؤشرات إحصائية مفصلة من شأنها أن تشكل أرضية واقعية تسمح بتتبع وضع الأسر في ظل الحجر الصحي، شرعت المندوبية السام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ي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ة للتخط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ي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ط، خلال الأسبوع الجاري، في إنجاز بحث وطني حول تأثير جائحة فيروس كورونا على الوضعية الاقتصادية والاجتماعية والنفسية للأسر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،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راعت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أثناء إعداده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ا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لاهتمامات الخاصة بمجموعة من المنظمات الدولية وعلى الخصوص منظمة الأمم المتحدة للطفولة وهيئة الأمم المتحدة للمرأة وتمثيلية البنك الدولي في المغرب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، 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و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ذلك 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تماشيا مع إرادة الانفتاح على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كافة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المهتمين بهذا الموضوع من شركائها 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المؤسسات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يين.</w:t>
      </w:r>
    </w:p>
    <w:p w:rsidR="00191D6C" w:rsidRPr="00191D6C" w:rsidRDefault="00191D6C" w:rsidP="00462FB6">
      <w:pPr>
        <w:bidi/>
        <w:spacing w:before="240" w:line="312" w:lineRule="auto"/>
        <w:ind w:firstLine="709"/>
        <w:jc w:val="both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</w:pP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وسيتم إنجا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ز هذا البحث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عن طريق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الهاتف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ك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وسيلة بديلة للتواصل مع </w:t>
      </w:r>
      <w:r w:rsidRPr="00191D6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عينة من </w:t>
      </w:r>
      <w:r w:rsidRPr="00191D6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الأسر تم سحبها بالاعتماد على البحوث السابقة وتشكل عينة تمثيلية على المستوى الوطني.</w:t>
      </w:r>
    </w:p>
    <w:p w:rsidR="007125AC" w:rsidRPr="007125AC" w:rsidRDefault="007125AC" w:rsidP="00462FB6">
      <w:pPr>
        <w:bidi/>
        <w:spacing w:before="240" w:line="312" w:lineRule="auto"/>
        <w:ind w:firstLine="709"/>
        <w:jc w:val="both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</w:pP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ولإنجاز هذا البحث في أحسن الظروف، ترجو المندوبية السامية للتخطيط من هذه الأسر أن تتجاوب كعادتها مع أطر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ها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وأ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لا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تذخر جهدا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لتسهيل 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مهمتهم م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ما يخدم الصالح العام. و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في حال إرادتها التأكد من انتماء أرقام ال</w:t>
      </w:r>
      <w:bookmarkStart w:id="0" w:name="_GoBack"/>
      <w:bookmarkEnd w:id="0"/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هاتف إلى المندوبية السامية للتخطيط أو لأي غرض آخر 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يمكن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ها التواصل 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مع المديريات الجهوية  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لهذه المؤسسة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والتي توجد </w:t>
      </w:r>
      <w:r w:rsidRPr="007125AC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>أرقام هواتفها على البوابة الإلكترونية الخاصة بالمندوبية</w:t>
      </w:r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 xml:space="preserve"> (</w:t>
      </w:r>
      <w:hyperlink r:id="rId9" w:history="1">
        <w:r w:rsidRPr="007125AC">
          <w:rPr>
            <w:rFonts w:asciiTheme="majorBidi" w:hAnsiTheme="majorBidi" w:cstheme="majorBidi"/>
            <w:b/>
            <w:bCs/>
            <w:color w:val="7F7F7F" w:themeColor="text1" w:themeTint="80"/>
            <w:sz w:val="28"/>
            <w:szCs w:val="28"/>
          </w:rPr>
          <w:t>www.hcp.ma</w:t>
        </w:r>
      </w:hyperlink>
      <w:r w:rsidRPr="007125AC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).</w:t>
      </w:r>
    </w:p>
    <w:p w:rsidR="00EF4AB5" w:rsidRDefault="00EF4AB5" w:rsidP="00EF4AB5">
      <w:pPr>
        <w:bidi/>
        <w:jc w:val="both"/>
        <w:rPr>
          <w:b/>
          <w:bCs/>
          <w:color w:val="808080"/>
          <w:sz w:val="28"/>
          <w:szCs w:val="28"/>
          <w:rtl/>
          <w:lang w:bidi="ar-JO"/>
        </w:rPr>
      </w:pPr>
    </w:p>
    <w:p w:rsidR="00191D6C" w:rsidRPr="00462FB6" w:rsidRDefault="00462FB6" w:rsidP="00462FB6">
      <w:pPr>
        <w:bidi/>
        <w:spacing w:line="312" w:lineRule="auto"/>
        <w:ind w:firstLine="425"/>
        <w:jc w:val="both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</w:pPr>
      <w:r w:rsidRPr="00462FB6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و</w:t>
      </w:r>
      <w:r w:rsidRPr="00462FB6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في هذا الصدد، تجدر الإشارة إلى أن البحوث الإحصائية مؤطرة بأحكام المادة 8 من المرسوم الملكي رقم 370.67 بتاريخ 10 جمادى الأولى (5 غشت 1968) المتعلق بالدراسات الإحصائية والذي يضفي طابع السر الإحصائي على المعلومات المجمعة من طرف المندوبية السامية </w:t>
      </w:r>
      <w:r w:rsidRPr="00462FB6">
        <w:rPr>
          <w:rFonts w:asciiTheme="majorBidi" w:hAnsiTheme="majorBidi" w:cstheme="majorBidi" w:hint="cs"/>
          <w:b/>
          <w:bCs/>
          <w:color w:val="7F7F7F" w:themeColor="text1" w:themeTint="80"/>
          <w:sz w:val="28"/>
          <w:szCs w:val="28"/>
          <w:rtl/>
        </w:rPr>
        <w:t>للتخطيط مع ما</w:t>
      </w:r>
      <w:r w:rsidRPr="00462FB6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rtl/>
        </w:rPr>
        <w:t xml:space="preserve"> يترتب عنها من التزامات قانونية.</w:t>
      </w:r>
    </w:p>
    <w:p w:rsidR="00E15AA3" w:rsidRDefault="00E15AA3" w:rsidP="00E15AA3">
      <w:pPr>
        <w:jc w:val="right"/>
      </w:pPr>
    </w:p>
    <w:p w:rsidR="00867FAB" w:rsidRPr="008D1587" w:rsidRDefault="00A0074F" w:rsidP="00E15AA3">
      <w:pPr>
        <w:spacing w:line="360" w:lineRule="auto"/>
        <w:jc w:val="both"/>
      </w:pPr>
      <w:r>
        <w:t xml:space="preserve">    </w:t>
      </w:r>
    </w:p>
    <w:sectPr w:rsidR="00867FAB" w:rsidRPr="008D1587" w:rsidSect="009B253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0F6" w:rsidRDefault="005A00F6">
      <w:r>
        <w:separator/>
      </w:r>
    </w:p>
  </w:endnote>
  <w:endnote w:type="continuationSeparator" w:id="0">
    <w:p w:rsidR="005A00F6" w:rsidRDefault="005A0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D2CD1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DD2CD1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62FB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62FB6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DD2CD1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0F6" w:rsidRDefault="005A00F6">
      <w:r>
        <w:separator/>
      </w:r>
    </w:p>
  </w:footnote>
  <w:footnote w:type="continuationSeparator" w:id="0">
    <w:p w:rsidR="005A00F6" w:rsidRDefault="005A0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9E2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31573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07754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91D6C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24DD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273A"/>
    <w:rsid w:val="003347C0"/>
    <w:rsid w:val="0033724B"/>
    <w:rsid w:val="00341857"/>
    <w:rsid w:val="00341BE6"/>
    <w:rsid w:val="00346F33"/>
    <w:rsid w:val="00350248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0A81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359A"/>
    <w:rsid w:val="00445EF9"/>
    <w:rsid w:val="00446DB7"/>
    <w:rsid w:val="00447FBC"/>
    <w:rsid w:val="00455540"/>
    <w:rsid w:val="0046216D"/>
    <w:rsid w:val="00462FB6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1D8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A00F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125AC"/>
    <w:rsid w:val="00720227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3C4C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601D"/>
    <w:rsid w:val="008373A3"/>
    <w:rsid w:val="0084269C"/>
    <w:rsid w:val="00843318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5721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35C02"/>
    <w:rsid w:val="00943F2D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021"/>
    <w:rsid w:val="00A03537"/>
    <w:rsid w:val="00A03BBB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57345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4BFF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5E0"/>
    <w:rsid w:val="00B317EB"/>
    <w:rsid w:val="00B31D24"/>
    <w:rsid w:val="00B35A48"/>
    <w:rsid w:val="00B37707"/>
    <w:rsid w:val="00B417BE"/>
    <w:rsid w:val="00B42470"/>
    <w:rsid w:val="00B43C5F"/>
    <w:rsid w:val="00B476C7"/>
    <w:rsid w:val="00B4794D"/>
    <w:rsid w:val="00B5039A"/>
    <w:rsid w:val="00B607B2"/>
    <w:rsid w:val="00B61271"/>
    <w:rsid w:val="00B62ED5"/>
    <w:rsid w:val="00B643DC"/>
    <w:rsid w:val="00B64EB4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061D"/>
    <w:rsid w:val="00CD6E99"/>
    <w:rsid w:val="00CD7C5C"/>
    <w:rsid w:val="00CE08CE"/>
    <w:rsid w:val="00CE5834"/>
    <w:rsid w:val="00CE630B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1E66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2CD1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3C28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86D27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EF4AB5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049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C0A81"/>
    <w:rPr>
      <w:b/>
      <w:bCs/>
    </w:rPr>
  </w:style>
  <w:style w:type="character" w:styleId="Lienhypertexte">
    <w:name w:val="Hyperlink"/>
    <w:basedOn w:val="Policepardfaut"/>
    <w:uiPriority w:val="99"/>
    <w:unhideWhenUsed/>
    <w:rsid w:val="00712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cp.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7</cp:revision>
  <cp:lastPrinted>2012-11-26T10:50:00Z</cp:lastPrinted>
  <dcterms:created xsi:type="dcterms:W3CDTF">2020-04-16T18:02:00Z</dcterms:created>
  <dcterms:modified xsi:type="dcterms:W3CDTF">2020-04-16T18:40:00Z</dcterms:modified>
</cp:coreProperties>
</file>