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D1" w:rsidRDefault="00AC62D1" w:rsidP="00124C9D">
      <w:pPr>
        <w:pStyle w:val="Titre2"/>
        <w:jc w:val="center"/>
        <w:rPr>
          <w:rFonts w:ascii="Times New Roman" w:eastAsia="Times New Roman" w:hAnsi="Times New Roman"/>
          <w:i w:val="0"/>
          <w:iCs w:val="0"/>
          <w:color w:val="1F3864"/>
        </w:rPr>
      </w:pPr>
      <w:bookmarkStart w:id="0" w:name="_heading=h.30j0zll" w:colFirst="0" w:colLast="0"/>
      <w:bookmarkEnd w:id="0"/>
      <w:r w:rsidRPr="00384C3B">
        <w:rPr>
          <w:rFonts w:asciiTheme="majorBidi" w:hAnsiTheme="majorBidi" w:cstheme="majorBidi"/>
          <w:noProof/>
        </w:rPr>
        <w:drawing>
          <wp:inline distT="0" distB="0" distL="0" distR="0">
            <wp:extent cx="1456896" cy="1268351"/>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1456896" cy="1268351"/>
                    </a:xfrm>
                    <a:prstGeom prst="rect">
                      <a:avLst/>
                    </a:prstGeom>
                    <a:ln/>
                  </pic:spPr>
                </pic:pic>
              </a:graphicData>
            </a:graphic>
          </wp:inline>
        </w:drawing>
      </w:r>
    </w:p>
    <w:p w:rsidR="00F47DD3" w:rsidRDefault="0046006C" w:rsidP="00ED5FD4">
      <w:pPr>
        <w:pStyle w:val="Titre2"/>
        <w:tabs>
          <w:tab w:val="left" w:pos="6946"/>
        </w:tabs>
        <w:jc w:val="center"/>
        <w:rPr>
          <w:rFonts w:asciiTheme="majorBidi" w:eastAsia="Times New Roman" w:hAnsiTheme="majorBidi" w:cstheme="majorBidi"/>
          <w:i w:val="0"/>
          <w:color w:val="1F3864"/>
          <w:lang w:eastAsia="en-US"/>
        </w:rPr>
      </w:pPr>
      <w:r>
        <w:rPr>
          <w:rFonts w:asciiTheme="majorBidi" w:eastAsia="Times New Roman" w:hAnsiTheme="majorBidi" w:cstheme="majorBidi"/>
          <w:i w:val="0"/>
          <w:color w:val="1F3864"/>
          <w:lang w:eastAsia="en-US"/>
        </w:rPr>
        <w:t xml:space="preserve">              </w:t>
      </w:r>
    </w:p>
    <w:p w:rsidR="0003691E" w:rsidRDefault="0003691E" w:rsidP="0003691E">
      <w:pPr>
        <w:rPr>
          <w:rFonts w:eastAsia="Times New Roman"/>
        </w:rPr>
      </w:pPr>
    </w:p>
    <w:p w:rsidR="0003691E" w:rsidRPr="00845BD5" w:rsidRDefault="0003691E" w:rsidP="0003691E">
      <w:pPr>
        <w:pStyle w:val="Titre2"/>
        <w:jc w:val="center"/>
        <w:rPr>
          <w:i w:val="0"/>
          <w:iCs w:val="0"/>
          <w:sz w:val="32"/>
          <w:szCs w:val="32"/>
        </w:rPr>
      </w:pPr>
      <w:r w:rsidRPr="00845BD5">
        <w:rPr>
          <w:rFonts w:cs="Calibri"/>
          <w:i w:val="0"/>
          <w:iCs w:val="0"/>
          <w:color w:val="1F3864"/>
          <w:sz w:val="32"/>
          <w:szCs w:val="32"/>
        </w:rPr>
        <w:t>Coût économique de la violence à l’encontre des filles et des femmes : dépense</w:t>
      </w:r>
      <w:r w:rsidR="00845BD5" w:rsidRPr="00845BD5">
        <w:rPr>
          <w:rFonts w:cs="Calibri"/>
          <w:i w:val="0"/>
          <w:iCs w:val="0"/>
          <w:color w:val="1F3864"/>
          <w:sz w:val="32"/>
          <w:szCs w:val="32"/>
        </w:rPr>
        <w:t>s et perte de revenu</w:t>
      </w:r>
      <w:r w:rsidRPr="00845BD5">
        <w:rPr>
          <w:rFonts w:cs="Calibri"/>
          <w:i w:val="0"/>
          <w:iCs w:val="0"/>
          <w:color w:val="1F3864"/>
          <w:sz w:val="32"/>
          <w:szCs w:val="32"/>
        </w:rPr>
        <w:t>s</w:t>
      </w:r>
      <w:r w:rsidR="00845BD5" w:rsidRPr="00845BD5">
        <w:rPr>
          <w:rFonts w:cs="Calibri"/>
          <w:i w:val="0"/>
          <w:iCs w:val="0"/>
          <w:color w:val="1F3864"/>
          <w:sz w:val="32"/>
          <w:szCs w:val="32"/>
        </w:rPr>
        <w:t xml:space="preserve"> des ménages</w:t>
      </w:r>
      <w:r w:rsidRPr="00845BD5">
        <w:rPr>
          <w:rFonts w:cs="Calibri"/>
          <w:i w:val="0"/>
          <w:iCs w:val="0"/>
          <w:color w:val="1F3864"/>
          <w:sz w:val="32"/>
          <w:szCs w:val="32"/>
        </w:rPr>
        <w:t> </w:t>
      </w:r>
    </w:p>
    <w:p w:rsidR="0003691E" w:rsidRDefault="0003691E" w:rsidP="0003691E">
      <w:pPr>
        <w:spacing w:after="240"/>
      </w:pPr>
      <w:r>
        <w:br/>
      </w:r>
    </w:p>
    <w:p w:rsidR="0003691E" w:rsidRPr="0003691E" w:rsidRDefault="0003691E" w:rsidP="0003691E">
      <w:pPr>
        <w:pStyle w:val="NormalWeb"/>
        <w:spacing w:before="0" w:beforeAutospacing="0" w:after="0" w:afterAutospacing="0"/>
        <w:jc w:val="both"/>
        <w:rPr>
          <w:lang w:val="fr-MA"/>
        </w:rPr>
      </w:pPr>
      <w:r w:rsidRPr="0003691E">
        <w:rPr>
          <w:rFonts w:ascii="Book Antiqua" w:hAnsi="Book Antiqua"/>
          <w:color w:val="000000"/>
          <w:lang w:val="fr-MA"/>
        </w:rPr>
        <w:t>Dans le cadre de la campagne nationale et internationale de mobilisation pour l'élimination de la violence à l'encontre des femmes, le Haut-Commissariat au Plan présente les résultats relatifs au coût économique de la violence à l’encontre des femmes et des filles à partir de son enquête nationale sur la violence à l’égard des femmes et des hommes de 2019 réalisée, avec l’appui de l’ONU FEMME au Maroc, entre février et juillet 2019. </w:t>
      </w:r>
    </w:p>
    <w:p w:rsidR="0003691E" w:rsidRPr="0003691E" w:rsidRDefault="0003691E" w:rsidP="0003691E">
      <w:pPr>
        <w:pStyle w:val="NormalWeb"/>
        <w:spacing w:before="240" w:beforeAutospacing="0" w:after="240" w:afterAutospacing="0"/>
        <w:jc w:val="both"/>
        <w:rPr>
          <w:lang w:val="fr-MA"/>
        </w:rPr>
      </w:pPr>
      <w:r w:rsidRPr="0003691E">
        <w:rPr>
          <w:rFonts w:ascii="Book Antiqua" w:hAnsi="Book Antiqua"/>
          <w:color w:val="000000"/>
          <w:lang w:val="fr-MA"/>
        </w:rPr>
        <w:t>Les coûts économiques de la violence représentent, une lourde charge aussi bien pour la société, à travers son système de santé, ses services de soutien social, son système judiciaire, ses budgets alloués à l'élaboration de politiques ou de plans d'action pour lutter contre la violence à l'égard des femmes et la perte de la production économique que pour les individus et les ménages à travers leurs dépenses pour accéder aux différents services,  la perte de revenus en raison de l’arrêt du travail et l’arrêt de la prise en charge des travaux domestiques non rémunéré.</w:t>
      </w:r>
    </w:p>
    <w:p w:rsidR="0003691E" w:rsidRPr="0003691E" w:rsidRDefault="0003691E" w:rsidP="0003691E">
      <w:pPr>
        <w:pStyle w:val="NormalWeb"/>
        <w:spacing w:before="240" w:beforeAutospacing="0" w:after="240" w:afterAutospacing="0"/>
        <w:jc w:val="both"/>
        <w:rPr>
          <w:lang w:val="fr-MA"/>
        </w:rPr>
      </w:pPr>
      <w:r w:rsidRPr="0003691E">
        <w:rPr>
          <w:rFonts w:ascii="Book Antiqua" w:hAnsi="Book Antiqua"/>
          <w:color w:val="000000"/>
          <w:lang w:val="fr-MA"/>
        </w:rPr>
        <w:t xml:space="preserve">Les données fournies par l’enquête de 2019 ont permis d’estimer, pour la première fois au Maroc, le coût monétaire </w:t>
      </w:r>
      <w:r w:rsidRPr="0003691E">
        <w:rPr>
          <w:color w:val="000000"/>
          <w:lang w:val="fr-MA"/>
        </w:rPr>
        <w:t>de la violence à l’encontre des femmes et des filles</w:t>
      </w:r>
      <w:r w:rsidRPr="0003691E">
        <w:rPr>
          <w:rFonts w:ascii="Book Antiqua" w:hAnsi="Book Antiqua"/>
          <w:color w:val="000000"/>
          <w:lang w:val="fr-MA"/>
        </w:rPr>
        <w:t xml:space="preserve">, se rapportant spécifiquement aux coûts directs et indirects de cette violence supportés par les individus et leurs ménages dans tous les espaces de vie et pour les formes de violence physique et sexuelle au cours des 12 </w:t>
      </w:r>
      <w:r w:rsidRPr="0003691E">
        <w:rPr>
          <w:color w:val="000000"/>
          <w:lang w:val="fr-MA"/>
        </w:rPr>
        <w:t>mois précédant l’enquête</w:t>
      </w:r>
      <w:r w:rsidRPr="0003691E">
        <w:rPr>
          <w:rFonts w:ascii="Book Antiqua" w:hAnsi="Book Antiqua"/>
          <w:color w:val="000000"/>
          <w:lang w:val="fr-MA"/>
        </w:rPr>
        <w:t>. </w:t>
      </w:r>
    </w:p>
    <w:p w:rsidR="0003691E" w:rsidRPr="0003691E" w:rsidRDefault="0003691E" w:rsidP="0003691E">
      <w:pPr>
        <w:pStyle w:val="NormalWeb"/>
        <w:spacing w:before="240" w:beforeAutospacing="0" w:after="240" w:afterAutospacing="0"/>
        <w:jc w:val="both"/>
        <w:rPr>
          <w:lang w:val="fr-MA"/>
        </w:rPr>
      </w:pPr>
      <w:r w:rsidRPr="0003691E">
        <w:rPr>
          <w:rFonts w:ascii="Book Antiqua" w:hAnsi="Book Antiqua"/>
          <w:color w:val="000000"/>
          <w:lang w:val="fr-MA"/>
        </w:rPr>
        <w:t xml:space="preserve">Les coûts </w:t>
      </w:r>
      <w:r w:rsidR="000A0DD4">
        <w:rPr>
          <w:rFonts w:ascii="Book Antiqua" w:hAnsi="Book Antiqua"/>
          <w:color w:val="000000"/>
          <w:lang w:val="fr-MA"/>
        </w:rPr>
        <w:t xml:space="preserve">tangibles </w:t>
      </w:r>
      <w:r w:rsidRPr="0003691E">
        <w:rPr>
          <w:rFonts w:ascii="Book Antiqua" w:hAnsi="Book Antiqua"/>
          <w:color w:val="000000"/>
          <w:lang w:val="fr-MA"/>
        </w:rPr>
        <w:t xml:space="preserve">directs </w:t>
      </w:r>
      <w:r w:rsidRPr="0003691E">
        <w:rPr>
          <w:color w:val="000000"/>
          <w:lang w:val="fr-MA"/>
        </w:rPr>
        <w:t>de la violence à l’encontre des femmes et des filles comportent les</w:t>
      </w:r>
      <w:r w:rsidRPr="0003691E">
        <w:rPr>
          <w:rFonts w:ascii="Book Antiqua" w:hAnsi="Book Antiqua"/>
          <w:color w:val="000000"/>
          <w:lang w:val="fr-MA"/>
        </w:rPr>
        <w:t xml:space="preserve"> dépenses effectuées pour accéder aux </w:t>
      </w:r>
      <w:r w:rsidRPr="0003691E">
        <w:rPr>
          <w:color w:val="000000"/>
          <w:lang w:val="fr-MA"/>
        </w:rPr>
        <w:t xml:space="preserve">différents </w:t>
      </w:r>
      <w:r w:rsidRPr="0003691E">
        <w:rPr>
          <w:rFonts w:ascii="Book Antiqua" w:hAnsi="Book Antiqua"/>
          <w:color w:val="000000"/>
          <w:lang w:val="fr-MA"/>
        </w:rPr>
        <w:t xml:space="preserve">services </w:t>
      </w:r>
      <w:r w:rsidRPr="0003691E">
        <w:rPr>
          <w:color w:val="000000"/>
          <w:lang w:val="fr-MA"/>
        </w:rPr>
        <w:t>(Santé, Justice et Police)</w:t>
      </w:r>
      <w:r w:rsidRPr="0003691E">
        <w:rPr>
          <w:rFonts w:ascii="Book Antiqua" w:hAnsi="Book Antiqua"/>
          <w:color w:val="000000"/>
          <w:lang w:val="fr-MA"/>
        </w:rPr>
        <w:t xml:space="preserve">, pour l'hébergement et pour le remplacement </w:t>
      </w:r>
      <w:r w:rsidRPr="0003691E">
        <w:rPr>
          <w:color w:val="000000"/>
          <w:lang w:val="fr-MA"/>
        </w:rPr>
        <w:t>des biens endommagés</w:t>
      </w:r>
      <w:r w:rsidRPr="0003691E">
        <w:rPr>
          <w:rFonts w:ascii="Book Antiqua" w:hAnsi="Book Antiqua"/>
          <w:color w:val="000000"/>
          <w:lang w:val="fr-MA"/>
        </w:rPr>
        <w:t>. </w:t>
      </w:r>
    </w:p>
    <w:p w:rsidR="0003691E" w:rsidRPr="0003691E" w:rsidRDefault="000A0DD4" w:rsidP="0003691E">
      <w:pPr>
        <w:pStyle w:val="NormalWeb"/>
        <w:spacing w:before="240" w:beforeAutospacing="0" w:after="240" w:afterAutospacing="0"/>
        <w:jc w:val="both"/>
        <w:rPr>
          <w:lang w:val="fr-MA"/>
        </w:rPr>
      </w:pPr>
      <w:r w:rsidRPr="0003691E">
        <w:rPr>
          <w:rFonts w:ascii="Book Antiqua" w:hAnsi="Book Antiqua"/>
          <w:color w:val="000000"/>
          <w:lang w:val="fr-MA"/>
        </w:rPr>
        <w:lastRenderedPageBreak/>
        <w:t xml:space="preserve">Les coûts </w:t>
      </w:r>
      <w:r>
        <w:rPr>
          <w:rFonts w:ascii="Book Antiqua" w:hAnsi="Book Antiqua"/>
          <w:color w:val="000000"/>
          <w:lang w:val="fr-MA"/>
        </w:rPr>
        <w:t xml:space="preserve">tangibles </w:t>
      </w:r>
      <w:r w:rsidR="0003691E" w:rsidRPr="0003691E">
        <w:rPr>
          <w:rFonts w:ascii="Book Antiqua" w:hAnsi="Book Antiqua"/>
          <w:color w:val="000000"/>
          <w:lang w:val="fr-MA"/>
        </w:rPr>
        <w:t xml:space="preserve">indirects se rapportent au coût d’opportunité comprenant la perte de revenus due à l'absentéisme au travail rémunéré, </w:t>
      </w:r>
      <w:r w:rsidR="0003691E" w:rsidRPr="0003691E">
        <w:rPr>
          <w:color w:val="000000"/>
          <w:lang w:val="fr-MA"/>
        </w:rPr>
        <w:t>aux travaux domestiques et à l’enseignement.</w:t>
      </w:r>
    </w:p>
    <w:p w:rsidR="0003691E" w:rsidRPr="00845BD5" w:rsidRDefault="0003691E" w:rsidP="0003691E">
      <w:pPr>
        <w:pStyle w:val="NormalWeb"/>
        <w:spacing w:before="0" w:beforeAutospacing="0" w:after="0" w:afterAutospacing="0"/>
        <w:jc w:val="both"/>
        <w:rPr>
          <w:lang w:val="fr-MA"/>
        </w:rPr>
      </w:pPr>
      <w:r w:rsidRPr="0003691E">
        <w:rPr>
          <w:rFonts w:ascii="Book Antiqua" w:hAnsi="Book Antiqua"/>
          <w:color w:val="000000"/>
          <w:lang w:val="fr-MA"/>
        </w:rPr>
        <w:t xml:space="preserve">Le coût économique de la violence est estimé selon l’approche d’estimation du coût de « l’inaction ou du problème » qui évalue les effets de la violence par l’estimation monétaire des différents coûts directs et les coûts indirects supportés par les victimes et les </w:t>
      </w:r>
      <w:r w:rsidRPr="00845BD5">
        <w:rPr>
          <w:rFonts w:ascii="Book Antiqua" w:hAnsi="Book Antiqua"/>
          <w:color w:val="000000"/>
          <w:lang w:val="fr-MA"/>
        </w:rPr>
        <w:t>ménages. Cette estimation faite via la méthode comptable consiste en une agrégation des coûts effectués pour accéder aux différents services, des coûts liés à la réparation ou le remplacement des biens détruits, à l'hébergement en cas d'abandon du domicile et des revenus perdus en raison de l’absence au travail ou à l’école et aux travaux domestiques suite à l’incident de violence le plus grave. </w:t>
      </w:r>
    </w:p>
    <w:p w:rsidR="0003691E" w:rsidRPr="00845BD5" w:rsidRDefault="0003691E" w:rsidP="0003691E"/>
    <w:p w:rsidR="0003691E" w:rsidRPr="00845BD5" w:rsidRDefault="0003691E" w:rsidP="0003691E">
      <w:pPr>
        <w:pStyle w:val="NormalWeb"/>
        <w:spacing w:before="0" w:beforeAutospacing="0" w:after="120" w:afterAutospacing="0"/>
        <w:jc w:val="both"/>
        <w:rPr>
          <w:lang w:val="fr-MA"/>
        </w:rPr>
      </w:pPr>
      <w:r w:rsidRPr="00845BD5">
        <w:rPr>
          <w:rFonts w:ascii="Calibri" w:hAnsi="Calibri" w:cs="Calibri"/>
          <w:b/>
          <w:bCs/>
          <w:i/>
          <w:iCs/>
          <w:color w:val="1F3864"/>
          <w:lang w:val="fr-MA"/>
        </w:rPr>
        <w:t>Les violences physiques et sexuelles coûteraient aux ménages 2,85 milliards de Dh</w:t>
      </w:r>
      <w:r w:rsidR="00845BD5">
        <w:rPr>
          <w:rFonts w:ascii="Calibri" w:hAnsi="Calibri" w:cs="Calibri"/>
          <w:b/>
          <w:bCs/>
          <w:i/>
          <w:iCs/>
          <w:color w:val="1F3864"/>
          <w:lang w:val="fr-MA"/>
        </w:rPr>
        <w:t xml:space="preserve"> ou 957 Dh par victime</w:t>
      </w:r>
    </w:p>
    <w:p w:rsidR="0003691E" w:rsidRPr="00845BD5" w:rsidRDefault="0003691E" w:rsidP="0003691E">
      <w:pPr>
        <w:pStyle w:val="NormalWeb"/>
        <w:spacing w:before="240" w:beforeAutospacing="0" w:after="240" w:afterAutospacing="0"/>
        <w:jc w:val="both"/>
        <w:rPr>
          <w:rFonts w:ascii="Book Antiqua" w:hAnsi="Book Antiqua"/>
          <w:color w:val="000000"/>
          <w:lang w:val="fr-MA"/>
        </w:rPr>
      </w:pPr>
      <w:r w:rsidRPr="00845BD5">
        <w:rPr>
          <w:rFonts w:ascii="Book Antiqua" w:hAnsi="Book Antiqua"/>
          <w:color w:val="000000"/>
          <w:lang w:val="fr-MA"/>
        </w:rPr>
        <w:t>Parmi l’ensemble des femmes victimes de la violence physique et/ou sexuelle au cours des 12 mois précédant l’enquête tous contextes confondus, 22,8% ont dû supporter, elles ou leurs familles, des coûts directs ou indirects de la violence. Le coût global de la violence est estimé à 2,85 Milliards de Dh. En rapportant ce coût au nombre total des victimes, le coût moyen est de l’ordre de 957 Dh par victime. </w:t>
      </w:r>
    </w:p>
    <w:p w:rsidR="0003691E" w:rsidRPr="00845BD5" w:rsidRDefault="0003691E" w:rsidP="0003691E">
      <w:pPr>
        <w:pStyle w:val="NormalWeb"/>
        <w:spacing w:before="240" w:beforeAutospacing="0" w:after="240" w:afterAutospacing="0"/>
        <w:jc w:val="both"/>
        <w:rPr>
          <w:lang w:val="fr-MA"/>
        </w:rPr>
      </w:pPr>
      <w:r w:rsidRPr="00845BD5">
        <w:rPr>
          <w:rFonts w:ascii="Book Antiqua" w:hAnsi="Book Antiqua"/>
          <w:color w:val="000000"/>
          <w:lang w:val="fr-MA"/>
        </w:rPr>
        <w:t>La part du milieu urbain dans le coût économique global de la violence est de 72% (2,05 Milliards de Dh), celle du milieu rural est de 28% (792 Million de Dh). Le coût moyen supporté par les victimes citadines (1000 Dh par victime) est plus élevé que celui des victimes rurales (862 Dh par victime).</w:t>
      </w:r>
    </w:p>
    <w:p w:rsidR="0003691E" w:rsidRPr="00845BD5" w:rsidRDefault="0003691E" w:rsidP="0003691E">
      <w:pPr>
        <w:pStyle w:val="NormalWeb"/>
        <w:spacing w:before="240" w:beforeAutospacing="0" w:after="240" w:afterAutospacing="0"/>
        <w:jc w:val="both"/>
        <w:rPr>
          <w:lang w:val="fr-MA"/>
        </w:rPr>
      </w:pPr>
      <w:r w:rsidRPr="00845BD5">
        <w:rPr>
          <w:rFonts w:ascii="Book Antiqua" w:hAnsi="Book Antiqua"/>
          <w:color w:val="000000"/>
          <w:lang w:val="fr-MA"/>
        </w:rPr>
        <w:t>Les coûts directs constituent la majeure partie du coût économique global avec une part de 82% (2,33 Milliards de Dh) contre seulement 18% pour les coûts indirects (517 Million de Dh). </w:t>
      </w:r>
    </w:p>
    <w:p w:rsidR="0003691E" w:rsidRPr="00845BD5" w:rsidRDefault="0003691E" w:rsidP="0003691E">
      <w:pPr>
        <w:pStyle w:val="NormalWeb"/>
        <w:spacing w:before="240" w:beforeAutospacing="0" w:after="240" w:afterAutospacing="0"/>
        <w:jc w:val="both"/>
        <w:rPr>
          <w:lang w:val="fr-MA"/>
        </w:rPr>
      </w:pPr>
      <w:r w:rsidRPr="00845BD5">
        <w:rPr>
          <w:rFonts w:ascii="Book Antiqua" w:hAnsi="Book Antiqua"/>
          <w:color w:val="000000"/>
          <w:lang w:val="fr-MA"/>
        </w:rPr>
        <w:t>L’espace conjugal s’accapare, à lui seul, plus des deux tiers du coût global de la violence avec une part de 70% (un coût global de 1,98 Milliards de Dh), suivi des lieux publics avec 16% (448 millions de Dh) et du contexte familial avec 13% (366 millions de Dh).</w:t>
      </w:r>
    </w:p>
    <w:p w:rsidR="0003691E" w:rsidRDefault="0003691E" w:rsidP="0003691E">
      <w:pPr>
        <w:spacing w:before="240" w:after="240" w:line="276" w:lineRule="auto"/>
        <w:jc w:val="both"/>
        <w:rPr>
          <w:rFonts w:ascii="Book Antiqua" w:hAnsi="Book Antiqua"/>
          <w:color w:val="000000"/>
        </w:rPr>
      </w:pPr>
      <w:r w:rsidRPr="00845BD5">
        <w:rPr>
          <w:rFonts w:ascii="Book Antiqua" w:hAnsi="Book Antiqua"/>
          <w:color w:val="000000"/>
        </w:rPr>
        <w:t>S’agissant des formes de violence, près de 85% du coût global concerne la violence physique (2,4 Milliards de Dh) et 15,3% la v</w:t>
      </w:r>
      <w:r>
        <w:rPr>
          <w:rFonts w:ascii="Book Antiqua" w:hAnsi="Book Antiqua"/>
          <w:color w:val="000000"/>
        </w:rPr>
        <w:t xml:space="preserve">iolence sexuelle (436 millions de Dh). </w:t>
      </w:r>
    </w:p>
    <w:p w:rsidR="0003691E" w:rsidRDefault="0003691E" w:rsidP="0003691E">
      <w:pPr>
        <w:spacing w:before="240" w:after="240" w:line="276" w:lineRule="auto"/>
        <w:jc w:val="both"/>
        <w:rPr>
          <w:rFonts w:ascii="Book Antiqua" w:hAnsi="Book Antiqua"/>
          <w:color w:val="000000"/>
        </w:rPr>
      </w:pPr>
    </w:p>
    <w:p w:rsidR="003575C4" w:rsidRDefault="00773C53" w:rsidP="0003691E">
      <w:pPr>
        <w:spacing w:before="240" w:after="240" w:line="276" w:lineRule="auto"/>
        <w:jc w:val="both"/>
        <w:rPr>
          <w:rFonts w:ascii="Book Antiqua" w:eastAsia="Times New Roman" w:hAnsi="Book Antiqua" w:cs="Times New Roman"/>
          <w:b/>
          <w:sz w:val="20"/>
          <w:szCs w:val="20"/>
        </w:rPr>
      </w:pPr>
      <w:r w:rsidRPr="003E634D">
        <w:rPr>
          <w:rFonts w:ascii="Book Antiqua" w:eastAsia="Times New Roman" w:hAnsi="Book Antiqua" w:cs="Times New Roman"/>
          <w:b/>
          <w:sz w:val="22"/>
          <w:szCs w:val="22"/>
        </w:rPr>
        <w:lastRenderedPageBreak/>
        <w:t xml:space="preserve">Graphique </w:t>
      </w:r>
      <w:r w:rsidR="00F47DD3">
        <w:rPr>
          <w:rFonts w:ascii="Book Antiqua" w:eastAsia="Times New Roman" w:hAnsi="Book Antiqua" w:cs="Times New Roman"/>
          <w:b/>
          <w:sz w:val="22"/>
          <w:szCs w:val="22"/>
        </w:rPr>
        <w:t>1</w:t>
      </w:r>
      <w:r w:rsidR="00845BD5">
        <w:rPr>
          <w:rFonts w:ascii="Book Antiqua" w:eastAsia="Times New Roman" w:hAnsi="Book Antiqua" w:cs="Times New Roman"/>
          <w:b/>
          <w:sz w:val="22"/>
          <w:szCs w:val="22"/>
        </w:rPr>
        <w:t xml:space="preserve"> </w:t>
      </w:r>
      <w:r w:rsidRPr="003E634D">
        <w:rPr>
          <w:rFonts w:ascii="Book Antiqua" w:eastAsia="Times New Roman" w:hAnsi="Book Antiqua" w:cs="Times New Roman"/>
          <w:b/>
          <w:sz w:val="22"/>
          <w:szCs w:val="22"/>
        </w:rPr>
        <w:t>: Structure du coût total de la violence à l’encontre des femmes par type de coût, milieu de résidence, formes de violence et contextes de violence (en %)</w:t>
      </w:r>
    </w:p>
    <w:p w:rsidR="003575C4" w:rsidRDefault="003575C4" w:rsidP="000E35D2">
      <w:pPr>
        <w:spacing w:line="276" w:lineRule="auto"/>
        <w:jc w:val="both"/>
        <w:rPr>
          <w:rFonts w:ascii="Book Antiqua" w:eastAsia="Times New Roman" w:hAnsi="Book Antiqua" w:cs="Times New Roman"/>
          <w:b/>
          <w:sz w:val="20"/>
          <w:szCs w:val="20"/>
        </w:rPr>
      </w:pPr>
    </w:p>
    <w:p w:rsidR="003575C4" w:rsidRDefault="003575C4" w:rsidP="000E35D2">
      <w:pPr>
        <w:spacing w:line="276" w:lineRule="auto"/>
        <w:jc w:val="both"/>
        <w:rPr>
          <w:rFonts w:ascii="Book Antiqua" w:eastAsia="Times New Roman" w:hAnsi="Book Antiqua" w:cs="Times New Roman"/>
          <w:b/>
          <w:sz w:val="20"/>
          <w:szCs w:val="20"/>
        </w:rPr>
      </w:pPr>
      <w:r w:rsidRPr="003575C4">
        <w:rPr>
          <w:noProof/>
          <w:sz w:val="32"/>
          <w:szCs w:val="32"/>
        </w:rPr>
        <w:drawing>
          <wp:inline distT="0" distB="0" distL="0" distR="0">
            <wp:extent cx="2571115" cy="1979930"/>
            <wp:effectExtent l="3810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extent cx="2787805" cy="198491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75C4" w:rsidRDefault="003575C4" w:rsidP="000E35D2">
      <w:pPr>
        <w:spacing w:line="276" w:lineRule="auto"/>
        <w:jc w:val="both"/>
        <w:rPr>
          <w:rFonts w:ascii="Book Antiqua" w:eastAsia="Times New Roman" w:hAnsi="Book Antiqua" w:cs="Times New Roman"/>
          <w:b/>
          <w:sz w:val="20"/>
          <w:szCs w:val="20"/>
        </w:rPr>
      </w:pPr>
    </w:p>
    <w:p w:rsidR="003575C4" w:rsidRDefault="0003691E" w:rsidP="000E35D2">
      <w:pPr>
        <w:spacing w:line="276" w:lineRule="auto"/>
        <w:jc w:val="both"/>
        <w:rPr>
          <w:rFonts w:ascii="Book Antiqua" w:eastAsia="Times New Roman" w:hAnsi="Book Antiqua" w:cs="Times New Roman"/>
          <w:b/>
          <w:sz w:val="20"/>
          <w:szCs w:val="20"/>
        </w:rPr>
      </w:pPr>
      <w:r>
        <w:rPr>
          <w:noProof/>
        </w:rPr>
        <w:drawing>
          <wp:inline distT="0" distB="0" distL="0" distR="0">
            <wp:extent cx="2609215" cy="2235375"/>
            <wp:effectExtent l="0" t="0" r="1968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31B6E">
        <w:rPr>
          <w:noProof/>
        </w:rPr>
        <w:drawing>
          <wp:inline distT="0" distB="0" distL="0" distR="0">
            <wp:extent cx="2731770" cy="2228727"/>
            <wp:effectExtent l="0" t="0" r="3048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1325" w:rsidRPr="000E35D2" w:rsidRDefault="00773C53" w:rsidP="000E35D2">
      <w:pPr>
        <w:spacing w:line="276" w:lineRule="auto"/>
        <w:jc w:val="both"/>
        <w:rPr>
          <w:rFonts w:ascii="Book Antiqua" w:eastAsia="Times New Roman" w:hAnsi="Book Antiqua" w:cs="Times New Roman"/>
          <w:b/>
          <w:sz w:val="20"/>
          <w:szCs w:val="20"/>
        </w:rPr>
      </w:pPr>
      <w:r w:rsidRPr="000E35D2">
        <w:rPr>
          <w:rFonts w:ascii="Book Antiqua" w:eastAsia="Times New Roman" w:hAnsi="Book Antiqua" w:cs="Times New Roman"/>
          <w:b/>
          <w:sz w:val="20"/>
          <w:szCs w:val="20"/>
        </w:rPr>
        <w:t>Source</w:t>
      </w:r>
      <w:r w:rsidR="00845BD5">
        <w:rPr>
          <w:rFonts w:ascii="Book Antiqua" w:eastAsia="Times New Roman" w:hAnsi="Book Antiqua" w:cs="Times New Roman"/>
          <w:b/>
          <w:sz w:val="20"/>
          <w:szCs w:val="20"/>
        </w:rPr>
        <w:t xml:space="preserve"> </w:t>
      </w:r>
      <w:r w:rsidRPr="000E35D2">
        <w:rPr>
          <w:rFonts w:ascii="Book Antiqua" w:eastAsia="Times New Roman" w:hAnsi="Book Antiqua" w:cs="Times New Roman"/>
          <w:b/>
          <w:sz w:val="20"/>
          <w:szCs w:val="20"/>
        </w:rPr>
        <w:t xml:space="preserve">: HCP, </w:t>
      </w:r>
      <w:r w:rsidR="00C0458A" w:rsidRPr="000E35D2">
        <w:rPr>
          <w:rFonts w:ascii="Book Antiqua" w:eastAsia="Times New Roman" w:hAnsi="Book Antiqua" w:cs="Times New Roman"/>
          <w:b/>
          <w:sz w:val="20"/>
          <w:szCs w:val="20"/>
        </w:rPr>
        <w:t>Enquête nationale sur la violence à l’encontre des femmes et des hommes 2019</w:t>
      </w:r>
    </w:p>
    <w:p w:rsidR="00AC62D1" w:rsidRDefault="00AC62D1" w:rsidP="00EB0543">
      <w:pPr>
        <w:spacing w:before="240" w:after="120" w:line="276" w:lineRule="auto"/>
        <w:jc w:val="both"/>
        <w:rPr>
          <w:rFonts w:ascii="Book Antiqua" w:hAnsi="Book Antiqua" w:cs="Times New Roman"/>
          <w:b/>
          <w:sz w:val="22"/>
          <w:szCs w:val="22"/>
        </w:rPr>
      </w:pPr>
    </w:p>
    <w:p w:rsidR="00AC62D1" w:rsidRDefault="00AC62D1" w:rsidP="00EB0543">
      <w:pPr>
        <w:spacing w:before="240" w:after="120" w:line="276" w:lineRule="auto"/>
        <w:jc w:val="both"/>
        <w:rPr>
          <w:rFonts w:ascii="Book Antiqua" w:hAnsi="Book Antiqua" w:cs="Times New Roman"/>
          <w:b/>
          <w:sz w:val="22"/>
          <w:szCs w:val="22"/>
        </w:rPr>
      </w:pPr>
    </w:p>
    <w:p w:rsidR="00AC62D1" w:rsidRDefault="00AC62D1" w:rsidP="00EB0543">
      <w:pPr>
        <w:spacing w:before="240" w:after="120" w:line="276" w:lineRule="auto"/>
        <w:jc w:val="both"/>
        <w:rPr>
          <w:rFonts w:ascii="Book Antiqua" w:hAnsi="Book Antiqua" w:cs="Times New Roman"/>
          <w:b/>
          <w:sz w:val="22"/>
          <w:szCs w:val="22"/>
        </w:rPr>
      </w:pPr>
    </w:p>
    <w:p w:rsidR="00AC62D1" w:rsidRDefault="00AC62D1" w:rsidP="00EB0543">
      <w:pPr>
        <w:spacing w:before="240" w:after="120" w:line="276" w:lineRule="auto"/>
        <w:jc w:val="both"/>
        <w:rPr>
          <w:rFonts w:ascii="Book Antiqua" w:hAnsi="Book Antiqua" w:cs="Times New Roman"/>
          <w:b/>
          <w:sz w:val="22"/>
          <w:szCs w:val="22"/>
        </w:rPr>
      </w:pPr>
    </w:p>
    <w:p w:rsidR="003968AC" w:rsidRDefault="003968AC" w:rsidP="00EB0543">
      <w:pPr>
        <w:spacing w:before="240" w:after="120" w:line="276" w:lineRule="auto"/>
        <w:jc w:val="both"/>
        <w:rPr>
          <w:rFonts w:ascii="Book Antiqua" w:hAnsi="Book Antiqua" w:cs="Times New Roman"/>
          <w:b/>
          <w:sz w:val="22"/>
          <w:szCs w:val="22"/>
        </w:rPr>
      </w:pPr>
    </w:p>
    <w:p w:rsidR="003968AC" w:rsidRDefault="003968AC" w:rsidP="00EB0543">
      <w:pPr>
        <w:spacing w:before="240" w:after="120" w:line="276" w:lineRule="auto"/>
        <w:jc w:val="both"/>
        <w:rPr>
          <w:rFonts w:ascii="Book Antiqua" w:hAnsi="Book Antiqua" w:cs="Times New Roman"/>
          <w:b/>
          <w:sz w:val="22"/>
          <w:szCs w:val="22"/>
        </w:rPr>
      </w:pPr>
    </w:p>
    <w:p w:rsidR="00AC62D1" w:rsidRDefault="00AC62D1" w:rsidP="00EB0543">
      <w:pPr>
        <w:spacing w:before="240" w:after="120" w:line="276" w:lineRule="auto"/>
        <w:jc w:val="both"/>
        <w:rPr>
          <w:rFonts w:ascii="Book Antiqua" w:hAnsi="Book Antiqua" w:cs="Times New Roman"/>
          <w:b/>
          <w:sz w:val="22"/>
          <w:szCs w:val="22"/>
        </w:rPr>
      </w:pPr>
    </w:p>
    <w:p w:rsidR="00AC62D1" w:rsidRDefault="00AC62D1" w:rsidP="00EB0543">
      <w:pPr>
        <w:spacing w:before="240" w:after="120" w:line="276" w:lineRule="auto"/>
        <w:jc w:val="both"/>
        <w:rPr>
          <w:rFonts w:ascii="Book Antiqua" w:hAnsi="Book Antiqua" w:cs="Times New Roman"/>
          <w:b/>
          <w:sz w:val="22"/>
          <w:szCs w:val="22"/>
        </w:rPr>
      </w:pPr>
    </w:p>
    <w:p w:rsidR="005F397C" w:rsidRPr="00EB0543" w:rsidRDefault="005F397C" w:rsidP="00EB0543">
      <w:pPr>
        <w:spacing w:before="240" w:after="120" w:line="276" w:lineRule="auto"/>
        <w:jc w:val="both"/>
        <w:rPr>
          <w:rFonts w:ascii="Book Antiqua" w:hAnsi="Book Antiqua" w:cs="Times New Roman"/>
          <w:b/>
          <w:sz w:val="22"/>
          <w:szCs w:val="22"/>
        </w:rPr>
      </w:pPr>
      <w:r w:rsidRPr="00EB0543">
        <w:rPr>
          <w:rFonts w:ascii="Book Antiqua" w:hAnsi="Book Antiqua" w:cs="Times New Roman"/>
          <w:b/>
          <w:sz w:val="22"/>
          <w:szCs w:val="22"/>
        </w:rPr>
        <w:lastRenderedPageBreak/>
        <w:t xml:space="preserve">Tableau </w:t>
      </w:r>
      <w:r w:rsidR="00D46F07" w:rsidRPr="00EB0543">
        <w:rPr>
          <w:rFonts w:ascii="Book Antiqua" w:hAnsi="Book Antiqua" w:cs="Times New Roman"/>
          <w:b/>
          <w:sz w:val="22"/>
          <w:szCs w:val="22"/>
        </w:rPr>
        <w:t>1</w:t>
      </w:r>
      <w:r w:rsidRPr="00EB0543">
        <w:rPr>
          <w:rFonts w:ascii="Book Antiqua" w:hAnsi="Book Antiqua" w:cs="Times New Roman"/>
          <w:b/>
          <w:sz w:val="22"/>
          <w:szCs w:val="22"/>
        </w:rPr>
        <w:t xml:space="preserve"> : </w:t>
      </w:r>
      <w:r w:rsidR="00E267F1" w:rsidRPr="00EB0543">
        <w:rPr>
          <w:rFonts w:ascii="Book Antiqua" w:eastAsia="Times New Roman" w:hAnsi="Book Antiqua" w:cs="Times New Roman"/>
          <w:b/>
          <w:bCs/>
          <w:color w:val="000000"/>
          <w:sz w:val="22"/>
          <w:szCs w:val="22"/>
          <w:lang w:eastAsia="fr-MA"/>
        </w:rPr>
        <w:t xml:space="preserve">Part des femmes ayant supporté des coûts parmi les femmes </w:t>
      </w:r>
      <w:r w:rsidR="00D46F07" w:rsidRPr="00EB0543">
        <w:rPr>
          <w:rFonts w:ascii="Book Antiqua" w:eastAsia="Times New Roman" w:hAnsi="Book Antiqua" w:cs="Times New Roman"/>
          <w:b/>
          <w:bCs/>
          <w:color w:val="000000"/>
          <w:sz w:val="22"/>
          <w:szCs w:val="22"/>
          <w:lang w:eastAsia="fr-MA"/>
        </w:rPr>
        <w:t>violentées,</w:t>
      </w:r>
      <w:r w:rsidR="00D46F07" w:rsidRPr="00EB0543">
        <w:rPr>
          <w:rFonts w:ascii="Book Antiqua" w:hAnsi="Book Antiqua" w:cs="Times New Roman"/>
          <w:b/>
          <w:sz w:val="22"/>
          <w:szCs w:val="22"/>
        </w:rPr>
        <w:t xml:space="preserve"> le coût global</w:t>
      </w:r>
      <w:r w:rsidR="002F7374" w:rsidRPr="00EB0543">
        <w:rPr>
          <w:rFonts w:ascii="Book Antiqua" w:hAnsi="Book Antiqua" w:cs="Times New Roman"/>
          <w:b/>
          <w:sz w:val="22"/>
          <w:szCs w:val="22"/>
        </w:rPr>
        <w:t xml:space="preserve"> de la violence </w:t>
      </w:r>
      <w:r w:rsidR="00A777D7" w:rsidRPr="00EB0543">
        <w:rPr>
          <w:rFonts w:ascii="Book Antiqua" w:hAnsi="Book Antiqua" w:cs="Times New Roman"/>
          <w:b/>
          <w:sz w:val="22"/>
          <w:szCs w:val="22"/>
        </w:rPr>
        <w:t xml:space="preserve">et sa répartition </w:t>
      </w:r>
      <w:r w:rsidRPr="00EB0543">
        <w:rPr>
          <w:rFonts w:ascii="Book Antiqua" w:hAnsi="Book Antiqua" w:cs="Times New Roman"/>
          <w:b/>
          <w:sz w:val="22"/>
          <w:szCs w:val="22"/>
        </w:rPr>
        <w:t xml:space="preserve">selon le </w:t>
      </w:r>
      <w:r w:rsidR="00A777D7" w:rsidRPr="00EB0543">
        <w:rPr>
          <w:rFonts w:ascii="Book Antiqua" w:hAnsi="Book Antiqua" w:cs="Times New Roman"/>
          <w:b/>
          <w:sz w:val="22"/>
          <w:szCs w:val="22"/>
        </w:rPr>
        <w:t xml:space="preserve">contexte de violence, la forme de violence, le </w:t>
      </w:r>
      <w:r w:rsidRPr="00EB0543">
        <w:rPr>
          <w:rFonts w:ascii="Book Antiqua" w:hAnsi="Book Antiqua" w:cs="Times New Roman"/>
          <w:b/>
          <w:sz w:val="22"/>
          <w:szCs w:val="22"/>
        </w:rPr>
        <w:t>type de coût</w:t>
      </w:r>
      <w:r w:rsidR="00A777D7" w:rsidRPr="00EB0543">
        <w:rPr>
          <w:rFonts w:ascii="Book Antiqua" w:hAnsi="Book Antiqua" w:cs="Times New Roman"/>
          <w:b/>
          <w:sz w:val="22"/>
          <w:szCs w:val="22"/>
        </w:rPr>
        <w:t xml:space="preserve"> et</w:t>
      </w:r>
      <w:r w:rsidR="00845BD5">
        <w:rPr>
          <w:rFonts w:ascii="Book Antiqua" w:hAnsi="Book Antiqua" w:cs="Times New Roman"/>
          <w:b/>
          <w:sz w:val="22"/>
          <w:szCs w:val="22"/>
        </w:rPr>
        <w:t xml:space="preserve"> </w:t>
      </w:r>
      <w:r w:rsidR="00E267F1" w:rsidRPr="00EB0543">
        <w:rPr>
          <w:rFonts w:ascii="Book Antiqua" w:hAnsi="Book Antiqua" w:cs="Times New Roman"/>
          <w:b/>
          <w:sz w:val="22"/>
          <w:szCs w:val="22"/>
        </w:rPr>
        <w:t xml:space="preserve">le </w:t>
      </w:r>
      <w:r w:rsidRPr="00EB0543">
        <w:rPr>
          <w:rFonts w:ascii="Book Antiqua" w:hAnsi="Book Antiqua" w:cs="Times New Roman"/>
          <w:b/>
          <w:sz w:val="22"/>
          <w:szCs w:val="22"/>
        </w:rPr>
        <w:t>milieu de résidence</w:t>
      </w:r>
    </w:p>
    <w:tbl>
      <w:tblPr>
        <w:tblW w:w="9142" w:type="dxa"/>
        <w:tblCellMar>
          <w:left w:w="70" w:type="dxa"/>
          <w:right w:w="70" w:type="dxa"/>
        </w:tblCellMar>
        <w:tblLook w:val="04A0"/>
      </w:tblPr>
      <w:tblGrid>
        <w:gridCol w:w="2076"/>
        <w:gridCol w:w="2364"/>
        <w:gridCol w:w="1791"/>
        <w:gridCol w:w="1494"/>
        <w:gridCol w:w="1417"/>
      </w:tblGrid>
      <w:tr w:rsidR="00BE25C0" w:rsidRPr="003E634D" w:rsidTr="00F47DD3">
        <w:trPr>
          <w:trHeight w:val="1976"/>
        </w:trPr>
        <w:tc>
          <w:tcPr>
            <w:tcW w:w="44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w:t>
            </w:r>
          </w:p>
        </w:tc>
        <w:tc>
          <w:tcPr>
            <w:tcW w:w="1791" w:type="dxa"/>
            <w:tcBorders>
              <w:top w:val="single" w:sz="8" w:space="0" w:color="000000"/>
              <w:left w:val="nil"/>
              <w:bottom w:val="single" w:sz="8" w:space="0" w:color="000000"/>
              <w:right w:val="single" w:sz="8" w:space="0" w:color="000000"/>
            </w:tcBorders>
            <w:shd w:val="clear" w:color="auto" w:fill="auto"/>
            <w:vAlign w:val="center"/>
            <w:hideMark/>
          </w:tcPr>
          <w:p w:rsidR="00BE25C0" w:rsidRPr="00EB0543" w:rsidRDefault="00BE25C0" w:rsidP="002F7374">
            <w:pPr>
              <w:jc w:val="cente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Part des femmes ayant supporté des coûts parmi les femmes violentées (%)</w:t>
            </w:r>
          </w:p>
        </w:tc>
        <w:tc>
          <w:tcPr>
            <w:tcW w:w="1494" w:type="dxa"/>
            <w:tcBorders>
              <w:top w:val="single" w:sz="8" w:space="0" w:color="000000"/>
              <w:left w:val="nil"/>
              <w:bottom w:val="single" w:sz="8" w:space="0" w:color="000000"/>
              <w:right w:val="single" w:sz="8" w:space="0" w:color="000000"/>
            </w:tcBorders>
            <w:shd w:val="clear" w:color="auto" w:fill="auto"/>
            <w:vAlign w:val="center"/>
            <w:hideMark/>
          </w:tcPr>
          <w:p w:rsidR="00BE25C0" w:rsidRPr="00EB0543" w:rsidRDefault="00BE25C0" w:rsidP="002F7374">
            <w:pPr>
              <w:jc w:val="cente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Coût total (en millions de Dh)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BE25C0" w:rsidRPr="00EB0543" w:rsidRDefault="00BE25C0" w:rsidP="002F7374">
            <w:pPr>
              <w:jc w:val="cente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Part dans le coût global (en %)</w:t>
            </w:r>
          </w:p>
        </w:tc>
      </w:tr>
      <w:tr w:rsidR="00BE25C0" w:rsidRPr="003E634D" w:rsidTr="00F47DD3">
        <w:trPr>
          <w:trHeight w:val="477"/>
        </w:trPr>
        <w:tc>
          <w:tcPr>
            <w:tcW w:w="20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Contexte</w:t>
            </w:r>
            <w:r w:rsidR="00EB0543">
              <w:rPr>
                <w:rFonts w:ascii="Book Antiqua" w:eastAsia="Times New Roman" w:hAnsi="Book Antiqua" w:cs="Times New Roman"/>
                <w:b/>
                <w:bCs/>
                <w:color w:val="000000"/>
                <w:sz w:val="22"/>
                <w:szCs w:val="22"/>
                <w:lang w:eastAsia="fr-MA"/>
              </w:rPr>
              <w:t>s</w:t>
            </w:r>
            <w:r w:rsidRPr="00EB0543">
              <w:rPr>
                <w:rFonts w:ascii="Book Antiqua" w:eastAsia="Times New Roman" w:hAnsi="Book Antiqua" w:cs="Times New Roman"/>
                <w:b/>
                <w:bCs/>
                <w:color w:val="000000"/>
                <w:sz w:val="22"/>
                <w:szCs w:val="22"/>
                <w:lang w:eastAsia="fr-MA"/>
              </w:rPr>
              <w:t xml:space="preserve"> de violence</w:t>
            </w: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Contexte conjugal</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24,2</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1 980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69,6</w:t>
            </w:r>
          </w:p>
        </w:tc>
      </w:tr>
      <w:tr w:rsidR="00BE25C0" w:rsidRPr="003E634D" w:rsidTr="00F47DD3">
        <w:trPr>
          <w:trHeight w:val="426"/>
        </w:trPr>
        <w:tc>
          <w:tcPr>
            <w:tcW w:w="2076" w:type="dxa"/>
            <w:vMerge/>
            <w:tcBorders>
              <w:top w:val="nil"/>
              <w:left w:val="single" w:sz="8" w:space="0" w:color="000000"/>
              <w:bottom w:val="single" w:sz="8" w:space="0" w:color="000000"/>
              <w:right w:val="single" w:sz="8" w:space="0" w:color="000000"/>
            </w:tcBorders>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Contexte familial</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24,4</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366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12,9</w:t>
            </w:r>
          </w:p>
        </w:tc>
      </w:tr>
      <w:tr w:rsidR="00BE25C0" w:rsidRPr="003E634D" w:rsidTr="00F47DD3">
        <w:trPr>
          <w:trHeight w:val="416"/>
        </w:trPr>
        <w:tc>
          <w:tcPr>
            <w:tcW w:w="2076" w:type="dxa"/>
            <w:vMerge/>
            <w:tcBorders>
              <w:top w:val="nil"/>
              <w:left w:val="single" w:sz="8" w:space="0" w:color="000000"/>
              <w:bottom w:val="single" w:sz="8" w:space="0" w:color="000000"/>
              <w:right w:val="single" w:sz="8" w:space="0" w:color="000000"/>
            </w:tcBorders>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Lieu de travail</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21,9</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48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1,7</w:t>
            </w:r>
          </w:p>
        </w:tc>
      </w:tr>
      <w:tr w:rsidR="00BE25C0" w:rsidRPr="003E634D" w:rsidTr="00F47DD3">
        <w:trPr>
          <w:trHeight w:val="438"/>
        </w:trPr>
        <w:tc>
          <w:tcPr>
            <w:tcW w:w="2076" w:type="dxa"/>
            <w:vMerge/>
            <w:tcBorders>
              <w:top w:val="nil"/>
              <w:left w:val="single" w:sz="8" w:space="0" w:color="000000"/>
              <w:bottom w:val="single" w:sz="8" w:space="0" w:color="000000"/>
              <w:right w:val="single" w:sz="8" w:space="0" w:color="000000"/>
            </w:tcBorders>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Lieu de formation</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6,5</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4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0,1</w:t>
            </w:r>
          </w:p>
        </w:tc>
      </w:tr>
      <w:tr w:rsidR="00BE25C0" w:rsidRPr="003E634D" w:rsidTr="00F47DD3">
        <w:trPr>
          <w:trHeight w:val="427"/>
        </w:trPr>
        <w:tc>
          <w:tcPr>
            <w:tcW w:w="2076" w:type="dxa"/>
            <w:vMerge/>
            <w:tcBorders>
              <w:top w:val="nil"/>
              <w:left w:val="single" w:sz="8" w:space="0" w:color="000000"/>
              <w:bottom w:val="single" w:sz="8" w:space="0" w:color="000000"/>
              <w:right w:val="single" w:sz="8" w:space="0" w:color="000000"/>
            </w:tcBorders>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Lieu public</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16,2</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448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15,7</w:t>
            </w:r>
          </w:p>
        </w:tc>
      </w:tr>
      <w:tr w:rsidR="00BE25C0" w:rsidRPr="003E634D" w:rsidTr="00F47DD3">
        <w:trPr>
          <w:trHeight w:val="427"/>
        </w:trPr>
        <w:tc>
          <w:tcPr>
            <w:tcW w:w="20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Formes de violence</w:t>
            </w: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Physique</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34,8</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2 409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84,7</w:t>
            </w:r>
          </w:p>
        </w:tc>
      </w:tr>
      <w:tr w:rsidR="00BE25C0" w:rsidRPr="003E634D" w:rsidTr="00F47DD3">
        <w:trPr>
          <w:trHeight w:val="427"/>
        </w:trPr>
        <w:tc>
          <w:tcPr>
            <w:tcW w:w="2076" w:type="dxa"/>
            <w:vMerge/>
            <w:tcBorders>
              <w:top w:val="nil"/>
              <w:left w:val="single" w:sz="8" w:space="0" w:color="000000"/>
              <w:bottom w:val="single" w:sz="8" w:space="0" w:color="000000"/>
              <w:right w:val="single" w:sz="8" w:space="0" w:color="000000"/>
            </w:tcBorders>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Sexuelle</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6,1</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436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15,3</w:t>
            </w:r>
          </w:p>
        </w:tc>
      </w:tr>
      <w:tr w:rsidR="00BE25C0" w:rsidRPr="003E634D" w:rsidTr="00F47DD3">
        <w:trPr>
          <w:trHeight w:val="390"/>
        </w:trPr>
        <w:tc>
          <w:tcPr>
            <w:tcW w:w="20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Types de coût</w:t>
            </w: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Coût direct</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20,3</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2 328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81,8</w:t>
            </w:r>
          </w:p>
        </w:tc>
      </w:tr>
      <w:tr w:rsidR="00BE25C0" w:rsidRPr="003E634D" w:rsidTr="00F47DD3">
        <w:trPr>
          <w:trHeight w:val="411"/>
        </w:trPr>
        <w:tc>
          <w:tcPr>
            <w:tcW w:w="2076" w:type="dxa"/>
            <w:vMerge/>
            <w:tcBorders>
              <w:top w:val="nil"/>
              <w:left w:val="single" w:sz="8" w:space="0" w:color="000000"/>
              <w:bottom w:val="single" w:sz="8" w:space="0" w:color="000000"/>
              <w:right w:val="single" w:sz="8" w:space="0" w:color="000000"/>
            </w:tcBorders>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Coût indirect</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8,2</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517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18,2</w:t>
            </w:r>
          </w:p>
        </w:tc>
      </w:tr>
      <w:tr w:rsidR="00BE25C0" w:rsidRPr="003E634D" w:rsidTr="00F47DD3">
        <w:trPr>
          <w:trHeight w:val="427"/>
        </w:trPr>
        <w:tc>
          <w:tcPr>
            <w:tcW w:w="20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Milieux de résidence</w:t>
            </w: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Urbain</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24</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2 053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72,2</w:t>
            </w:r>
          </w:p>
        </w:tc>
      </w:tr>
      <w:tr w:rsidR="00BE25C0" w:rsidRPr="003E634D" w:rsidTr="00F47DD3">
        <w:trPr>
          <w:trHeight w:val="427"/>
        </w:trPr>
        <w:tc>
          <w:tcPr>
            <w:tcW w:w="2076" w:type="dxa"/>
            <w:vMerge/>
            <w:tcBorders>
              <w:top w:val="nil"/>
              <w:left w:val="single" w:sz="8" w:space="0" w:color="000000"/>
              <w:bottom w:val="single" w:sz="8" w:space="0" w:color="000000"/>
              <w:right w:val="single" w:sz="8" w:space="0" w:color="000000"/>
            </w:tcBorders>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p>
        </w:tc>
        <w:tc>
          <w:tcPr>
            <w:tcW w:w="2364" w:type="dxa"/>
            <w:tcBorders>
              <w:top w:val="nil"/>
              <w:left w:val="nil"/>
              <w:bottom w:val="single" w:sz="8" w:space="0" w:color="000000"/>
              <w:right w:val="single" w:sz="8" w:space="0" w:color="000000"/>
            </w:tcBorders>
            <w:shd w:val="clear" w:color="auto" w:fill="auto"/>
            <w:vAlign w:val="center"/>
            <w:hideMark/>
          </w:tcPr>
          <w:p w:rsidR="00BE25C0" w:rsidRPr="00EB0543" w:rsidRDefault="00BE25C0"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eastAsia="fr-MA"/>
              </w:rPr>
              <w:t>Rural</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20,1</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792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27,8</w:t>
            </w:r>
          </w:p>
        </w:tc>
      </w:tr>
      <w:tr w:rsidR="00BE25C0" w:rsidRPr="003E634D" w:rsidTr="00F47DD3">
        <w:trPr>
          <w:trHeight w:val="427"/>
        </w:trPr>
        <w:tc>
          <w:tcPr>
            <w:tcW w:w="44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E25C0" w:rsidRPr="00EB0543" w:rsidRDefault="00EB0543" w:rsidP="002F7374">
            <w:pPr>
              <w:rPr>
                <w:rFonts w:ascii="Book Antiqua" w:eastAsia="Times New Roman" w:hAnsi="Book Antiqua" w:cs="Times New Roman"/>
                <w:b/>
                <w:bCs/>
                <w:color w:val="000000"/>
                <w:sz w:val="22"/>
                <w:szCs w:val="22"/>
                <w:lang w:val="fr-MA" w:eastAsia="fr-MA"/>
              </w:rPr>
            </w:pPr>
            <w:r w:rsidRPr="00EB0543">
              <w:rPr>
                <w:rFonts w:ascii="Book Antiqua" w:eastAsia="Times New Roman" w:hAnsi="Book Antiqua" w:cs="Times New Roman"/>
                <w:b/>
                <w:bCs/>
                <w:color w:val="000000"/>
                <w:sz w:val="22"/>
                <w:szCs w:val="22"/>
                <w:lang w:val="fr-MA" w:eastAsia="fr-MA"/>
              </w:rPr>
              <w:t>Total</w:t>
            </w:r>
          </w:p>
        </w:tc>
        <w:tc>
          <w:tcPr>
            <w:tcW w:w="1791"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22,8</w:t>
            </w:r>
          </w:p>
        </w:tc>
        <w:tc>
          <w:tcPr>
            <w:tcW w:w="1494"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2F7374">
            <w:pPr>
              <w:jc w:val="center"/>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 xml:space="preserve">         2 845 </w:t>
            </w:r>
          </w:p>
        </w:tc>
        <w:tc>
          <w:tcPr>
            <w:tcW w:w="1417" w:type="dxa"/>
            <w:tcBorders>
              <w:top w:val="nil"/>
              <w:left w:val="nil"/>
              <w:bottom w:val="single" w:sz="8" w:space="0" w:color="000000"/>
              <w:right w:val="single" w:sz="8" w:space="0" w:color="000000"/>
            </w:tcBorders>
            <w:shd w:val="clear" w:color="auto" w:fill="auto"/>
            <w:vAlign w:val="center"/>
            <w:hideMark/>
          </w:tcPr>
          <w:p w:rsidR="00BE25C0" w:rsidRPr="003E634D" w:rsidRDefault="00BE25C0" w:rsidP="00844F70">
            <w:pPr>
              <w:jc w:val="right"/>
              <w:rPr>
                <w:rFonts w:ascii="Book Antiqua" w:eastAsia="Times New Roman" w:hAnsi="Book Antiqua" w:cs="Times New Roman"/>
                <w:color w:val="000000"/>
                <w:lang w:val="fr-MA" w:eastAsia="fr-MA"/>
              </w:rPr>
            </w:pPr>
            <w:r w:rsidRPr="003E634D">
              <w:rPr>
                <w:rFonts w:ascii="Book Antiqua" w:eastAsia="Times New Roman" w:hAnsi="Book Antiqua" w:cs="Times New Roman"/>
                <w:color w:val="000000"/>
                <w:lang w:eastAsia="fr-MA"/>
              </w:rPr>
              <w:t>100</w:t>
            </w:r>
          </w:p>
        </w:tc>
      </w:tr>
    </w:tbl>
    <w:p w:rsidR="005F397C" w:rsidRPr="000E35D2" w:rsidRDefault="005F397C" w:rsidP="001F3C06">
      <w:pPr>
        <w:spacing w:after="120" w:line="276" w:lineRule="auto"/>
        <w:jc w:val="both"/>
        <w:rPr>
          <w:rFonts w:ascii="Book Antiqua" w:eastAsia="Times New Roman" w:hAnsi="Book Antiqua" w:cs="Times New Roman"/>
          <w:b/>
          <w:i/>
          <w:color w:val="2F5496"/>
          <w:sz w:val="20"/>
          <w:szCs w:val="20"/>
        </w:rPr>
      </w:pPr>
      <w:r w:rsidRPr="000E35D2">
        <w:rPr>
          <w:rFonts w:ascii="Book Antiqua" w:hAnsi="Book Antiqua" w:cs="Times New Roman"/>
          <w:b/>
          <w:sz w:val="20"/>
          <w:szCs w:val="20"/>
        </w:rPr>
        <w:t>Source</w:t>
      </w:r>
      <w:r w:rsidR="00845BD5">
        <w:rPr>
          <w:rFonts w:ascii="Book Antiqua" w:hAnsi="Book Antiqua" w:cs="Times New Roman"/>
          <w:b/>
          <w:sz w:val="20"/>
          <w:szCs w:val="20"/>
        </w:rPr>
        <w:t xml:space="preserve"> </w:t>
      </w:r>
      <w:r w:rsidRPr="000E35D2">
        <w:rPr>
          <w:rFonts w:ascii="Book Antiqua" w:hAnsi="Book Antiqua" w:cs="Times New Roman"/>
          <w:b/>
          <w:sz w:val="20"/>
          <w:szCs w:val="20"/>
        </w:rPr>
        <w:t xml:space="preserve">: HCP, </w:t>
      </w:r>
      <w:r w:rsidR="00C0458A" w:rsidRPr="000E35D2">
        <w:rPr>
          <w:rFonts w:ascii="Book Antiqua" w:hAnsi="Book Antiqua" w:cs="Times New Roman"/>
          <w:b/>
          <w:sz w:val="20"/>
          <w:szCs w:val="20"/>
        </w:rPr>
        <w:t>Enquête nationale sur la violence à l’encontre des femmes et des hommes 2019</w:t>
      </w:r>
    </w:p>
    <w:p w:rsidR="00AC62D1" w:rsidRDefault="00AC62D1" w:rsidP="00342597">
      <w:pPr>
        <w:spacing w:after="120" w:line="276" w:lineRule="auto"/>
        <w:jc w:val="both"/>
        <w:rPr>
          <w:rFonts w:ascii="Book Antiqua" w:eastAsia="Times New Roman" w:hAnsi="Book Antiqua" w:cs="Times New Roman"/>
          <w:b/>
          <w:i/>
          <w:color w:val="2F5496"/>
        </w:rPr>
      </w:pPr>
    </w:p>
    <w:p w:rsidR="00AC62D1" w:rsidRDefault="00AC62D1" w:rsidP="00342597">
      <w:pPr>
        <w:spacing w:after="120" w:line="276" w:lineRule="auto"/>
        <w:jc w:val="both"/>
        <w:rPr>
          <w:rFonts w:ascii="Book Antiqua" w:eastAsia="Times New Roman" w:hAnsi="Book Antiqua" w:cs="Times New Roman"/>
          <w:b/>
          <w:i/>
          <w:color w:val="2F5496"/>
        </w:rPr>
      </w:pPr>
    </w:p>
    <w:p w:rsidR="00AC62D1" w:rsidRDefault="00AC62D1" w:rsidP="00342597">
      <w:pPr>
        <w:spacing w:after="120" w:line="276" w:lineRule="auto"/>
        <w:jc w:val="both"/>
        <w:rPr>
          <w:rFonts w:ascii="Book Antiqua" w:eastAsia="Times New Roman" w:hAnsi="Book Antiqua" w:cs="Times New Roman"/>
          <w:b/>
          <w:i/>
          <w:color w:val="2F5496"/>
        </w:rPr>
      </w:pPr>
    </w:p>
    <w:p w:rsidR="00AC62D1" w:rsidRDefault="00AC62D1" w:rsidP="00342597">
      <w:pPr>
        <w:spacing w:after="120" w:line="276" w:lineRule="auto"/>
        <w:jc w:val="both"/>
        <w:rPr>
          <w:rFonts w:ascii="Book Antiqua" w:eastAsia="Times New Roman" w:hAnsi="Book Antiqua" w:cs="Times New Roman"/>
          <w:b/>
          <w:i/>
          <w:color w:val="2F5496"/>
        </w:rPr>
      </w:pPr>
    </w:p>
    <w:p w:rsidR="00AC62D1" w:rsidRDefault="00AC62D1" w:rsidP="00342597">
      <w:pPr>
        <w:spacing w:after="120" w:line="276" w:lineRule="auto"/>
        <w:jc w:val="both"/>
        <w:rPr>
          <w:rFonts w:ascii="Book Antiqua" w:eastAsia="Times New Roman" w:hAnsi="Book Antiqua" w:cs="Times New Roman"/>
          <w:b/>
          <w:i/>
          <w:color w:val="2F5496"/>
        </w:rPr>
      </w:pPr>
    </w:p>
    <w:p w:rsidR="00AC62D1" w:rsidRDefault="00AC62D1" w:rsidP="00342597">
      <w:pPr>
        <w:spacing w:after="120" w:line="276" w:lineRule="auto"/>
        <w:jc w:val="both"/>
        <w:rPr>
          <w:rFonts w:ascii="Book Antiqua" w:eastAsia="Times New Roman" w:hAnsi="Book Antiqua" w:cs="Times New Roman"/>
          <w:b/>
          <w:i/>
          <w:color w:val="2F5496"/>
        </w:rPr>
      </w:pPr>
    </w:p>
    <w:p w:rsidR="00AC62D1" w:rsidRDefault="00AC62D1" w:rsidP="00342597">
      <w:pPr>
        <w:spacing w:after="120" w:line="276" w:lineRule="auto"/>
        <w:jc w:val="both"/>
        <w:rPr>
          <w:rFonts w:ascii="Book Antiqua" w:eastAsia="Times New Roman" w:hAnsi="Book Antiqua" w:cs="Times New Roman"/>
          <w:b/>
          <w:i/>
          <w:color w:val="2F5496"/>
        </w:rPr>
      </w:pPr>
    </w:p>
    <w:p w:rsidR="00AC62D1" w:rsidRDefault="00AC62D1" w:rsidP="00342597">
      <w:pPr>
        <w:spacing w:after="120" w:line="276" w:lineRule="auto"/>
        <w:jc w:val="both"/>
        <w:rPr>
          <w:rFonts w:ascii="Book Antiqua" w:eastAsia="Times New Roman" w:hAnsi="Book Antiqua" w:cs="Times New Roman"/>
          <w:b/>
          <w:i/>
          <w:color w:val="2F5496"/>
        </w:rPr>
      </w:pPr>
    </w:p>
    <w:p w:rsidR="00621325" w:rsidRPr="00F47DD3" w:rsidRDefault="00773C53" w:rsidP="00342597">
      <w:pPr>
        <w:spacing w:after="120" w:line="276" w:lineRule="auto"/>
        <w:jc w:val="both"/>
        <w:rPr>
          <w:rFonts w:asciiTheme="majorBidi" w:eastAsia="Times New Roman" w:hAnsiTheme="majorBidi" w:cstheme="majorBidi"/>
          <w:b/>
          <w:bCs/>
          <w:i/>
          <w:color w:val="1F3864"/>
          <w:lang w:eastAsia="en-US"/>
        </w:rPr>
      </w:pPr>
      <w:r w:rsidRPr="00F47DD3">
        <w:rPr>
          <w:rFonts w:asciiTheme="majorBidi" w:eastAsia="Times New Roman" w:hAnsiTheme="majorBidi" w:cstheme="majorBidi"/>
          <w:b/>
          <w:bCs/>
          <w:i/>
          <w:color w:val="1F3864"/>
          <w:lang w:eastAsia="en-US"/>
        </w:rPr>
        <w:lastRenderedPageBreak/>
        <w:t xml:space="preserve">Près de 70% du coût direct de la violence </w:t>
      </w:r>
      <w:r w:rsidR="00342597" w:rsidRPr="00F47DD3">
        <w:rPr>
          <w:rFonts w:asciiTheme="majorBidi" w:eastAsia="Times New Roman" w:hAnsiTheme="majorBidi" w:cstheme="majorBidi"/>
          <w:b/>
          <w:bCs/>
          <w:i/>
          <w:color w:val="1F3864"/>
          <w:lang w:eastAsia="en-US"/>
        </w:rPr>
        <w:t>est attribué</w:t>
      </w:r>
      <w:r w:rsidRPr="00F47DD3">
        <w:rPr>
          <w:rFonts w:asciiTheme="majorBidi" w:eastAsia="Times New Roman" w:hAnsiTheme="majorBidi" w:cstheme="majorBidi"/>
          <w:b/>
          <w:bCs/>
          <w:i/>
          <w:color w:val="1F3864"/>
          <w:lang w:eastAsia="en-US"/>
        </w:rPr>
        <w:t xml:space="preserve"> aux violences conjugales et 43% aux dépenses de santé </w:t>
      </w:r>
    </w:p>
    <w:p w:rsidR="0003691E" w:rsidRPr="0003691E" w:rsidRDefault="0003691E" w:rsidP="0003691E">
      <w:pPr>
        <w:jc w:val="both"/>
        <w:rPr>
          <w:rFonts w:ascii="Times New Roman" w:eastAsia="Times New Roman" w:hAnsi="Times New Roman" w:cs="Times New Roman"/>
          <w:lang w:val="fr-MA" w:eastAsia="en-US"/>
        </w:rPr>
      </w:pPr>
      <w:r w:rsidRPr="0003691E">
        <w:rPr>
          <w:rFonts w:ascii="Book Antiqua" w:eastAsia="Times New Roman" w:hAnsi="Book Antiqua" w:cs="Times New Roman"/>
          <w:color w:val="000000"/>
          <w:lang w:val="fr-MA" w:eastAsia="en-US"/>
        </w:rPr>
        <w:t xml:space="preserve">Le coût direct </w:t>
      </w:r>
      <w:r w:rsidRPr="0003691E">
        <w:rPr>
          <w:rFonts w:ascii="Times New Roman" w:eastAsia="Times New Roman" w:hAnsi="Times New Roman" w:cs="Times New Roman"/>
          <w:color w:val="000000"/>
          <w:lang w:val="fr-MA" w:eastAsia="en-US"/>
        </w:rPr>
        <w:t xml:space="preserve">total de la violence </w:t>
      </w:r>
      <w:r w:rsidRPr="0003691E">
        <w:rPr>
          <w:rFonts w:ascii="Book Antiqua" w:eastAsia="Times New Roman" w:hAnsi="Book Antiqua" w:cs="Times New Roman"/>
          <w:color w:val="000000"/>
          <w:lang w:val="fr-MA" w:eastAsia="en-US"/>
        </w:rPr>
        <w:t xml:space="preserve">est estimé à 2,3 Milliards de Dh pour les victimes de la violence physique et/ou sexuelle qui ont effectué des dépenses (20%) suite à l’ensemble des incidents de violence les plus graves subis au cours des 12 </w:t>
      </w:r>
      <w:r w:rsidRPr="0003691E">
        <w:rPr>
          <w:rFonts w:ascii="Times New Roman" w:eastAsia="Times New Roman" w:hAnsi="Times New Roman" w:cs="Times New Roman"/>
          <w:color w:val="000000"/>
          <w:lang w:val="fr-MA" w:eastAsia="en-US"/>
        </w:rPr>
        <w:t>mois précédant l’enquête</w:t>
      </w:r>
      <w:r w:rsidRPr="0003691E">
        <w:rPr>
          <w:rFonts w:ascii="Book Antiqua" w:eastAsia="Times New Roman" w:hAnsi="Book Antiqua" w:cs="Times New Roman"/>
          <w:color w:val="000000"/>
          <w:lang w:val="fr-MA" w:eastAsia="en-US"/>
        </w:rPr>
        <w:t>.</w:t>
      </w:r>
    </w:p>
    <w:p w:rsidR="0003691E" w:rsidRPr="0003691E" w:rsidRDefault="0003691E" w:rsidP="0003691E">
      <w:pPr>
        <w:rPr>
          <w:rFonts w:ascii="Times New Roman" w:eastAsia="Times New Roman" w:hAnsi="Times New Roman" w:cs="Times New Roman"/>
          <w:lang w:val="fr-MA" w:eastAsia="en-US"/>
        </w:rPr>
      </w:pPr>
    </w:p>
    <w:p w:rsidR="0003691E" w:rsidRPr="0003691E" w:rsidRDefault="0003691E" w:rsidP="0003691E">
      <w:pPr>
        <w:jc w:val="both"/>
        <w:rPr>
          <w:rFonts w:ascii="Times New Roman" w:eastAsia="Times New Roman" w:hAnsi="Times New Roman" w:cs="Times New Roman"/>
          <w:lang w:val="fr-MA" w:eastAsia="en-US"/>
        </w:rPr>
      </w:pPr>
      <w:r w:rsidRPr="0003691E">
        <w:rPr>
          <w:rFonts w:ascii="Book Antiqua" w:eastAsia="Times New Roman" w:hAnsi="Book Antiqua" w:cs="Times New Roman"/>
          <w:color w:val="000000"/>
          <w:lang w:val="fr-MA" w:eastAsia="en-US"/>
        </w:rPr>
        <w:t xml:space="preserve">Près de 85% du coût direct de la violence (1,98 Milliard de Dh) est </w:t>
      </w:r>
      <w:r w:rsidRPr="0003691E">
        <w:rPr>
          <w:rFonts w:ascii="Times New Roman" w:eastAsia="Times New Roman" w:hAnsi="Times New Roman" w:cs="Times New Roman"/>
          <w:color w:val="000000"/>
          <w:lang w:val="fr-MA" w:eastAsia="en-US"/>
        </w:rPr>
        <w:t xml:space="preserve">lié aux </w:t>
      </w:r>
      <w:r w:rsidRPr="0003691E">
        <w:rPr>
          <w:rFonts w:ascii="Book Antiqua" w:eastAsia="Times New Roman" w:hAnsi="Book Antiqua" w:cs="Times New Roman"/>
          <w:color w:val="000000"/>
          <w:lang w:val="fr-MA" w:eastAsia="en-US"/>
        </w:rPr>
        <w:t xml:space="preserve">violences physiques et 15% </w:t>
      </w:r>
      <w:r w:rsidRPr="0003691E">
        <w:rPr>
          <w:rFonts w:ascii="Times New Roman" w:eastAsia="Times New Roman" w:hAnsi="Times New Roman" w:cs="Times New Roman"/>
          <w:color w:val="000000"/>
          <w:lang w:val="fr-MA" w:eastAsia="en-US"/>
        </w:rPr>
        <w:t xml:space="preserve">(353 millions de Dh) </w:t>
      </w:r>
      <w:r w:rsidRPr="0003691E">
        <w:rPr>
          <w:rFonts w:ascii="Book Antiqua" w:eastAsia="Times New Roman" w:hAnsi="Book Antiqua" w:cs="Times New Roman"/>
          <w:color w:val="000000"/>
          <w:lang w:val="fr-MA" w:eastAsia="en-US"/>
        </w:rPr>
        <w:t>aux violences sexuelles. </w:t>
      </w:r>
    </w:p>
    <w:p w:rsidR="0003691E" w:rsidRPr="0003691E" w:rsidRDefault="0003691E" w:rsidP="0003691E">
      <w:pPr>
        <w:jc w:val="both"/>
        <w:rPr>
          <w:rFonts w:ascii="Times New Roman" w:eastAsia="Times New Roman" w:hAnsi="Times New Roman" w:cs="Times New Roman"/>
          <w:lang w:val="fr-MA" w:eastAsia="en-US"/>
        </w:rPr>
      </w:pPr>
      <w:r w:rsidRPr="0003691E">
        <w:rPr>
          <w:rFonts w:ascii="Book Antiqua" w:eastAsia="Times New Roman" w:hAnsi="Book Antiqua" w:cs="Times New Roman"/>
          <w:color w:val="000000"/>
          <w:lang w:val="fr-MA" w:eastAsia="en-US"/>
        </w:rPr>
        <w:t xml:space="preserve">La violence à l’encontre des femmes en milieu urbain engendre, pour les victimes et leurs familles, 1,73 Milliard de Dh, contre 601 millions de Dh en milieu rural. Le coût supporté par les citadines représente près des trois quarts du coût direct global de la violence </w:t>
      </w:r>
      <w:r w:rsidRPr="0003691E">
        <w:rPr>
          <w:rFonts w:ascii="Times New Roman" w:eastAsia="Times New Roman" w:hAnsi="Times New Roman" w:cs="Times New Roman"/>
          <w:color w:val="000000"/>
          <w:lang w:val="fr-MA" w:eastAsia="en-US"/>
        </w:rPr>
        <w:t xml:space="preserve">à l’encontre des femmes </w:t>
      </w:r>
      <w:r w:rsidRPr="0003691E">
        <w:rPr>
          <w:rFonts w:ascii="Book Antiqua" w:eastAsia="Times New Roman" w:hAnsi="Book Antiqua" w:cs="Times New Roman"/>
          <w:color w:val="000000"/>
          <w:lang w:val="fr-MA" w:eastAsia="en-US"/>
        </w:rPr>
        <w:t>(74,2%).</w:t>
      </w:r>
    </w:p>
    <w:p w:rsidR="0003691E" w:rsidRPr="0003691E" w:rsidRDefault="0003691E" w:rsidP="0003691E">
      <w:pPr>
        <w:rPr>
          <w:rFonts w:ascii="Times New Roman" w:eastAsia="Times New Roman" w:hAnsi="Times New Roman" w:cs="Times New Roman"/>
          <w:lang w:val="fr-MA" w:eastAsia="en-US"/>
        </w:rPr>
      </w:pPr>
    </w:p>
    <w:p w:rsidR="0003691E" w:rsidRPr="0003691E" w:rsidRDefault="0003691E" w:rsidP="0003691E">
      <w:pPr>
        <w:jc w:val="both"/>
        <w:rPr>
          <w:rFonts w:ascii="Times New Roman" w:eastAsia="Times New Roman" w:hAnsi="Times New Roman" w:cs="Times New Roman"/>
          <w:lang w:val="fr-MA" w:eastAsia="en-US"/>
        </w:rPr>
      </w:pPr>
      <w:r w:rsidRPr="0003691E">
        <w:rPr>
          <w:rFonts w:ascii="Book Antiqua" w:eastAsia="Times New Roman" w:hAnsi="Book Antiqua" w:cs="Times New Roman"/>
          <w:color w:val="000000"/>
          <w:lang w:val="fr-MA" w:eastAsia="en-US"/>
        </w:rPr>
        <w:t xml:space="preserve">Près de 70% du coût direct de la violence est </w:t>
      </w:r>
      <w:r w:rsidRPr="0003691E">
        <w:rPr>
          <w:rFonts w:ascii="Times New Roman" w:eastAsia="Times New Roman" w:hAnsi="Times New Roman" w:cs="Times New Roman"/>
          <w:color w:val="000000"/>
          <w:lang w:val="fr-MA" w:eastAsia="en-US"/>
        </w:rPr>
        <w:t>relevé dans le</w:t>
      </w:r>
      <w:r w:rsidRPr="0003691E">
        <w:rPr>
          <w:rFonts w:ascii="Book Antiqua" w:eastAsia="Times New Roman" w:hAnsi="Book Antiqua" w:cs="Times New Roman"/>
          <w:color w:val="000000"/>
          <w:lang w:val="fr-MA" w:eastAsia="en-US"/>
        </w:rPr>
        <w:t xml:space="preserve"> contexte conjugal (1,63 Milliard de Dh), 15% dans les lieux publics (356 millions de Dh) et 13% dans le contexte familial (307 millions de Dh). </w:t>
      </w:r>
    </w:p>
    <w:p w:rsidR="0003691E" w:rsidRPr="0003691E" w:rsidRDefault="0003691E" w:rsidP="0003691E">
      <w:pPr>
        <w:rPr>
          <w:rFonts w:ascii="Times New Roman" w:eastAsia="Times New Roman" w:hAnsi="Times New Roman" w:cs="Times New Roman"/>
          <w:lang w:val="fr-MA" w:eastAsia="en-US"/>
        </w:rPr>
      </w:pPr>
    </w:p>
    <w:p w:rsidR="0003691E" w:rsidRPr="0003691E" w:rsidRDefault="0003691E" w:rsidP="0003691E">
      <w:pPr>
        <w:jc w:val="both"/>
        <w:rPr>
          <w:rFonts w:ascii="Times New Roman" w:eastAsia="Times New Roman" w:hAnsi="Times New Roman" w:cs="Times New Roman"/>
          <w:lang w:val="fr-MA" w:eastAsia="en-US"/>
        </w:rPr>
      </w:pPr>
      <w:r w:rsidRPr="0003691E">
        <w:rPr>
          <w:rFonts w:ascii="Book Antiqua" w:eastAsia="Times New Roman" w:hAnsi="Book Antiqua" w:cs="Times New Roman"/>
          <w:color w:val="000000"/>
          <w:lang w:val="fr-MA" w:eastAsia="en-US"/>
        </w:rPr>
        <w:t xml:space="preserve">Les dépenses engagées pour accéder aux services de santé représentent 42,3% du coût direct (986 millions de Dh). </w:t>
      </w:r>
      <w:r w:rsidRPr="0003691E">
        <w:rPr>
          <w:rFonts w:ascii="Times New Roman" w:eastAsia="Times New Roman" w:hAnsi="Times New Roman" w:cs="Times New Roman"/>
          <w:color w:val="000000"/>
          <w:lang w:val="fr-MA" w:eastAsia="en-US"/>
        </w:rPr>
        <w:t xml:space="preserve">En deuxième position viennent les </w:t>
      </w:r>
      <w:r w:rsidRPr="0003691E">
        <w:rPr>
          <w:rFonts w:ascii="Book Antiqua" w:eastAsia="Times New Roman" w:hAnsi="Book Antiqua" w:cs="Times New Roman"/>
          <w:color w:val="000000"/>
          <w:lang w:val="fr-MA" w:eastAsia="en-US"/>
        </w:rPr>
        <w:t xml:space="preserve">dépenses liées au recours aux services juridiques et judiciaires </w:t>
      </w:r>
      <w:r w:rsidRPr="0003691E">
        <w:rPr>
          <w:rFonts w:ascii="Times New Roman" w:eastAsia="Times New Roman" w:hAnsi="Times New Roman" w:cs="Times New Roman"/>
          <w:color w:val="000000"/>
          <w:lang w:val="fr-MA" w:eastAsia="en-US"/>
        </w:rPr>
        <w:t>(25,8% ; 600 millions de Dh), suivies de celles liées au remplacement ou réparation des biens endommagés (17,9% ; 417 millions de Dh), à l'hébergement suite à l’abandon du domicile (13,5% ; 314 millions de Dh) et au recours aux services de la société civile (0,5% ; 11 millions de Dh)</w:t>
      </w:r>
      <w:r w:rsidRPr="0003691E">
        <w:rPr>
          <w:rFonts w:ascii="Book Antiqua" w:eastAsia="Times New Roman" w:hAnsi="Book Antiqua" w:cs="Times New Roman"/>
          <w:color w:val="000000"/>
          <w:lang w:val="fr-MA" w:eastAsia="en-US"/>
        </w:rPr>
        <w:t>. </w:t>
      </w:r>
    </w:p>
    <w:p w:rsidR="00DF3558" w:rsidRPr="0003691E" w:rsidRDefault="00DF3558">
      <w:pPr>
        <w:spacing w:line="276" w:lineRule="auto"/>
        <w:jc w:val="both"/>
        <w:rPr>
          <w:rFonts w:ascii="Book Antiqua" w:eastAsia="Times New Roman" w:hAnsi="Book Antiqua" w:cs="Times New Roman"/>
          <w:lang w:val="fr-MA"/>
        </w:rPr>
      </w:pPr>
    </w:p>
    <w:p w:rsidR="0003691E" w:rsidRDefault="00773C53" w:rsidP="001C43FB">
      <w:pPr>
        <w:spacing w:line="276" w:lineRule="auto"/>
        <w:jc w:val="both"/>
        <w:rPr>
          <w:rFonts w:ascii="Book Antiqua" w:eastAsia="Times New Roman" w:hAnsi="Book Antiqua" w:cs="Times New Roman"/>
          <w:b/>
          <w:sz w:val="22"/>
          <w:szCs w:val="22"/>
        </w:rPr>
      </w:pPr>
      <w:r w:rsidRPr="001F5456">
        <w:rPr>
          <w:rFonts w:ascii="Book Antiqua" w:eastAsia="Times New Roman" w:hAnsi="Book Antiqua" w:cs="Times New Roman"/>
          <w:b/>
          <w:sz w:val="22"/>
          <w:szCs w:val="22"/>
        </w:rPr>
        <w:t xml:space="preserve">Graphique </w:t>
      </w:r>
      <w:r w:rsidR="00F47DD3">
        <w:rPr>
          <w:rFonts w:ascii="Book Antiqua" w:eastAsia="Times New Roman" w:hAnsi="Book Antiqua" w:cs="Times New Roman"/>
          <w:b/>
          <w:sz w:val="22"/>
          <w:szCs w:val="22"/>
        </w:rPr>
        <w:t xml:space="preserve">2 </w:t>
      </w:r>
      <w:r w:rsidRPr="001F5456">
        <w:rPr>
          <w:rFonts w:ascii="Book Antiqua" w:eastAsia="Times New Roman" w:hAnsi="Book Antiqua" w:cs="Times New Roman"/>
          <w:b/>
          <w:sz w:val="22"/>
          <w:szCs w:val="22"/>
        </w:rPr>
        <w:t>: Structure du coût direct selon les types de dépense (En %)</w:t>
      </w:r>
    </w:p>
    <w:p w:rsidR="00621325" w:rsidRPr="003E634D" w:rsidRDefault="0003691E" w:rsidP="001C43FB">
      <w:pPr>
        <w:spacing w:line="276" w:lineRule="auto"/>
        <w:jc w:val="both"/>
        <w:rPr>
          <w:rFonts w:ascii="Book Antiqua" w:eastAsia="Times New Roman" w:hAnsi="Book Antiqua" w:cs="Times New Roman"/>
        </w:rPr>
      </w:pPr>
      <w:r>
        <w:rPr>
          <w:noProof/>
        </w:rPr>
        <w:drawing>
          <wp:inline distT="0" distB="0" distL="0" distR="0">
            <wp:extent cx="5486400" cy="26384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1325" w:rsidRPr="001F5456" w:rsidRDefault="00773C53" w:rsidP="00BF0CCF">
      <w:pPr>
        <w:spacing w:line="276" w:lineRule="auto"/>
        <w:jc w:val="both"/>
        <w:rPr>
          <w:rFonts w:ascii="Book Antiqua" w:eastAsia="Times New Roman" w:hAnsi="Book Antiqua" w:cs="Times New Roman"/>
          <w:b/>
          <w:sz w:val="20"/>
          <w:szCs w:val="20"/>
        </w:rPr>
      </w:pPr>
      <w:r w:rsidRPr="001F5456">
        <w:rPr>
          <w:rFonts w:ascii="Book Antiqua" w:eastAsia="Times New Roman" w:hAnsi="Book Antiqua" w:cs="Times New Roman"/>
          <w:b/>
          <w:sz w:val="20"/>
          <w:szCs w:val="20"/>
        </w:rPr>
        <w:t>Source</w:t>
      </w:r>
      <w:r w:rsidR="00845BD5">
        <w:rPr>
          <w:rFonts w:ascii="Book Antiqua" w:eastAsia="Times New Roman" w:hAnsi="Book Antiqua" w:cs="Times New Roman"/>
          <w:b/>
          <w:sz w:val="20"/>
          <w:szCs w:val="20"/>
        </w:rPr>
        <w:t xml:space="preserve"> </w:t>
      </w:r>
      <w:r w:rsidRPr="001F5456">
        <w:rPr>
          <w:rFonts w:ascii="Book Antiqua" w:eastAsia="Times New Roman" w:hAnsi="Book Antiqua" w:cs="Times New Roman"/>
          <w:b/>
          <w:sz w:val="20"/>
          <w:szCs w:val="20"/>
        </w:rPr>
        <w:t xml:space="preserve">: HCP, </w:t>
      </w:r>
      <w:r w:rsidR="00C0458A" w:rsidRPr="001F5456">
        <w:rPr>
          <w:rFonts w:ascii="Book Antiqua" w:eastAsia="Times New Roman" w:hAnsi="Book Antiqua" w:cs="Times New Roman"/>
          <w:b/>
          <w:sz w:val="20"/>
          <w:szCs w:val="20"/>
        </w:rPr>
        <w:t>Enquête nationale sur la violence à l’encontre des femmes et des hommes 2019</w:t>
      </w:r>
    </w:p>
    <w:p w:rsidR="001C43FB" w:rsidRDefault="001C43FB" w:rsidP="001F3C06">
      <w:pPr>
        <w:spacing w:after="120" w:line="276" w:lineRule="auto"/>
        <w:jc w:val="both"/>
        <w:rPr>
          <w:rFonts w:asciiTheme="majorBidi" w:eastAsia="Times New Roman" w:hAnsiTheme="majorBidi" w:cstheme="majorBidi"/>
          <w:b/>
          <w:bCs/>
          <w:i/>
          <w:color w:val="1F3864"/>
          <w:lang w:eastAsia="en-US"/>
        </w:rPr>
      </w:pPr>
    </w:p>
    <w:p w:rsidR="001F3C06" w:rsidRPr="00F47DD3" w:rsidRDefault="00773C53" w:rsidP="001F3C06">
      <w:pPr>
        <w:spacing w:after="120" w:line="276" w:lineRule="auto"/>
        <w:jc w:val="both"/>
        <w:rPr>
          <w:rFonts w:asciiTheme="majorBidi" w:eastAsia="Times New Roman" w:hAnsiTheme="majorBidi" w:cstheme="majorBidi"/>
          <w:b/>
          <w:bCs/>
          <w:i/>
          <w:color w:val="1F3864"/>
          <w:lang w:eastAsia="en-US"/>
        </w:rPr>
      </w:pPr>
      <w:r w:rsidRPr="00F47DD3">
        <w:rPr>
          <w:rFonts w:asciiTheme="majorBidi" w:eastAsia="Times New Roman" w:hAnsiTheme="majorBidi" w:cstheme="majorBidi"/>
          <w:b/>
          <w:bCs/>
          <w:i/>
          <w:color w:val="1F3864"/>
          <w:lang w:eastAsia="en-US"/>
        </w:rPr>
        <w:lastRenderedPageBreak/>
        <w:t>Plus de 44% du coût indirect est attribué à la perte des jours de travail rémunéré</w:t>
      </w:r>
    </w:p>
    <w:p w:rsidR="001C43FB" w:rsidRPr="001C43FB" w:rsidRDefault="001C43FB" w:rsidP="001C43FB">
      <w:pPr>
        <w:pStyle w:val="NormalWeb"/>
        <w:spacing w:before="0" w:beforeAutospacing="0" w:after="120" w:afterAutospacing="0"/>
        <w:jc w:val="both"/>
        <w:rPr>
          <w:lang w:val="fr-MA"/>
        </w:rPr>
      </w:pPr>
      <w:r w:rsidRPr="001C43FB">
        <w:rPr>
          <w:rFonts w:ascii="Book Antiqua" w:hAnsi="Book Antiqua"/>
          <w:color w:val="000000"/>
          <w:lang w:val="fr-MA"/>
        </w:rPr>
        <w:t xml:space="preserve">Le coût indirect supporté par 8% des victimes de violence physique et/ou sexuelle, au cours des 12 </w:t>
      </w:r>
      <w:r w:rsidRPr="001C43FB">
        <w:rPr>
          <w:color w:val="000000"/>
          <w:lang w:val="fr-MA"/>
        </w:rPr>
        <w:t>mois précédant l’enquête</w:t>
      </w:r>
      <w:r w:rsidRPr="001C43FB">
        <w:rPr>
          <w:rFonts w:ascii="Book Antiqua" w:hAnsi="Book Antiqua"/>
          <w:color w:val="000000"/>
          <w:lang w:val="fr-MA"/>
        </w:rPr>
        <w:t xml:space="preserve">, est estimé à 517 Millions de Dh (326 millions de Dh en milieu urbain et 190,8 millions de Dh en milieu rural). Près de 84% des coûts indirects sont </w:t>
      </w:r>
      <w:r w:rsidRPr="001C43FB">
        <w:rPr>
          <w:color w:val="000000"/>
          <w:lang w:val="fr-MA"/>
        </w:rPr>
        <w:t xml:space="preserve">attribués </w:t>
      </w:r>
      <w:r w:rsidRPr="001C43FB">
        <w:rPr>
          <w:rFonts w:ascii="Book Antiqua" w:hAnsi="Book Antiqua"/>
          <w:color w:val="000000"/>
          <w:lang w:val="fr-MA"/>
        </w:rPr>
        <w:t>aux violences physiques (434 millions de Dh).</w:t>
      </w:r>
    </w:p>
    <w:p w:rsidR="001C43FB" w:rsidRPr="001C43FB" w:rsidRDefault="001C43FB" w:rsidP="001C43FB">
      <w:pPr>
        <w:pStyle w:val="NormalWeb"/>
        <w:spacing w:before="240" w:beforeAutospacing="0" w:after="240" w:afterAutospacing="0"/>
        <w:jc w:val="both"/>
        <w:rPr>
          <w:lang w:val="fr-MA"/>
        </w:rPr>
      </w:pPr>
      <w:r w:rsidRPr="001C43FB">
        <w:rPr>
          <w:rFonts w:ascii="Book Antiqua" w:hAnsi="Book Antiqua"/>
          <w:color w:val="000000"/>
          <w:lang w:val="fr-MA"/>
        </w:rPr>
        <w:t xml:space="preserve">Le contexte conjugal </w:t>
      </w:r>
      <w:r w:rsidRPr="001C43FB">
        <w:rPr>
          <w:color w:val="000000"/>
          <w:lang w:val="fr-MA"/>
        </w:rPr>
        <w:t xml:space="preserve">représente </w:t>
      </w:r>
      <w:r w:rsidRPr="001C43FB">
        <w:rPr>
          <w:rFonts w:ascii="Book Antiqua" w:hAnsi="Book Antiqua"/>
          <w:color w:val="000000"/>
          <w:lang w:val="fr-MA"/>
        </w:rPr>
        <w:t xml:space="preserve">68% du coût indirect global </w:t>
      </w:r>
      <w:r w:rsidRPr="001C43FB">
        <w:rPr>
          <w:color w:val="000000"/>
          <w:lang w:val="fr-MA"/>
        </w:rPr>
        <w:t>suivi par les lieux publics (18 %) et le contexte familial (11%)</w:t>
      </w:r>
      <w:r w:rsidRPr="001C43FB">
        <w:rPr>
          <w:rFonts w:ascii="Book Antiqua" w:hAnsi="Book Antiqua"/>
          <w:color w:val="000000"/>
          <w:lang w:val="fr-MA"/>
        </w:rPr>
        <w:t>. </w:t>
      </w:r>
    </w:p>
    <w:p w:rsidR="001C43FB" w:rsidRPr="00845BD5" w:rsidRDefault="001C43FB" w:rsidP="001C43FB">
      <w:pPr>
        <w:pStyle w:val="NormalWeb"/>
        <w:spacing w:before="240" w:beforeAutospacing="0" w:after="240" w:afterAutospacing="0"/>
        <w:jc w:val="both"/>
        <w:rPr>
          <w:rFonts w:ascii="Book Antiqua" w:hAnsi="Book Antiqua"/>
          <w:b/>
          <w:sz w:val="22"/>
          <w:szCs w:val="22"/>
          <w:lang w:val="fr-MA"/>
        </w:rPr>
      </w:pPr>
      <w:r w:rsidRPr="001C43FB">
        <w:rPr>
          <w:rFonts w:ascii="Book Antiqua" w:hAnsi="Book Antiqua"/>
          <w:color w:val="000000"/>
          <w:lang w:val="fr-MA"/>
        </w:rPr>
        <w:t>Plus de 55% (284 millions de Dh) du coût indirect global revient au coût estimé des jours de travaux domestiques perdus, soit 281,2 millions de Dh pour les femmes victimes et 3,1 millions de Dh pour leurs conjoints. Près de 44% de ce coût (227 millions de Dh) est lié à la perte de rémunération suite à l’absence au travail rémunéré des femmes victimes (172 millions de Dh) et de leurs époux (55 millions de Dh). Le coût des jours de scolarisation manqués des victimes et de leurs enfants suite aux incidents de la violence à l’encontre des femmes ne représente que 1% du coût indirect total (5,7 millions de Dh).</w:t>
      </w:r>
    </w:p>
    <w:p w:rsidR="001C43FB" w:rsidRDefault="001C43FB" w:rsidP="001C43FB">
      <w:pPr>
        <w:spacing w:line="276" w:lineRule="auto"/>
        <w:jc w:val="both"/>
        <w:rPr>
          <w:rFonts w:ascii="Book Antiqua" w:eastAsia="Times New Roman" w:hAnsi="Book Antiqua" w:cs="Times New Roman"/>
          <w:b/>
          <w:sz w:val="22"/>
          <w:szCs w:val="22"/>
        </w:rPr>
      </w:pPr>
    </w:p>
    <w:p w:rsidR="001C43FB" w:rsidRDefault="00FF6F1E" w:rsidP="001C43FB">
      <w:pPr>
        <w:spacing w:line="276" w:lineRule="auto"/>
        <w:jc w:val="both"/>
        <w:rPr>
          <w:rFonts w:ascii="Book Antiqua" w:eastAsia="Times New Roman" w:hAnsi="Book Antiqua" w:cs="Times New Roman"/>
          <w:b/>
          <w:sz w:val="22"/>
          <w:szCs w:val="22"/>
        </w:rPr>
      </w:pPr>
      <w:r w:rsidRPr="001F5456">
        <w:rPr>
          <w:rFonts w:ascii="Book Antiqua" w:eastAsia="Times New Roman" w:hAnsi="Book Antiqua" w:cs="Times New Roman"/>
          <w:b/>
          <w:sz w:val="22"/>
          <w:szCs w:val="22"/>
        </w:rPr>
        <w:t xml:space="preserve">Graphique </w:t>
      </w:r>
      <w:r w:rsidR="00F47DD3">
        <w:rPr>
          <w:rFonts w:ascii="Book Antiqua" w:eastAsia="Times New Roman" w:hAnsi="Book Antiqua" w:cs="Times New Roman"/>
          <w:b/>
          <w:sz w:val="22"/>
          <w:szCs w:val="22"/>
        </w:rPr>
        <w:t>3</w:t>
      </w:r>
      <w:r w:rsidRPr="001F5456">
        <w:rPr>
          <w:rFonts w:ascii="Book Antiqua" w:eastAsia="Times New Roman" w:hAnsi="Book Antiqua" w:cs="Times New Roman"/>
          <w:b/>
          <w:sz w:val="22"/>
          <w:szCs w:val="22"/>
        </w:rPr>
        <w:t xml:space="preserve"> : Structure du coût indirect (En %)</w:t>
      </w:r>
    </w:p>
    <w:p w:rsidR="00FF6F1E" w:rsidRPr="003E634D" w:rsidRDefault="001C43FB" w:rsidP="001C43FB">
      <w:pPr>
        <w:spacing w:line="276" w:lineRule="auto"/>
        <w:jc w:val="both"/>
        <w:rPr>
          <w:rFonts w:ascii="Book Antiqua" w:eastAsia="Times New Roman" w:hAnsi="Book Antiqua" w:cs="Times New Roman"/>
          <w:b/>
        </w:rPr>
      </w:pPr>
      <w:r>
        <w:rPr>
          <w:noProof/>
        </w:rPr>
        <w:drawing>
          <wp:inline distT="0" distB="0" distL="0" distR="0">
            <wp:extent cx="5311140" cy="2976664"/>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1325" w:rsidRPr="001F5456" w:rsidRDefault="00773C53" w:rsidP="00BF0CCF">
      <w:pPr>
        <w:spacing w:line="276" w:lineRule="auto"/>
        <w:jc w:val="both"/>
        <w:rPr>
          <w:rFonts w:ascii="Book Antiqua" w:eastAsia="Times New Roman" w:hAnsi="Book Antiqua" w:cs="Times New Roman"/>
          <w:b/>
          <w:sz w:val="20"/>
          <w:szCs w:val="20"/>
        </w:rPr>
      </w:pPr>
      <w:r w:rsidRPr="001F5456">
        <w:rPr>
          <w:rFonts w:ascii="Book Antiqua" w:eastAsia="Times New Roman" w:hAnsi="Book Antiqua" w:cs="Times New Roman"/>
          <w:b/>
          <w:sz w:val="20"/>
          <w:szCs w:val="20"/>
        </w:rPr>
        <w:t>Source</w:t>
      </w:r>
      <w:r w:rsidR="00845BD5">
        <w:rPr>
          <w:rFonts w:ascii="Book Antiqua" w:eastAsia="Times New Roman" w:hAnsi="Book Antiqua" w:cs="Times New Roman"/>
          <w:b/>
          <w:sz w:val="20"/>
          <w:szCs w:val="20"/>
        </w:rPr>
        <w:t xml:space="preserve"> </w:t>
      </w:r>
      <w:r w:rsidRPr="001F5456">
        <w:rPr>
          <w:rFonts w:ascii="Book Antiqua" w:eastAsia="Times New Roman" w:hAnsi="Book Antiqua" w:cs="Times New Roman"/>
          <w:b/>
          <w:sz w:val="20"/>
          <w:szCs w:val="20"/>
        </w:rPr>
        <w:t xml:space="preserve">: HCP, </w:t>
      </w:r>
      <w:r w:rsidR="00C0458A" w:rsidRPr="001F5456">
        <w:rPr>
          <w:rFonts w:ascii="Book Antiqua" w:eastAsia="Times New Roman" w:hAnsi="Book Antiqua" w:cs="Times New Roman"/>
          <w:b/>
          <w:sz w:val="20"/>
          <w:szCs w:val="20"/>
        </w:rPr>
        <w:t>Enquête nationale sur la violence à l’encontre des femmes et des hommes 2019</w:t>
      </w:r>
    </w:p>
    <w:p w:rsidR="003E3226" w:rsidRPr="003E634D" w:rsidRDefault="003E3226" w:rsidP="00BF0CCF">
      <w:pPr>
        <w:spacing w:line="276" w:lineRule="auto"/>
        <w:jc w:val="both"/>
        <w:rPr>
          <w:rFonts w:ascii="Book Antiqua" w:eastAsia="Times New Roman" w:hAnsi="Book Antiqua" w:cs="Times New Roman"/>
          <w:b/>
        </w:rPr>
      </w:pPr>
    </w:p>
    <w:p w:rsidR="001F5456" w:rsidRDefault="001F5456" w:rsidP="00D83C7D">
      <w:pPr>
        <w:spacing w:before="120" w:line="276" w:lineRule="auto"/>
        <w:jc w:val="both"/>
        <w:rPr>
          <w:rFonts w:ascii="Book Antiqua" w:eastAsia="Times New Roman" w:hAnsi="Book Antiqua" w:cs="Times New Roman"/>
          <w:b/>
          <w:i/>
          <w:color w:val="2F5496"/>
        </w:rPr>
      </w:pPr>
    </w:p>
    <w:p w:rsidR="00F47DD3" w:rsidRDefault="00F47DD3" w:rsidP="00D83C7D">
      <w:pPr>
        <w:spacing w:before="120" w:line="276" w:lineRule="auto"/>
        <w:jc w:val="both"/>
        <w:rPr>
          <w:rFonts w:ascii="Book Antiqua" w:eastAsia="Times New Roman" w:hAnsi="Book Antiqua" w:cs="Times New Roman"/>
          <w:b/>
          <w:i/>
          <w:color w:val="2F5496"/>
        </w:rPr>
      </w:pPr>
    </w:p>
    <w:p w:rsidR="001F5456" w:rsidRDefault="001F5456" w:rsidP="00D83C7D">
      <w:pPr>
        <w:spacing w:before="120" w:line="276" w:lineRule="auto"/>
        <w:jc w:val="both"/>
        <w:rPr>
          <w:rFonts w:ascii="Book Antiqua" w:eastAsia="Times New Roman" w:hAnsi="Book Antiqua" w:cs="Times New Roman"/>
          <w:b/>
          <w:i/>
          <w:color w:val="2F5496"/>
        </w:rPr>
      </w:pPr>
    </w:p>
    <w:p w:rsidR="00621325" w:rsidRPr="00F47DD3" w:rsidRDefault="003968AC" w:rsidP="000A0DD4">
      <w:pPr>
        <w:rPr>
          <w:rFonts w:asciiTheme="majorBidi" w:eastAsia="Times New Roman" w:hAnsiTheme="majorBidi" w:cstheme="majorBidi"/>
          <w:b/>
          <w:bCs/>
          <w:i/>
          <w:color w:val="1F3864"/>
          <w:lang w:eastAsia="en-US"/>
        </w:rPr>
      </w:pPr>
      <w:r>
        <w:rPr>
          <w:rFonts w:asciiTheme="majorBidi" w:eastAsia="Times New Roman" w:hAnsiTheme="majorBidi" w:cstheme="majorBidi"/>
          <w:b/>
          <w:bCs/>
          <w:i/>
          <w:color w:val="1F3864"/>
          <w:lang w:eastAsia="en-US"/>
        </w:rPr>
        <w:br w:type="page"/>
      </w:r>
      <w:r w:rsidR="00D83C7D" w:rsidRPr="00F47DD3">
        <w:rPr>
          <w:rFonts w:asciiTheme="majorBidi" w:eastAsia="Times New Roman" w:hAnsiTheme="majorBidi" w:cstheme="majorBidi"/>
          <w:b/>
          <w:bCs/>
          <w:i/>
          <w:color w:val="1F3864"/>
          <w:lang w:eastAsia="en-US"/>
        </w:rPr>
        <w:lastRenderedPageBreak/>
        <w:t xml:space="preserve">La violence </w:t>
      </w:r>
      <w:r w:rsidR="005E5B5E" w:rsidRPr="00F47DD3">
        <w:rPr>
          <w:rFonts w:asciiTheme="majorBidi" w:eastAsia="Times New Roman" w:hAnsiTheme="majorBidi" w:cstheme="majorBidi"/>
          <w:b/>
          <w:bCs/>
          <w:i/>
          <w:color w:val="1F3864"/>
          <w:lang w:eastAsia="en-US"/>
        </w:rPr>
        <w:t>dan</w:t>
      </w:r>
      <w:r w:rsidR="000C5705" w:rsidRPr="00F47DD3">
        <w:rPr>
          <w:rFonts w:asciiTheme="majorBidi" w:eastAsia="Times New Roman" w:hAnsiTheme="majorBidi" w:cstheme="majorBidi"/>
          <w:b/>
          <w:bCs/>
          <w:i/>
          <w:color w:val="1F3864"/>
          <w:lang w:eastAsia="en-US"/>
        </w:rPr>
        <w:t>s</w:t>
      </w:r>
      <w:r w:rsidR="005E5B5E" w:rsidRPr="00F47DD3">
        <w:rPr>
          <w:rFonts w:asciiTheme="majorBidi" w:eastAsia="Times New Roman" w:hAnsiTheme="majorBidi" w:cstheme="majorBidi"/>
          <w:b/>
          <w:bCs/>
          <w:i/>
          <w:color w:val="1F3864"/>
          <w:lang w:eastAsia="en-US"/>
        </w:rPr>
        <w:t xml:space="preserve"> le</w:t>
      </w:r>
      <w:r w:rsidR="00D83C7D" w:rsidRPr="00F47DD3">
        <w:rPr>
          <w:rFonts w:asciiTheme="majorBidi" w:eastAsia="Times New Roman" w:hAnsiTheme="majorBidi" w:cstheme="majorBidi"/>
          <w:b/>
          <w:bCs/>
          <w:i/>
          <w:color w:val="1F3864"/>
          <w:lang w:eastAsia="en-US"/>
        </w:rPr>
        <w:t xml:space="preserve"> contexte conjugal aurait coûté aux ménages 1,98 Milliards de Dh</w:t>
      </w:r>
    </w:p>
    <w:p w:rsidR="00EE553F" w:rsidRPr="00EE553F" w:rsidRDefault="00EE553F" w:rsidP="00EE553F">
      <w:pPr>
        <w:spacing w:before="120"/>
        <w:jc w:val="both"/>
        <w:rPr>
          <w:rFonts w:ascii="Times New Roman" w:eastAsia="Times New Roman" w:hAnsi="Times New Roman" w:cs="Times New Roman"/>
          <w:lang w:val="fr-MA" w:eastAsia="en-US"/>
        </w:rPr>
      </w:pPr>
      <w:r w:rsidRPr="00EE553F">
        <w:rPr>
          <w:rFonts w:ascii="Book Antiqua" w:eastAsia="Times New Roman" w:hAnsi="Book Antiqua" w:cs="Times New Roman"/>
          <w:color w:val="000000"/>
          <w:lang w:val="fr-MA" w:eastAsia="en-US"/>
        </w:rPr>
        <w:t xml:space="preserve">La violence à l’encontre des femmes au sein du couple a coûté aux 24% des victimes ayant dû supporter des coûts directs et/ou indirects, 1,98 Milliards de Dh au cours des 12 </w:t>
      </w:r>
      <w:r w:rsidRPr="00EE553F">
        <w:rPr>
          <w:rFonts w:ascii="Times New Roman" w:eastAsia="Times New Roman" w:hAnsi="Times New Roman" w:cs="Times New Roman"/>
          <w:color w:val="000000"/>
          <w:lang w:val="fr-MA" w:eastAsia="en-US"/>
        </w:rPr>
        <w:t>mois précédant l’enquête</w:t>
      </w:r>
      <w:r w:rsidRPr="00EE553F">
        <w:rPr>
          <w:rFonts w:ascii="Book Antiqua" w:eastAsia="Times New Roman" w:hAnsi="Book Antiqua" w:cs="Times New Roman"/>
          <w:color w:val="000000"/>
          <w:lang w:val="fr-MA" w:eastAsia="en-US"/>
        </w:rPr>
        <w:t xml:space="preserve"> (1,3 milliards de Dh en milieu urbain et 681 millions de Dh en milieu rural). Ce coût est de 1,67 milliards de DH pour la violence physique et de 308 millions de Dh pour la violence sexuelle. </w:t>
      </w:r>
    </w:p>
    <w:p w:rsidR="00EE553F" w:rsidRPr="00EE553F" w:rsidRDefault="00EE553F" w:rsidP="00EE553F">
      <w:pPr>
        <w:spacing w:before="240"/>
        <w:jc w:val="both"/>
        <w:rPr>
          <w:rFonts w:ascii="Times New Roman" w:eastAsia="Times New Roman" w:hAnsi="Times New Roman" w:cs="Times New Roman"/>
          <w:lang w:val="fr-MA" w:eastAsia="en-US"/>
        </w:rPr>
      </w:pPr>
      <w:r w:rsidRPr="00EE553F">
        <w:rPr>
          <w:rFonts w:ascii="Book Antiqua" w:eastAsia="Times New Roman" w:hAnsi="Book Antiqua" w:cs="Times New Roman"/>
          <w:color w:val="000000"/>
          <w:lang w:val="fr-MA" w:eastAsia="en-US"/>
        </w:rPr>
        <w:t>Avec 1,63 Milliards de Dh, le coût direct représente 82% du coût total de la violence conjugale. Il atteint 1,36 Milliards de Dh pour la violence physique, soit près de 84% du coût direct, et 267 millions de Dh pour la violence sexuelle.</w:t>
      </w:r>
    </w:p>
    <w:p w:rsidR="00EE553F" w:rsidRPr="00EE553F" w:rsidRDefault="00EE553F" w:rsidP="00EE553F">
      <w:pPr>
        <w:spacing w:before="240"/>
        <w:jc w:val="both"/>
        <w:rPr>
          <w:rFonts w:ascii="Times New Roman" w:eastAsia="Times New Roman" w:hAnsi="Times New Roman" w:cs="Times New Roman"/>
          <w:lang w:val="fr-MA" w:eastAsia="en-US"/>
        </w:rPr>
      </w:pPr>
      <w:r w:rsidRPr="00EE553F">
        <w:rPr>
          <w:rFonts w:ascii="Book Antiqua" w:eastAsia="Times New Roman" w:hAnsi="Book Antiqua" w:cs="Times New Roman"/>
          <w:color w:val="000000"/>
          <w:lang w:val="fr-MA" w:eastAsia="en-US"/>
        </w:rPr>
        <w:t xml:space="preserve">Parmi les victimes de violence conjugale, 21% ont dû effectuer des dépenses directes suite aux incidents de violences les plus graves vécus au cours des 12 </w:t>
      </w:r>
      <w:r w:rsidRPr="00EE553F">
        <w:rPr>
          <w:rFonts w:ascii="Times New Roman" w:eastAsia="Times New Roman" w:hAnsi="Times New Roman" w:cs="Times New Roman"/>
          <w:color w:val="000000"/>
          <w:lang w:val="fr-MA" w:eastAsia="en-US"/>
        </w:rPr>
        <w:t>mois précédant l’enquête</w:t>
      </w:r>
      <w:r w:rsidRPr="00EE553F">
        <w:rPr>
          <w:rFonts w:ascii="Book Antiqua" w:eastAsia="Times New Roman" w:hAnsi="Book Antiqua" w:cs="Times New Roman"/>
          <w:color w:val="000000"/>
          <w:lang w:val="fr-MA" w:eastAsia="en-US"/>
        </w:rPr>
        <w:t xml:space="preserve">. </w:t>
      </w:r>
      <w:r w:rsidRPr="00EE553F">
        <w:rPr>
          <w:rFonts w:ascii="Times New Roman" w:eastAsia="Times New Roman" w:hAnsi="Times New Roman" w:cs="Times New Roman"/>
          <w:color w:val="000000"/>
          <w:lang w:val="fr-MA" w:eastAsia="en-US"/>
        </w:rPr>
        <w:t>Les dépenses effectuées en contrepartie des soins de santé reçus représentent 45,3% du coût direct de la violence conjugale (737 millions de Dh). Elles sont suivies des dépenses liées au recours aux services juridiques et judiciaires avec 25% (406,8 millions de Dh), à l'hébergement suite à l’abandon du domicile avec 18% (293,1 millions de Dh), au remplacement et à la réparation des biens endommagés avec 11,3% (185 millions de Dh) et, enfin, au recours aux services de la société civile avec 0,5% (7,7 millions de Dh).</w:t>
      </w:r>
    </w:p>
    <w:p w:rsidR="00EE553F" w:rsidRPr="00EE553F" w:rsidRDefault="00EE553F" w:rsidP="00EE553F">
      <w:pPr>
        <w:spacing w:before="240" w:after="240"/>
        <w:jc w:val="both"/>
        <w:rPr>
          <w:rFonts w:ascii="Times New Roman" w:eastAsia="Times New Roman" w:hAnsi="Times New Roman" w:cs="Times New Roman"/>
          <w:lang w:val="fr-MA" w:eastAsia="en-US"/>
        </w:rPr>
      </w:pPr>
      <w:r w:rsidRPr="00EE553F">
        <w:rPr>
          <w:rFonts w:ascii="Book Antiqua" w:eastAsia="Times New Roman" w:hAnsi="Book Antiqua" w:cs="Times New Roman"/>
          <w:color w:val="000000"/>
          <w:lang w:val="fr-MA" w:eastAsia="en-US"/>
        </w:rPr>
        <w:t>Le coût indirect de la violence conjugale est estimé à 351 millions de Dh pour les 10% des victimes qui ont dû arrêter la prise en charge des travaux domestiques, du travail rémunéré et/ou de la scolarisation. Il est imputable aux violences physiques avec 310 millions de Dh (88,5%) et aux violences sexuelles avec 40,5 millions de Dh (11,5%). Ce coût indirect revient, pour plus de 63%, au coût des jours perdus de travail domestique des victimes et de leurs époux (222 millions de Dh), pour 36% à la perte des jours de leur travail rémunéré (126 millions de Dh) et pour moins de 1% à la perte des jours de scolarisation des enfants (2,7 millions de Dh).</w:t>
      </w:r>
    </w:p>
    <w:p w:rsidR="000A0DD4" w:rsidRDefault="000A0DD4" w:rsidP="00480FAB">
      <w:pPr>
        <w:spacing w:before="120" w:after="120" w:line="276" w:lineRule="auto"/>
        <w:jc w:val="both"/>
        <w:rPr>
          <w:rFonts w:ascii="Book Antiqua" w:eastAsia="Times New Roman" w:hAnsi="Book Antiqua" w:cs="Times New Roman"/>
          <w:b/>
          <w:sz w:val="22"/>
          <w:szCs w:val="22"/>
        </w:rPr>
      </w:pPr>
    </w:p>
    <w:p w:rsidR="000A0DD4" w:rsidRDefault="000A0DD4" w:rsidP="00480FAB">
      <w:pPr>
        <w:spacing w:before="120" w:after="120" w:line="276" w:lineRule="auto"/>
        <w:jc w:val="both"/>
        <w:rPr>
          <w:rFonts w:ascii="Book Antiqua" w:eastAsia="Times New Roman" w:hAnsi="Book Antiqua" w:cs="Times New Roman"/>
          <w:b/>
          <w:sz w:val="22"/>
          <w:szCs w:val="22"/>
        </w:rPr>
      </w:pPr>
    </w:p>
    <w:p w:rsidR="000A0DD4" w:rsidRDefault="000A0DD4" w:rsidP="00480FAB">
      <w:pPr>
        <w:spacing w:before="120" w:after="120" w:line="276" w:lineRule="auto"/>
        <w:jc w:val="both"/>
        <w:rPr>
          <w:rFonts w:ascii="Book Antiqua" w:eastAsia="Times New Roman" w:hAnsi="Book Antiqua" w:cs="Times New Roman"/>
          <w:b/>
          <w:sz w:val="22"/>
          <w:szCs w:val="22"/>
        </w:rPr>
      </w:pPr>
    </w:p>
    <w:p w:rsidR="000A0DD4" w:rsidRDefault="000A0DD4" w:rsidP="00480FAB">
      <w:pPr>
        <w:spacing w:before="120" w:after="120" w:line="276" w:lineRule="auto"/>
        <w:jc w:val="both"/>
        <w:rPr>
          <w:rFonts w:ascii="Book Antiqua" w:eastAsia="Times New Roman" w:hAnsi="Book Antiqua" w:cs="Times New Roman"/>
          <w:b/>
          <w:sz w:val="22"/>
          <w:szCs w:val="22"/>
        </w:rPr>
      </w:pPr>
    </w:p>
    <w:p w:rsidR="000A0DD4" w:rsidRDefault="000A0DD4" w:rsidP="00480FAB">
      <w:pPr>
        <w:spacing w:before="120" w:after="120" w:line="276" w:lineRule="auto"/>
        <w:jc w:val="both"/>
        <w:rPr>
          <w:rFonts w:ascii="Book Antiqua" w:eastAsia="Times New Roman" w:hAnsi="Book Antiqua" w:cs="Times New Roman"/>
          <w:b/>
          <w:sz w:val="22"/>
          <w:szCs w:val="22"/>
        </w:rPr>
      </w:pPr>
    </w:p>
    <w:p w:rsidR="000A0DD4" w:rsidRDefault="000A0DD4" w:rsidP="00480FAB">
      <w:pPr>
        <w:spacing w:before="120" w:after="120" w:line="276" w:lineRule="auto"/>
        <w:jc w:val="both"/>
        <w:rPr>
          <w:rFonts w:ascii="Book Antiqua" w:eastAsia="Times New Roman" w:hAnsi="Book Antiqua" w:cs="Times New Roman"/>
          <w:b/>
          <w:sz w:val="22"/>
          <w:szCs w:val="22"/>
        </w:rPr>
      </w:pPr>
    </w:p>
    <w:p w:rsidR="000A0DD4" w:rsidRDefault="000A0DD4" w:rsidP="00480FAB">
      <w:pPr>
        <w:spacing w:before="120" w:after="120" w:line="276" w:lineRule="auto"/>
        <w:jc w:val="both"/>
        <w:rPr>
          <w:rFonts w:ascii="Book Antiqua" w:eastAsia="Times New Roman" w:hAnsi="Book Antiqua" w:cs="Times New Roman"/>
          <w:b/>
          <w:sz w:val="22"/>
          <w:szCs w:val="22"/>
        </w:rPr>
      </w:pPr>
    </w:p>
    <w:p w:rsidR="000A0DD4" w:rsidRDefault="000A0DD4" w:rsidP="00480FAB">
      <w:pPr>
        <w:spacing w:before="120" w:after="120" w:line="276" w:lineRule="auto"/>
        <w:jc w:val="both"/>
        <w:rPr>
          <w:rFonts w:ascii="Book Antiqua" w:eastAsia="Times New Roman" w:hAnsi="Book Antiqua" w:cs="Times New Roman"/>
          <w:b/>
          <w:sz w:val="22"/>
          <w:szCs w:val="22"/>
        </w:rPr>
      </w:pPr>
    </w:p>
    <w:p w:rsidR="000A0DD4" w:rsidRDefault="000A0DD4" w:rsidP="00480FAB">
      <w:pPr>
        <w:spacing w:before="120" w:after="120" w:line="276" w:lineRule="auto"/>
        <w:jc w:val="both"/>
        <w:rPr>
          <w:rFonts w:ascii="Book Antiqua" w:eastAsia="Times New Roman" w:hAnsi="Book Antiqua" w:cs="Times New Roman"/>
          <w:b/>
          <w:sz w:val="22"/>
          <w:szCs w:val="22"/>
        </w:rPr>
      </w:pPr>
    </w:p>
    <w:p w:rsidR="00621325" w:rsidRDefault="00773C53" w:rsidP="00480FAB">
      <w:pPr>
        <w:spacing w:before="120" w:after="120" w:line="276" w:lineRule="auto"/>
        <w:jc w:val="both"/>
        <w:rPr>
          <w:rFonts w:ascii="Book Antiqua" w:eastAsia="Times New Roman" w:hAnsi="Book Antiqua" w:cs="Times New Roman"/>
          <w:b/>
          <w:sz w:val="22"/>
          <w:szCs w:val="22"/>
        </w:rPr>
      </w:pPr>
      <w:r w:rsidRPr="007743B2">
        <w:rPr>
          <w:rFonts w:ascii="Book Antiqua" w:eastAsia="Times New Roman" w:hAnsi="Book Antiqua" w:cs="Times New Roman"/>
          <w:b/>
          <w:sz w:val="22"/>
          <w:szCs w:val="22"/>
        </w:rPr>
        <w:lastRenderedPageBreak/>
        <w:t xml:space="preserve">Graphique </w:t>
      </w:r>
      <w:r w:rsidR="00F47DD3">
        <w:rPr>
          <w:rFonts w:ascii="Book Antiqua" w:eastAsia="Times New Roman" w:hAnsi="Book Antiqua" w:cs="Times New Roman"/>
          <w:b/>
          <w:sz w:val="22"/>
          <w:szCs w:val="22"/>
        </w:rPr>
        <w:t>4</w:t>
      </w:r>
      <w:r w:rsidRPr="007743B2">
        <w:rPr>
          <w:rFonts w:ascii="Book Antiqua" w:eastAsia="Times New Roman" w:hAnsi="Book Antiqua" w:cs="Times New Roman"/>
          <w:b/>
          <w:sz w:val="22"/>
          <w:szCs w:val="22"/>
        </w:rPr>
        <w:t xml:space="preserve"> : </w:t>
      </w:r>
      <w:r w:rsidR="000A0DD4">
        <w:rPr>
          <w:rFonts w:ascii="Book Antiqua" w:eastAsia="Times New Roman" w:hAnsi="Book Antiqua" w:cs="Times New Roman"/>
          <w:b/>
          <w:sz w:val="22"/>
          <w:szCs w:val="22"/>
        </w:rPr>
        <w:t>Répartition</w:t>
      </w:r>
      <w:r w:rsidRPr="007743B2">
        <w:rPr>
          <w:rFonts w:ascii="Book Antiqua" w:eastAsia="Times New Roman" w:hAnsi="Book Antiqua" w:cs="Times New Roman"/>
          <w:b/>
          <w:sz w:val="22"/>
          <w:szCs w:val="22"/>
        </w:rPr>
        <w:t xml:space="preserve"> des dépenses dans le coût total direct ou indirect de la violence conjugale (en %)</w:t>
      </w:r>
    </w:p>
    <w:p w:rsidR="00EE553F" w:rsidRDefault="00EE553F" w:rsidP="00480FAB">
      <w:pPr>
        <w:spacing w:before="120" w:after="120" w:line="276" w:lineRule="auto"/>
        <w:jc w:val="both"/>
        <w:rPr>
          <w:rFonts w:ascii="Book Antiqua" w:eastAsia="Times New Roman" w:hAnsi="Book Antiqua" w:cs="Times New Roman"/>
          <w:b/>
          <w:sz w:val="22"/>
          <w:szCs w:val="22"/>
        </w:rPr>
      </w:pPr>
      <w:r>
        <w:rPr>
          <w:noProof/>
        </w:rPr>
        <w:drawing>
          <wp:inline distT="0" distB="0" distL="0" distR="0">
            <wp:extent cx="2600325" cy="2233728"/>
            <wp:effectExtent l="0" t="0" r="2857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extent cx="2771775" cy="2222113"/>
            <wp:effectExtent l="0" t="0" r="2857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1325" w:rsidRPr="007743B2" w:rsidRDefault="00773C53" w:rsidP="00D83C7D">
      <w:pPr>
        <w:spacing w:line="276" w:lineRule="auto"/>
        <w:jc w:val="both"/>
        <w:rPr>
          <w:rFonts w:ascii="Book Antiqua" w:eastAsia="Times New Roman" w:hAnsi="Book Antiqua" w:cs="Times New Roman"/>
          <w:sz w:val="20"/>
          <w:szCs w:val="20"/>
        </w:rPr>
      </w:pPr>
      <w:r w:rsidRPr="007743B2">
        <w:rPr>
          <w:rFonts w:ascii="Book Antiqua" w:eastAsia="Times New Roman" w:hAnsi="Book Antiqua" w:cs="Times New Roman"/>
          <w:b/>
          <w:sz w:val="20"/>
          <w:szCs w:val="20"/>
        </w:rPr>
        <w:t>Source</w:t>
      </w:r>
      <w:r w:rsidR="00845BD5">
        <w:rPr>
          <w:rFonts w:ascii="Book Antiqua" w:eastAsia="Times New Roman" w:hAnsi="Book Antiqua" w:cs="Times New Roman"/>
          <w:b/>
          <w:sz w:val="20"/>
          <w:szCs w:val="20"/>
        </w:rPr>
        <w:t xml:space="preserve"> </w:t>
      </w:r>
      <w:r w:rsidRPr="007743B2">
        <w:rPr>
          <w:rFonts w:ascii="Book Antiqua" w:eastAsia="Times New Roman" w:hAnsi="Book Antiqua" w:cs="Times New Roman"/>
          <w:b/>
          <w:sz w:val="20"/>
          <w:szCs w:val="20"/>
        </w:rPr>
        <w:t xml:space="preserve">: HCP, </w:t>
      </w:r>
      <w:r w:rsidR="00C0458A" w:rsidRPr="007743B2">
        <w:rPr>
          <w:rFonts w:ascii="Book Antiqua" w:eastAsia="Times New Roman" w:hAnsi="Book Antiqua" w:cs="Times New Roman"/>
          <w:b/>
          <w:sz w:val="20"/>
          <w:szCs w:val="20"/>
        </w:rPr>
        <w:t>Enquête nationale sur la violence à l’encontre des femmes et des hommes 2019</w:t>
      </w:r>
    </w:p>
    <w:p w:rsidR="007743B2" w:rsidRDefault="007743B2" w:rsidP="00D83C7D">
      <w:pPr>
        <w:spacing w:before="120" w:line="276" w:lineRule="auto"/>
        <w:jc w:val="both"/>
        <w:rPr>
          <w:rFonts w:ascii="Book Antiqua" w:eastAsia="Times New Roman" w:hAnsi="Book Antiqua" w:cs="Times New Roman"/>
          <w:b/>
          <w:i/>
          <w:color w:val="2F5496"/>
        </w:rPr>
      </w:pPr>
    </w:p>
    <w:p w:rsidR="00D83C7D" w:rsidRPr="00F47DD3" w:rsidRDefault="00D83C7D" w:rsidP="00F47DD3">
      <w:pPr>
        <w:spacing w:after="120" w:line="276" w:lineRule="auto"/>
        <w:jc w:val="both"/>
        <w:rPr>
          <w:rFonts w:asciiTheme="majorBidi" w:eastAsia="Times New Roman" w:hAnsiTheme="majorBidi" w:cstheme="majorBidi"/>
          <w:b/>
          <w:bCs/>
          <w:i/>
          <w:color w:val="1F3864"/>
          <w:lang w:eastAsia="en-US"/>
        </w:rPr>
      </w:pPr>
      <w:r w:rsidRPr="00F47DD3">
        <w:rPr>
          <w:rFonts w:asciiTheme="majorBidi" w:eastAsia="Times New Roman" w:hAnsiTheme="majorBidi" w:cstheme="majorBidi"/>
          <w:b/>
          <w:bCs/>
          <w:i/>
          <w:color w:val="1F3864"/>
          <w:lang w:eastAsia="en-US"/>
        </w:rPr>
        <w:t xml:space="preserve">Le coût de la violence </w:t>
      </w:r>
      <w:r w:rsidR="005E5B5E" w:rsidRPr="00F47DD3">
        <w:rPr>
          <w:rFonts w:asciiTheme="majorBidi" w:eastAsia="Times New Roman" w:hAnsiTheme="majorBidi" w:cstheme="majorBidi"/>
          <w:b/>
          <w:bCs/>
          <w:i/>
          <w:color w:val="1F3864"/>
          <w:lang w:eastAsia="en-US"/>
        </w:rPr>
        <w:t>dans le</w:t>
      </w:r>
      <w:r w:rsidRPr="00F47DD3">
        <w:rPr>
          <w:rFonts w:asciiTheme="majorBidi" w:eastAsia="Times New Roman" w:hAnsiTheme="majorBidi" w:cstheme="majorBidi"/>
          <w:b/>
          <w:bCs/>
          <w:i/>
          <w:color w:val="1F3864"/>
          <w:lang w:eastAsia="en-US"/>
        </w:rPr>
        <w:t xml:space="preserve"> contexte familial </w:t>
      </w:r>
      <w:r w:rsidR="00231934" w:rsidRPr="00F47DD3">
        <w:rPr>
          <w:rFonts w:asciiTheme="majorBidi" w:eastAsia="Times New Roman" w:hAnsiTheme="majorBidi" w:cstheme="majorBidi"/>
          <w:b/>
          <w:bCs/>
          <w:i/>
          <w:color w:val="1F3864"/>
          <w:lang w:eastAsia="en-US"/>
        </w:rPr>
        <w:t xml:space="preserve">est </w:t>
      </w:r>
      <w:r w:rsidRPr="00F47DD3">
        <w:rPr>
          <w:rFonts w:asciiTheme="majorBidi" w:eastAsia="Times New Roman" w:hAnsiTheme="majorBidi" w:cstheme="majorBidi"/>
          <w:b/>
          <w:bCs/>
          <w:i/>
          <w:color w:val="1F3864"/>
          <w:lang w:eastAsia="en-US"/>
        </w:rPr>
        <w:t>estimé à 366,3 millions de Dh</w:t>
      </w:r>
    </w:p>
    <w:p w:rsidR="00621325" w:rsidRPr="003E634D" w:rsidRDefault="00773C53" w:rsidP="00F41654">
      <w:pPr>
        <w:spacing w:before="240" w:after="240" w:line="276" w:lineRule="auto"/>
        <w:jc w:val="both"/>
        <w:rPr>
          <w:rFonts w:ascii="Book Antiqua" w:eastAsia="Times New Roman" w:hAnsi="Book Antiqua" w:cs="Times New Roman"/>
        </w:rPr>
      </w:pPr>
      <w:r w:rsidRPr="003E634D">
        <w:rPr>
          <w:rFonts w:ascii="Book Antiqua" w:eastAsia="Times New Roman" w:hAnsi="Book Antiqua" w:cs="Times New Roman"/>
        </w:rPr>
        <w:t xml:space="preserve">Le coût total lié à la violence familiale, pour les 24,4% femmes qui ont supporté des coûts, suite aux violences physiques et/ou sexuelles subies, au cours des 12 </w:t>
      </w:r>
      <w:r w:rsidR="00231934">
        <w:rPr>
          <w:rFonts w:ascii="Times New Roman" w:eastAsia="Times New Roman" w:hAnsi="Times New Roman" w:cs="Times New Roman"/>
        </w:rPr>
        <w:t>mois précédant l’enquête</w:t>
      </w:r>
      <w:r w:rsidRPr="003E634D">
        <w:rPr>
          <w:rFonts w:ascii="Book Antiqua" w:eastAsia="Times New Roman" w:hAnsi="Book Antiqua" w:cs="Times New Roman"/>
        </w:rPr>
        <w:t xml:space="preserve">, est estimé à 366 millions de Dh. </w:t>
      </w:r>
      <w:r w:rsidR="00F41654">
        <w:rPr>
          <w:rFonts w:ascii="Times New Roman" w:eastAsia="Times New Roman" w:hAnsi="Times New Roman" w:cs="Times New Roman"/>
        </w:rPr>
        <w:t xml:space="preserve">Presque la totalité de ce coût (94% </w:t>
      </w:r>
      <w:r w:rsidR="00896F73">
        <w:rPr>
          <w:rFonts w:ascii="Times New Roman" w:eastAsia="Times New Roman" w:hAnsi="Times New Roman" w:cs="Times New Roman"/>
        </w:rPr>
        <w:t>ou 343</w:t>
      </w:r>
      <w:r w:rsidR="00F41654">
        <w:rPr>
          <w:rFonts w:ascii="Times New Roman" w:eastAsia="Times New Roman" w:hAnsi="Times New Roman" w:cs="Times New Roman"/>
        </w:rPr>
        <w:t xml:space="preserve"> millions de Dh) revient à la violence physique. </w:t>
      </w:r>
      <w:r w:rsidR="00896F73">
        <w:rPr>
          <w:rFonts w:ascii="Times New Roman" w:eastAsia="Times New Roman" w:hAnsi="Times New Roman" w:cs="Times New Roman"/>
        </w:rPr>
        <w:t>Les 6</w:t>
      </w:r>
      <w:r w:rsidR="00F41654">
        <w:rPr>
          <w:rFonts w:ascii="Times New Roman" w:eastAsia="Times New Roman" w:hAnsi="Times New Roman" w:cs="Times New Roman"/>
        </w:rPr>
        <w:t>% restants (22,9 millions de Dh) sont attribués à la violence sexuelle.</w:t>
      </w:r>
    </w:p>
    <w:p w:rsidR="00F41654" w:rsidRDefault="00773C53">
      <w:pPr>
        <w:spacing w:before="240" w:line="276" w:lineRule="auto"/>
        <w:jc w:val="both"/>
        <w:rPr>
          <w:rFonts w:ascii="Book Antiqua" w:eastAsia="Times New Roman" w:hAnsi="Book Antiqua" w:cs="Times New Roman"/>
        </w:rPr>
      </w:pPr>
      <w:r w:rsidRPr="003E634D">
        <w:rPr>
          <w:rFonts w:ascii="Book Antiqua" w:eastAsia="Times New Roman" w:hAnsi="Book Antiqua" w:cs="Times New Roman"/>
        </w:rPr>
        <w:t xml:space="preserve">En termes de coût direct, les incidents de </w:t>
      </w:r>
      <w:r w:rsidR="00F41654">
        <w:rPr>
          <w:rFonts w:ascii="Book Antiqua" w:eastAsia="Times New Roman" w:hAnsi="Book Antiqua" w:cs="Times New Roman"/>
        </w:rPr>
        <w:t xml:space="preserve">la </w:t>
      </w:r>
      <w:r w:rsidRPr="003E634D">
        <w:rPr>
          <w:rFonts w:ascii="Book Antiqua" w:eastAsia="Times New Roman" w:hAnsi="Book Antiqua" w:cs="Times New Roman"/>
        </w:rPr>
        <w:t xml:space="preserve">violence perpétrée </w:t>
      </w:r>
      <w:r w:rsidR="005E5B5E" w:rsidRPr="003E634D">
        <w:rPr>
          <w:rFonts w:ascii="Book Antiqua" w:eastAsia="Times New Roman" w:hAnsi="Book Antiqua" w:cs="Times New Roman"/>
        </w:rPr>
        <w:t>sur les</w:t>
      </w:r>
      <w:r w:rsidRPr="003E634D">
        <w:rPr>
          <w:rFonts w:ascii="Book Antiqua" w:eastAsia="Times New Roman" w:hAnsi="Book Antiqua" w:cs="Times New Roman"/>
        </w:rPr>
        <w:t xml:space="preserve"> filles et </w:t>
      </w:r>
      <w:r w:rsidR="005E5B5E" w:rsidRPr="003E634D">
        <w:rPr>
          <w:rFonts w:ascii="Book Antiqua" w:eastAsia="Times New Roman" w:hAnsi="Book Antiqua" w:cs="Times New Roman"/>
        </w:rPr>
        <w:t xml:space="preserve">les </w:t>
      </w:r>
      <w:r w:rsidRPr="003E634D">
        <w:rPr>
          <w:rFonts w:ascii="Book Antiqua" w:eastAsia="Times New Roman" w:hAnsi="Book Antiqua" w:cs="Times New Roman"/>
        </w:rPr>
        <w:t xml:space="preserve">femmes par des membres de la famille (ou de la </w:t>
      </w:r>
      <w:r w:rsidR="00076B71" w:rsidRPr="003E634D">
        <w:rPr>
          <w:rFonts w:ascii="Book Antiqua" w:eastAsia="Times New Roman" w:hAnsi="Book Antiqua" w:cs="Times New Roman"/>
        </w:rPr>
        <w:t>belle-famille</w:t>
      </w:r>
      <w:r w:rsidRPr="003E634D">
        <w:rPr>
          <w:rFonts w:ascii="Book Antiqua" w:eastAsia="Times New Roman" w:hAnsi="Book Antiqua" w:cs="Times New Roman"/>
        </w:rPr>
        <w:t>) ont engendré une dépense annuelle de 307 millions de Dh, soit 84% du coût total dans ce contexte, supportée par 20,5% des victimes et leur</w:t>
      </w:r>
      <w:r w:rsidR="00F41654">
        <w:rPr>
          <w:rFonts w:ascii="Book Antiqua" w:eastAsia="Times New Roman" w:hAnsi="Book Antiqua" w:cs="Times New Roman"/>
        </w:rPr>
        <w:t>s</w:t>
      </w:r>
      <w:r w:rsidRPr="003E634D">
        <w:rPr>
          <w:rFonts w:ascii="Book Antiqua" w:eastAsia="Times New Roman" w:hAnsi="Book Antiqua" w:cs="Times New Roman"/>
        </w:rPr>
        <w:t xml:space="preserve"> ménage</w:t>
      </w:r>
      <w:r w:rsidR="00F41654">
        <w:rPr>
          <w:rFonts w:ascii="Book Antiqua" w:eastAsia="Times New Roman" w:hAnsi="Book Antiqua" w:cs="Times New Roman"/>
        </w:rPr>
        <w:t>s</w:t>
      </w:r>
      <w:r w:rsidRPr="003E634D">
        <w:rPr>
          <w:rFonts w:ascii="Book Antiqua" w:eastAsia="Times New Roman" w:hAnsi="Book Antiqua" w:cs="Times New Roman"/>
        </w:rPr>
        <w:t>.</w:t>
      </w:r>
    </w:p>
    <w:p w:rsidR="00621325" w:rsidRPr="003E634D" w:rsidRDefault="00773C53" w:rsidP="00EE553F">
      <w:pPr>
        <w:spacing w:before="240" w:line="276" w:lineRule="auto"/>
        <w:jc w:val="both"/>
        <w:rPr>
          <w:rFonts w:ascii="Book Antiqua" w:eastAsia="Times New Roman" w:hAnsi="Book Antiqua" w:cs="Times New Roman"/>
          <w:b/>
        </w:rPr>
      </w:pPr>
      <w:r w:rsidRPr="003E634D">
        <w:rPr>
          <w:rFonts w:ascii="Book Antiqua" w:eastAsia="Times New Roman" w:hAnsi="Book Antiqua" w:cs="Times New Roman"/>
        </w:rPr>
        <w:t xml:space="preserve">Pour ce contexte, les victimes ont eu plus recours aux services juridiques et judiciaires qu’aux services de soins de santé. Les coûts </w:t>
      </w:r>
      <w:r w:rsidR="00F41654">
        <w:rPr>
          <w:rFonts w:ascii="Times New Roman" w:eastAsia="Times New Roman" w:hAnsi="Times New Roman" w:cs="Times New Roman"/>
        </w:rPr>
        <w:t xml:space="preserve">engendrés </w:t>
      </w:r>
      <w:r w:rsidRPr="003E634D">
        <w:rPr>
          <w:rFonts w:ascii="Book Antiqua" w:eastAsia="Times New Roman" w:hAnsi="Book Antiqua" w:cs="Times New Roman"/>
        </w:rPr>
        <w:t xml:space="preserve">sont </w:t>
      </w:r>
      <w:r w:rsidR="00F41654" w:rsidRPr="003E634D">
        <w:rPr>
          <w:rFonts w:ascii="Book Antiqua" w:eastAsia="Times New Roman" w:hAnsi="Book Antiqua" w:cs="Times New Roman"/>
        </w:rPr>
        <w:t xml:space="preserve">estimés </w:t>
      </w:r>
      <w:r w:rsidRPr="003E634D">
        <w:rPr>
          <w:rFonts w:ascii="Book Antiqua" w:eastAsia="Times New Roman" w:hAnsi="Book Antiqua" w:cs="Times New Roman"/>
        </w:rPr>
        <w:t xml:space="preserve">respectivement, à 124,5 millions de Dh et à 119 millions de Dh. La réparation ou le remplacement des objets endommagés suite aux incidents de violence </w:t>
      </w:r>
      <w:r w:rsidR="00F41654">
        <w:rPr>
          <w:rFonts w:ascii="Book Antiqua" w:eastAsia="Times New Roman" w:hAnsi="Book Antiqua" w:cs="Times New Roman"/>
        </w:rPr>
        <w:t>engendrent</w:t>
      </w:r>
      <w:r w:rsidRPr="003E634D">
        <w:rPr>
          <w:rFonts w:ascii="Book Antiqua" w:eastAsia="Times New Roman" w:hAnsi="Book Antiqua" w:cs="Times New Roman"/>
        </w:rPr>
        <w:t xml:space="preserve"> un coût total de 41,8 millions de Dh. Les femmes ayant quitté le foyer familial ont dépensé 21,3 millions de Dh pour les frais d'hébergement suite à l'abandon du domicile.</w:t>
      </w:r>
    </w:p>
    <w:p w:rsidR="00EE553F" w:rsidRDefault="00EE553F" w:rsidP="00F41654">
      <w:pPr>
        <w:spacing w:line="276" w:lineRule="auto"/>
        <w:jc w:val="both"/>
        <w:rPr>
          <w:rFonts w:ascii="Book Antiqua" w:eastAsia="Times New Roman" w:hAnsi="Book Antiqua" w:cs="Times New Roman"/>
        </w:rPr>
      </w:pPr>
    </w:p>
    <w:p w:rsidR="00621325" w:rsidRPr="003E634D" w:rsidRDefault="00773C53" w:rsidP="00F41654">
      <w:pPr>
        <w:spacing w:line="276" w:lineRule="auto"/>
        <w:jc w:val="both"/>
        <w:rPr>
          <w:rFonts w:ascii="Book Antiqua" w:eastAsia="Times New Roman" w:hAnsi="Book Antiqua" w:cs="Times New Roman"/>
        </w:rPr>
      </w:pPr>
      <w:r w:rsidRPr="003E634D">
        <w:rPr>
          <w:rFonts w:ascii="Book Antiqua" w:eastAsia="Times New Roman" w:hAnsi="Book Antiqua" w:cs="Times New Roman"/>
        </w:rPr>
        <w:t xml:space="preserve">Pour les 15,9% de femmes victimes ayant dû supporter des dépenses indirectes, les incidents de violence survenus dans le contexte familial au cours des 12 </w:t>
      </w:r>
      <w:r w:rsidR="00F41654">
        <w:rPr>
          <w:rFonts w:ascii="Times New Roman" w:eastAsia="Times New Roman" w:hAnsi="Times New Roman" w:cs="Times New Roman"/>
        </w:rPr>
        <w:t>mois précédant l’enquête</w:t>
      </w:r>
      <w:r w:rsidRPr="003E634D">
        <w:rPr>
          <w:rFonts w:ascii="Book Antiqua" w:eastAsia="Times New Roman" w:hAnsi="Book Antiqua" w:cs="Times New Roman"/>
        </w:rPr>
        <w:t xml:space="preserve">, </w:t>
      </w:r>
      <w:r w:rsidR="00F41654">
        <w:rPr>
          <w:rFonts w:ascii="Book Antiqua" w:eastAsia="Times New Roman" w:hAnsi="Book Antiqua" w:cs="Times New Roman"/>
        </w:rPr>
        <w:t>engendrent</w:t>
      </w:r>
      <w:r w:rsidRPr="003E634D">
        <w:rPr>
          <w:rFonts w:ascii="Book Antiqua" w:eastAsia="Times New Roman" w:hAnsi="Book Antiqua" w:cs="Times New Roman"/>
        </w:rPr>
        <w:t xml:space="preserve"> un coût indirect </w:t>
      </w:r>
      <w:r w:rsidR="00896F73" w:rsidRPr="003E634D">
        <w:rPr>
          <w:rFonts w:ascii="Book Antiqua" w:eastAsia="Times New Roman" w:hAnsi="Book Antiqua" w:cs="Times New Roman"/>
        </w:rPr>
        <w:t xml:space="preserve">total </w:t>
      </w:r>
      <w:r w:rsidR="00896F73">
        <w:rPr>
          <w:rFonts w:ascii="Book Antiqua" w:eastAsia="Times New Roman" w:hAnsi="Book Antiqua" w:cs="Times New Roman"/>
        </w:rPr>
        <w:t>de</w:t>
      </w:r>
      <w:r w:rsidRPr="003E634D">
        <w:rPr>
          <w:rFonts w:ascii="Book Antiqua" w:eastAsia="Times New Roman" w:hAnsi="Book Antiqua" w:cs="Times New Roman"/>
        </w:rPr>
        <w:t xml:space="preserve"> 59,1 millions de Dh. Plus </w:t>
      </w:r>
      <w:r w:rsidRPr="003E634D">
        <w:rPr>
          <w:rFonts w:ascii="Book Antiqua" w:eastAsia="Times New Roman" w:hAnsi="Book Antiqua" w:cs="Times New Roman"/>
        </w:rPr>
        <w:lastRenderedPageBreak/>
        <w:t>de 85% de ce coût</w:t>
      </w:r>
      <w:r w:rsidR="00F41654">
        <w:rPr>
          <w:rFonts w:ascii="Book Antiqua" w:eastAsia="Times New Roman" w:hAnsi="Book Antiqua" w:cs="Times New Roman"/>
        </w:rPr>
        <w:t xml:space="preserve"> (</w:t>
      </w:r>
      <w:r w:rsidRPr="003E634D">
        <w:rPr>
          <w:rFonts w:ascii="Book Antiqua" w:eastAsia="Times New Roman" w:hAnsi="Book Antiqua" w:cs="Times New Roman"/>
        </w:rPr>
        <w:t>50,5 millions de Dh</w:t>
      </w:r>
      <w:r w:rsidR="00F41654">
        <w:rPr>
          <w:rFonts w:ascii="Book Antiqua" w:eastAsia="Times New Roman" w:hAnsi="Book Antiqua" w:cs="Times New Roman"/>
        </w:rPr>
        <w:t>)</w:t>
      </w:r>
      <w:r w:rsidRPr="003E634D">
        <w:rPr>
          <w:rFonts w:ascii="Book Antiqua" w:eastAsia="Times New Roman" w:hAnsi="Book Antiqua" w:cs="Times New Roman"/>
        </w:rPr>
        <w:t xml:space="preserve"> est dû à des violences physiques et 15% (8,6 millions de Dh) à des violences sexuelles. Comme dans le contexte conjugal, la </w:t>
      </w:r>
      <w:r w:rsidR="00F41654">
        <w:rPr>
          <w:rFonts w:ascii="Book Antiqua" w:eastAsia="Times New Roman" w:hAnsi="Book Antiqua" w:cs="Times New Roman"/>
        </w:rPr>
        <w:t>majeure partie</w:t>
      </w:r>
      <w:r w:rsidRPr="003E634D">
        <w:rPr>
          <w:rFonts w:ascii="Book Antiqua" w:eastAsia="Times New Roman" w:hAnsi="Book Antiqua" w:cs="Times New Roman"/>
        </w:rPr>
        <w:t xml:space="preserve"> de ce coût revient au coût de travail domestique perdu par les victimes et leurs époux avec 36,2 millions de Dh (61,3% du coût indirect de ce contexte), suivi du coût relatif à la perte d</w:t>
      </w:r>
      <w:r w:rsidR="00F41654">
        <w:rPr>
          <w:rFonts w:ascii="Book Antiqua" w:eastAsia="Times New Roman" w:hAnsi="Book Antiqua" w:cs="Times New Roman"/>
        </w:rPr>
        <w:t>e</w:t>
      </w:r>
      <w:r w:rsidRPr="003E634D">
        <w:rPr>
          <w:rFonts w:ascii="Book Antiqua" w:eastAsia="Times New Roman" w:hAnsi="Book Antiqua" w:cs="Times New Roman"/>
        </w:rPr>
        <w:t xml:space="preserve"> travail rémunéré avec 19,9 millions de Dh (33,7%) et de l'absentéisme scolaire des enfants des victimes avec 3 millions de Dh (5%).</w:t>
      </w:r>
    </w:p>
    <w:p w:rsidR="00BF0CCF" w:rsidRPr="003E634D" w:rsidRDefault="00BF0CCF">
      <w:pPr>
        <w:spacing w:line="276" w:lineRule="auto"/>
        <w:jc w:val="both"/>
        <w:rPr>
          <w:rFonts w:ascii="Book Antiqua" w:eastAsia="Times New Roman" w:hAnsi="Book Antiqua" w:cs="Times New Roman"/>
        </w:rPr>
      </w:pPr>
    </w:p>
    <w:p w:rsidR="00904AF0" w:rsidRDefault="00773C53" w:rsidP="002401A7">
      <w:pPr>
        <w:spacing w:line="276" w:lineRule="auto"/>
        <w:jc w:val="both"/>
        <w:rPr>
          <w:rFonts w:ascii="Book Antiqua" w:eastAsia="Times New Roman" w:hAnsi="Book Antiqua" w:cs="Times New Roman"/>
          <w:b/>
        </w:rPr>
      </w:pPr>
      <w:r w:rsidRPr="00904AF0">
        <w:rPr>
          <w:rFonts w:ascii="Book Antiqua" w:eastAsia="Times New Roman" w:hAnsi="Book Antiqua" w:cs="Times New Roman"/>
          <w:b/>
          <w:sz w:val="22"/>
          <w:szCs w:val="22"/>
        </w:rPr>
        <w:t>Graph</w:t>
      </w:r>
      <w:r w:rsidR="00076B71" w:rsidRPr="00904AF0">
        <w:rPr>
          <w:rFonts w:ascii="Book Antiqua" w:eastAsia="Times New Roman" w:hAnsi="Book Antiqua" w:cs="Times New Roman"/>
          <w:b/>
          <w:sz w:val="22"/>
          <w:szCs w:val="22"/>
        </w:rPr>
        <w:t>i</w:t>
      </w:r>
      <w:r w:rsidRPr="00904AF0">
        <w:rPr>
          <w:rFonts w:ascii="Book Antiqua" w:eastAsia="Times New Roman" w:hAnsi="Book Antiqua" w:cs="Times New Roman"/>
          <w:b/>
          <w:sz w:val="22"/>
          <w:szCs w:val="22"/>
        </w:rPr>
        <w:t xml:space="preserve">que </w:t>
      </w:r>
      <w:r w:rsidR="007E2697">
        <w:rPr>
          <w:rFonts w:ascii="Book Antiqua" w:eastAsia="Times New Roman" w:hAnsi="Book Antiqua" w:cs="Times New Roman"/>
          <w:b/>
          <w:sz w:val="22"/>
          <w:szCs w:val="22"/>
        </w:rPr>
        <w:t>5</w:t>
      </w:r>
      <w:r w:rsidRPr="00904AF0">
        <w:rPr>
          <w:rFonts w:ascii="Book Antiqua" w:eastAsia="Times New Roman" w:hAnsi="Book Antiqua" w:cs="Times New Roman"/>
          <w:b/>
          <w:sz w:val="22"/>
          <w:szCs w:val="22"/>
        </w:rPr>
        <w:t xml:space="preserve"> : </w:t>
      </w:r>
      <w:r w:rsidR="000A0DD4">
        <w:rPr>
          <w:rFonts w:ascii="Book Antiqua" w:eastAsia="Times New Roman" w:hAnsi="Book Antiqua" w:cs="Times New Roman"/>
          <w:b/>
          <w:sz w:val="22"/>
          <w:szCs w:val="22"/>
        </w:rPr>
        <w:t>Répartition</w:t>
      </w:r>
      <w:r w:rsidRPr="00904AF0">
        <w:rPr>
          <w:rFonts w:ascii="Book Antiqua" w:eastAsia="Times New Roman" w:hAnsi="Book Antiqua" w:cs="Times New Roman"/>
          <w:b/>
          <w:sz w:val="22"/>
          <w:szCs w:val="22"/>
        </w:rPr>
        <w:t xml:space="preserve"> des dépenses dans le coût total direct </w:t>
      </w:r>
      <w:r w:rsidR="000A0DD4">
        <w:rPr>
          <w:rFonts w:ascii="Book Antiqua" w:eastAsia="Times New Roman" w:hAnsi="Book Antiqua" w:cs="Times New Roman"/>
          <w:b/>
          <w:sz w:val="22"/>
          <w:szCs w:val="22"/>
        </w:rPr>
        <w:t>et</w:t>
      </w:r>
      <w:r w:rsidRPr="00904AF0">
        <w:rPr>
          <w:rFonts w:ascii="Book Antiqua" w:eastAsia="Times New Roman" w:hAnsi="Book Antiqua" w:cs="Times New Roman"/>
          <w:b/>
          <w:sz w:val="22"/>
          <w:szCs w:val="22"/>
        </w:rPr>
        <w:t xml:space="preserve"> indirect de la violence familiale (en %)</w:t>
      </w:r>
    </w:p>
    <w:p w:rsidR="00904AF0" w:rsidRPr="003E634D" w:rsidRDefault="00EE553F" w:rsidP="002401A7">
      <w:pPr>
        <w:spacing w:line="276" w:lineRule="auto"/>
        <w:jc w:val="both"/>
        <w:rPr>
          <w:rFonts w:ascii="Book Antiqua" w:eastAsia="Times New Roman" w:hAnsi="Book Antiqua" w:cs="Times New Roman"/>
          <w:b/>
          <w:i/>
          <w:color w:val="2F5496"/>
        </w:rPr>
      </w:pPr>
      <w:r>
        <w:rPr>
          <w:noProof/>
        </w:rPr>
        <w:drawing>
          <wp:inline distT="0" distB="0" distL="0" distR="0">
            <wp:extent cx="5524500" cy="2305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extent cx="5524500" cy="229552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1325" w:rsidRPr="00904AF0" w:rsidRDefault="00773C53" w:rsidP="00BF0CCF">
      <w:pPr>
        <w:spacing w:line="276" w:lineRule="auto"/>
        <w:jc w:val="both"/>
        <w:rPr>
          <w:rFonts w:ascii="Book Antiqua" w:eastAsia="Times New Roman" w:hAnsi="Book Antiqua" w:cs="Times New Roman"/>
          <w:sz w:val="20"/>
          <w:szCs w:val="20"/>
        </w:rPr>
      </w:pPr>
      <w:r w:rsidRPr="00904AF0">
        <w:rPr>
          <w:rFonts w:ascii="Book Antiqua" w:eastAsia="Times New Roman" w:hAnsi="Book Antiqua" w:cs="Times New Roman"/>
          <w:b/>
          <w:sz w:val="20"/>
          <w:szCs w:val="20"/>
        </w:rPr>
        <w:t>Source</w:t>
      </w:r>
      <w:r w:rsidR="00845BD5">
        <w:rPr>
          <w:rFonts w:ascii="Book Antiqua" w:eastAsia="Times New Roman" w:hAnsi="Book Antiqua" w:cs="Times New Roman"/>
          <w:b/>
          <w:sz w:val="20"/>
          <w:szCs w:val="20"/>
        </w:rPr>
        <w:t xml:space="preserve"> </w:t>
      </w:r>
      <w:r w:rsidRPr="00904AF0">
        <w:rPr>
          <w:rFonts w:ascii="Book Antiqua" w:eastAsia="Times New Roman" w:hAnsi="Book Antiqua" w:cs="Times New Roman"/>
          <w:b/>
          <w:sz w:val="20"/>
          <w:szCs w:val="20"/>
        </w:rPr>
        <w:t xml:space="preserve">: HCP, </w:t>
      </w:r>
      <w:r w:rsidR="00C0458A" w:rsidRPr="00904AF0">
        <w:rPr>
          <w:rFonts w:ascii="Book Antiqua" w:eastAsia="Times New Roman" w:hAnsi="Book Antiqua" w:cs="Times New Roman"/>
          <w:b/>
          <w:sz w:val="20"/>
          <w:szCs w:val="20"/>
        </w:rPr>
        <w:t>Enquête nationale sur la violence à l’encontre des femmes et des hommes 2019</w:t>
      </w:r>
    </w:p>
    <w:p w:rsidR="00675C33" w:rsidRDefault="00675C33" w:rsidP="00D83C7D">
      <w:pPr>
        <w:spacing w:before="120" w:line="276" w:lineRule="auto"/>
        <w:jc w:val="both"/>
        <w:rPr>
          <w:rFonts w:ascii="Book Antiqua" w:eastAsia="Times New Roman" w:hAnsi="Book Antiqua" w:cs="Times New Roman"/>
          <w:b/>
          <w:i/>
          <w:color w:val="2F5496"/>
        </w:rPr>
      </w:pPr>
    </w:p>
    <w:p w:rsidR="00845BD5" w:rsidRDefault="00845BD5" w:rsidP="00F47DD3">
      <w:pPr>
        <w:spacing w:after="120" w:line="276" w:lineRule="auto"/>
        <w:jc w:val="both"/>
        <w:rPr>
          <w:rFonts w:asciiTheme="majorBidi" w:eastAsia="Times New Roman" w:hAnsiTheme="majorBidi" w:cstheme="majorBidi"/>
          <w:b/>
          <w:bCs/>
          <w:i/>
          <w:color w:val="1F3864"/>
          <w:lang w:eastAsia="en-US"/>
        </w:rPr>
      </w:pPr>
    </w:p>
    <w:p w:rsidR="00845BD5" w:rsidRDefault="00845BD5" w:rsidP="00F47DD3">
      <w:pPr>
        <w:spacing w:after="120" w:line="276" w:lineRule="auto"/>
        <w:jc w:val="both"/>
        <w:rPr>
          <w:rFonts w:asciiTheme="majorBidi" w:eastAsia="Times New Roman" w:hAnsiTheme="majorBidi" w:cstheme="majorBidi"/>
          <w:b/>
          <w:bCs/>
          <w:i/>
          <w:color w:val="1F3864"/>
          <w:lang w:eastAsia="en-US"/>
        </w:rPr>
      </w:pPr>
    </w:p>
    <w:p w:rsidR="00845BD5" w:rsidRDefault="00845BD5" w:rsidP="00F47DD3">
      <w:pPr>
        <w:spacing w:after="120" w:line="276" w:lineRule="auto"/>
        <w:jc w:val="both"/>
        <w:rPr>
          <w:rFonts w:asciiTheme="majorBidi" w:eastAsia="Times New Roman" w:hAnsiTheme="majorBidi" w:cstheme="majorBidi"/>
          <w:b/>
          <w:bCs/>
          <w:i/>
          <w:color w:val="1F3864"/>
          <w:lang w:eastAsia="en-US"/>
        </w:rPr>
      </w:pPr>
    </w:p>
    <w:p w:rsidR="00D83C7D" w:rsidRPr="00F47DD3" w:rsidRDefault="00D83C7D" w:rsidP="00F47DD3">
      <w:pPr>
        <w:spacing w:after="120" w:line="276" w:lineRule="auto"/>
        <w:jc w:val="both"/>
        <w:rPr>
          <w:rFonts w:asciiTheme="majorBidi" w:eastAsia="Times New Roman" w:hAnsiTheme="majorBidi" w:cstheme="majorBidi"/>
          <w:b/>
          <w:bCs/>
          <w:i/>
          <w:color w:val="1F3864"/>
          <w:lang w:eastAsia="en-US"/>
        </w:rPr>
      </w:pPr>
      <w:r w:rsidRPr="00F47DD3">
        <w:rPr>
          <w:rFonts w:asciiTheme="majorBidi" w:eastAsia="Times New Roman" w:hAnsiTheme="majorBidi" w:cstheme="majorBidi"/>
          <w:b/>
          <w:bCs/>
          <w:i/>
          <w:color w:val="1F3864"/>
          <w:lang w:eastAsia="en-US"/>
        </w:rPr>
        <w:lastRenderedPageBreak/>
        <w:t xml:space="preserve">Le coût de la violence </w:t>
      </w:r>
      <w:r w:rsidR="00BF0CCF" w:rsidRPr="00F47DD3">
        <w:rPr>
          <w:rFonts w:asciiTheme="majorBidi" w:eastAsia="Times New Roman" w:hAnsiTheme="majorBidi" w:cstheme="majorBidi"/>
          <w:b/>
          <w:bCs/>
          <w:i/>
          <w:color w:val="1F3864"/>
          <w:lang w:eastAsia="en-US"/>
        </w:rPr>
        <w:t>dans les</w:t>
      </w:r>
      <w:r w:rsidRPr="00F47DD3">
        <w:rPr>
          <w:rFonts w:asciiTheme="majorBidi" w:eastAsia="Times New Roman" w:hAnsiTheme="majorBidi" w:cstheme="majorBidi"/>
          <w:b/>
          <w:bCs/>
          <w:i/>
          <w:color w:val="1F3864"/>
          <w:lang w:eastAsia="en-US"/>
        </w:rPr>
        <w:t xml:space="preserve"> lieux publics est de l’ordre de 447,6 millions de Dh</w:t>
      </w:r>
    </w:p>
    <w:p w:rsidR="00621325" w:rsidRPr="003E634D" w:rsidRDefault="00773C53" w:rsidP="00D71B01">
      <w:pPr>
        <w:spacing w:before="240" w:line="276" w:lineRule="auto"/>
        <w:jc w:val="both"/>
        <w:rPr>
          <w:rFonts w:ascii="Book Antiqua" w:eastAsia="Times New Roman" w:hAnsi="Book Antiqua" w:cs="Times New Roman"/>
        </w:rPr>
      </w:pPr>
      <w:r w:rsidRPr="003E634D">
        <w:rPr>
          <w:rFonts w:ascii="Book Antiqua" w:eastAsia="Times New Roman" w:hAnsi="Book Antiqua" w:cs="Times New Roman"/>
        </w:rPr>
        <w:t xml:space="preserve">Parmi les femmes violentées dans les lieux publics, 16,2% ont </w:t>
      </w:r>
      <w:r w:rsidR="00F41654">
        <w:rPr>
          <w:rFonts w:ascii="Book Antiqua" w:eastAsia="Times New Roman" w:hAnsi="Book Antiqua" w:cs="Times New Roman"/>
        </w:rPr>
        <w:t>effectué</w:t>
      </w:r>
      <w:r w:rsidR="00845BD5">
        <w:rPr>
          <w:rFonts w:ascii="Book Antiqua" w:eastAsia="Times New Roman" w:hAnsi="Book Antiqua" w:cs="Times New Roman"/>
        </w:rPr>
        <w:t xml:space="preserve"> </w:t>
      </w:r>
      <w:r w:rsidRPr="003E634D">
        <w:rPr>
          <w:rFonts w:ascii="Book Antiqua" w:eastAsia="Times New Roman" w:hAnsi="Book Antiqua" w:cs="Times New Roman"/>
        </w:rPr>
        <w:t xml:space="preserve">des dépenses directes et indirectes </w:t>
      </w:r>
      <w:r w:rsidR="00D71B01">
        <w:rPr>
          <w:rFonts w:ascii="Book Antiqua" w:eastAsia="Times New Roman" w:hAnsi="Book Antiqua" w:cs="Times New Roman"/>
        </w:rPr>
        <w:t>estimées à</w:t>
      </w:r>
      <w:r w:rsidRPr="003E634D">
        <w:rPr>
          <w:rFonts w:ascii="Book Antiqua" w:eastAsia="Times New Roman" w:hAnsi="Book Antiqua" w:cs="Times New Roman"/>
        </w:rPr>
        <w:t xml:space="preserve"> 44</w:t>
      </w:r>
      <w:r w:rsidR="008A160F" w:rsidRPr="003E634D">
        <w:rPr>
          <w:rFonts w:ascii="Book Antiqua" w:eastAsia="Times New Roman" w:hAnsi="Book Antiqua" w:cs="Times New Roman"/>
        </w:rPr>
        <w:t>8</w:t>
      </w:r>
      <w:r w:rsidRPr="003E634D">
        <w:rPr>
          <w:rFonts w:ascii="Book Antiqua" w:eastAsia="Times New Roman" w:hAnsi="Book Antiqua" w:cs="Times New Roman"/>
        </w:rPr>
        <w:t xml:space="preserve"> millions de Dh, au cours des 12 mois</w:t>
      </w:r>
      <w:r w:rsidR="00D71B01">
        <w:rPr>
          <w:rFonts w:ascii="Book Antiqua" w:eastAsia="Times New Roman" w:hAnsi="Book Antiqua" w:cs="Times New Roman"/>
        </w:rPr>
        <w:t xml:space="preserve"> précédant l’enquête</w:t>
      </w:r>
      <w:r w:rsidRPr="003E634D">
        <w:rPr>
          <w:rFonts w:ascii="Book Antiqua" w:eastAsia="Times New Roman" w:hAnsi="Book Antiqua" w:cs="Times New Roman"/>
        </w:rPr>
        <w:t xml:space="preserve">, </w:t>
      </w:r>
      <w:r w:rsidR="00D71B01">
        <w:rPr>
          <w:rFonts w:ascii="Book Antiqua" w:eastAsia="Times New Roman" w:hAnsi="Book Antiqua" w:cs="Times New Roman"/>
        </w:rPr>
        <w:t xml:space="preserve">dont </w:t>
      </w:r>
      <w:r w:rsidRPr="003E634D">
        <w:rPr>
          <w:rFonts w:ascii="Book Antiqua" w:eastAsia="Times New Roman" w:hAnsi="Book Antiqua" w:cs="Times New Roman"/>
        </w:rPr>
        <w:t>358,5 millions de Dh sont dus à des actes de violence physique</w:t>
      </w:r>
      <w:r w:rsidR="00D71B01">
        <w:rPr>
          <w:rFonts w:ascii="Book Antiqua" w:eastAsia="Times New Roman" w:hAnsi="Book Antiqua" w:cs="Times New Roman"/>
        </w:rPr>
        <w:t xml:space="preserve"> (</w:t>
      </w:r>
      <w:r w:rsidRPr="003E634D">
        <w:rPr>
          <w:rFonts w:ascii="Book Antiqua" w:eastAsia="Times New Roman" w:hAnsi="Book Antiqua" w:cs="Times New Roman"/>
        </w:rPr>
        <w:t>80% du coût total</w:t>
      </w:r>
      <w:r w:rsidR="00D71B01">
        <w:rPr>
          <w:rFonts w:ascii="Book Antiqua" w:eastAsia="Times New Roman" w:hAnsi="Book Antiqua" w:cs="Times New Roman"/>
        </w:rPr>
        <w:t>)</w:t>
      </w:r>
      <w:r w:rsidRPr="003E634D">
        <w:rPr>
          <w:rFonts w:ascii="Book Antiqua" w:eastAsia="Times New Roman" w:hAnsi="Book Antiqua" w:cs="Times New Roman"/>
        </w:rPr>
        <w:t xml:space="preserve"> et 98,2 millions de Dh à des actes de violence sexuelle (20%).</w:t>
      </w:r>
    </w:p>
    <w:p w:rsidR="00621325" w:rsidRPr="003E634D" w:rsidRDefault="00773C53" w:rsidP="00AF0A5E">
      <w:pPr>
        <w:spacing w:before="240" w:line="276" w:lineRule="auto"/>
        <w:jc w:val="both"/>
        <w:rPr>
          <w:rFonts w:ascii="Book Antiqua" w:eastAsia="Times New Roman" w:hAnsi="Book Antiqua" w:cs="Times New Roman"/>
        </w:rPr>
      </w:pPr>
      <w:r w:rsidRPr="003E634D">
        <w:rPr>
          <w:rFonts w:ascii="Book Antiqua" w:eastAsia="Times New Roman" w:hAnsi="Book Antiqua" w:cs="Times New Roman"/>
        </w:rPr>
        <w:t xml:space="preserve">Le coût direct </w:t>
      </w:r>
      <w:r w:rsidR="00D71B01" w:rsidRPr="003E634D">
        <w:rPr>
          <w:rFonts w:ascii="Book Antiqua" w:eastAsia="Times New Roman" w:hAnsi="Book Antiqua" w:cs="Times New Roman"/>
        </w:rPr>
        <w:t xml:space="preserve">total </w:t>
      </w:r>
      <w:r w:rsidRPr="003E634D">
        <w:rPr>
          <w:rFonts w:ascii="Book Antiqua" w:eastAsia="Times New Roman" w:hAnsi="Book Antiqua" w:cs="Times New Roman"/>
        </w:rPr>
        <w:t xml:space="preserve">des incidents de </w:t>
      </w:r>
      <w:r w:rsidR="00AF0A5E">
        <w:rPr>
          <w:rFonts w:ascii="Book Antiqua" w:eastAsia="Times New Roman" w:hAnsi="Book Antiqua" w:cs="Times New Roman"/>
        </w:rPr>
        <w:t xml:space="preserve">la </w:t>
      </w:r>
      <w:r w:rsidRPr="003E634D">
        <w:rPr>
          <w:rFonts w:ascii="Book Antiqua" w:eastAsia="Times New Roman" w:hAnsi="Book Antiqua" w:cs="Times New Roman"/>
        </w:rPr>
        <w:t xml:space="preserve">violence physique et/ou sexuelle dans les lieux publics survenus au cours des 12 </w:t>
      </w:r>
      <w:r w:rsidR="00D71B01">
        <w:rPr>
          <w:rFonts w:ascii="Times New Roman" w:eastAsia="Times New Roman" w:hAnsi="Times New Roman" w:cs="Times New Roman"/>
        </w:rPr>
        <w:t>mois précédant l’enquête</w:t>
      </w:r>
      <w:r w:rsidRPr="003E634D">
        <w:rPr>
          <w:rFonts w:ascii="Book Antiqua" w:eastAsia="Times New Roman" w:hAnsi="Book Antiqua" w:cs="Times New Roman"/>
        </w:rPr>
        <w:t xml:space="preserve">, pour les 15% des femmes ayant effectué des </w:t>
      </w:r>
      <w:r w:rsidR="00D71B01">
        <w:rPr>
          <w:rFonts w:ascii="Book Antiqua" w:eastAsia="Times New Roman" w:hAnsi="Book Antiqua" w:cs="Times New Roman"/>
        </w:rPr>
        <w:t>dépenses</w:t>
      </w:r>
      <w:r w:rsidRPr="003E634D">
        <w:rPr>
          <w:rFonts w:ascii="Book Antiqua" w:eastAsia="Times New Roman" w:hAnsi="Book Antiqua" w:cs="Times New Roman"/>
        </w:rPr>
        <w:t xml:space="preserve">, s’élève à 356 millions de Dh, 80% du coût total. </w:t>
      </w:r>
      <w:r w:rsidR="00D71B01">
        <w:rPr>
          <w:rFonts w:ascii="Times New Roman" w:eastAsia="Times New Roman" w:hAnsi="Times New Roman" w:cs="Times New Roman"/>
        </w:rPr>
        <w:t>Plus de la moitié de ce coût</w:t>
      </w:r>
      <w:r w:rsidR="00845BD5">
        <w:rPr>
          <w:rFonts w:ascii="Times New Roman" w:eastAsia="Times New Roman" w:hAnsi="Times New Roman" w:cs="Times New Roman"/>
        </w:rPr>
        <w:t xml:space="preserve"> </w:t>
      </w:r>
      <w:r w:rsidR="00D71B01">
        <w:rPr>
          <w:rFonts w:ascii="Book Antiqua" w:eastAsia="Times New Roman" w:hAnsi="Book Antiqua" w:cs="Times New Roman"/>
        </w:rPr>
        <w:t>(</w:t>
      </w:r>
      <w:r w:rsidRPr="003E634D">
        <w:rPr>
          <w:rFonts w:ascii="Book Antiqua" w:eastAsia="Times New Roman" w:hAnsi="Book Antiqua" w:cs="Times New Roman"/>
        </w:rPr>
        <w:t>52%</w:t>
      </w:r>
      <w:r w:rsidR="00D71B01">
        <w:rPr>
          <w:rFonts w:ascii="Book Antiqua" w:eastAsia="Times New Roman" w:hAnsi="Book Antiqua" w:cs="Times New Roman"/>
        </w:rPr>
        <w:t>)</w:t>
      </w:r>
      <w:r w:rsidR="00845BD5">
        <w:rPr>
          <w:rFonts w:ascii="Book Antiqua" w:eastAsia="Times New Roman" w:hAnsi="Book Antiqua" w:cs="Times New Roman"/>
        </w:rPr>
        <w:t xml:space="preserve"> </w:t>
      </w:r>
      <w:r w:rsidR="00D71B01">
        <w:rPr>
          <w:rFonts w:ascii="Book Antiqua" w:eastAsia="Times New Roman" w:hAnsi="Book Antiqua" w:cs="Times New Roman"/>
        </w:rPr>
        <w:t>est liée</w:t>
      </w:r>
      <w:r w:rsidRPr="003E634D">
        <w:rPr>
          <w:rFonts w:ascii="Book Antiqua" w:eastAsia="Times New Roman" w:hAnsi="Book Antiqua" w:cs="Times New Roman"/>
        </w:rPr>
        <w:t xml:space="preserve"> au remplacement ou </w:t>
      </w:r>
      <w:r w:rsidR="00D71B01">
        <w:rPr>
          <w:rFonts w:ascii="Book Antiqua" w:eastAsia="Times New Roman" w:hAnsi="Book Antiqua" w:cs="Times New Roman"/>
        </w:rPr>
        <w:t xml:space="preserve">à </w:t>
      </w:r>
      <w:r w:rsidRPr="003E634D">
        <w:rPr>
          <w:rFonts w:ascii="Book Antiqua" w:eastAsia="Times New Roman" w:hAnsi="Book Antiqua" w:cs="Times New Roman"/>
        </w:rPr>
        <w:t xml:space="preserve">la réparation des biens endommagés </w:t>
      </w:r>
      <w:r w:rsidR="00D71B01">
        <w:rPr>
          <w:rFonts w:ascii="Book Antiqua" w:eastAsia="Times New Roman" w:hAnsi="Book Antiqua" w:cs="Times New Roman"/>
        </w:rPr>
        <w:t>(</w:t>
      </w:r>
      <w:r w:rsidRPr="003E634D">
        <w:rPr>
          <w:rFonts w:ascii="Book Antiqua" w:eastAsia="Times New Roman" w:hAnsi="Book Antiqua" w:cs="Times New Roman"/>
        </w:rPr>
        <w:t>183 millions de Dh</w:t>
      </w:r>
      <w:r w:rsidR="00D71B01">
        <w:rPr>
          <w:rFonts w:ascii="Book Antiqua" w:eastAsia="Times New Roman" w:hAnsi="Book Antiqua" w:cs="Times New Roman"/>
        </w:rPr>
        <w:t>)</w:t>
      </w:r>
      <w:r w:rsidRPr="003E634D">
        <w:rPr>
          <w:rFonts w:ascii="Book Antiqua" w:eastAsia="Times New Roman" w:hAnsi="Book Antiqua" w:cs="Times New Roman"/>
        </w:rPr>
        <w:t xml:space="preserve">. Les dépenses liées aux soins de santé représentent 29% </w:t>
      </w:r>
      <w:r w:rsidR="00D71B01">
        <w:rPr>
          <w:rFonts w:ascii="Book Antiqua" w:eastAsia="Times New Roman" w:hAnsi="Book Antiqua" w:cs="Times New Roman"/>
        </w:rPr>
        <w:t>(</w:t>
      </w:r>
      <w:r w:rsidRPr="003E634D">
        <w:rPr>
          <w:rFonts w:ascii="Book Antiqua" w:eastAsia="Times New Roman" w:hAnsi="Book Antiqua" w:cs="Times New Roman"/>
        </w:rPr>
        <w:t>103 millions de Dh</w:t>
      </w:r>
      <w:r w:rsidR="00D71B01">
        <w:rPr>
          <w:rFonts w:ascii="Book Antiqua" w:eastAsia="Times New Roman" w:hAnsi="Book Antiqua" w:cs="Times New Roman"/>
        </w:rPr>
        <w:t>)</w:t>
      </w:r>
      <w:r w:rsidRPr="003E634D">
        <w:rPr>
          <w:rFonts w:ascii="Book Antiqua" w:eastAsia="Times New Roman" w:hAnsi="Book Antiqua" w:cs="Times New Roman"/>
        </w:rPr>
        <w:t xml:space="preserve"> et celles liées au recours aux services juridiques et judiciaires 19%</w:t>
      </w:r>
      <w:r w:rsidR="00D71B01">
        <w:rPr>
          <w:rFonts w:ascii="Book Antiqua" w:eastAsia="Times New Roman" w:hAnsi="Book Antiqua" w:cs="Times New Roman"/>
        </w:rPr>
        <w:t xml:space="preserve"> (</w:t>
      </w:r>
      <w:r w:rsidRPr="003E634D">
        <w:rPr>
          <w:rFonts w:ascii="Book Antiqua" w:eastAsia="Times New Roman" w:hAnsi="Book Antiqua" w:cs="Times New Roman"/>
        </w:rPr>
        <w:t>66,2 millions de Dh</w:t>
      </w:r>
      <w:r w:rsidR="00D71B01">
        <w:rPr>
          <w:rFonts w:ascii="Book Antiqua" w:eastAsia="Times New Roman" w:hAnsi="Book Antiqua" w:cs="Times New Roman"/>
        </w:rPr>
        <w:t>)</w:t>
      </w:r>
      <w:r w:rsidRPr="003E634D">
        <w:rPr>
          <w:rFonts w:ascii="Book Antiqua" w:eastAsia="Times New Roman" w:hAnsi="Book Antiqua" w:cs="Times New Roman"/>
        </w:rPr>
        <w:t xml:space="preserve">. </w:t>
      </w:r>
    </w:p>
    <w:p w:rsidR="00621325" w:rsidRPr="003E634D" w:rsidRDefault="00773C53" w:rsidP="00D71B01">
      <w:pPr>
        <w:spacing w:before="240" w:after="240" w:line="276" w:lineRule="auto"/>
        <w:jc w:val="both"/>
        <w:rPr>
          <w:rFonts w:ascii="Book Antiqua" w:eastAsia="Times New Roman" w:hAnsi="Book Antiqua" w:cs="Times New Roman"/>
        </w:rPr>
      </w:pPr>
      <w:r w:rsidRPr="003E634D">
        <w:rPr>
          <w:rFonts w:ascii="Book Antiqua" w:eastAsia="Times New Roman" w:hAnsi="Book Antiqua" w:cs="Times New Roman"/>
        </w:rPr>
        <w:t xml:space="preserve">Les incidents de violence physique et/ou sexuelle dans les lieux publics, survenus au cours des 12 </w:t>
      </w:r>
      <w:r w:rsidR="00D71B01">
        <w:rPr>
          <w:rFonts w:ascii="Times New Roman" w:eastAsia="Times New Roman" w:hAnsi="Times New Roman" w:cs="Times New Roman"/>
        </w:rPr>
        <w:t>mois précédant l’enquête</w:t>
      </w:r>
      <w:r w:rsidRPr="003E634D">
        <w:rPr>
          <w:rFonts w:ascii="Book Antiqua" w:eastAsia="Times New Roman" w:hAnsi="Book Antiqua" w:cs="Times New Roman"/>
        </w:rPr>
        <w:t xml:space="preserve">, ont </w:t>
      </w:r>
      <w:r w:rsidR="00896F73">
        <w:rPr>
          <w:rFonts w:ascii="Book Antiqua" w:eastAsia="Times New Roman" w:hAnsi="Book Antiqua" w:cs="Times New Roman"/>
        </w:rPr>
        <w:t>engendré</w:t>
      </w:r>
      <w:r w:rsidR="00896F73" w:rsidRPr="003E634D">
        <w:rPr>
          <w:rFonts w:ascii="Book Antiqua" w:eastAsia="Times New Roman" w:hAnsi="Book Antiqua" w:cs="Times New Roman"/>
        </w:rPr>
        <w:t xml:space="preserve">, </w:t>
      </w:r>
      <w:r w:rsidR="00896F73">
        <w:rPr>
          <w:rFonts w:ascii="Book Antiqua" w:eastAsia="Times New Roman" w:hAnsi="Book Antiqua" w:cs="Times New Roman"/>
        </w:rPr>
        <w:t>pour</w:t>
      </w:r>
      <w:r w:rsidRPr="003E634D">
        <w:rPr>
          <w:rFonts w:ascii="Book Antiqua" w:eastAsia="Times New Roman" w:hAnsi="Book Antiqua" w:cs="Times New Roman"/>
        </w:rPr>
        <w:t xml:space="preserve"> 6,3% des victimes, un coût total indirect de 91,6 millions de Dh dont 68,6 millions (75%) sont dus à la perte des jours </w:t>
      </w:r>
      <w:r w:rsidR="00D71B01" w:rsidRPr="003E634D">
        <w:rPr>
          <w:rFonts w:ascii="Book Antiqua" w:eastAsia="Times New Roman" w:hAnsi="Book Antiqua" w:cs="Times New Roman"/>
        </w:rPr>
        <w:t>d</w:t>
      </w:r>
      <w:r w:rsidR="00D71B01">
        <w:rPr>
          <w:rFonts w:ascii="Book Antiqua" w:eastAsia="Times New Roman" w:hAnsi="Book Antiqua" w:cs="Times New Roman"/>
        </w:rPr>
        <w:t>e</w:t>
      </w:r>
      <w:r w:rsidR="00845BD5">
        <w:rPr>
          <w:rFonts w:ascii="Book Antiqua" w:eastAsia="Times New Roman" w:hAnsi="Book Antiqua" w:cs="Times New Roman"/>
        </w:rPr>
        <w:t xml:space="preserve"> </w:t>
      </w:r>
      <w:r w:rsidRPr="003E634D">
        <w:rPr>
          <w:rFonts w:ascii="Book Antiqua" w:eastAsia="Times New Roman" w:hAnsi="Book Antiqua" w:cs="Times New Roman"/>
        </w:rPr>
        <w:t xml:space="preserve">travail rémunéré des victimes et de leurs conjoints. </w:t>
      </w: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7E2697" w:rsidRDefault="007E2697" w:rsidP="002401A7">
      <w:pPr>
        <w:spacing w:line="276" w:lineRule="auto"/>
        <w:jc w:val="both"/>
        <w:rPr>
          <w:rFonts w:ascii="Book Antiqua" w:eastAsia="Times New Roman" w:hAnsi="Book Antiqua" w:cs="Times New Roman"/>
          <w:b/>
        </w:rPr>
      </w:pPr>
    </w:p>
    <w:p w:rsidR="002401A7" w:rsidRDefault="00773C53" w:rsidP="002401A7">
      <w:pPr>
        <w:spacing w:line="276" w:lineRule="auto"/>
        <w:jc w:val="both"/>
        <w:rPr>
          <w:rFonts w:ascii="Book Antiqua" w:eastAsia="Times New Roman" w:hAnsi="Book Antiqua" w:cs="Times New Roman"/>
          <w:b/>
        </w:rPr>
      </w:pPr>
      <w:r w:rsidRPr="003E634D">
        <w:rPr>
          <w:rFonts w:ascii="Book Antiqua" w:eastAsia="Times New Roman" w:hAnsi="Book Antiqua" w:cs="Times New Roman"/>
          <w:b/>
        </w:rPr>
        <w:lastRenderedPageBreak/>
        <w:t xml:space="preserve">Graphique </w:t>
      </w:r>
      <w:r w:rsidR="007E2697">
        <w:rPr>
          <w:rFonts w:ascii="Book Antiqua" w:eastAsia="Times New Roman" w:hAnsi="Book Antiqua" w:cs="Times New Roman"/>
          <w:b/>
        </w:rPr>
        <w:t>6</w:t>
      </w:r>
      <w:r w:rsidRPr="003E634D">
        <w:rPr>
          <w:rFonts w:ascii="Book Antiqua" w:eastAsia="Times New Roman" w:hAnsi="Book Antiqua" w:cs="Times New Roman"/>
          <w:b/>
        </w:rPr>
        <w:t xml:space="preserve"> : </w:t>
      </w:r>
      <w:r w:rsidR="000A0DD4">
        <w:rPr>
          <w:rFonts w:ascii="Book Antiqua" w:eastAsia="Times New Roman" w:hAnsi="Book Antiqua" w:cs="Times New Roman"/>
          <w:b/>
        </w:rPr>
        <w:t>Répartition</w:t>
      </w:r>
      <w:r w:rsidR="007E2697">
        <w:rPr>
          <w:rFonts w:ascii="Book Antiqua" w:eastAsia="Times New Roman" w:hAnsi="Book Antiqua" w:cs="Times New Roman"/>
          <w:b/>
        </w:rPr>
        <w:t xml:space="preserve"> </w:t>
      </w:r>
      <w:r w:rsidRPr="003E634D">
        <w:rPr>
          <w:rFonts w:ascii="Book Antiqua" w:eastAsia="Times New Roman" w:hAnsi="Book Antiqua" w:cs="Times New Roman"/>
          <w:b/>
        </w:rPr>
        <w:t>des dépenses</w:t>
      </w:r>
      <w:r w:rsidR="007E2697">
        <w:rPr>
          <w:rFonts w:ascii="Book Antiqua" w:eastAsia="Times New Roman" w:hAnsi="Book Antiqua" w:cs="Times New Roman"/>
          <w:b/>
        </w:rPr>
        <w:t xml:space="preserve"> des ménages pour</w:t>
      </w:r>
      <w:r w:rsidRPr="003E634D">
        <w:rPr>
          <w:rFonts w:ascii="Book Antiqua" w:eastAsia="Times New Roman" w:hAnsi="Book Antiqua" w:cs="Times New Roman"/>
          <w:b/>
        </w:rPr>
        <w:t xml:space="preserve"> le</w:t>
      </w:r>
      <w:r w:rsidR="007E2697">
        <w:rPr>
          <w:rFonts w:ascii="Book Antiqua" w:eastAsia="Times New Roman" w:hAnsi="Book Antiqua" w:cs="Times New Roman"/>
          <w:b/>
        </w:rPr>
        <w:t>s</w:t>
      </w:r>
      <w:r w:rsidRPr="003E634D">
        <w:rPr>
          <w:rFonts w:ascii="Book Antiqua" w:eastAsia="Times New Roman" w:hAnsi="Book Antiqua" w:cs="Times New Roman"/>
          <w:b/>
        </w:rPr>
        <w:t xml:space="preserve"> coût</w:t>
      </w:r>
      <w:r w:rsidR="007E2697">
        <w:rPr>
          <w:rFonts w:ascii="Book Antiqua" w:eastAsia="Times New Roman" w:hAnsi="Book Antiqua" w:cs="Times New Roman"/>
          <w:b/>
        </w:rPr>
        <w:t>s</w:t>
      </w:r>
      <w:r w:rsidRPr="003E634D">
        <w:rPr>
          <w:rFonts w:ascii="Book Antiqua" w:eastAsia="Times New Roman" w:hAnsi="Book Antiqua" w:cs="Times New Roman"/>
          <w:b/>
        </w:rPr>
        <w:t xml:space="preserve"> direct </w:t>
      </w:r>
      <w:r w:rsidR="007E2697">
        <w:rPr>
          <w:rFonts w:ascii="Book Antiqua" w:eastAsia="Times New Roman" w:hAnsi="Book Antiqua" w:cs="Times New Roman"/>
          <w:b/>
        </w:rPr>
        <w:t>et</w:t>
      </w:r>
      <w:r w:rsidRPr="003E634D">
        <w:rPr>
          <w:rFonts w:ascii="Book Antiqua" w:eastAsia="Times New Roman" w:hAnsi="Book Antiqua" w:cs="Times New Roman"/>
          <w:b/>
        </w:rPr>
        <w:t xml:space="preserve"> indirect de la violence dans les espaces publics (en %)</w:t>
      </w:r>
    </w:p>
    <w:p w:rsidR="002401A7" w:rsidRDefault="002401A7" w:rsidP="002401A7">
      <w:pPr>
        <w:spacing w:line="276" w:lineRule="auto"/>
        <w:jc w:val="both"/>
        <w:rPr>
          <w:rFonts w:ascii="Book Antiqua" w:eastAsia="Times New Roman" w:hAnsi="Book Antiqua" w:cs="Times New Roman"/>
          <w:b/>
        </w:rPr>
      </w:pPr>
    </w:p>
    <w:p w:rsidR="000A711B" w:rsidRPr="003E634D" w:rsidRDefault="002401A7" w:rsidP="002401A7">
      <w:pPr>
        <w:spacing w:line="276" w:lineRule="auto"/>
        <w:jc w:val="both"/>
        <w:rPr>
          <w:rFonts w:ascii="Book Antiqua" w:eastAsia="Times New Roman" w:hAnsi="Book Antiqua" w:cs="Times New Roman"/>
        </w:rPr>
      </w:pPr>
      <w:r>
        <w:rPr>
          <w:noProof/>
        </w:rPr>
        <w:drawing>
          <wp:inline distT="0" distB="0" distL="0" distR="0">
            <wp:extent cx="5263375" cy="289877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extent cx="5262880" cy="270954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21325" w:rsidRPr="00C77B0C" w:rsidRDefault="00773C53" w:rsidP="00BF0CCF">
      <w:pPr>
        <w:spacing w:line="276" w:lineRule="auto"/>
        <w:jc w:val="both"/>
        <w:rPr>
          <w:rFonts w:ascii="Times New Roman" w:eastAsia="Times New Roman" w:hAnsi="Times New Roman" w:cs="Times New Roman"/>
          <w:sz w:val="20"/>
          <w:szCs w:val="20"/>
        </w:rPr>
      </w:pPr>
      <w:r w:rsidRPr="00C77B0C">
        <w:rPr>
          <w:rFonts w:ascii="Book Antiqua" w:eastAsia="Times New Roman" w:hAnsi="Book Antiqua" w:cs="Times New Roman"/>
          <w:b/>
          <w:sz w:val="20"/>
          <w:szCs w:val="20"/>
        </w:rPr>
        <w:t>Source</w:t>
      </w:r>
      <w:r w:rsidR="00845BD5">
        <w:rPr>
          <w:rFonts w:ascii="Book Antiqua" w:eastAsia="Times New Roman" w:hAnsi="Book Antiqua" w:cs="Times New Roman"/>
          <w:b/>
          <w:sz w:val="20"/>
          <w:szCs w:val="20"/>
        </w:rPr>
        <w:t xml:space="preserve"> </w:t>
      </w:r>
      <w:r w:rsidRPr="00C77B0C">
        <w:rPr>
          <w:rFonts w:ascii="Book Antiqua" w:eastAsia="Times New Roman" w:hAnsi="Book Antiqua" w:cs="Times New Roman"/>
          <w:b/>
          <w:sz w:val="20"/>
          <w:szCs w:val="20"/>
        </w:rPr>
        <w:t xml:space="preserve">: HCP, </w:t>
      </w:r>
      <w:r w:rsidR="00C0458A" w:rsidRPr="00C77B0C">
        <w:rPr>
          <w:rFonts w:ascii="Book Antiqua" w:eastAsia="Times New Roman" w:hAnsi="Book Antiqua" w:cs="Times New Roman"/>
          <w:b/>
          <w:sz w:val="20"/>
          <w:szCs w:val="20"/>
        </w:rPr>
        <w:t>Enquête nationale sur la violence à l’encontre des femmes et des hommes 201</w:t>
      </w:r>
      <w:r w:rsidR="00C0458A" w:rsidRPr="00C77B0C">
        <w:rPr>
          <w:rFonts w:ascii="Times New Roman" w:eastAsia="Times New Roman" w:hAnsi="Times New Roman" w:cs="Times New Roman"/>
          <w:b/>
          <w:sz w:val="20"/>
          <w:szCs w:val="20"/>
        </w:rPr>
        <w:t>9</w:t>
      </w:r>
    </w:p>
    <w:sectPr w:rsidR="00621325" w:rsidRPr="00C77B0C" w:rsidSect="00ED5FD4">
      <w:footerReference w:type="default" r:id="rId22"/>
      <w:pgSz w:w="12240" w:h="15840"/>
      <w:pgMar w:top="1440" w:right="1800" w:bottom="1440" w:left="1800" w:header="708"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4F" w:rsidRDefault="00C7454F" w:rsidP="00621325">
      <w:r>
        <w:separator/>
      </w:r>
    </w:p>
  </w:endnote>
  <w:endnote w:type="continuationSeparator" w:id="0">
    <w:p w:rsidR="00C7454F" w:rsidRDefault="00C7454F" w:rsidP="00621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venir Book">
    <w:altName w:val="Avenir Book"/>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55915"/>
      <w:docPartObj>
        <w:docPartGallery w:val="Page Numbers (Bottom of Page)"/>
        <w:docPartUnique/>
      </w:docPartObj>
    </w:sdtPr>
    <w:sdtContent>
      <w:p w:rsidR="00ED5FD4" w:rsidRDefault="00ED5FD4">
        <w:pPr>
          <w:pStyle w:val="Pieddepage"/>
          <w:jc w:val="center"/>
        </w:pPr>
        <w:fldSimple w:instr=" PAGE   \* MERGEFORMAT ">
          <w:r>
            <w:rPr>
              <w:noProof/>
            </w:rPr>
            <w:t>10</w:t>
          </w:r>
        </w:fldSimple>
      </w:p>
    </w:sdtContent>
  </w:sdt>
  <w:p w:rsidR="00ED5FD4" w:rsidRDefault="00ED5F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4F" w:rsidRDefault="00C7454F" w:rsidP="00621325">
      <w:r>
        <w:separator/>
      </w:r>
    </w:p>
  </w:footnote>
  <w:footnote w:type="continuationSeparator" w:id="0">
    <w:p w:rsidR="00C7454F" w:rsidRDefault="00C7454F" w:rsidP="00621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FFD"/>
    <w:multiLevelType w:val="multilevel"/>
    <w:tmpl w:val="5EBCE16A"/>
    <w:lvl w:ilvl="0">
      <w:start w:val="1"/>
      <w:numFmt w:val="decimal"/>
      <w:lvlText w:val="%1-"/>
      <w:lvlJc w:val="left"/>
      <w:pPr>
        <w:ind w:left="465" w:hanging="465"/>
      </w:pPr>
    </w:lvl>
    <w:lvl w:ilvl="1">
      <w:start w:val="1"/>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1">
    <w:nsid w:val="25183324"/>
    <w:multiLevelType w:val="multilevel"/>
    <w:tmpl w:val="67964EBA"/>
    <w:lvl w:ilvl="0">
      <w:start w:val="4"/>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7C69D5"/>
    <w:multiLevelType w:val="hybridMultilevel"/>
    <w:tmpl w:val="FE6C276E"/>
    <w:lvl w:ilvl="0" w:tplc="BA6C51F0">
      <w:start w:val="2"/>
      <w:numFmt w:val="upperRoman"/>
      <w:lvlText w:val="%1."/>
      <w:lvlJc w:val="left"/>
      <w:pPr>
        <w:ind w:left="1080" w:hanging="720"/>
      </w:pPr>
      <w:rPr>
        <w:rFonts w:hint="default"/>
        <w:b/>
        <w:color w:val="1F3864"/>
        <w:sz w:val="28"/>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nsid w:val="30C820B8"/>
    <w:multiLevelType w:val="multilevel"/>
    <w:tmpl w:val="C19E5A3A"/>
    <w:lvl w:ilvl="0">
      <w:start w:val="5"/>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5D27BBF"/>
    <w:multiLevelType w:val="multilevel"/>
    <w:tmpl w:val="F9AE21C8"/>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00704C"/>
    <w:multiLevelType w:val="hybridMultilevel"/>
    <w:tmpl w:val="59EC1EDC"/>
    <w:lvl w:ilvl="0" w:tplc="2E305474">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
    <w:nsid w:val="3F3808FD"/>
    <w:multiLevelType w:val="multilevel"/>
    <w:tmpl w:val="E6CE1EC6"/>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697120"/>
    <w:multiLevelType w:val="hybridMultilevel"/>
    <w:tmpl w:val="09BA9F06"/>
    <w:lvl w:ilvl="0" w:tplc="160C1884">
      <w:start w:val="2"/>
      <w:numFmt w:val="upperRoman"/>
      <w:lvlText w:val="%1."/>
      <w:lvlJc w:val="left"/>
      <w:pPr>
        <w:ind w:left="1800" w:hanging="720"/>
      </w:pPr>
      <w:rPr>
        <w:rFonts w:hint="default"/>
        <w:b/>
        <w:color w:val="1F3864"/>
        <w:sz w:val="28"/>
      </w:r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abstractNum w:abstractNumId="8">
    <w:nsid w:val="5F8544E6"/>
    <w:multiLevelType w:val="hybridMultilevel"/>
    <w:tmpl w:val="F7A4F8DC"/>
    <w:lvl w:ilvl="0" w:tplc="DF5C5B90">
      <w:start w:val="5"/>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nsid w:val="6C3B5EBB"/>
    <w:multiLevelType w:val="multilevel"/>
    <w:tmpl w:val="F9AE21C8"/>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6"/>
  </w:num>
  <w:num w:numId="4">
    <w:abstractNumId w:val="0"/>
  </w:num>
  <w:num w:numId="5">
    <w:abstractNumId w:val="1"/>
  </w:num>
  <w:num w:numId="6">
    <w:abstractNumId w:val="4"/>
  </w:num>
  <w:num w:numId="7">
    <w:abstractNumId w:val="8"/>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21325"/>
    <w:rsid w:val="00011FC3"/>
    <w:rsid w:val="00015BBB"/>
    <w:rsid w:val="00031DE5"/>
    <w:rsid w:val="0003450C"/>
    <w:rsid w:val="00036342"/>
    <w:rsid w:val="0003691E"/>
    <w:rsid w:val="00043A3E"/>
    <w:rsid w:val="00051034"/>
    <w:rsid w:val="00052AA3"/>
    <w:rsid w:val="000556F6"/>
    <w:rsid w:val="00071961"/>
    <w:rsid w:val="00076B71"/>
    <w:rsid w:val="00081834"/>
    <w:rsid w:val="00084516"/>
    <w:rsid w:val="000927D1"/>
    <w:rsid w:val="000A0DD4"/>
    <w:rsid w:val="000A711B"/>
    <w:rsid w:val="000C5705"/>
    <w:rsid w:val="000E35D2"/>
    <w:rsid w:val="000F0395"/>
    <w:rsid w:val="000F072B"/>
    <w:rsid w:val="000F629A"/>
    <w:rsid w:val="00103146"/>
    <w:rsid w:val="00124C9D"/>
    <w:rsid w:val="00170D40"/>
    <w:rsid w:val="00186A0B"/>
    <w:rsid w:val="001C0461"/>
    <w:rsid w:val="001C2733"/>
    <w:rsid w:val="001C43FB"/>
    <w:rsid w:val="001D0F93"/>
    <w:rsid w:val="001E541F"/>
    <w:rsid w:val="001E5B9E"/>
    <w:rsid w:val="001F3C06"/>
    <w:rsid w:val="001F3F4D"/>
    <w:rsid w:val="001F5456"/>
    <w:rsid w:val="001F69E0"/>
    <w:rsid w:val="00231934"/>
    <w:rsid w:val="002401A7"/>
    <w:rsid w:val="00245FD7"/>
    <w:rsid w:val="00261168"/>
    <w:rsid w:val="00295DF1"/>
    <w:rsid w:val="002D2A37"/>
    <w:rsid w:val="002E2A48"/>
    <w:rsid w:val="002E3E6B"/>
    <w:rsid w:val="002F0D7C"/>
    <w:rsid w:val="002F7374"/>
    <w:rsid w:val="003226FA"/>
    <w:rsid w:val="00334559"/>
    <w:rsid w:val="00342597"/>
    <w:rsid w:val="003575C4"/>
    <w:rsid w:val="00381325"/>
    <w:rsid w:val="00383CF6"/>
    <w:rsid w:val="003905C5"/>
    <w:rsid w:val="00394658"/>
    <w:rsid w:val="003968AC"/>
    <w:rsid w:val="003B161B"/>
    <w:rsid w:val="003E3226"/>
    <w:rsid w:val="003E634D"/>
    <w:rsid w:val="00420930"/>
    <w:rsid w:val="00432D78"/>
    <w:rsid w:val="00435B69"/>
    <w:rsid w:val="00457288"/>
    <w:rsid w:val="00457ECC"/>
    <w:rsid w:val="0046006C"/>
    <w:rsid w:val="0046688F"/>
    <w:rsid w:val="00480FAB"/>
    <w:rsid w:val="00482DBA"/>
    <w:rsid w:val="004A43AB"/>
    <w:rsid w:val="004B02ED"/>
    <w:rsid w:val="004C37E1"/>
    <w:rsid w:val="004D7B6E"/>
    <w:rsid w:val="004E2FBD"/>
    <w:rsid w:val="004E674E"/>
    <w:rsid w:val="004F1517"/>
    <w:rsid w:val="00502B7B"/>
    <w:rsid w:val="005034E3"/>
    <w:rsid w:val="00511955"/>
    <w:rsid w:val="005142E4"/>
    <w:rsid w:val="00542A58"/>
    <w:rsid w:val="005855B4"/>
    <w:rsid w:val="005A698B"/>
    <w:rsid w:val="005B25E5"/>
    <w:rsid w:val="005C04FA"/>
    <w:rsid w:val="005D0954"/>
    <w:rsid w:val="005E5ACE"/>
    <w:rsid w:val="005E5B5E"/>
    <w:rsid w:val="005F1202"/>
    <w:rsid w:val="005F397C"/>
    <w:rsid w:val="006202EE"/>
    <w:rsid w:val="00621325"/>
    <w:rsid w:val="00630B82"/>
    <w:rsid w:val="00631B6E"/>
    <w:rsid w:val="00634904"/>
    <w:rsid w:val="006376BA"/>
    <w:rsid w:val="0066127E"/>
    <w:rsid w:val="00675465"/>
    <w:rsid w:val="00675C33"/>
    <w:rsid w:val="00693208"/>
    <w:rsid w:val="006A3B38"/>
    <w:rsid w:val="006B2BE0"/>
    <w:rsid w:val="006C23C1"/>
    <w:rsid w:val="006E20FC"/>
    <w:rsid w:val="006F1F8E"/>
    <w:rsid w:val="006F41EA"/>
    <w:rsid w:val="007659E9"/>
    <w:rsid w:val="00773C53"/>
    <w:rsid w:val="007743B2"/>
    <w:rsid w:val="007D0CE3"/>
    <w:rsid w:val="007D5C04"/>
    <w:rsid w:val="007E2697"/>
    <w:rsid w:val="007F33BD"/>
    <w:rsid w:val="008076E9"/>
    <w:rsid w:val="00844F70"/>
    <w:rsid w:val="00845BD5"/>
    <w:rsid w:val="00896F73"/>
    <w:rsid w:val="008A160F"/>
    <w:rsid w:val="008A38FB"/>
    <w:rsid w:val="008C1039"/>
    <w:rsid w:val="00904AF0"/>
    <w:rsid w:val="00906A52"/>
    <w:rsid w:val="00923BE9"/>
    <w:rsid w:val="00926AEE"/>
    <w:rsid w:val="00967FD7"/>
    <w:rsid w:val="00971F02"/>
    <w:rsid w:val="009A456C"/>
    <w:rsid w:val="009B2ADE"/>
    <w:rsid w:val="009C41CB"/>
    <w:rsid w:val="009D24FC"/>
    <w:rsid w:val="00A02110"/>
    <w:rsid w:val="00A20A63"/>
    <w:rsid w:val="00A34FE0"/>
    <w:rsid w:val="00A35EEE"/>
    <w:rsid w:val="00A60B40"/>
    <w:rsid w:val="00A73AD8"/>
    <w:rsid w:val="00A7534B"/>
    <w:rsid w:val="00A77385"/>
    <w:rsid w:val="00A777D7"/>
    <w:rsid w:val="00A84BD0"/>
    <w:rsid w:val="00A95991"/>
    <w:rsid w:val="00A96B34"/>
    <w:rsid w:val="00AA09BD"/>
    <w:rsid w:val="00AC62D1"/>
    <w:rsid w:val="00AF0A5E"/>
    <w:rsid w:val="00AF7CFB"/>
    <w:rsid w:val="00B31326"/>
    <w:rsid w:val="00B320CC"/>
    <w:rsid w:val="00B511B7"/>
    <w:rsid w:val="00B83C1A"/>
    <w:rsid w:val="00B84308"/>
    <w:rsid w:val="00BB5E6B"/>
    <w:rsid w:val="00BC6498"/>
    <w:rsid w:val="00BD0FCE"/>
    <w:rsid w:val="00BD4777"/>
    <w:rsid w:val="00BD7480"/>
    <w:rsid w:val="00BE25C0"/>
    <w:rsid w:val="00BF0CCF"/>
    <w:rsid w:val="00BF6975"/>
    <w:rsid w:val="00C03E60"/>
    <w:rsid w:val="00C0458A"/>
    <w:rsid w:val="00C14558"/>
    <w:rsid w:val="00C64C26"/>
    <w:rsid w:val="00C743A1"/>
    <w:rsid w:val="00C7454F"/>
    <w:rsid w:val="00C77B0C"/>
    <w:rsid w:val="00C92953"/>
    <w:rsid w:val="00C95CC7"/>
    <w:rsid w:val="00C96CB6"/>
    <w:rsid w:val="00CC7AE7"/>
    <w:rsid w:val="00CD7C14"/>
    <w:rsid w:val="00D0343D"/>
    <w:rsid w:val="00D137B5"/>
    <w:rsid w:val="00D14AFB"/>
    <w:rsid w:val="00D2113F"/>
    <w:rsid w:val="00D41E9B"/>
    <w:rsid w:val="00D43741"/>
    <w:rsid w:val="00D46F07"/>
    <w:rsid w:val="00D67101"/>
    <w:rsid w:val="00D71B01"/>
    <w:rsid w:val="00D83C7D"/>
    <w:rsid w:val="00D85449"/>
    <w:rsid w:val="00D969FF"/>
    <w:rsid w:val="00DB03B3"/>
    <w:rsid w:val="00DC7337"/>
    <w:rsid w:val="00DF3558"/>
    <w:rsid w:val="00DF3C40"/>
    <w:rsid w:val="00E267F1"/>
    <w:rsid w:val="00E4218B"/>
    <w:rsid w:val="00E66315"/>
    <w:rsid w:val="00E82839"/>
    <w:rsid w:val="00E9301D"/>
    <w:rsid w:val="00EB0543"/>
    <w:rsid w:val="00EB763C"/>
    <w:rsid w:val="00ED5FD4"/>
    <w:rsid w:val="00EE553F"/>
    <w:rsid w:val="00F038B1"/>
    <w:rsid w:val="00F05CD2"/>
    <w:rsid w:val="00F30D7D"/>
    <w:rsid w:val="00F31D69"/>
    <w:rsid w:val="00F41282"/>
    <w:rsid w:val="00F41654"/>
    <w:rsid w:val="00F47DD3"/>
    <w:rsid w:val="00F645BA"/>
    <w:rsid w:val="00F71C7F"/>
    <w:rsid w:val="00F8180B"/>
    <w:rsid w:val="00F9066C"/>
    <w:rsid w:val="00F91800"/>
    <w:rsid w:val="00FA6A89"/>
    <w:rsid w:val="00FC0E2C"/>
    <w:rsid w:val="00FE3610"/>
    <w:rsid w:val="00FE4353"/>
    <w:rsid w:val="00FF1BA8"/>
    <w:rsid w:val="00FF2AFA"/>
    <w:rsid w:val="00FF6F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F3"/>
    <w:rPr>
      <w:rFonts w:eastAsiaTheme="minorEastAsia"/>
    </w:rPr>
  </w:style>
  <w:style w:type="paragraph" w:styleId="Titre1">
    <w:name w:val="heading 1"/>
    <w:basedOn w:val="Normal"/>
    <w:next w:val="Normal"/>
    <w:link w:val="Titre1Car"/>
    <w:uiPriority w:val="9"/>
    <w:qFormat/>
    <w:rsid w:val="001304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qFormat/>
    <w:rsid w:val="00D938F3"/>
    <w:pPr>
      <w:keepNext/>
      <w:spacing w:before="240" w:after="60"/>
      <w:outlineLvl w:val="1"/>
    </w:pPr>
    <w:rPr>
      <w:rFonts w:eastAsia="MS Gothic" w:cs="Times New Roman"/>
      <w:b/>
      <w:bCs/>
      <w:i/>
      <w:iCs/>
      <w:sz w:val="28"/>
      <w:szCs w:val="28"/>
    </w:rPr>
  </w:style>
  <w:style w:type="paragraph" w:styleId="Titre3">
    <w:name w:val="heading 3"/>
    <w:basedOn w:val="Normal1"/>
    <w:next w:val="Normal1"/>
    <w:rsid w:val="00FE3817"/>
    <w:pPr>
      <w:keepNext/>
      <w:keepLines/>
      <w:spacing w:before="280" w:after="80"/>
      <w:outlineLvl w:val="2"/>
    </w:pPr>
    <w:rPr>
      <w:b/>
      <w:sz w:val="28"/>
      <w:szCs w:val="28"/>
    </w:rPr>
  </w:style>
  <w:style w:type="paragraph" w:styleId="Titre4">
    <w:name w:val="heading 4"/>
    <w:basedOn w:val="Normal1"/>
    <w:next w:val="Normal1"/>
    <w:rsid w:val="00FE3817"/>
    <w:pPr>
      <w:keepNext/>
      <w:keepLines/>
      <w:spacing w:before="240" w:after="40"/>
      <w:outlineLvl w:val="3"/>
    </w:pPr>
    <w:rPr>
      <w:b/>
    </w:rPr>
  </w:style>
  <w:style w:type="paragraph" w:styleId="Titre5">
    <w:name w:val="heading 5"/>
    <w:basedOn w:val="Normal1"/>
    <w:next w:val="Normal1"/>
    <w:rsid w:val="00FE3817"/>
    <w:pPr>
      <w:keepNext/>
      <w:keepLines/>
      <w:spacing w:before="220" w:after="40"/>
      <w:outlineLvl w:val="4"/>
    </w:pPr>
    <w:rPr>
      <w:b/>
      <w:sz w:val="22"/>
      <w:szCs w:val="22"/>
    </w:rPr>
  </w:style>
  <w:style w:type="paragraph" w:styleId="Titre6">
    <w:name w:val="heading 6"/>
    <w:basedOn w:val="Normal1"/>
    <w:next w:val="Normal1"/>
    <w:rsid w:val="00FE381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0">
    <w:name w:val="Normal1"/>
    <w:rsid w:val="00621325"/>
  </w:style>
  <w:style w:type="table" w:customStyle="1" w:styleId="TableNormal1">
    <w:name w:val="Table Normal1"/>
    <w:rsid w:val="00621325"/>
    <w:tblPr>
      <w:tblCellMar>
        <w:top w:w="0" w:type="dxa"/>
        <w:left w:w="0" w:type="dxa"/>
        <w:bottom w:w="0" w:type="dxa"/>
        <w:right w:w="0" w:type="dxa"/>
      </w:tblCellMar>
    </w:tblPr>
  </w:style>
  <w:style w:type="paragraph" w:styleId="Titre">
    <w:name w:val="Title"/>
    <w:basedOn w:val="Normal1"/>
    <w:next w:val="Normal1"/>
    <w:rsid w:val="00FE3817"/>
    <w:pPr>
      <w:keepNext/>
      <w:keepLines/>
      <w:spacing w:before="480" w:after="120"/>
    </w:pPr>
    <w:rPr>
      <w:b/>
      <w:sz w:val="72"/>
      <w:szCs w:val="72"/>
    </w:rPr>
  </w:style>
  <w:style w:type="paragraph" w:customStyle="1" w:styleId="Normal1">
    <w:name w:val="Normal1"/>
    <w:rsid w:val="00FE3817"/>
  </w:style>
  <w:style w:type="table" w:customStyle="1" w:styleId="TableNormal10">
    <w:name w:val="Table Normal1"/>
    <w:rsid w:val="00FE3817"/>
    <w:tblPr>
      <w:tblCellMar>
        <w:top w:w="0" w:type="dxa"/>
        <w:left w:w="0" w:type="dxa"/>
        <w:bottom w:w="0" w:type="dxa"/>
        <w:right w:w="0" w:type="dxa"/>
      </w:tblCellMar>
    </w:tblPr>
  </w:style>
  <w:style w:type="character" w:customStyle="1" w:styleId="Titre2Car">
    <w:name w:val="Titre 2 Car"/>
    <w:basedOn w:val="Policepardfaut"/>
    <w:link w:val="Titre2"/>
    <w:uiPriority w:val="9"/>
    <w:rsid w:val="00D938F3"/>
    <w:rPr>
      <w:rFonts w:ascii="Calibri" w:eastAsia="MS Gothic" w:hAnsi="Calibri" w:cs="Times New Roman"/>
      <w:b/>
      <w:bCs/>
      <w:i/>
      <w:iCs/>
      <w:sz w:val="28"/>
      <w:szCs w:val="28"/>
      <w:lang w:val="fr-FR"/>
    </w:rPr>
  </w:style>
  <w:style w:type="character" w:styleId="Appelnotedebasdep">
    <w:name w:val="footnote reference"/>
    <w:aliases w:val=" BVI fnr Car Car1 Car Car Char Car1 Char Car,BVI fnr Car Car Car Car1 Char Car1 Char Car, BVI fnr Car Car Car Car Car Car Char Car1 Char Car,BVI fnr Car Car Car Car Car Char Car1 Char Car Car, BVI fnr Car Car1 Car Car Char Car1"/>
    <w:basedOn w:val="Policepardfaut"/>
    <w:link w:val="BVIfnrCarCar1CarCarCharCar1Char"/>
    <w:uiPriority w:val="99"/>
    <w:unhideWhenUsed/>
    <w:rsid w:val="00D938F3"/>
    <w:rPr>
      <w:vertAlign w:val="superscript"/>
    </w:rPr>
  </w:style>
  <w:style w:type="paragraph" w:styleId="Notedebasdepage">
    <w:name w:val="footnote text"/>
    <w:aliases w:val="single space,Texto nota pie Car Car Car,FOOTNOTES,fn,Footnote Text Char Char Char,Footnote Text1 Char,Footnote Text2,Footnote Text Char Char Char1 Char,Footnote Text Char Char Char1,ft,ADB, Car,Car,Car Car Car,Car Car Car Car Car Car"/>
    <w:basedOn w:val="Normal"/>
    <w:link w:val="NotedebasdepageCar"/>
    <w:uiPriority w:val="99"/>
    <w:unhideWhenUsed/>
    <w:rsid w:val="00D938F3"/>
  </w:style>
  <w:style w:type="character" w:customStyle="1" w:styleId="NotedebasdepageCar">
    <w:name w:val="Note de bas de page Car"/>
    <w:aliases w:val="single space Car,Texto nota pie Car Car Car Car,FOOTNOTES Car,fn Car,Footnote Text Char Char Char Car,Footnote Text1 Char Car,Footnote Text2 Car,Footnote Text Char Char Char1 Char Car,Footnote Text Char Char Char1 Car,ft Car"/>
    <w:basedOn w:val="Policepardfaut"/>
    <w:link w:val="Notedebasdepage"/>
    <w:uiPriority w:val="99"/>
    <w:rsid w:val="00D938F3"/>
    <w:rPr>
      <w:rFonts w:eastAsiaTheme="minorEastAsia"/>
      <w:lang w:val="fr-FR"/>
    </w:rPr>
  </w:style>
  <w:style w:type="paragraph" w:styleId="Paragraphedeliste">
    <w:name w:val="List Paragraph"/>
    <w:basedOn w:val="Normal"/>
    <w:uiPriority w:val="34"/>
    <w:qFormat/>
    <w:rsid w:val="00D938F3"/>
    <w:pPr>
      <w:ind w:left="720"/>
      <w:contextualSpacing/>
    </w:pPr>
  </w:style>
  <w:style w:type="character" w:styleId="Marquedecommentaire">
    <w:name w:val="annotation reference"/>
    <w:basedOn w:val="Policepardfaut"/>
    <w:uiPriority w:val="99"/>
    <w:semiHidden/>
    <w:unhideWhenUsed/>
    <w:rsid w:val="00D938F3"/>
    <w:rPr>
      <w:sz w:val="18"/>
      <w:szCs w:val="18"/>
    </w:rPr>
  </w:style>
  <w:style w:type="paragraph" w:styleId="Commentaire">
    <w:name w:val="annotation text"/>
    <w:basedOn w:val="Normal"/>
    <w:link w:val="CommentaireCar"/>
    <w:uiPriority w:val="99"/>
    <w:unhideWhenUsed/>
    <w:rsid w:val="00D938F3"/>
    <w:pPr>
      <w:spacing w:after="200"/>
    </w:pPr>
    <w:rPr>
      <w:rFonts w:eastAsiaTheme="minorHAnsi"/>
    </w:rPr>
  </w:style>
  <w:style w:type="character" w:customStyle="1" w:styleId="CommentaireCar">
    <w:name w:val="Commentaire Car"/>
    <w:basedOn w:val="Policepardfaut"/>
    <w:link w:val="Commentaire"/>
    <w:uiPriority w:val="99"/>
    <w:rsid w:val="00D938F3"/>
    <w:rPr>
      <w:lang w:val="fr-FR"/>
    </w:rPr>
  </w:style>
  <w:style w:type="character" w:styleId="Lienhypertexte">
    <w:name w:val="Hyperlink"/>
    <w:uiPriority w:val="99"/>
    <w:unhideWhenUsed/>
    <w:rsid w:val="00D938F3"/>
    <w:rPr>
      <w:color w:val="0563C1"/>
      <w:u w:val="single"/>
    </w:rPr>
  </w:style>
  <w:style w:type="character" w:customStyle="1" w:styleId="apple-converted-space">
    <w:name w:val="apple-converted-space"/>
    <w:rsid w:val="00D938F3"/>
  </w:style>
  <w:style w:type="paragraph" w:customStyle="1" w:styleId="BVIfnrCarCar1CarCarCharCar1Char">
    <w:name w:val="BVI fnr Car Car1 Car Car Char Car1 Char"/>
    <w:aliases w:val="BVI fnr Car Car Car Car1 Char Car1 Char, BVI fnr Car Car Car Car Car Car Char Car1 Char,BVI fnr Car Car Car Car Car Char Car1 Char,BVI fnr Car Car Car Car Car Car Char Car1 Char"/>
    <w:basedOn w:val="Normal"/>
    <w:link w:val="Appelnotedebasdep"/>
    <w:uiPriority w:val="99"/>
    <w:rsid w:val="00D938F3"/>
    <w:pPr>
      <w:spacing w:after="160" w:line="240" w:lineRule="exact"/>
    </w:pPr>
    <w:rPr>
      <w:rFonts w:eastAsiaTheme="minorHAnsi"/>
      <w:vertAlign w:val="superscript"/>
      <w:lang w:val="fr-MA"/>
    </w:rPr>
  </w:style>
  <w:style w:type="paragraph" w:styleId="Textedebulles">
    <w:name w:val="Balloon Text"/>
    <w:basedOn w:val="Normal"/>
    <w:link w:val="TextedebullesCar"/>
    <w:uiPriority w:val="99"/>
    <w:semiHidden/>
    <w:unhideWhenUsed/>
    <w:rsid w:val="00D938F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38F3"/>
    <w:rPr>
      <w:rFonts w:ascii="Times New Roman" w:eastAsiaTheme="minorEastAsia" w:hAnsi="Times New Roman" w:cs="Times New Roman"/>
      <w:sz w:val="18"/>
      <w:szCs w:val="18"/>
      <w:lang w:val="fr-FR"/>
    </w:rPr>
  </w:style>
  <w:style w:type="paragraph" w:styleId="Pieddepage">
    <w:name w:val="footer"/>
    <w:basedOn w:val="Normal"/>
    <w:link w:val="PieddepageCar"/>
    <w:uiPriority w:val="99"/>
    <w:unhideWhenUsed/>
    <w:rsid w:val="00D938F3"/>
    <w:pPr>
      <w:tabs>
        <w:tab w:val="center" w:pos="4536"/>
        <w:tab w:val="right" w:pos="9072"/>
      </w:tabs>
    </w:pPr>
    <w:rPr>
      <w:rFonts w:eastAsia="Yu Mincho" w:cs="Times New Roman"/>
    </w:rPr>
  </w:style>
  <w:style w:type="character" w:customStyle="1" w:styleId="PieddepageCar">
    <w:name w:val="Pied de page Car"/>
    <w:basedOn w:val="Policepardfaut"/>
    <w:link w:val="Pieddepage"/>
    <w:uiPriority w:val="99"/>
    <w:rsid w:val="00D938F3"/>
    <w:rPr>
      <w:rFonts w:ascii="Calibri" w:eastAsia="Yu Mincho" w:hAnsi="Calibri" w:cs="Times New Roman"/>
      <w:lang w:val="fr-FR"/>
    </w:rPr>
  </w:style>
  <w:style w:type="character" w:styleId="Numrodepage">
    <w:name w:val="page number"/>
    <w:basedOn w:val="Policepardfaut"/>
    <w:uiPriority w:val="99"/>
    <w:semiHidden/>
    <w:unhideWhenUsed/>
    <w:rsid w:val="00D938F3"/>
  </w:style>
  <w:style w:type="paragraph" w:styleId="Objetducommentaire">
    <w:name w:val="annotation subject"/>
    <w:basedOn w:val="Commentaire"/>
    <w:next w:val="Commentaire"/>
    <w:link w:val="ObjetducommentaireCar"/>
    <w:uiPriority w:val="99"/>
    <w:semiHidden/>
    <w:unhideWhenUsed/>
    <w:rsid w:val="00D938F3"/>
    <w:pPr>
      <w:spacing w:after="0"/>
    </w:pPr>
    <w:rPr>
      <w:rFonts w:eastAsia="Yu Mincho" w:cs="Times New Roman"/>
      <w:b/>
      <w:bCs/>
      <w:sz w:val="20"/>
      <w:szCs w:val="20"/>
    </w:rPr>
  </w:style>
  <w:style w:type="character" w:customStyle="1" w:styleId="ObjetducommentaireCar">
    <w:name w:val="Objet du commentaire Car"/>
    <w:basedOn w:val="CommentaireCar"/>
    <w:link w:val="Objetducommentaire"/>
    <w:uiPriority w:val="99"/>
    <w:semiHidden/>
    <w:rsid w:val="00D938F3"/>
    <w:rPr>
      <w:rFonts w:ascii="Calibri" w:eastAsia="Yu Mincho" w:hAnsi="Calibri" w:cs="Times New Roman"/>
      <w:b/>
      <w:bCs/>
      <w:sz w:val="20"/>
      <w:szCs w:val="20"/>
      <w:lang w:val="fr-FR"/>
    </w:rPr>
  </w:style>
  <w:style w:type="paragraph" w:styleId="Rvision">
    <w:name w:val="Revision"/>
    <w:hidden/>
    <w:uiPriority w:val="71"/>
    <w:rsid w:val="00D938F3"/>
    <w:rPr>
      <w:rFonts w:eastAsia="Yu Mincho" w:cs="Times New Roman"/>
    </w:rPr>
  </w:style>
  <w:style w:type="character" w:styleId="Lienhypertextesuivivisit">
    <w:name w:val="FollowedHyperlink"/>
    <w:basedOn w:val="Policepardfaut"/>
    <w:uiPriority w:val="99"/>
    <w:semiHidden/>
    <w:unhideWhenUsed/>
    <w:rsid w:val="004F17C0"/>
    <w:rPr>
      <w:color w:val="954F72" w:themeColor="followedHyperlink"/>
      <w:u w:val="single"/>
    </w:rPr>
  </w:style>
  <w:style w:type="character" w:customStyle="1" w:styleId="Titre1Car">
    <w:name w:val="Titre 1 Car"/>
    <w:basedOn w:val="Policepardfaut"/>
    <w:link w:val="Titre1"/>
    <w:uiPriority w:val="9"/>
    <w:rsid w:val="00130479"/>
    <w:rPr>
      <w:rFonts w:asciiTheme="majorHAnsi" w:eastAsiaTheme="majorEastAsia" w:hAnsiTheme="majorHAnsi" w:cstheme="majorBidi"/>
      <w:color w:val="2F5496" w:themeColor="accent1" w:themeShade="BF"/>
      <w:sz w:val="32"/>
      <w:szCs w:val="32"/>
      <w:lang w:val="fr-FR"/>
    </w:rPr>
  </w:style>
  <w:style w:type="paragraph" w:styleId="Sous-titre">
    <w:name w:val="Subtitle"/>
    <w:basedOn w:val="Normal"/>
    <w:next w:val="Normal"/>
    <w:rsid w:val="00621325"/>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CE4E98"/>
    <w:pPr>
      <w:tabs>
        <w:tab w:val="center" w:pos="4703"/>
        <w:tab w:val="right" w:pos="9406"/>
      </w:tabs>
    </w:pPr>
  </w:style>
  <w:style w:type="character" w:customStyle="1" w:styleId="En-tteCar">
    <w:name w:val="En-tête Car"/>
    <w:basedOn w:val="Policepardfaut"/>
    <w:link w:val="En-tte"/>
    <w:uiPriority w:val="99"/>
    <w:rsid w:val="00CE4E98"/>
    <w:rPr>
      <w:rFonts w:eastAsiaTheme="minorEastAsia"/>
    </w:rPr>
  </w:style>
  <w:style w:type="paragraph" w:styleId="NormalWeb">
    <w:name w:val="Normal (Web)"/>
    <w:basedOn w:val="Normal"/>
    <w:uiPriority w:val="99"/>
    <w:unhideWhenUsed/>
    <w:rsid w:val="00BB6076"/>
    <w:pPr>
      <w:spacing w:before="100" w:beforeAutospacing="1" w:after="100" w:afterAutospacing="1"/>
    </w:pPr>
    <w:rPr>
      <w:rFonts w:ascii="Times New Roman" w:eastAsia="Times New Roman" w:hAnsi="Times New Roman" w:cs="Times New Roman"/>
      <w:lang w:val="en-US" w:eastAsia="en-US"/>
    </w:rPr>
  </w:style>
  <w:style w:type="table" w:customStyle="1" w:styleId="a">
    <w:basedOn w:val="TableauNormal"/>
    <w:rsid w:val="00621325"/>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621325"/>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621325"/>
    <w:tblPr>
      <w:tblStyleRowBandSize w:val="1"/>
      <w:tblStyleColBandSize w:val="1"/>
      <w:tblInd w:w="0" w:type="dxa"/>
      <w:tblCellMar>
        <w:top w:w="0" w:type="dxa"/>
        <w:left w:w="115" w:type="dxa"/>
        <w:bottom w:w="0" w:type="dxa"/>
        <w:right w:w="115" w:type="dxa"/>
      </w:tblCellMar>
    </w:tblPr>
  </w:style>
  <w:style w:type="table" w:styleId="Grilledutableau">
    <w:name w:val="Table Grid"/>
    <w:basedOn w:val="TableauNormal"/>
    <w:uiPriority w:val="59"/>
    <w:rsid w:val="001D0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4308"/>
    <w:pPr>
      <w:autoSpaceDE w:val="0"/>
      <w:autoSpaceDN w:val="0"/>
      <w:adjustRightInd w:val="0"/>
    </w:pPr>
    <w:rPr>
      <w:rFonts w:ascii="Times New Roman" w:eastAsiaTheme="minorHAnsi" w:hAnsi="Times New Roman" w:cs="Times New Roman"/>
      <w:color w:val="000000"/>
      <w:lang w:eastAsia="en-US"/>
    </w:rPr>
  </w:style>
  <w:style w:type="character" w:customStyle="1" w:styleId="A9">
    <w:name w:val="A9"/>
    <w:uiPriority w:val="99"/>
    <w:rsid w:val="005034E3"/>
    <w:rPr>
      <w:rFonts w:cs="Avenir Book"/>
      <w:color w:val="000000"/>
      <w:sz w:val="18"/>
      <w:szCs w:val="18"/>
    </w:rPr>
  </w:style>
</w:styles>
</file>

<file path=word/webSettings.xml><?xml version="1.0" encoding="utf-8"?>
<w:webSettings xmlns:r="http://schemas.openxmlformats.org/officeDocument/2006/relationships" xmlns:w="http://schemas.openxmlformats.org/wordprocessingml/2006/main">
  <w:divs>
    <w:div w:id="307444269">
      <w:bodyDiv w:val="1"/>
      <w:marLeft w:val="0"/>
      <w:marRight w:val="0"/>
      <w:marTop w:val="0"/>
      <w:marBottom w:val="0"/>
      <w:divBdr>
        <w:top w:val="none" w:sz="0" w:space="0" w:color="auto"/>
        <w:left w:val="none" w:sz="0" w:space="0" w:color="auto"/>
        <w:bottom w:val="none" w:sz="0" w:space="0" w:color="auto"/>
        <w:right w:val="none" w:sz="0" w:space="0" w:color="auto"/>
      </w:divBdr>
    </w:div>
    <w:div w:id="529756029">
      <w:bodyDiv w:val="1"/>
      <w:marLeft w:val="0"/>
      <w:marRight w:val="0"/>
      <w:marTop w:val="0"/>
      <w:marBottom w:val="0"/>
      <w:divBdr>
        <w:top w:val="none" w:sz="0" w:space="0" w:color="auto"/>
        <w:left w:val="none" w:sz="0" w:space="0" w:color="auto"/>
        <w:bottom w:val="none" w:sz="0" w:space="0" w:color="auto"/>
        <w:right w:val="none" w:sz="0" w:space="0" w:color="auto"/>
      </w:divBdr>
    </w:div>
    <w:div w:id="1036585876">
      <w:bodyDiv w:val="1"/>
      <w:marLeft w:val="0"/>
      <w:marRight w:val="0"/>
      <w:marTop w:val="0"/>
      <w:marBottom w:val="0"/>
      <w:divBdr>
        <w:top w:val="none" w:sz="0" w:space="0" w:color="auto"/>
        <w:left w:val="none" w:sz="0" w:space="0" w:color="auto"/>
        <w:bottom w:val="none" w:sz="0" w:space="0" w:color="auto"/>
        <w:right w:val="none" w:sz="0" w:space="0" w:color="auto"/>
      </w:divBdr>
    </w:div>
    <w:div w:id="1101995709">
      <w:bodyDiv w:val="1"/>
      <w:marLeft w:val="0"/>
      <w:marRight w:val="0"/>
      <w:marTop w:val="0"/>
      <w:marBottom w:val="0"/>
      <w:divBdr>
        <w:top w:val="none" w:sz="0" w:space="0" w:color="auto"/>
        <w:left w:val="none" w:sz="0" w:space="0" w:color="auto"/>
        <w:bottom w:val="none" w:sz="0" w:space="0" w:color="auto"/>
        <w:right w:val="none" w:sz="0" w:space="0" w:color="auto"/>
      </w:divBdr>
    </w:div>
    <w:div w:id="1292783487">
      <w:bodyDiv w:val="1"/>
      <w:marLeft w:val="0"/>
      <w:marRight w:val="0"/>
      <w:marTop w:val="0"/>
      <w:marBottom w:val="0"/>
      <w:divBdr>
        <w:top w:val="none" w:sz="0" w:space="0" w:color="auto"/>
        <w:left w:val="none" w:sz="0" w:space="0" w:color="auto"/>
        <w:bottom w:val="none" w:sz="0" w:space="0" w:color="auto"/>
        <w:right w:val="none" w:sz="0" w:space="0" w:color="auto"/>
      </w:divBdr>
    </w:div>
    <w:div w:id="1548685646">
      <w:bodyDiv w:val="1"/>
      <w:marLeft w:val="0"/>
      <w:marRight w:val="0"/>
      <w:marTop w:val="0"/>
      <w:marBottom w:val="0"/>
      <w:divBdr>
        <w:top w:val="none" w:sz="0" w:space="0" w:color="auto"/>
        <w:left w:val="none" w:sz="0" w:space="0" w:color="auto"/>
        <w:bottom w:val="none" w:sz="0" w:space="0" w:color="auto"/>
        <w:right w:val="none" w:sz="0" w:space="0" w:color="auto"/>
      </w:divBdr>
    </w:div>
    <w:div w:id="1564830489">
      <w:bodyDiv w:val="1"/>
      <w:marLeft w:val="0"/>
      <w:marRight w:val="0"/>
      <w:marTop w:val="0"/>
      <w:marBottom w:val="0"/>
      <w:divBdr>
        <w:top w:val="none" w:sz="0" w:space="0" w:color="auto"/>
        <w:left w:val="none" w:sz="0" w:space="0" w:color="auto"/>
        <w:bottom w:val="none" w:sz="0" w:space="0" w:color="auto"/>
        <w:right w:val="none" w:sz="0" w:space="0" w:color="auto"/>
      </w:divBdr>
    </w:div>
    <w:div w:id="1881085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VAW%202020\vaw%20octobre%202020%20F\COUT%20ECONOMIQUE%20SANAA_13novemb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lang="en-US" sz="1600" b="1" i="0" u="none" strike="noStrike" kern="1200" cap="all" baseline="0">
                <a:solidFill>
                  <a:schemeClr val="tx1">
                    <a:lumMod val="65000"/>
                    <a:lumOff val="35000"/>
                  </a:schemeClr>
                </a:solidFill>
                <a:latin typeface="+mn-lt"/>
                <a:ea typeface="+mn-ea"/>
                <a:cs typeface="+mn-cs"/>
              </a:defRPr>
            </a:pPr>
            <a:r>
              <a:rPr lang="en-US" sz="1100"/>
              <a:t>t</a:t>
            </a:r>
            <a:r>
              <a:rPr lang="fr-FR" sz="1100" b="1" i="0" u="none" strike="noStrike" cap="all" baseline="0">
                <a:effectLst/>
              </a:rPr>
              <a:t>ype de coût</a:t>
            </a:r>
            <a:endParaRPr lang="en-US" sz="1100"/>
          </a:p>
        </c:rich>
      </c:tx>
      <c:layout>
        <c:manualLayout>
          <c:xMode val="edge"/>
          <c:yMode val="edge"/>
          <c:x val="0.27203652072673773"/>
          <c:y val="3.4188034188034191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3960462389009886E-2"/>
          <c:y val="0.18893391549971858"/>
          <c:w val="0.87270644360944294"/>
          <c:h val="0.75871969849922671"/>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628A-49B6-A2A5-85115C8EE88E}"/>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628A-49B6-A2A5-85115C8EE88E}"/>
              </c:ext>
            </c:extLst>
          </c:dPt>
          <c:dLbls>
            <c:dLbl>
              <c:idx val="0"/>
              <c:layout>
                <c:manualLayout>
                  <c:x val="-0.16136156132234455"/>
                  <c:y val="-0.32083720304192775"/>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26884565499351493"/>
                      <c:h val="0.27087206406891445"/>
                    </c:manualLayout>
                  </c15:layout>
                </c:ext>
                <c:ext xmlns:c16="http://schemas.microsoft.com/office/drawing/2014/chart" uri="{C3380CC4-5D6E-409C-BE32-E72D297353CC}">
                  <c16:uniqueId val="{00000000-628A-49B6-A2A5-85115C8EE88E}"/>
                </c:ext>
              </c:extLst>
            </c:dLbl>
            <c:dLbl>
              <c:idx val="1"/>
              <c:layout>
                <c:manualLayout>
                  <c:x val="9.5790516457816374E-2"/>
                  <c:y val="7.2927653274109966E-2"/>
                </c:manualLayout>
              </c:layout>
              <c:spPr>
                <a:noFill/>
                <a:ln>
                  <a:noFill/>
                </a:ln>
                <a:effectLst/>
              </c:spPr>
              <c:txPr>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42396887159533075"/>
                      <c:h val="0.22765838885523926"/>
                    </c:manualLayout>
                  </c15:layout>
                </c:ext>
                <c:ext xmlns:c16="http://schemas.microsoft.com/office/drawing/2014/chart" uri="{C3380CC4-5D6E-409C-BE32-E72D297353CC}">
                  <c16:uniqueId val="{00000001-628A-49B6-A2A5-85115C8EE88E}"/>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4'!$B$206:$B$207</c:f>
              <c:strCache>
                <c:ptCount val="2"/>
                <c:pt idx="0">
                  <c:v>Coût direct</c:v>
                </c:pt>
                <c:pt idx="1">
                  <c:v>Coût indirect</c:v>
                </c:pt>
              </c:strCache>
            </c:strRef>
          </c:cat>
          <c:val>
            <c:numRef>
              <c:f>'a retenir sc 4'!$C$206:$C$207</c:f>
              <c:numCache>
                <c:formatCode>0.0</c:formatCode>
                <c:ptCount val="2"/>
                <c:pt idx="0">
                  <c:v>81.825859014880237</c:v>
                </c:pt>
                <c:pt idx="1">
                  <c:v>18.174140985119664</c:v>
                </c:pt>
              </c:numCache>
            </c:numRef>
          </c:val>
          <c:extLst xmlns:c16r2="http://schemas.microsoft.com/office/drawing/2015/06/chart">
            <c:ext xmlns:c16="http://schemas.microsoft.com/office/drawing/2014/chart" uri="{C3380CC4-5D6E-409C-BE32-E72D297353CC}">
              <c16:uniqueId val="{00000002-628A-49B6-A2A5-85115C8EE88E}"/>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lang="en-US" sz="1200" b="1" i="0" u="none" strike="noStrike" kern="1200" cap="all" baseline="0">
                <a:solidFill>
                  <a:schemeClr val="tx1">
                    <a:lumMod val="65000"/>
                    <a:lumOff val="35000"/>
                  </a:schemeClr>
                </a:solidFill>
                <a:latin typeface="+mn-lt"/>
                <a:ea typeface="+mn-ea"/>
                <a:cs typeface="+mn-cs"/>
              </a:defRPr>
            </a:pPr>
            <a:r>
              <a:rPr lang="en-US" sz="1200"/>
              <a:t>Coût  indirect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03FA-47EA-8EFF-4332482FCD3E}"/>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03FA-47EA-8EFF-4332482FCD3E}"/>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03FA-47EA-8EFF-4332482FCD3E}"/>
              </c:ext>
            </c:extLst>
          </c:dPt>
          <c:dLbls>
            <c:dLbl>
              <c:idx val="0"/>
              <c:layout>
                <c:manualLayout>
                  <c:x val="-5.1720543369336829E-4"/>
                  <c:y val="0.22297034447457559"/>
                </c:manualLayout>
              </c:layout>
              <c:tx>
                <c:rich>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r>
                      <a:rPr lang="en-US" sz="1000"/>
                      <a:t>travaux ménagers et soins donnés aux membres</a:t>
                    </a:r>
                  </a:p>
                  <a:p>
                    <a:pPr>
                      <a:defRPr lang="en-US" sz="1000" b="1" i="0" u="none" strike="noStrike" kern="1200" spc="0" baseline="0">
                        <a:solidFill>
                          <a:schemeClr val="tx1"/>
                        </a:solidFill>
                        <a:latin typeface="+mn-lt"/>
                        <a:ea typeface="+mn-ea"/>
                        <a:cs typeface="+mn-cs"/>
                      </a:defRPr>
                    </a:pPr>
                    <a:r>
                      <a:rPr lang="en-US" sz="1000"/>
                      <a:t> 61,3</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36589211693365914"/>
                      <c:h val="0.2210718680911774"/>
                    </c:manualLayout>
                  </c15:layout>
                  <c15:showDataLabelsRange val="0"/>
                </c:ext>
                <c:ext xmlns:c16="http://schemas.microsoft.com/office/drawing/2014/chart" uri="{C3380CC4-5D6E-409C-BE32-E72D297353CC}">
                  <c16:uniqueId val="{00000000-03FA-47EA-8EFF-4332482FCD3E}"/>
                </c:ext>
              </c:extLst>
            </c:dLbl>
            <c:dLbl>
              <c:idx val="1"/>
              <c:tx>
                <c:rich>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r>
                      <a:rPr lang="en-US"/>
                      <a:t>Scolarisation perdue</a:t>
                    </a:r>
                  </a:p>
                  <a:p>
                    <a:pPr>
                      <a:defRPr lang="en-US" sz="1000" b="1" i="0" u="none" strike="noStrike" kern="1200" spc="0" baseline="0">
                        <a:solidFill>
                          <a:schemeClr val="tx1"/>
                        </a:solidFill>
                        <a:latin typeface="+mn-lt"/>
                        <a:ea typeface="+mn-ea"/>
                        <a:cs typeface="+mn-cs"/>
                      </a:defRPr>
                    </a:pPr>
                    <a:r>
                      <a:rPr lang="en-US"/>
                      <a:t> 5</a:t>
                    </a:r>
                  </a:p>
                </c:rich>
              </c:tx>
              <c:spPr>
                <a:noFill/>
                <a:ln>
                  <a:noFill/>
                </a:ln>
                <a:effectLst/>
              </c:spPr>
              <c:dLblPos val="outEnd"/>
              <c:showVal val="1"/>
              <c:showCatName val="1"/>
              <c:extLst xmlns:c16r2="http://schemas.microsoft.com/office/drawing/2015/06/chart">
                <c:ext xmlns:c15="http://schemas.microsoft.com/office/drawing/2012/chart" uri="{CE6537A1-D6FC-4f65-9D91-7224C49458BB}">
                  <c15:layout>
                    <c:manualLayout>
                      <c:w val="0.25548484025703683"/>
                      <c:h val="0.2561274653946265"/>
                    </c:manualLayout>
                  </c15:layout>
                  <c15:showDataLabelsRange val="0"/>
                </c:ext>
                <c:ext xmlns:c16="http://schemas.microsoft.com/office/drawing/2014/chart" uri="{C3380CC4-5D6E-409C-BE32-E72D297353CC}">
                  <c16:uniqueId val="{00000001-03FA-47EA-8EFF-4332482FCD3E}"/>
                </c:ext>
              </c:extLst>
            </c:dLbl>
            <c:dLbl>
              <c:idx val="2"/>
              <c:layout>
                <c:manualLayout>
                  <c:x val="3.5134894913631018E-2"/>
                  <c:y val="-7.4688578865401173E-2"/>
                </c:manualLayout>
              </c:layout>
              <c:tx>
                <c:rich>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r>
                      <a:rPr lang="en-US" sz="1000"/>
                      <a:t>travail rémunéré perdu 33,7</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41005683772287083"/>
                      <c:h val="0.13311203319502074"/>
                    </c:manualLayout>
                  </c15:layout>
                  <c15:showDataLabelsRange val="0"/>
                </c:ext>
                <c:ext xmlns:c16="http://schemas.microsoft.com/office/drawing/2014/chart" uri="{C3380CC4-5D6E-409C-BE32-E72D297353CC}">
                  <c16:uniqueId val="{00000002-03FA-47EA-8EFF-4332482FCD3E}"/>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4'!$AQ$118:$AS$118</c:f>
              <c:strCache>
                <c:ptCount val="3"/>
                <c:pt idx="0">
                  <c:v>travaux ménagers et soins donnés aux membres</c:v>
                </c:pt>
                <c:pt idx="1">
                  <c:v>Scolarisation perdue</c:v>
                </c:pt>
                <c:pt idx="2">
                  <c:v>travail rémunéré perdu</c:v>
                </c:pt>
              </c:strCache>
            </c:strRef>
          </c:cat>
          <c:val>
            <c:numRef>
              <c:f>'a retenir sc 4'!$AQ$119:$AS$119</c:f>
              <c:numCache>
                <c:formatCode>General</c:formatCode>
                <c:ptCount val="3"/>
                <c:pt idx="0">
                  <c:v>61.3</c:v>
                </c:pt>
                <c:pt idx="1">
                  <c:v>5</c:v>
                </c:pt>
                <c:pt idx="2">
                  <c:v>33.700000000000003</c:v>
                </c:pt>
              </c:numCache>
            </c:numRef>
          </c:val>
          <c:extLst xmlns:c16r2="http://schemas.microsoft.com/office/drawing/2015/06/chart">
            <c:ext xmlns:c16="http://schemas.microsoft.com/office/drawing/2014/chart" uri="{C3380CC4-5D6E-409C-BE32-E72D297353CC}">
              <c16:uniqueId val="{00000003-03FA-47EA-8EFF-4332482FCD3E}"/>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200" b="1" i="0" u="none" strike="noStrike" kern="1200" cap="all" baseline="0">
                <a:solidFill>
                  <a:schemeClr val="tx1">
                    <a:lumMod val="65000"/>
                    <a:lumOff val="35000"/>
                  </a:schemeClr>
                </a:solidFill>
                <a:latin typeface="+mn-lt"/>
                <a:ea typeface="+mn-ea"/>
                <a:cs typeface="+mn-cs"/>
              </a:defRPr>
            </a:pPr>
            <a:r>
              <a:rPr lang="en-US" sz="1200"/>
              <a:t>Coût direct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920919095639368"/>
          <c:y val="0.31622983746749989"/>
          <c:w val="0.79007439356704612"/>
          <c:h val="0.68197397200350018"/>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D37C-40D2-8837-142953E747EA}"/>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37C-40D2-8837-142953E747EA}"/>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D37C-40D2-8837-142953E747EA}"/>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37C-40D2-8837-142953E747EA}"/>
              </c:ext>
            </c:extLst>
          </c:dPt>
          <c:dLbls>
            <c:dLbl>
              <c:idx val="0"/>
              <c:layout>
                <c:manualLayout>
                  <c:x val="-7.2186836518046915E-2"/>
                  <c:y val="4.6296296296295903E-3"/>
                </c:manualLayout>
              </c:layout>
              <c:tx>
                <c:rich>
                  <a:bodyPr/>
                  <a:lstStyle/>
                  <a:p>
                    <a:r>
                      <a:rPr lang="en-US"/>
                      <a:t>   Santé </a:t>
                    </a:r>
                  </a:p>
                  <a:p>
                    <a:r>
                      <a:rPr lang="en-US"/>
                      <a:t>29,1</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D37C-40D2-8837-142953E747EA}"/>
                </c:ext>
              </c:extLst>
            </c:dLbl>
            <c:dLbl>
              <c:idx val="1"/>
              <c:layout>
                <c:manualLayout>
                  <c:x val="0.14797612436421159"/>
                  <c:y val="-0.20366266417103474"/>
                </c:manualLayout>
              </c:layout>
              <c:tx>
                <c:rich>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r>
                      <a:rPr lang="en-US" sz="1000"/>
                      <a:t>Remplacement et réparation des biens endommagés</a:t>
                    </a:r>
                  </a:p>
                  <a:p>
                    <a:pPr>
                      <a:defRPr lang="en-US" sz="1000" b="1" i="0" u="none" strike="noStrike" kern="1200" spc="0" baseline="0">
                        <a:solidFill>
                          <a:schemeClr val="tx1"/>
                        </a:solidFill>
                        <a:latin typeface="+mn-lt"/>
                        <a:ea typeface="+mn-ea"/>
                        <a:cs typeface="+mn-cs"/>
                      </a:defRPr>
                    </a:pPr>
                    <a:r>
                      <a:rPr lang="en-US" sz="1000"/>
                      <a:t>51,5</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40329832091525986"/>
                      <c:h val="0.25133207906533805"/>
                    </c:manualLayout>
                  </c15:layout>
                  <c15:showDataLabelsRange val="0"/>
                </c:ext>
                <c:ext xmlns:c16="http://schemas.microsoft.com/office/drawing/2014/chart" uri="{C3380CC4-5D6E-409C-BE32-E72D297353CC}">
                  <c16:uniqueId val="{00000001-D37C-40D2-8837-142953E747EA}"/>
                </c:ext>
              </c:extLst>
            </c:dLbl>
            <c:dLbl>
              <c:idx val="2"/>
              <c:layout>
                <c:manualLayout>
                  <c:x val="0.12226203388023821"/>
                  <c:y val="2.6958409789484279E-2"/>
                </c:manualLayout>
              </c:layout>
              <c:tx>
                <c:rich>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r>
                      <a:rPr lang="en-US"/>
                      <a:t>Procédures juridiques et judiciaires</a:t>
                    </a:r>
                  </a:p>
                  <a:p>
                    <a:pPr>
                      <a:defRPr lang="en-US" sz="1000" b="1" i="0" u="none" strike="noStrike" kern="1200" spc="0" baseline="0">
                        <a:solidFill>
                          <a:schemeClr val="tx1"/>
                        </a:solidFill>
                        <a:latin typeface="+mn-lt"/>
                        <a:ea typeface="+mn-ea"/>
                        <a:cs typeface="+mn-cs"/>
                      </a:defRPr>
                    </a:pPr>
                    <a:r>
                      <a:rPr lang="en-US"/>
                      <a:t> 18,6</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39989561765431919"/>
                      <c:h val="0.20752793069007966"/>
                    </c:manualLayout>
                  </c15:layout>
                  <c15:showDataLabelsRange val="0"/>
                </c:ext>
                <c:ext xmlns:c16="http://schemas.microsoft.com/office/drawing/2014/chart" uri="{C3380CC4-5D6E-409C-BE32-E72D297353CC}">
                  <c16:uniqueId val="{00000002-D37C-40D2-8837-142953E747EA}"/>
                </c:ext>
              </c:extLst>
            </c:dLbl>
            <c:dLbl>
              <c:idx val="3"/>
              <c:layout>
                <c:manualLayout>
                  <c:x val="3.5828534868841973E-2"/>
                  <c:y val="-2.3598820058997071E-2"/>
                </c:manualLayout>
              </c:layout>
              <c:tx>
                <c:rich>
                  <a:bodyPr/>
                  <a:lstStyle/>
                  <a:p>
                    <a:r>
                      <a:rPr lang="en-US"/>
                      <a:t> Société Civile</a:t>
                    </a:r>
                  </a:p>
                  <a:p>
                    <a:r>
                      <a:rPr lang="en-US"/>
                      <a:t>0,8</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D37C-40D2-8837-142953E747EA}"/>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4'!$AL$121:$AO$121</c:f>
              <c:strCache>
                <c:ptCount val="4"/>
                <c:pt idx="0">
                  <c:v>   Santé </c:v>
                </c:pt>
                <c:pt idx="1">
                  <c:v>Remplacement et réparation des biens endommagés</c:v>
                </c:pt>
                <c:pt idx="2">
                  <c:v>Procédures juridiques et judiciaires</c:v>
                </c:pt>
                <c:pt idx="3">
                  <c:v> Société Civile</c:v>
                </c:pt>
              </c:strCache>
            </c:strRef>
          </c:cat>
          <c:val>
            <c:numRef>
              <c:f>'a retenir sc 4'!$AL$122:$AO$122</c:f>
              <c:numCache>
                <c:formatCode>0.0</c:formatCode>
                <c:ptCount val="4"/>
                <c:pt idx="0">
                  <c:v>29.083988417343527</c:v>
                </c:pt>
                <c:pt idx="1">
                  <c:v>51.475774059656324</c:v>
                </c:pt>
                <c:pt idx="2">
                  <c:v>18.593297482253728</c:v>
                </c:pt>
                <c:pt idx="3">
                  <c:v>0.84694004074638374</c:v>
                </c:pt>
              </c:numCache>
            </c:numRef>
          </c:val>
          <c:extLst xmlns:c16r2="http://schemas.microsoft.com/office/drawing/2015/06/chart">
            <c:ext xmlns:c16="http://schemas.microsoft.com/office/drawing/2014/chart" uri="{C3380CC4-5D6E-409C-BE32-E72D297353CC}">
              <c16:uniqueId val="{00000004-D37C-40D2-8837-142953E747EA}"/>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200" b="1" i="0" u="none" strike="noStrike" kern="1200" cap="all" baseline="0">
                <a:solidFill>
                  <a:schemeClr val="tx1">
                    <a:lumMod val="65000"/>
                    <a:lumOff val="35000"/>
                  </a:schemeClr>
                </a:solidFill>
                <a:latin typeface="+mn-lt"/>
                <a:ea typeface="+mn-ea"/>
                <a:cs typeface="+mn-cs"/>
              </a:defRPr>
            </a:pPr>
            <a:r>
              <a:rPr lang="en-US" sz="1200" b="1"/>
              <a:t>Coût  indirect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396196528065572"/>
          <c:y val="0.30055549722951325"/>
          <c:w val="0.77207606943868912"/>
          <c:h val="0.6220001166520861"/>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3774-4A61-9ACB-D6D3A08DCC17}"/>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3774-4A61-9ACB-D6D3A08DCC17}"/>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3774-4A61-9ACB-D6D3A08DCC17}"/>
              </c:ext>
            </c:extLst>
          </c:dPt>
          <c:dLbls>
            <c:dLbl>
              <c:idx val="0"/>
              <c:layout>
                <c:manualLayout>
                  <c:x val="-1.4035087719298366E-2"/>
                  <c:y val="-2.4132730015082954E-2"/>
                </c:manualLayout>
              </c:layout>
              <c:tx>
                <c:rich>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r>
                      <a:rPr lang="en-US" sz="1000"/>
                      <a:t>travaux ménagers et soins donnés aux membres</a:t>
                    </a:r>
                  </a:p>
                  <a:p>
                    <a:pPr>
                      <a:defRPr lang="en-US" sz="1000" b="1" i="0" u="none" strike="noStrike" kern="1200" spc="0" baseline="0">
                        <a:solidFill>
                          <a:schemeClr val="tx1"/>
                        </a:solidFill>
                        <a:latin typeface="+mn-lt"/>
                        <a:ea typeface="+mn-ea"/>
                        <a:cs typeface="+mn-cs"/>
                      </a:defRPr>
                    </a:pPr>
                    <a:r>
                      <a:rPr lang="en-US" sz="1000"/>
                      <a:t>25,1</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34847317769489333"/>
                      <c:h val="0.23743613496276766"/>
                    </c:manualLayout>
                  </c15:layout>
                  <c15:showDataLabelsRange val="0"/>
                </c:ext>
                <c:ext xmlns:c16="http://schemas.microsoft.com/office/drawing/2014/chart" uri="{C3380CC4-5D6E-409C-BE32-E72D297353CC}">
                  <c16:uniqueId val="{00000000-3774-4A61-9ACB-D6D3A08DCC17}"/>
                </c:ext>
              </c:extLst>
            </c:dLbl>
            <c:dLbl>
              <c:idx val="1"/>
              <c:tx>
                <c:rich>
                  <a:bodyPr/>
                  <a:lstStyle/>
                  <a:p>
                    <a:r>
                      <a:rPr lang="en-US"/>
                      <a:t>Scolarisation perdue</a:t>
                    </a:r>
                  </a:p>
                  <a:p>
                    <a:r>
                      <a:rPr lang="en-US"/>
                      <a:t>0,1</a:t>
                    </a:r>
                  </a:p>
                </c:rich>
              </c:tx>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774-4A61-9ACB-D6D3A08DCC17}"/>
                </c:ext>
              </c:extLst>
            </c:dLbl>
            <c:dLbl>
              <c:idx val="2"/>
              <c:tx>
                <c:rich>
                  <a:bodyPr/>
                  <a:lstStyle/>
                  <a:p>
                    <a:r>
                      <a:rPr lang="en-US"/>
                      <a:t>travail rémunéré perdu</a:t>
                    </a:r>
                  </a:p>
                  <a:p>
                    <a:r>
                      <a:rPr lang="en-US"/>
                      <a:t> 74,8</a:t>
                    </a:r>
                  </a:p>
                </c:rich>
              </c:tx>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774-4A61-9ACB-D6D3A08DCC17}"/>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4'!$AP$121:$AR$121</c:f>
              <c:strCache>
                <c:ptCount val="3"/>
                <c:pt idx="0">
                  <c:v>travaux ménagers et soins donnés aux membres</c:v>
                </c:pt>
                <c:pt idx="1">
                  <c:v>Scolarisation perdue</c:v>
                </c:pt>
                <c:pt idx="2">
                  <c:v>travail rémunéré perdu</c:v>
                </c:pt>
              </c:strCache>
            </c:strRef>
          </c:cat>
          <c:val>
            <c:numRef>
              <c:f>'a retenir sc 4'!$AP$122:$AR$122</c:f>
              <c:numCache>
                <c:formatCode>General</c:formatCode>
                <c:ptCount val="3"/>
                <c:pt idx="0">
                  <c:v>25.1</c:v>
                </c:pt>
                <c:pt idx="1">
                  <c:v>0.1</c:v>
                </c:pt>
                <c:pt idx="2">
                  <c:v>74.8</c:v>
                </c:pt>
              </c:numCache>
            </c:numRef>
          </c:val>
          <c:extLst xmlns:c16r2="http://schemas.microsoft.com/office/drawing/2015/06/chart">
            <c:ext xmlns:c16="http://schemas.microsoft.com/office/drawing/2014/chart" uri="{C3380CC4-5D6E-409C-BE32-E72D297353CC}">
              <c16:uniqueId val="{00000003-3774-4A61-9ACB-D6D3A08DCC17}"/>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lang="en-US" sz="1100" b="1" i="0" u="none" strike="noStrike" kern="1200" cap="all" baseline="0">
                <a:solidFill>
                  <a:schemeClr val="tx1">
                    <a:lumMod val="65000"/>
                    <a:lumOff val="35000"/>
                  </a:schemeClr>
                </a:solidFill>
                <a:latin typeface="+mn-lt"/>
                <a:ea typeface="+mn-ea"/>
                <a:cs typeface="+mn-cs"/>
              </a:defRPr>
            </a:pPr>
            <a:r>
              <a:rPr lang="en-US" sz="1100"/>
              <a:t>milieu de résidence</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642156862745098"/>
          <c:y val="0.22595639830735456"/>
          <c:w val="0.83578431372549078"/>
          <c:h val="0.64625046869141411"/>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4813-4FD3-AC3F-828BD747F6C6}"/>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813-4FD3-AC3F-828BD747F6C6}"/>
              </c:ext>
            </c:extLst>
          </c:dPt>
          <c:dLbls>
            <c:dLbl>
              <c:idx val="0"/>
              <c:layout>
                <c:manualLayout>
                  <c:x val="-0.26285714285714296"/>
                  <c:y val="-0.20173628091731574"/>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813-4FD3-AC3F-828BD747F6C6}"/>
                </c:ext>
              </c:extLst>
            </c:dLbl>
            <c:dLbl>
              <c:idx val="1"/>
              <c:layout>
                <c:manualLayout>
                  <c:x val="0.19494673459935172"/>
                  <c:y val="8.6550966843430374E-2"/>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13-4FD3-AC3F-828BD747F6C6}"/>
                </c:ext>
              </c:extLst>
            </c:dLbl>
            <c:spPr>
              <a:noFill/>
              <a:ln>
                <a:noFill/>
              </a:ln>
              <a:effectLst/>
            </c:spPr>
            <c:txPr>
              <a:bodyPr/>
              <a:lstStyle/>
              <a:p>
                <a:pPr>
                  <a:defRPr lang="en-US"/>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4'!$B$204:$B$205</c:f>
              <c:strCache>
                <c:ptCount val="2"/>
                <c:pt idx="0">
                  <c:v>Urbain</c:v>
                </c:pt>
                <c:pt idx="1">
                  <c:v>Rural</c:v>
                </c:pt>
              </c:strCache>
            </c:strRef>
          </c:cat>
          <c:val>
            <c:numRef>
              <c:f>'a retenir sc 4'!$C$204:$C$205</c:f>
              <c:numCache>
                <c:formatCode>0.0</c:formatCode>
                <c:ptCount val="2"/>
                <c:pt idx="0">
                  <c:v>72.2</c:v>
                </c:pt>
                <c:pt idx="1">
                  <c:v>27.8</c:v>
                </c:pt>
              </c:numCache>
            </c:numRef>
          </c:val>
          <c:extLst xmlns:c16r2="http://schemas.microsoft.com/office/drawing/2015/06/chart">
            <c:ext xmlns:c16="http://schemas.microsoft.com/office/drawing/2014/chart" uri="{C3380CC4-5D6E-409C-BE32-E72D297353CC}">
              <c16:uniqueId val="{00000002-4813-4FD3-AC3F-828BD747F6C6}"/>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lang="en-US" sz="1100" b="1" i="0" u="none" strike="noStrike" kern="1200" cap="all" baseline="0">
                <a:solidFill>
                  <a:schemeClr val="tx1">
                    <a:lumMod val="65000"/>
                    <a:lumOff val="35000"/>
                  </a:schemeClr>
                </a:solidFill>
                <a:latin typeface="+mn-lt"/>
                <a:ea typeface="+mn-ea"/>
                <a:cs typeface="+mn-cs"/>
              </a:defRPr>
            </a:pPr>
            <a:r>
              <a:rPr lang="en-US" sz="1100"/>
              <a:t>Formes </a:t>
            </a:r>
            <a:r>
              <a:rPr lang="en-US" sz="1100" baseline="0"/>
              <a:t>de violence</a:t>
            </a:r>
            <a:endParaRPr lang="en-US" sz="1100"/>
          </a:p>
        </c:rich>
      </c:tx>
      <c:layout>
        <c:manualLayout>
          <c:xMode val="edge"/>
          <c:yMode val="edge"/>
          <c:x val="0.23168519665378895"/>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7506070168195311E-2"/>
          <c:y val="0.10389185222814892"/>
          <c:w val="0.90254386740983261"/>
          <c:h val="0.79108314809931046"/>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8434-4FBF-ABCF-173A21A0753B}"/>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434-4FBF-ABCF-173A21A0753B}"/>
              </c:ext>
            </c:extLst>
          </c:dPt>
          <c:dLbls>
            <c:dLbl>
              <c:idx val="0"/>
              <c:layout>
                <c:manualLayout>
                  <c:x val="-0.18036037630127699"/>
                  <c:y val="-0.28940253436062457"/>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31757783086103003"/>
                      <c:h val="0.15959243085880639"/>
                    </c:manualLayout>
                  </c15:layout>
                </c:ext>
                <c:ext xmlns:c16="http://schemas.microsoft.com/office/drawing/2014/chart" uri="{C3380CC4-5D6E-409C-BE32-E72D297353CC}">
                  <c16:uniqueId val="{00000000-8434-4FBF-ABCF-173A21A0753B}"/>
                </c:ext>
              </c:extLst>
            </c:dLbl>
            <c:dLbl>
              <c:idx val="1"/>
              <c:layout>
                <c:manualLayout>
                  <c:x val="0.19021085847415131"/>
                  <c:y val="0.14553269550983558"/>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29795275590551179"/>
                      <c:h val="0.15959243085880639"/>
                    </c:manualLayout>
                  </c15:layout>
                </c:ext>
                <c:ext xmlns:c16="http://schemas.microsoft.com/office/drawing/2014/chart" uri="{C3380CC4-5D6E-409C-BE32-E72D297353CC}">
                  <c16:uniqueId val="{00000001-8434-4FBF-ABCF-173A21A0753B}"/>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4'!$B$202:$B$203</c:f>
              <c:strCache>
                <c:ptCount val="2"/>
                <c:pt idx="0">
                  <c:v>Physique</c:v>
                </c:pt>
                <c:pt idx="1">
                  <c:v>Sexuelle</c:v>
                </c:pt>
              </c:strCache>
            </c:strRef>
          </c:cat>
          <c:val>
            <c:numRef>
              <c:f>'a retenir sc 4'!$C$202:$C$203</c:f>
              <c:numCache>
                <c:formatCode>0.0</c:formatCode>
                <c:ptCount val="2"/>
                <c:pt idx="0">
                  <c:v>84.670974495571059</c:v>
                </c:pt>
                <c:pt idx="1">
                  <c:v>15.329025504428934</c:v>
                </c:pt>
              </c:numCache>
            </c:numRef>
          </c:val>
          <c:extLst xmlns:c16r2="http://schemas.microsoft.com/office/drawing/2015/06/chart">
            <c:ext xmlns:c16="http://schemas.microsoft.com/office/drawing/2014/chart" uri="{C3380CC4-5D6E-409C-BE32-E72D297353CC}">
              <c16:uniqueId val="{00000002-8434-4FBF-ABCF-173A21A0753B}"/>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lang="en-US" sz="1080" b="1" i="0" u="none" strike="noStrike" kern="1200" cap="all" baseline="0">
                <a:solidFill>
                  <a:schemeClr val="tx1">
                    <a:lumMod val="65000"/>
                    <a:lumOff val="35000"/>
                  </a:schemeClr>
                </a:solidFill>
                <a:latin typeface="+mn-lt"/>
                <a:ea typeface="+mn-ea"/>
                <a:cs typeface="+mn-cs"/>
              </a:defRPr>
            </a:pPr>
            <a:r>
              <a:rPr lang="en-US"/>
              <a:t>Contextes de violence</a:t>
            </a:r>
          </a:p>
        </c:rich>
      </c:tx>
      <c:layout>
        <c:manualLayout>
          <c:xMode val="edge"/>
          <c:yMode val="edge"/>
          <c:x val="0.2864132046255724"/>
          <c:y val="3.419777714448561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602774105791527"/>
          <c:y val="0.1446334833145857"/>
          <c:w val="0.88397225894208453"/>
          <c:h val="0.73564398200224967"/>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D563-460A-99D7-182AD0BBF83A}"/>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563-460A-99D7-182AD0BBF83A}"/>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D563-460A-99D7-182AD0BBF83A}"/>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563-460A-99D7-182AD0BBF83A}"/>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D563-460A-99D7-182AD0BBF83A}"/>
              </c:ext>
            </c:extLst>
          </c:dPt>
          <c:dLbls>
            <c:dLbl>
              <c:idx val="0"/>
              <c:layout>
                <c:manualLayout>
                  <c:x val="-0.23747974021495497"/>
                  <c:y val="-0.10635124353949153"/>
                </c:manualLayout>
              </c:layout>
              <c:tx>
                <c:rich>
                  <a:bodyPr rot="0" spcFirstLastPara="1" vertOverflow="ellipsis" vert="horz" wrap="square" anchor="ctr" anchorCtr="1"/>
                  <a:lstStyle/>
                  <a:p>
                    <a:pPr>
                      <a:defRPr lang="en-US" sz="1000" b="1" i="0" u="none" strike="noStrike" kern="1200" spc="0" baseline="0">
                        <a:solidFill>
                          <a:schemeClr val="tx1"/>
                        </a:solidFill>
                        <a:latin typeface="+mn-lt"/>
                        <a:ea typeface="+mn-ea"/>
                        <a:cs typeface="+mn-cs"/>
                      </a:defRPr>
                    </a:pPr>
                    <a:r>
                      <a:rPr lang="en-US" sz="1000">
                        <a:solidFill>
                          <a:schemeClr val="tx1"/>
                        </a:solidFill>
                      </a:rPr>
                      <a:t>Conjugal 69,6 </a:t>
                    </a:r>
                    <a:endParaRPr lang="en-US" sz="1000"/>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34145985401459844"/>
                      <c:h val="0.24293130759536116"/>
                    </c:manualLayout>
                  </c15:layout>
                  <c15:showDataLabelsRange val="0"/>
                </c:ext>
                <c:ext xmlns:c16="http://schemas.microsoft.com/office/drawing/2014/chart" uri="{C3380CC4-5D6E-409C-BE32-E72D297353CC}">
                  <c16:uniqueId val="{00000000-D563-460A-99D7-182AD0BBF83A}"/>
                </c:ext>
              </c:extLst>
            </c:dLbl>
            <c:dLbl>
              <c:idx val="1"/>
              <c:layout>
                <c:manualLayout>
                  <c:x val="4.3088683257658496E-3"/>
                  <c:y val="4.3465029426387726E-2"/>
                </c:manualLayout>
              </c:layout>
              <c:spPr>
                <a:noFill/>
                <a:ln>
                  <a:noFill/>
                </a:ln>
                <a:effectLst/>
              </c:spPr>
              <c:txPr>
                <a:bodyPr rot="0" spcFirstLastPara="1" vertOverflow="ellipsis" vert="horz" wrap="square" anchor="ctr" anchorCtr="1"/>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25992719888116173"/>
                      <c:h val="0.16099853157121879"/>
                    </c:manualLayout>
                  </c15:layout>
                </c:ext>
                <c:ext xmlns:c16="http://schemas.microsoft.com/office/drawing/2014/chart" uri="{C3380CC4-5D6E-409C-BE32-E72D297353CC}">
                  <c16:uniqueId val="{00000001-D563-460A-99D7-182AD0BBF83A}"/>
                </c:ext>
              </c:extLst>
            </c:dLbl>
            <c:dLbl>
              <c:idx val="2"/>
              <c:layout>
                <c:manualLayout>
                  <c:x val="1.9091135505871989E-3"/>
                  <c:y val="-1.597049267519976E-2"/>
                </c:manualLayout>
              </c:layout>
              <c:spPr>
                <a:noFill/>
                <a:ln>
                  <a:noFill/>
                </a:ln>
                <a:effectLst/>
              </c:spPr>
              <c:txPr>
                <a:bodyPr rot="0" spcFirstLastPara="1" vertOverflow="ellipsis" vert="horz" wrap="square" anchor="ctr" anchorCtr="1"/>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31532846715328461"/>
                      <c:h val="0.1896918612045741"/>
                    </c:manualLayout>
                  </c15:layout>
                </c:ext>
                <c:ext xmlns:c16="http://schemas.microsoft.com/office/drawing/2014/chart" uri="{C3380CC4-5D6E-409C-BE32-E72D297353CC}">
                  <c16:uniqueId val="{00000002-D563-460A-99D7-182AD0BBF83A}"/>
                </c:ext>
              </c:extLst>
            </c:dLbl>
            <c:dLbl>
              <c:idx val="3"/>
              <c:layout>
                <c:manualLayout>
                  <c:x val="2.3158419066229858E-3"/>
                  <c:y val="-0.1301666146357256"/>
                </c:manualLayout>
              </c:layout>
              <c:spPr>
                <a:noFill/>
                <a:ln>
                  <a:noFill/>
                </a:ln>
                <a:effectLst/>
              </c:spPr>
              <c:txPr>
                <a:bodyPr rot="0" spcFirstLastPara="1" vertOverflow="ellipsis" vert="horz" wrap="square" anchor="ctr" anchorCtr="1"/>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33805352798053528"/>
                      <c:h val="0.22493415195347277"/>
                    </c:manualLayout>
                  </c15:layout>
                </c:ext>
                <c:ext xmlns:c16="http://schemas.microsoft.com/office/drawing/2014/chart" uri="{C3380CC4-5D6E-409C-BE32-E72D297353CC}">
                  <c16:uniqueId val="{00000003-D563-460A-99D7-182AD0BBF83A}"/>
                </c:ext>
              </c:extLst>
            </c:dLbl>
            <c:dLbl>
              <c:idx val="4"/>
              <c:layout>
                <c:manualLayout>
                  <c:x val="0.21992624097170344"/>
                  <c:y val="7.6467908471793439E-2"/>
                </c:manualLayout>
              </c:layout>
              <c:spPr>
                <a:noFill/>
                <a:ln>
                  <a:noFill/>
                </a:ln>
                <a:effectLst/>
              </c:spPr>
              <c:txPr>
                <a:bodyPr rot="0" spcFirstLastPara="1" vertOverflow="ellipsis" vert="horz" wrap="square" anchor="ctr" anchorCtr="1"/>
                <a:lstStyle/>
                <a:p>
                  <a:pPr>
                    <a:defRPr lang="en-US" sz="10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29172749391727487"/>
                      <c:h val="0.23268745591823048"/>
                    </c:manualLayout>
                  </c15:layout>
                </c:ext>
                <c:ext xmlns:c16="http://schemas.microsoft.com/office/drawing/2014/chart" uri="{C3380CC4-5D6E-409C-BE32-E72D297353CC}">
                  <c16:uniqueId val="{00000004-D563-460A-99D7-182AD0BBF83A}"/>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4'!$B$197:$B$201</c:f>
              <c:strCache>
                <c:ptCount val="5"/>
                <c:pt idx="0">
                  <c:v>Conjugal</c:v>
                </c:pt>
                <c:pt idx="1">
                  <c:v>Familial</c:v>
                </c:pt>
                <c:pt idx="2">
                  <c:v>Lieu de travail</c:v>
                </c:pt>
                <c:pt idx="3">
                  <c:v>Lieu de formation</c:v>
                </c:pt>
                <c:pt idx="4">
                  <c:v>Lieu public</c:v>
                </c:pt>
              </c:strCache>
            </c:strRef>
          </c:cat>
          <c:val>
            <c:numRef>
              <c:f>'a retenir sc 4'!$C$197:$C$201</c:f>
              <c:numCache>
                <c:formatCode>0.0</c:formatCode>
                <c:ptCount val="5"/>
                <c:pt idx="0">
                  <c:v>69.598224191674532</c:v>
                </c:pt>
                <c:pt idx="1">
                  <c:v>12.874545208083774</c:v>
                </c:pt>
                <c:pt idx="2">
                  <c:v>1.6730698335000662</c:v>
                </c:pt>
                <c:pt idx="3">
                  <c:v>0.12200146576916684</c:v>
                </c:pt>
                <c:pt idx="4">
                  <c:v>15.732159300972491</c:v>
                </c:pt>
              </c:numCache>
            </c:numRef>
          </c:val>
          <c:extLst xmlns:c16r2="http://schemas.microsoft.com/office/drawing/2015/06/chart">
            <c:ext xmlns:c16="http://schemas.microsoft.com/office/drawing/2014/chart" uri="{C3380CC4-5D6E-409C-BE32-E72D297353CC}">
              <c16:uniqueId val="{00000005-D563-460A-99D7-182AD0BBF83A}"/>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900"/>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4722222222222224E-2"/>
          <c:y val="6.2499722745924413E-2"/>
          <c:w val="0.91203703703703709"/>
          <c:h val="0.90316956859265785"/>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5A57-4E50-9254-03E82C3915E4}"/>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5A57-4E50-9254-03E82C3915E4}"/>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5A57-4E50-9254-03E82C3915E4}"/>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5A57-4E50-9254-03E82C3915E4}"/>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5A57-4E50-9254-03E82C3915E4}"/>
              </c:ext>
            </c:extLst>
          </c:dPt>
          <c:dLbls>
            <c:dLbl>
              <c:idx val="0"/>
              <c:layout>
                <c:manualLayout>
                  <c:x val="-0.21064814814814822"/>
                  <c:y val="-1.0247780399291247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57-4E50-9254-03E82C3915E4}"/>
                </c:ext>
              </c:extLst>
            </c:dLbl>
            <c:dLbl>
              <c:idx val="1"/>
              <c:layout>
                <c:manualLayout>
                  <c:x val="5.555555555555549E-2"/>
                  <c:y val="-0.15683030595904754"/>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57-4E50-9254-03E82C3915E4}"/>
                </c:ext>
              </c:extLst>
            </c:dLbl>
            <c:dLbl>
              <c:idx val="2"/>
              <c:layout>
                <c:manualLayout>
                  <c:x val="0.20370370370370369"/>
                  <c:y val="-0.13738530923071238"/>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A57-4E50-9254-03E82C3915E4}"/>
                </c:ext>
              </c:extLst>
            </c:dLbl>
            <c:dLbl>
              <c:idx val="3"/>
              <c:layout>
                <c:manualLayout>
                  <c:x val="9.7222222222222224E-2"/>
                  <c:y val="9.7136158097471198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A57-4E50-9254-03E82C3915E4}"/>
                </c:ext>
              </c:extLst>
            </c:dLbl>
            <c:dLbl>
              <c:idx val="4"/>
              <c:layout>
                <c:manualLayout>
                  <c:x val="6.7129629629629539E-2"/>
                  <c:y val="0"/>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A57-4E50-9254-03E82C3915E4}"/>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4'!$T$132:$T$136</c:f>
              <c:strCache>
                <c:ptCount val="5"/>
                <c:pt idx="0">
                  <c:v>   Santé </c:v>
                </c:pt>
                <c:pt idx="1">
                  <c:v>Remplacement ou réparation des biens endommagés</c:v>
                </c:pt>
                <c:pt idx="2">
                  <c:v>Procédures juridiques et judiciaires</c:v>
                </c:pt>
                <c:pt idx="3">
                  <c:v>Abondon du domicile</c:v>
                </c:pt>
                <c:pt idx="4">
                  <c:v> Société Civile</c:v>
                </c:pt>
              </c:strCache>
            </c:strRef>
          </c:cat>
          <c:val>
            <c:numRef>
              <c:f>'a retenir sc 4'!$U$132:$U$136</c:f>
              <c:numCache>
                <c:formatCode>0.0%</c:formatCode>
                <c:ptCount val="5"/>
                <c:pt idx="0">
                  <c:v>0.42335416231913248</c:v>
                </c:pt>
                <c:pt idx="1">
                  <c:v>0.17897298872846118</c:v>
                </c:pt>
                <c:pt idx="2">
                  <c:v>0.25789606880456822</c:v>
                </c:pt>
                <c:pt idx="3">
                  <c:v>0.13502638342472575</c:v>
                </c:pt>
                <c:pt idx="4">
                  <c:v>4.7503967231132338E-3</c:v>
                </c:pt>
              </c:numCache>
            </c:numRef>
          </c:val>
          <c:extLst xmlns:c16r2="http://schemas.microsoft.com/office/drawing/2015/06/chart">
            <c:ext xmlns:c16="http://schemas.microsoft.com/office/drawing/2014/chart" uri="{C3380CC4-5D6E-409C-BE32-E72D297353CC}">
              <c16:uniqueId val="{00000005-5A57-4E50-9254-03E82C3915E4}"/>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F454-4DFC-8C1F-6F17661D07A9}"/>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454-4DFC-8C1F-6F17661D07A9}"/>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F454-4DFC-8C1F-6F17661D07A9}"/>
              </c:ext>
            </c:extLst>
          </c:dPt>
          <c:dLbls>
            <c:dLbl>
              <c:idx val="0"/>
              <c:layout>
                <c:manualLayout>
                  <c:x val="-0.20114285714285723"/>
                  <c:y val="-0.11905747726267804"/>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454-4DFC-8C1F-6F17661D07A9}"/>
                </c:ext>
              </c:extLst>
            </c:dLbl>
            <c:dLbl>
              <c:idx val="1"/>
              <c:layout>
                <c:manualLayout>
                  <c:x val="2.3856858846918478E-2"/>
                  <c:y val="-2.1419009370816602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454-4DFC-8C1F-6F17661D07A9}"/>
                </c:ext>
              </c:extLst>
            </c:dLbl>
            <c:dLbl>
              <c:idx val="2"/>
              <c:layout>
                <c:manualLayout>
                  <c:x val="0.24685714285714302"/>
                  <c:y val="3.6378673608040521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454-4DFC-8C1F-6F17661D07A9}"/>
                </c:ext>
              </c:extLst>
            </c:dLbl>
            <c:spPr>
              <a:noFill/>
              <a:ln>
                <a:noFill/>
              </a:ln>
              <a:effectLst/>
            </c:spPr>
            <c:txPr>
              <a:bodyPr rot="0" spcFirstLastPara="1" vertOverflow="ellipsis" vert="horz" wrap="square" lIns="38100" tIns="19050" rIns="38100" bIns="19050" anchor="ctr" anchorCtr="1">
                <a:spAutoFit/>
              </a:bodyPr>
              <a:lstStyle/>
              <a:p>
                <a:pPr>
                  <a:defRPr lang="en-US" sz="11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4'!$Q$141:$Q$143</c:f>
              <c:strCache>
                <c:ptCount val="3"/>
                <c:pt idx="0">
                  <c:v>travaux domestiques</c:v>
                </c:pt>
                <c:pt idx="1">
                  <c:v>Scolarisation perdue</c:v>
                </c:pt>
                <c:pt idx="2">
                  <c:v>travail rémunéré perdu</c:v>
                </c:pt>
              </c:strCache>
            </c:strRef>
          </c:cat>
          <c:val>
            <c:numRef>
              <c:f>'a retenir sc 4'!$R$141:$R$143</c:f>
              <c:numCache>
                <c:formatCode>0.0</c:formatCode>
                <c:ptCount val="3"/>
                <c:pt idx="0">
                  <c:v>55</c:v>
                </c:pt>
                <c:pt idx="1">
                  <c:v>1.1000000000000001</c:v>
                </c:pt>
                <c:pt idx="2">
                  <c:v>43.9</c:v>
                </c:pt>
              </c:numCache>
            </c:numRef>
          </c:val>
          <c:extLst xmlns:c16r2="http://schemas.microsoft.com/office/drawing/2015/06/chart">
            <c:ext xmlns:c16="http://schemas.microsoft.com/office/drawing/2014/chart" uri="{C3380CC4-5D6E-409C-BE32-E72D297353CC}">
              <c16:uniqueId val="{00000003-F454-4DFC-8C1F-6F17661D07A9}"/>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100" b="1" i="0" u="none" strike="noStrike" kern="1200" cap="all" baseline="0">
                <a:solidFill>
                  <a:schemeClr val="tx1">
                    <a:lumMod val="65000"/>
                    <a:lumOff val="35000"/>
                  </a:schemeClr>
                </a:solidFill>
                <a:latin typeface="+mn-lt"/>
                <a:ea typeface="+mn-ea"/>
                <a:cs typeface="+mn-cs"/>
              </a:defRPr>
            </a:pPr>
            <a:r>
              <a:rPr lang="en-US" sz="1100"/>
              <a:t>Coût direct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927986021246016E-2"/>
          <c:y val="0.21111088386678944"/>
          <c:w val="0.93007220251314804"/>
          <c:h val="0.71936553385372293"/>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92CC-42B9-9663-F8D47D9CC52D}"/>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92CC-42B9-9663-F8D47D9CC52D}"/>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92CC-42B9-9663-F8D47D9CC52D}"/>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92CC-42B9-9663-F8D47D9CC52D}"/>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92CC-42B9-9663-F8D47D9CC52D}"/>
              </c:ext>
            </c:extLst>
          </c:dPt>
          <c:dLbls>
            <c:dLbl>
              <c:idx val="0"/>
              <c:layout>
                <c:manualLayout>
                  <c:x val="-9.7941935531039262E-2"/>
                  <c:y val="-6.5776777902762193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CC-42B9-9663-F8D47D9CC52D}"/>
                </c:ext>
              </c:extLst>
            </c:dLbl>
            <c:dLbl>
              <c:idx val="1"/>
              <c:layout>
                <c:manualLayout>
                  <c:x val="0.11324795938969168"/>
                  <c:y val="-6.9583283892186271E-4"/>
                </c:manualLayout>
              </c:layout>
              <c:spPr>
                <a:noFill/>
                <a:ln>
                  <a:noFill/>
                </a:ln>
                <a:effectLst/>
              </c:spPr>
              <c:txPr>
                <a:bodyPr rot="0" spcFirstLastPara="1" vertOverflow="ellipsis" vert="horz" wrap="square" lIns="38100" tIns="19050" rIns="38100" bIns="19050" anchor="ctr" anchorCtr="1">
                  <a:noAutofit/>
                </a:bodyPr>
                <a:lstStyle/>
                <a:p>
                  <a:pPr>
                    <a:defRPr lang="en-US" sz="900" b="1" i="0" u="none" strike="noStrike" kern="1200" spc="0" baseline="0">
                      <a:solidFill>
                        <a:schemeClr val="tx1"/>
                      </a:solidFill>
                      <a:latin typeface="+mn-lt"/>
                      <a:ea typeface="+mn-ea"/>
                      <a:cs typeface="+mn-cs"/>
                    </a:defRPr>
                  </a:pPr>
                  <a:endParaRPr lang="fr-FR"/>
                </a:p>
              </c:txPr>
              <c:dLblPos val="bestFit"/>
              <c:showVal val="1"/>
              <c:showCatName val="1"/>
              <c:extLst xmlns:c16r2="http://schemas.microsoft.com/office/drawing/2015/06/chart">
                <c:ext xmlns:c15="http://schemas.microsoft.com/office/drawing/2012/chart" uri="{CE6537A1-D6FC-4f65-9D91-7224C49458BB}">
                  <c15:layout>
                    <c:manualLayout>
                      <c:w val="0.3312332112332112"/>
                      <c:h val="0.3633496694346246"/>
                    </c:manualLayout>
                  </c15:layout>
                </c:ext>
                <c:ext xmlns:c16="http://schemas.microsoft.com/office/drawing/2014/chart" uri="{C3380CC4-5D6E-409C-BE32-E72D297353CC}">
                  <c16:uniqueId val="{00000001-92CC-42B9-9663-F8D47D9CC52D}"/>
                </c:ext>
              </c:extLst>
            </c:dLbl>
            <c:dLbl>
              <c:idx val="2"/>
              <c:layout>
                <c:manualLayout>
                  <c:x val="3.9438531721996295E-2"/>
                  <c:y val="-7.5532788995632094E-2"/>
                </c:manualLayout>
              </c:layout>
              <c:dLblPos val="bestFit"/>
              <c:showVal val="1"/>
              <c:showCatName val="1"/>
              <c:extLst xmlns:c16r2="http://schemas.microsoft.com/office/drawing/2015/06/chart">
                <c:ext xmlns:c15="http://schemas.microsoft.com/office/drawing/2012/chart" uri="{CE6537A1-D6FC-4f65-9D91-7224C49458BB}">
                  <c15:layout>
                    <c:manualLayout>
                      <c:w val="0.29074481074481073"/>
                      <c:h val="0.39186806937731022"/>
                    </c:manualLayout>
                  </c15:layout>
                </c:ext>
                <c:ext xmlns:c16="http://schemas.microsoft.com/office/drawing/2014/chart" uri="{C3380CC4-5D6E-409C-BE32-E72D297353CC}">
                  <c16:uniqueId val="{00000002-92CC-42B9-9663-F8D47D9CC52D}"/>
                </c:ext>
              </c:extLst>
            </c:dLbl>
            <c:dLbl>
              <c:idx val="3"/>
              <c:layout>
                <c:manualLayout>
                  <c:x val="-2.1626419260266594E-2"/>
                  <c:y val="1.0581859085796105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2CC-42B9-9663-F8D47D9CC52D}"/>
                </c:ext>
              </c:extLst>
            </c:dLbl>
            <c:dLbl>
              <c:idx val="4"/>
              <c:layout>
                <c:manualLayout>
                  <c:x val="1.9228365680581664E-7"/>
                  <c:y val="0.10235996588001138"/>
                </c:manualLayout>
              </c:layout>
              <c:dLblPos val="bestFit"/>
              <c:showVal val="1"/>
              <c:showCatName val="1"/>
              <c:extLst xmlns:c16r2="http://schemas.microsoft.com/office/drawing/2015/06/chart">
                <c:ext xmlns:c15="http://schemas.microsoft.com/office/drawing/2012/chart" uri="{CE6537A1-D6FC-4f65-9D91-7224C49458BB}">
                  <c15:layout>
                    <c:manualLayout>
                      <c:w val="0.26024439252785703"/>
                      <c:h val="0.20446425572976254"/>
                    </c:manualLayout>
                  </c15:layout>
                </c:ext>
                <c:ext xmlns:c16="http://schemas.microsoft.com/office/drawing/2014/chart" uri="{C3380CC4-5D6E-409C-BE32-E72D297353CC}">
                  <c16:uniqueId val="{00000004-92CC-42B9-9663-F8D47D9CC52D}"/>
                </c:ext>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4'!$AL$115:$AP$115</c:f>
              <c:strCache>
                <c:ptCount val="5"/>
                <c:pt idx="0">
                  <c:v>   Santé </c:v>
                </c:pt>
                <c:pt idx="1">
                  <c:v>Remplacement et réparation des biens endommagés</c:v>
                </c:pt>
                <c:pt idx="2">
                  <c:v>Procédures juridiques et judiciaires</c:v>
                </c:pt>
                <c:pt idx="3">
                  <c:v>Abondon du domicile</c:v>
                </c:pt>
                <c:pt idx="4">
                  <c:v> Société Civile</c:v>
                </c:pt>
              </c:strCache>
            </c:strRef>
          </c:cat>
          <c:val>
            <c:numRef>
              <c:f>'a retenir sc 4'!$AL$116:$AP$116</c:f>
              <c:numCache>
                <c:formatCode>#,##0.0</c:formatCode>
                <c:ptCount val="5"/>
                <c:pt idx="0">
                  <c:v>45.251606294695897</c:v>
                </c:pt>
                <c:pt idx="1">
                  <c:v>11.326590700050819</c:v>
                </c:pt>
                <c:pt idx="2">
                  <c:v>24.963389877558985</c:v>
                </c:pt>
                <c:pt idx="3">
                  <c:v>17.987943332378922</c:v>
                </c:pt>
                <c:pt idx="4">
                  <c:v>0.47046979531535366</c:v>
                </c:pt>
              </c:numCache>
            </c:numRef>
          </c:val>
          <c:extLst xmlns:c16r2="http://schemas.microsoft.com/office/drawing/2015/06/chart">
            <c:ext xmlns:c16="http://schemas.microsoft.com/office/drawing/2014/chart" uri="{C3380CC4-5D6E-409C-BE32-E72D297353CC}">
              <c16:uniqueId val="{00000005-92CC-42B9-9663-F8D47D9CC52D}"/>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100" b="1" i="0" u="none" strike="noStrike" kern="1200" cap="all" baseline="0">
                <a:solidFill>
                  <a:schemeClr val="tx1">
                    <a:lumMod val="65000"/>
                    <a:lumOff val="35000"/>
                  </a:schemeClr>
                </a:solidFill>
                <a:latin typeface="+mn-lt"/>
                <a:ea typeface="+mn-ea"/>
                <a:cs typeface="+mn-cs"/>
              </a:defRPr>
            </a:pPr>
            <a:r>
              <a:rPr lang="en-US" sz="1100"/>
              <a:t>Coût  indirect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622393354676819"/>
          <c:y val="0.14869431643625194"/>
          <c:w val="0.88377606645323181"/>
          <c:h val="0.72983102918586784"/>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E9BD-417B-8449-693F46A0B1E0}"/>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9BD-417B-8449-693F46A0B1E0}"/>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E9BD-417B-8449-693F46A0B1E0}"/>
              </c:ext>
            </c:extLst>
          </c:dPt>
          <c:dLbls>
            <c:dLbl>
              <c:idx val="0"/>
              <c:layout>
                <c:manualLayout>
                  <c:x val="-0.14203912655247997"/>
                  <c:y val="0.118611841853578"/>
                </c:manualLayout>
              </c:layout>
              <c:dLblPos val="bestFit"/>
              <c:showVal val="1"/>
              <c:showCatName val="1"/>
              <c:extLst xmlns:c16r2="http://schemas.microsoft.com/office/drawing/2015/06/chart">
                <c:ext xmlns:c15="http://schemas.microsoft.com/office/drawing/2012/chart" uri="{CE6537A1-D6FC-4f65-9D91-7224C49458BB}">
                  <c15:layout>
                    <c:manualLayout>
                      <c:w val="0.3656357388316151"/>
                      <c:h val="0.43572449271220343"/>
                    </c:manualLayout>
                  </c15:layout>
                </c:ext>
                <c:ext xmlns:c16="http://schemas.microsoft.com/office/drawing/2014/chart" uri="{C3380CC4-5D6E-409C-BE32-E72D297353CC}">
                  <c16:uniqueId val="{00000000-E9BD-417B-8449-693F46A0B1E0}"/>
                </c:ext>
              </c:extLst>
            </c:dLbl>
            <c:dLbl>
              <c:idx val="1"/>
              <c:layout>
                <c:manualLayout>
                  <c:x val="4.3956043956043994E-2"/>
                  <c:y val="0"/>
                </c:manualLayout>
              </c:layout>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BD-417B-8449-693F46A0B1E0}"/>
                </c:ext>
              </c:extLst>
            </c:dLbl>
            <c:dLbl>
              <c:idx val="2"/>
              <c:layout>
                <c:manualLayout>
                  <c:x val="0.14166666666666666"/>
                  <c:y val="7.8703703703703734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9BD-417B-8449-693F46A0B1E0}"/>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4'!$AQ$115:$AS$115</c:f>
              <c:strCache>
                <c:ptCount val="3"/>
                <c:pt idx="0">
                  <c:v>travaux ménagers et soins donnés aux membres</c:v>
                </c:pt>
                <c:pt idx="1">
                  <c:v>Scolarisation perdue</c:v>
                </c:pt>
                <c:pt idx="2">
                  <c:v>travail rémunéré perdu</c:v>
                </c:pt>
              </c:strCache>
            </c:strRef>
          </c:cat>
          <c:val>
            <c:numRef>
              <c:f>'a retenir sc 4'!$AQ$116:$AS$116</c:f>
              <c:numCache>
                <c:formatCode>General</c:formatCode>
                <c:ptCount val="3"/>
                <c:pt idx="0">
                  <c:v>63.4</c:v>
                </c:pt>
                <c:pt idx="1">
                  <c:v>0.8</c:v>
                </c:pt>
                <c:pt idx="2">
                  <c:v>35.9</c:v>
                </c:pt>
              </c:numCache>
            </c:numRef>
          </c:val>
          <c:extLst xmlns:c16r2="http://schemas.microsoft.com/office/drawing/2015/06/chart">
            <c:ext xmlns:c16="http://schemas.microsoft.com/office/drawing/2014/chart" uri="{C3380CC4-5D6E-409C-BE32-E72D297353CC}">
              <c16:uniqueId val="{00000003-E9BD-417B-8449-693F46A0B1E0}"/>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lang="en-US" sz="1200" b="1" i="0" u="none" strike="noStrike" kern="1200" cap="all" baseline="0">
                <a:solidFill>
                  <a:schemeClr val="tx1">
                    <a:lumMod val="65000"/>
                    <a:lumOff val="35000"/>
                  </a:schemeClr>
                </a:solidFill>
                <a:latin typeface="+mn-lt"/>
                <a:ea typeface="+mn-ea"/>
                <a:cs typeface="+mn-cs"/>
              </a:defRPr>
            </a:pPr>
            <a:r>
              <a:rPr lang="en-US" sz="1200"/>
              <a:t>Coût direct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AD44-453E-9BBA-3F72B1102243}"/>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D44-453E-9BBA-3F72B1102243}"/>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AD44-453E-9BBA-3F72B1102243}"/>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AD44-453E-9BBA-3F72B1102243}"/>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AD44-453E-9BBA-3F72B1102243}"/>
              </c:ext>
            </c:extLst>
          </c:dPt>
          <c:dLbls>
            <c:dLbl>
              <c:idx val="0"/>
              <c:layout>
                <c:manualLayout>
                  <c:x val="-2.0086342655443859E-2"/>
                  <c:y val="-8.8154269972451821E-2"/>
                </c:manualLayout>
              </c:layout>
              <c:tx>
                <c:rich>
                  <a:bodyPr/>
                  <a:lstStyle/>
                  <a:p>
                    <a:r>
                      <a:rPr lang="en-US" sz="800"/>
                      <a:t>   Santé </a:t>
                    </a:r>
                  </a:p>
                  <a:p>
                    <a:r>
                      <a:rPr lang="en-US" sz="800"/>
                      <a:t>38,8</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AD44-453E-9BBA-3F72B1102243}"/>
                </c:ext>
              </c:extLst>
            </c:dLbl>
            <c:dLbl>
              <c:idx val="1"/>
              <c:layout>
                <c:manualLayout>
                  <c:x val="-4.2602145568194236E-2"/>
                  <c:y val="0"/>
                </c:manualLayout>
              </c:layout>
              <c:tx>
                <c:rich>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r>
                      <a:rPr lang="en-US" sz="1000"/>
                      <a:t>Remplacement et réparation des biens endommagés</a:t>
                    </a:r>
                  </a:p>
                  <a:p>
                    <a:pPr>
                      <a:defRPr lang="en-US" sz="1000" b="1" i="0" u="none" strike="noStrike" kern="1200" spc="0" baseline="0">
                        <a:solidFill>
                          <a:schemeClr val="tx1"/>
                        </a:solidFill>
                        <a:latin typeface="+mn-lt"/>
                        <a:ea typeface="+mn-ea"/>
                        <a:cs typeface="+mn-cs"/>
                      </a:defRPr>
                    </a:pPr>
                    <a:r>
                      <a:rPr lang="en-US" sz="1000"/>
                      <a:t>13,6</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55236202371255316"/>
                      <c:h val="0.20534435261707989"/>
                    </c:manualLayout>
                  </c15:layout>
                  <c15:showDataLabelsRange val="0"/>
                </c:ext>
                <c:ext xmlns:c16="http://schemas.microsoft.com/office/drawing/2014/chart" uri="{C3380CC4-5D6E-409C-BE32-E72D297353CC}">
                  <c16:uniqueId val="{00000001-AD44-453E-9BBA-3F72B1102243}"/>
                </c:ext>
              </c:extLst>
            </c:dLbl>
            <c:dLbl>
              <c:idx val="2"/>
              <c:layout>
                <c:manualLayout>
                  <c:x val="6.0919764889990409E-2"/>
                  <c:y val="0.20385674931129488"/>
                </c:manualLayout>
              </c:layout>
              <c:tx>
                <c:rich>
                  <a:bodyPr rot="0" spcFirstLastPara="1" vertOverflow="ellipsis" vert="horz" wrap="square" lIns="38100" tIns="19050" rIns="38100" bIns="19050" anchor="ctr" anchorCtr="1">
                    <a:noAutofit/>
                  </a:bodyPr>
                  <a:lstStyle/>
                  <a:p>
                    <a:pPr>
                      <a:defRPr lang="en-US" sz="1000" b="1" i="0" u="none" strike="noStrike" kern="1200" spc="0" baseline="0">
                        <a:solidFill>
                          <a:schemeClr val="tx1"/>
                        </a:solidFill>
                        <a:latin typeface="+mn-lt"/>
                        <a:ea typeface="+mn-ea"/>
                        <a:cs typeface="+mn-cs"/>
                      </a:defRPr>
                    </a:pPr>
                    <a:r>
                      <a:rPr lang="en-US" sz="1000"/>
                      <a:t>Procédures juridiques et judiciaires</a:t>
                    </a:r>
                  </a:p>
                  <a:p>
                    <a:pPr>
                      <a:defRPr lang="en-US" sz="1000" b="1" i="0" u="none" strike="noStrike" kern="1200" spc="0" baseline="0">
                        <a:solidFill>
                          <a:schemeClr val="tx1"/>
                        </a:solidFill>
                        <a:latin typeface="+mn-lt"/>
                        <a:ea typeface="+mn-ea"/>
                        <a:cs typeface="+mn-cs"/>
                      </a:defRPr>
                    </a:pPr>
                    <a:r>
                      <a:rPr lang="en-US" sz="1000"/>
                      <a:t>40,5</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45162639152864514"/>
                      <c:h val="0.17479360534478644"/>
                    </c:manualLayout>
                  </c15:layout>
                  <c15:showDataLabelsRange val="0"/>
                </c:ext>
                <c:ext xmlns:c16="http://schemas.microsoft.com/office/drawing/2014/chart" uri="{C3380CC4-5D6E-409C-BE32-E72D297353CC}">
                  <c16:uniqueId val="{00000002-AD44-453E-9BBA-3F72B1102243}"/>
                </c:ext>
              </c:extLst>
            </c:dLbl>
            <c:dLbl>
              <c:idx val="3"/>
              <c:layout>
                <c:manualLayout>
                  <c:x val="-1.4184397163120564E-2"/>
                  <c:y val="3.3057851239669422E-2"/>
                </c:manualLayout>
              </c:layout>
              <c:tx>
                <c:rich>
                  <a:bodyPr/>
                  <a:lstStyle/>
                  <a:p>
                    <a:r>
                      <a:rPr lang="en-US" sz="800"/>
                      <a:t>Abondon du domicile</a:t>
                    </a:r>
                    <a:r>
                      <a:rPr lang="en-US" sz="800" baseline="0"/>
                      <a:t> </a:t>
                    </a:r>
                    <a:r>
                      <a:rPr lang="en-US" sz="800"/>
                      <a:t> 6,9</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D44-453E-9BBA-3F72B1102243}"/>
                </c:ext>
              </c:extLst>
            </c:dLbl>
            <c:dLbl>
              <c:idx val="4"/>
              <c:layout>
                <c:manualLayout>
                  <c:x val="1.4184397163120564E-2"/>
                  <c:y val="-5.5096418732782674E-3"/>
                </c:manualLayout>
              </c:layout>
              <c:tx>
                <c:rich>
                  <a:bodyPr/>
                  <a:lstStyle/>
                  <a:p>
                    <a:r>
                      <a:rPr lang="en-US" sz="800"/>
                      <a:t> Société Civile</a:t>
                    </a:r>
                  </a:p>
                  <a:p>
                    <a:r>
                      <a:rPr lang="en-US" sz="800"/>
                      <a:t> 0,1</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AD44-453E-9BBA-3F72B1102243}"/>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'a retenir sc 4'!$AL$118:$AP$118</c:f>
              <c:strCache>
                <c:ptCount val="5"/>
                <c:pt idx="0">
                  <c:v>   Santé </c:v>
                </c:pt>
                <c:pt idx="1">
                  <c:v>Remplacement et réparation des biens endommagés</c:v>
                </c:pt>
                <c:pt idx="2">
                  <c:v>Procédures juridiques et judiciaires</c:v>
                </c:pt>
                <c:pt idx="3">
                  <c:v>Abondon du domicile</c:v>
                </c:pt>
                <c:pt idx="4">
                  <c:v> Société Civile</c:v>
                </c:pt>
              </c:strCache>
            </c:strRef>
          </c:cat>
          <c:val>
            <c:numRef>
              <c:f>'a retenir sc 4'!$AL$119:$AP$119</c:f>
              <c:numCache>
                <c:formatCode>0.0</c:formatCode>
                <c:ptCount val="5"/>
                <c:pt idx="0">
                  <c:v>38.827599618637791</c:v>
                </c:pt>
                <c:pt idx="1">
                  <c:v>13.60946025163552</c:v>
                </c:pt>
                <c:pt idx="2">
                  <c:v>40.520968671474584</c:v>
                </c:pt>
                <c:pt idx="3">
                  <c:v>6.9187592238273794</c:v>
                </c:pt>
                <c:pt idx="4">
                  <c:v>0.12321223442473662</c:v>
                </c:pt>
              </c:numCache>
            </c:numRef>
          </c:val>
          <c:extLst xmlns:c16r2="http://schemas.microsoft.com/office/drawing/2015/06/chart">
            <c:ext xmlns:c16="http://schemas.microsoft.com/office/drawing/2014/chart" uri="{C3380CC4-5D6E-409C-BE32-E72D297353CC}">
              <c16:uniqueId val="{00000005-AD44-453E-9BBA-3F72B1102243}"/>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KRgYHMmRkdpsBgkMWVdJtByKw==">AMUW2mXSjkiLXuo16qLwb4XaSNq+yw5eLN6mQvdoyp6snhUQqD33NGyaCn/MyIlT4bdN3aU9djcc7LoNJfq5EuvvjGyqgrx1kE7uIA7tkVTFBgIIpxVHVsOlT6hvod7yoeWemPJxEW2rmQbWQTkCWYdY8NGu+DNsAQ==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FC7C12-3AEF-4C6B-9790-2FA3B260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2217</Words>
  <Characters>12196</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RHIWI</dc:creator>
  <cp:lastModifiedBy>HCP</cp:lastModifiedBy>
  <cp:revision>3</cp:revision>
  <cp:lastPrinted>2020-11-25T04:00:00Z</cp:lastPrinted>
  <dcterms:created xsi:type="dcterms:W3CDTF">2020-11-26T23:18:00Z</dcterms:created>
  <dcterms:modified xsi:type="dcterms:W3CDTF">2020-11-26T23:25:00Z</dcterms:modified>
</cp:coreProperties>
</file>