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371" w:rsidRDefault="00E625C9" w:rsidP="0054373C">
      <w:pPr>
        <w:spacing w:before="240" w:after="240" w:line="312" w:lineRule="auto"/>
        <w:ind w:left="-180"/>
        <w:jc w:val="center"/>
        <w:rPr>
          <w:rFonts w:ascii="Book Antiqua" w:eastAsia="Book Antiqua" w:hAnsi="Book Antiqua" w:cs="Book Antiqua"/>
          <w:b/>
          <w:color w:val="4472C4"/>
          <w:sz w:val="28"/>
          <w:szCs w:val="28"/>
        </w:rPr>
      </w:pPr>
      <w:r>
        <w:rPr>
          <w:rFonts w:ascii="Book Antiqua" w:eastAsia="Book Antiqua" w:hAnsi="Book Antiqua" w:cs="Book Antiqua"/>
          <w:b/>
          <w:color w:val="4472C4"/>
          <w:sz w:val="28"/>
          <w:szCs w:val="28"/>
        </w:rPr>
        <w:t xml:space="preserve">        </w:t>
      </w:r>
    </w:p>
    <w:p w:rsidR="00490D10" w:rsidRPr="003D03B0" w:rsidRDefault="00490D10" w:rsidP="0054373C">
      <w:pPr>
        <w:spacing w:before="240" w:after="240" w:line="312" w:lineRule="auto"/>
        <w:ind w:left="-180"/>
        <w:jc w:val="center"/>
        <w:rPr>
          <w:rFonts w:ascii="Book Antiqua" w:eastAsia="Book Antiqua" w:hAnsi="Book Antiqua" w:cs="Book Antiqua"/>
          <w:b/>
          <w:color w:val="0070C0"/>
          <w:sz w:val="28"/>
          <w:szCs w:val="28"/>
        </w:rPr>
      </w:pPr>
    </w:p>
    <w:p w:rsidR="00AD230E" w:rsidRPr="003D03B0" w:rsidRDefault="00E537B1" w:rsidP="0054373C">
      <w:pPr>
        <w:spacing w:before="240" w:after="240" w:line="312" w:lineRule="auto"/>
        <w:ind w:left="-180"/>
        <w:jc w:val="center"/>
        <w:rPr>
          <w:rFonts w:ascii="Book Antiqua" w:eastAsia="Book Antiqua" w:hAnsi="Book Antiqua" w:cs="Book Antiqua"/>
          <w:b/>
          <w:color w:val="0070C0"/>
          <w:sz w:val="28"/>
          <w:szCs w:val="28"/>
        </w:rPr>
      </w:pPr>
      <w:r w:rsidRPr="003D03B0">
        <w:rPr>
          <w:rFonts w:ascii="Book Antiqua" w:eastAsia="Book Antiqua" w:hAnsi="Book Antiqua" w:cs="Book Antiqua"/>
          <w:b/>
          <w:color w:val="0070C0"/>
          <w:sz w:val="28"/>
          <w:szCs w:val="28"/>
        </w:rPr>
        <w:t xml:space="preserve">NOTE D’INFORMATION DU HAUT-COMMISSARIAT AU PLAN RELATIVE A LA SITUATION DU MARCHÉ DU TRAVAIL AU </w:t>
      </w:r>
      <w:r w:rsidR="00BE6DCB">
        <w:rPr>
          <w:rFonts w:ascii="Book Antiqua" w:eastAsia="Book Antiqua" w:hAnsi="Book Antiqua" w:cs="Book Antiqua"/>
          <w:b/>
          <w:color w:val="0070C0"/>
          <w:sz w:val="28"/>
          <w:szCs w:val="28"/>
        </w:rPr>
        <w:t>PREMIER TRIMESTRE DE 2021</w:t>
      </w:r>
    </w:p>
    <w:p w:rsidR="003848CA" w:rsidRPr="006F4738" w:rsidRDefault="003848CA" w:rsidP="0072708B">
      <w:pPr>
        <w:spacing w:before="120" w:after="120" w:line="312" w:lineRule="auto"/>
        <w:jc w:val="both"/>
        <w:rPr>
          <w:rFonts w:ascii="Book Antiqua" w:eastAsia="Book Antiqua" w:hAnsi="Book Antiqua" w:cs="Book Antiqua"/>
          <w:color w:val="0070C0"/>
          <w:sz w:val="26"/>
          <w:szCs w:val="26"/>
        </w:rPr>
      </w:pPr>
      <w:r w:rsidRPr="006F4738">
        <w:rPr>
          <w:rFonts w:ascii="Book Antiqua" w:eastAsia="Book Antiqua" w:hAnsi="Book Antiqua" w:cs="Book Antiqua"/>
          <w:color w:val="0070C0"/>
          <w:sz w:val="26"/>
          <w:szCs w:val="26"/>
        </w:rPr>
        <w:t>La si</w:t>
      </w:r>
      <w:r w:rsidR="00BA18D5" w:rsidRPr="006F4738">
        <w:rPr>
          <w:rFonts w:ascii="Book Antiqua" w:eastAsia="Book Antiqua" w:hAnsi="Book Antiqua" w:cs="Book Antiqua"/>
          <w:color w:val="0070C0"/>
          <w:sz w:val="26"/>
          <w:szCs w:val="26"/>
        </w:rPr>
        <w:t xml:space="preserve">tuation du marché du travail au </w:t>
      </w:r>
      <w:r w:rsidR="00E61199" w:rsidRPr="006F4738">
        <w:rPr>
          <w:rFonts w:ascii="Book Antiqua" w:eastAsia="Book Antiqua" w:hAnsi="Book Antiqua" w:cs="Book Antiqua"/>
          <w:color w:val="0070C0"/>
          <w:sz w:val="26"/>
          <w:szCs w:val="26"/>
        </w:rPr>
        <w:t>premier trimestre</w:t>
      </w:r>
      <w:r w:rsidRPr="006F4738">
        <w:rPr>
          <w:rFonts w:ascii="Book Antiqua" w:eastAsia="Book Antiqua" w:hAnsi="Book Antiqua" w:cs="Book Antiqua"/>
          <w:color w:val="0070C0"/>
          <w:sz w:val="26"/>
          <w:szCs w:val="26"/>
        </w:rPr>
        <w:t xml:space="preserve"> 2021 continue encore de subir les effets de la crise qu’a vécue l’économie </w:t>
      </w:r>
      <w:r w:rsidR="0072708B" w:rsidRPr="006F4738">
        <w:rPr>
          <w:rFonts w:ascii="Book Antiqua" w:eastAsia="Book Antiqua" w:hAnsi="Book Antiqua" w:cs="Book Antiqua"/>
          <w:color w:val="0070C0"/>
          <w:sz w:val="26"/>
          <w:szCs w:val="26"/>
        </w:rPr>
        <w:t>nationale</w:t>
      </w:r>
      <w:r w:rsidRPr="006F4738">
        <w:rPr>
          <w:rFonts w:ascii="Book Antiqua" w:eastAsia="Book Antiqua" w:hAnsi="Book Antiqua" w:cs="Book Antiqua"/>
          <w:color w:val="0070C0"/>
          <w:sz w:val="26"/>
          <w:szCs w:val="26"/>
        </w:rPr>
        <w:t xml:space="preserve"> durant l’année 2020. Elle a été </w:t>
      </w:r>
      <w:r w:rsidR="00766FBB" w:rsidRPr="006F4738">
        <w:rPr>
          <w:rFonts w:ascii="Book Antiqua" w:eastAsia="Book Antiqua" w:hAnsi="Book Antiqua" w:cs="Book Antiqua"/>
          <w:color w:val="0070C0"/>
          <w:sz w:val="26"/>
          <w:szCs w:val="26"/>
        </w:rPr>
        <w:t xml:space="preserve">essentiellement </w:t>
      </w:r>
      <w:r w:rsidRPr="006F4738">
        <w:rPr>
          <w:rFonts w:ascii="Book Antiqua" w:eastAsia="Book Antiqua" w:hAnsi="Book Antiqua" w:cs="Book Antiqua"/>
          <w:color w:val="0070C0"/>
          <w:sz w:val="26"/>
          <w:szCs w:val="26"/>
        </w:rPr>
        <w:t xml:space="preserve">marquée par la hausse du chômage et </w:t>
      </w:r>
      <w:r w:rsidR="00AC7CCC" w:rsidRPr="006F4738">
        <w:rPr>
          <w:rFonts w:ascii="Book Antiqua" w:eastAsia="Book Antiqua" w:hAnsi="Book Antiqua" w:cs="Book Antiqua"/>
          <w:color w:val="0070C0"/>
          <w:sz w:val="26"/>
          <w:szCs w:val="26"/>
        </w:rPr>
        <w:t xml:space="preserve">de </w:t>
      </w:r>
      <w:r w:rsidRPr="006F4738">
        <w:rPr>
          <w:rFonts w:ascii="Book Antiqua" w:eastAsia="Book Antiqua" w:hAnsi="Book Antiqua" w:cs="Book Antiqua"/>
          <w:color w:val="0070C0"/>
          <w:sz w:val="26"/>
          <w:szCs w:val="26"/>
        </w:rPr>
        <w:t xml:space="preserve">l'inactivité, particulièrement parmi </w:t>
      </w:r>
      <w:r w:rsidR="00E61199" w:rsidRPr="006F4738">
        <w:rPr>
          <w:rFonts w:ascii="Book Antiqua" w:eastAsia="Book Antiqua" w:hAnsi="Book Antiqua" w:cs="Book Antiqua"/>
          <w:color w:val="0070C0"/>
          <w:sz w:val="26"/>
          <w:szCs w:val="26"/>
        </w:rPr>
        <w:t>les femmes</w:t>
      </w:r>
      <w:r w:rsidR="00D35E94" w:rsidRPr="006F4738">
        <w:rPr>
          <w:rFonts w:ascii="Book Antiqua" w:eastAsia="Book Antiqua" w:hAnsi="Book Antiqua" w:cs="Book Antiqua"/>
          <w:color w:val="0070C0"/>
          <w:sz w:val="26"/>
          <w:szCs w:val="26"/>
        </w:rPr>
        <w:t xml:space="preserve"> et les </w:t>
      </w:r>
      <w:r w:rsidR="00766FBB" w:rsidRPr="006F4738">
        <w:rPr>
          <w:rFonts w:ascii="Book Antiqua" w:eastAsia="Book Antiqua" w:hAnsi="Book Antiqua" w:cs="Book Antiqua"/>
          <w:color w:val="0070C0"/>
          <w:sz w:val="26"/>
          <w:szCs w:val="26"/>
        </w:rPr>
        <w:t>jeunes.</w:t>
      </w:r>
    </w:p>
    <w:p w:rsidR="003848CA" w:rsidRPr="006F4738" w:rsidRDefault="00322D6D" w:rsidP="001726BC">
      <w:pPr>
        <w:spacing w:before="120" w:after="120" w:line="312" w:lineRule="auto"/>
        <w:jc w:val="both"/>
        <w:rPr>
          <w:rFonts w:ascii="Book Antiqua" w:eastAsia="Book Antiqua" w:hAnsi="Book Antiqua" w:cs="Book Antiqua"/>
          <w:color w:val="0070C0"/>
          <w:sz w:val="26"/>
          <w:szCs w:val="26"/>
        </w:rPr>
      </w:pPr>
      <w:r w:rsidRPr="006F4738">
        <w:rPr>
          <w:rFonts w:ascii="Book Antiqua" w:eastAsia="Book Antiqua" w:hAnsi="Book Antiqua" w:cs="Book Antiqua"/>
          <w:color w:val="0070C0"/>
          <w:sz w:val="26"/>
          <w:szCs w:val="26"/>
        </w:rPr>
        <w:t xml:space="preserve">Entre le premier trimestre de 2020 et celui de 2021, </w:t>
      </w:r>
      <w:r w:rsidR="00311D7D" w:rsidRPr="006F4738">
        <w:rPr>
          <w:rFonts w:ascii="Book Antiqua" w:eastAsia="Book Antiqua" w:hAnsi="Book Antiqua" w:cs="Book Antiqua"/>
          <w:color w:val="0070C0"/>
          <w:sz w:val="26"/>
          <w:szCs w:val="26"/>
        </w:rPr>
        <w:t xml:space="preserve">et avec une création de 56.000 postes en milieu urbain et </w:t>
      </w:r>
      <w:r w:rsidR="00907851" w:rsidRPr="006F4738">
        <w:rPr>
          <w:rFonts w:ascii="Book Antiqua" w:eastAsia="Book Antiqua" w:hAnsi="Book Antiqua" w:cs="Book Antiqua"/>
          <w:color w:val="0070C0"/>
          <w:sz w:val="26"/>
          <w:szCs w:val="26"/>
        </w:rPr>
        <w:t>d’</w:t>
      </w:r>
      <w:r w:rsidR="00311D7D" w:rsidRPr="006F4738">
        <w:rPr>
          <w:rFonts w:ascii="Book Antiqua" w:eastAsia="Book Antiqua" w:hAnsi="Book Antiqua" w:cs="Book Antiqua"/>
          <w:color w:val="0070C0"/>
          <w:sz w:val="26"/>
          <w:szCs w:val="26"/>
        </w:rPr>
        <w:t xml:space="preserve">une perte de 258.000 en milieu rural, </w:t>
      </w:r>
      <w:r w:rsidRPr="006F4738">
        <w:rPr>
          <w:rFonts w:ascii="Book Antiqua" w:eastAsia="Book Antiqua" w:hAnsi="Book Antiqua" w:cs="Book Antiqua"/>
          <w:color w:val="0070C0"/>
          <w:sz w:val="26"/>
          <w:szCs w:val="26"/>
        </w:rPr>
        <w:t>l</w:t>
      </w:r>
      <w:r w:rsidR="00D35E94" w:rsidRPr="006F4738">
        <w:rPr>
          <w:rFonts w:ascii="Book Antiqua" w:eastAsia="Book Antiqua" w:hAnsi="Book Antiqua" w:cs="Book Antiqua"/>
          <w:color w:val="0070C0"/>
          <w:sz w:val="26"/>
          <w:szCs w:val="26"/>
        </w:rPr>
        <w:t xml:space="preserve">’économie nationale </w:t>
      </w:r>
      <w:r w:rsidR="003848CA" w:rsidRPr="006F4738">
        <w:rPr>
          <w:rFonts w:ascii="Book Antiqua" w:eastAsia="Book Antiqua" w:hAnsi="Book Antiqua" w:cs="Book Antiqua"/>
          <w:color w:val="0070C0"/>
          <w:sz w:val="26"/>
          <w:szCs w:val="26"/>
        </w:rPr>
        <w:t xml:space="preserve">a </w:t>
      </w:r>
      <w:r w:rsidR="00D35E94" w:rsidRPr="006F4738">
        <w:rPr>
          <w:rFonts w:ascii="Book Antiqua" w:eastAsia="Book Antiqua" w:hAnsi="Book Antiqua" w:cs="Book Antiqua"/>
          <w:color w:val="0070C0"/>
          <w:sz w:val="26"/>
          <w:szCs w:val="26"/>
        </w:rPr>
        <w:t>perdu 202 000 postes d’emploi</w:t>
      </w:r>
      <w:r w:rsidR="002A28D6">
        <w:rPr>
          <w:rFonts w:ascii="Book Antiqua" w:eastAsia="Book Antiqua" w:hAnsi="Book Antiqua" w:cs="Book Antiqua"/>
          <w:color w:val="0070C0"/>
          <w:sz w:val="26"/>
          <w:szCs w:val="26"/>
        </w:rPr>
        <w:t xml:space="preserve"> </w:t>
      </w:r>
      <w:r w:rsidR="003848CA" w:rsidRPr="006F4738">
        <w:rPr>
          <w:rFonts w:ascii="Book Antiqua" w:eastAsia="Book Antiqua" w:hAnsi="Book Antiqua" w:cs="Book Antiqua"/>
          <w:color w:val="0070C0"/>
          <w:sz w:val="26"/>
          <w:szCs w:val="26"/>
        </w:rPr>
        <w:t>au niveau national, principalement des emplois non rémunérés (185.000 postes). Une année auparavant, entr</w:t>
      </w:r>
      <w:r w:rsidR="001726BC" w:rsidRPr="006F4738">
        <w:rPr>
          <w:rFonts w:ascii="Book Antiqua" w:eastAsia="Book Antiqua" w:hAnsi="Book Antiqua" w:cs="Book Antiqua"/>
          <w:color w:val="0070C0"/>
          <w:sz w:val="26"/>
          <w:szCs w:val="26"/>
        </w:rPr>
        <w:t xml:space="preserve">e les premiers trimestres de 2019 et de </w:t>
      </w:r>
      <w:r w:rsidR="00D35E94" w:rsidRPr="006F4738">
        <w:rPr>
          <w:rFonts w:ascii="Book Antiqua" w:eastAsia="Book Antiqua" w:hAnsi="Book Antiqua" w:cs="Book Antiqua"/>
          <w:color w:val="0070C0"/>
          <w:sz w:val="26"/>
          <w:szCs w:val="26"/>
        </w:rPr>
        <w:t xml:space="preserve">2020, elle </w:t>
      </w:r>
      <w:r w:rsidR="003848CA" w:rsidRPr="006F4738">
        <w:rPr>
          <w:rFonts w:ascii="Book Antiqua" w:eastAsia="Book Antiqua" w:hAnsi="Book Antiqua" w:cs="Book Antiqua"/>
          <w:color w:val="0070C0"/>
          <w:sz w:val="26"/>
          <w:szCs w:val="26"/>
        </w:rPr>
        <w:t xml:space="preserve">avait </w:t>
      </w:r>
      <w:r w:rsidR="00766FBB" w:rsidRPr="006F4738">
        <w:rPr>
          <w:rFonts w:ascii="Book Antiqua" w:eastAsia="Book Antiqua" w:hAnsi="Book Antiqua" w:cs="Book Antiqua"/>
          <w:color w:val="0070C0"/>
          <w:sz w:val="26"/>
          <w:szCs w:val="26"/>
        </w:rPr>
        <w:t>créé 77.000 postes.</w:t>
      </w:r>
    </w:p>
    <w:p w:rsidR="003B0CC2" w:rsidRPr="006F4738" w:rsidRDefault="00490D10" w:rsidP="00766FBB">
      <w:pPr>
        <w:pBdr>
          <w:top w:val="nil"/>
          <w:left w:val="nil"/>
          <w:bottom w:val="nil"/>
          <w:right w:val="nil"/>
          <w:between w:val="nil"/>
        </w:pBdr>
        <w:spacing w:before="240" w:after="240" w:line="312" w:lineRule="auto"/>
        <w:jc w:val="both"/>
        <w:rPr>
          <w:rFonts w:ascii="Book Antiqua" w:eastAsia="Book Antiqua" w:hAnsi="Book Antiqua" w:cs="Book Antiqua"/>
          <w:color w:val="0070C0"/>
          <w:sz w:val="26"/>
          <w:szCs w:val="26"/>
        </w:rPr>
      </w:pPr>
      <w:r w:rsidRPr="006F4738">
        <w:rPr>
          <w:rFonts w:ascii="Book Antiqua" w:eastAsia="Book Antiqua" w:hAnsi="Book Antiqua" w:cs="Book Antiqua"/>
          <w:color w:val="0070C0"/>
          <w:sz w:val="26"/>
          <w:szCs w:val="26"/>
        </w:rPr>
        <w:t>A</w:t>
      </w:r>
      <w:r w:rsidR="007233C1" w:rsidRPr="006F4738">
        <w:rPr>
          <w:rFonts w:ascii="Book Antiqua" w:eastAsia="Book Antiqua" w:hAnsi="Book Antiqua" w:cs="Book Antiqua"/>
          <w:color w:val="0070C0"/>
          <w:sz w:val="26"/>
          <w:szCs w:val="26"/>
        </w:rPr>
        <w:t>vec une hausse de</w:t>
      </w:r>
      <w:r w:rsidR="002A28D6">
        <w:rPr>
          <w:rFonts w:ascii="Book Antiqua" w:eastAsia="Book Antiqua" w:hAnsi="Book Antiqua" w:cs="Book Antiqua"/>
          <w:color w:val="0070C0"/>
          <w:sz w:val="26"/>
          <w:szCs w:val="26"/>
        </w:rPr>
        <w:t xml:space="preserve"> </w:t>
      </w:r>
      <w:r w:rsidR="00BF4A7E" w:rsidRPr="006F4738">
        <w:rPr>
          <w:rFonts w:ascii="Book Antiqua" w:eastAsia="Book Antiqua" w:hAnsi="Book Antiqua" w:cs="Book Antiqua"/>
          <w:color w:val="0070C0"/>
          <w:sz w:val="26"/>
          <w:szCs w:val="26"/>
        </w:rPr>
        <w:t>242.000, dont 185</w:t>
      </w:r>
      <w:r w:rsidR="003B0CC2" w:rsidRPr="006F4738">
        <w:rPr>
          <w:rFonts w:ascii="Book Antiqua" w:eastAsia="Book Antiqua" w:hAnsi="Book Antiqua" w:cs="Book Antiqua"/>
          <w:color w:val="0070C0"/>
          <w:sz w:val="26"/>
          <w:szCs w:val="26"/>
        </w:rPr>
        <w:t>.000 en milieu ur</w:t>
      </w:r>
      <w:r w:rsidR="00BF4A7E" w:rsidRPr="006F4738">
        <w:rPr>
          <w:rFonts w:ascii="Book Antiqua" w:eastAsia="Book Antiqua" w:hAnsi="Book Antiqua" w:cs="Book Antiqua"/>
          <w:color w:val="0070C0"/>
          <w:sz w:val="26"/>
          <w:szCs w:val="26"/>
        </w:rPr>
        <w:t>bain et 57</w:t>
      </w:r>
      <w:r w:rsidR="007E563F" w:rsidRPr="006F4738">
        <w:rPr>
          <w:rFonts w:ascii="Book Antiqua" w:eastAsia="Book Antiqua" w:hAnsi="Book Antiqua" w:cs="Book Antiqua"/>
          <w:color w:val="0070C0"/>
          <w:sz w:val="26"/>
          <w:szCs w:val="26"/>
        </w:rPr>
        <w:t>.000 en milieu rural, l</w:t>
      </w:r>
      <w:r w:rsidR="003B0CC2" w:rsidRPr="006F4738">
        <w:rPr>
          <w:rFonts w:ascii="Book Antiqua" w:eastAsia="Book Antiqua" w:hAnsi="Book Antiqua" w:cs="Book Antiqua"/>
          <w:color w:val="0070C0"/>
          <w:sz w:val="26"/>
          <w:szCs w:val="26"/>
        </w:rPr>
        <w:t xml:space="preserve">e volume </w:t>
      </w:r>
      <w:r w:rsidR="00BF4A7E" w:rsidRPr="006F4738">
        <w:rPr>
          <w:rFonts w:ascii="Book Antiqua" w:eastAsia="Book Antiqua" w:hAnsi="Book Antiqua" w:cs="Book Antiqua"/>
          <w:color w:val="0070C0"/>
          <w:sz w:val="26"/>
          <w:szCs w:val="26"/>
        </w:rPr>
        <w:t>du chômage a atteint 1.534</w:t>
      </w:r>
      <w:r w:rsidR="003B0CC2" w:rsidRPr="006F4738">
        <w:rPr>
          <w:rFonts w:ascii="Book Antiqua" w:eastAsia="Book Antiqua" w:hAnsi="Book Antiqua" w:cs="Book Antiqua"/>
          <w:color w:val="0070C0"/>
          <w:sz w:val="26"/>
          <w:szCs w:val="26"/>
        </w:rPr>
        <w:t>.0</w:t>
      </w:r>
      <w:r w:rsidR="00BF4A7E" w:rsidRPr="006F4738">
        <w:rPr>
          <w:rFonts w:ascii="Book Antiqua" w:eastAsia="Book Antiqua" w:hAnsi="Book Antiqua" w:cs="Book Antiqua"/>
          <w:color w:val="0070C0"/>
          <w:sz w:val="26"/>
          <w:szCs w:val="26"/>
        </w:rPr>
        <w:t>0</w:t>
      </w:r>
      <w:r w:rsidR="00766FBB" w:rsidRPr="006F4738">
        <w:rPr>
          <w:rFonts w:ascii="Book Antiqua" w:eastAsia="Book Antiqua" w:hAnsi="Book Antiqua" w:cs="Book Antiqua"/>
          <w:color w:val="0070C0"/>
          <w:sz w:val="26"/>
          <w:szCs w:val="26"/>
        </w:rPr>
        <w:t>0 personnes au niveau national.</w:t>
      </w:r>
    </w:p>
    <w:p w:rsidR="004F43F8" w:rsidRPr="006F4738" w:rsidRDefault="00034A6E" w:rsidP="00BA18D5">
      <w:pPr>
        <w:spacing w:before="240" w:after="240" w:line="312" w:lineRule="auto"/>
        <w:jc w:val="both"/>
        <w:rPr>
          <w:rFonts w:ascii="Book Antiqua" w:eastAsia="Book Antiqua" w:hAnsi="Book Antiqua" w:cs="Book Antiqua"/>
          <w:color w:val="0070C0"/>
          <w:sz w:val="26"/>
          <w:szCs w:val="26"/>
        </w:rPr>
      </w:pPr>
      <w:r w:rsidRPr="006F4738">
        <w:rPr>
          <w:rFonts w:ascii="Book Antiqua" w:eastAsia="Book Antiqua" w:hAnsi="Book Antiqua" w:cs="Book Antiqua"/>
          <w:b/>
          <w:bCs/>
          <w:color w:val="0070C0"/>
          <w:sz w:val="26"/>
          <w:szCs w:val="26"/>
        </w:rPr>
        <w:t>L</w:t>
      </w:r>
      <w:r w:rsidR="003B0CC2" w:rsidRPr="006F4738">
        <w:rPr>
          <w:rFonts w:ascii="Book Antiqua" w:eastAsia="Book Antiqua" w:hAnsi="Book Antiqua" w:cs="Book Antiqua"/>
          <w:b/>
          <w:bCs/>
          <w:color w:val="0070C0"/>
          <w:sz w:val="26"/>
          <w:szCs w:val="26"/>
        </w:rPr>
        <w:t>e taux d</w:t>
      </w:r>
      <w:r w:rsidR="004F43F8" w:rsidRPr="006F4738">
        <w:rPr>
          <w:rFonts w:ascii="Book Antiqua" w:eastAsia="Book Antiqua" w:hAnsi="Book Antiqua" w:cs="Book Antiqua"/>
          <w:b/>
          <w:bCs/>
          <w:color w:val="0070C0"/>
          <w:sz w:val="26"/>
          <w:szCs w:val="26"/>
        </w:rPr>
        <w:t>e chômage est passé de 10,5% à 12,5% au niveau national,</w:t>
      </w:r>
      <w:r w:rsidR="004F43F8" w:rsidRPr="006F4738">
        <w:rPr>
          <w:rFonts w:ascii="Book Antiqua" w:eastAsia="Book Antiqua" w:hAnsi="Book Antiqua" w:cs="Book Antiqua"/>
          <w:color w:val="0070C0"/>
          <w:sz w:val="26"/>
          <w:szCs w:val="26"/>
        </w:rPr>
        <w:t xml:space="preserve"> de 15,1% à 17,1% en milieu urbain et de 3,9% à 5,</w:t>
      </w:r>
      <w:r w:rsidR="00AA186B" w:rsidRPr="006F4738">
        <w:rPr>
          <w:rFonts w:ascii="Book Antiqua" w:eastAsia="Book Antiqua" w:hAnsi="Book Antiqua" w:cs="Book Antiqua"/>
          <w:color w:val="0070C0"/>
          <w:sz w:val="26"/>
          <w:szCs w:val="26"/>
        </w:rPr>
        <w:t>3</w:t>
      </w:r>
      <w:r w:rsidR="003B0CC2" w:rsidRPr="006F4738">
        <w:rPr>
          <w:rFonts w:ascii="Book Antiqua" w:eastAsia="Book Antiqua" w:hAnsi="Book Antiqua" w:cs="Book Antiqua"/>
          <w:color w:val="0070C0"/>
          <w:sz w:val="26"/>
          <w:szCs w:val="26"/>
        </w:rPr>
        <w:t xml:space="preserve">% </w:t>
      </w:r>
      <w:r w:rsidR="006D72D4" w:rsidRPr="006F4738">
        <w:rPr>
          <w:rFonts w:ascii="Book Antiqua" w:eastAsia="Book Antiqua" w:hAnsi="Book Antiqua" w:cs="Book Antiqua"/>
          <w:color w:val="0070C0"/>
          <w:sz w:val="26"/>
          <w:szCs w:val="26"/>
        </w:rPr>
        <w:t>en milieu rural.</w:t>
      </w:r>
      <w:r w:rsidR="002A28D6">
        <w:rPr>
          <w:rFonts w:ascii="Book Antiqua" w:eastAsia="Book Antiqua" w:hAnsi="Book Antiqua" w:cs="Book Antiqua"/>
          <w:color w:val="0070C0"/>
          <w:sz w:val="26"/>
          <w:szCs w:val="26"/>
        </w:rPr>
        <w:t xml:space="preserve"> </w:t>
      </w:r>
      <w:r w:rsidR="003D1D48" w:rsidRPr="006F4738">
        <w:rPr>
          <w:rFonts w:ascii="Book Antiqua" w:eastAsia="Book Antiqua" w:hAnsi="Book Antiqua" w:cs="Book Antiqua"/>
          <w:color w:val="0070C0"/>
          <w:sz w:val="26"/>
          <w:szCs w:val="26"/>
        </w:rPr>
        <w:t>Il a enregistré une forte haus</w:t>
      </w:r>
      <w:r w:rsidR="004F43F8" w:rsidRPr="006F4738">
        <w:rPr>
          <w:rFonts w:ascii="Book Antiqua" w:eastAsia="Book Antiqua" w:hAnsi="Book Antiqua" w:cs="Book Antiqua"/>
          <w:color w:val="0070C0"/>
          <w:sz w:val="26"/>
          <w:szCs w:val="26"/>
        </w:rPr>
        <w:t>se parmi les femmes, de 14,3% à 17,5</w:t>
      </w:r>
      <w:r w:rsidR="00E61199" w:rsidRPr="006F4738">
        <w:rPr>
          <w:rFonts w:ascii="Book Antiqua" w:eastAsia="Book Antiqua" w:hAnsi="Book Antiqua" w:cs="Book Antiqua"/>
          <w:color w:val="0070C0"/>
          <w:sz w:val="26"/>
          <w:szCs w:val="26"/>
        </w:rPr>
        <w:t>%, parmi</w:t>
      </w:r>
      <w:r w:rsidR="003D1D48" w:rsidRPr="006F4738">
        <w:rPr>
          <w:rFonts w:ascii="Book Antiqua" w:eastAsia="Book Antiqua" w:hAnsi="Book Antiqua" w:cs="Book Antiqua"/>
          <w:color w:val="0070C0"/>
          <w:sz w:val="26"/>
          <w:szCs w:val="26"/>
        </w:rPr>
        <w:t xml:space="preserve"> les jeunes âgés de 15 à 24 ans</w:t>
      </w:r>
      <w:r w:rsidR="004F43F8" w:rsidRPr="006F4738">
        <w:rPr>
          <w:rFonts w:ascii="Book Antiqua" w:eastAsia="Book Antiqua" w:hAnsi="Book Antiqua" w:cs="Book Antiqua"/>
          <w:color w:val="0070C0"/>
          <w:sz w:val="26"/>
          <w:szCs w:val="26"/>
        </w:rPr>
        <w:t>, de 26,8% à 32,5%, et parmi les diplômés, de 17,8% à 19,8%.</w:t>
      </w:r>
    </w:p>
    <w:p w:rsidR="003D1D48" w:rsidRPr="006F4738" w:rsidRDefault="00E537B1" w:rsidP="004F43F8">
      <w:pPr>
        <w:spacing w:before="240" w:after="240" w:line="312" w:lineRule="auto"/>
        <w:jc w:val="both"/>
        <w:rPr>
          <w:rFonts w:ascii="Book Antiqua" w:eastAsia="Book Antiqua" w:hAnsi="Book Antiqua" w:cs="Book Antiqua"/>
          <w:color w:val="0070C0"/>
          <w:sz w:val="26"/>
          <w:szCs w:val="26"/>
        </w:rPr>
      </w:pPr>
      <w:r w:rsidRPr="006F4738">
        <w:rPr>
          <w:rFonts w:ascii="Book Antiqua" w:eastAsia="Book Antiqua" w:hAnsi="Book Antiqua" w:cs="Book Antiqua"/>
          <w:color w:val="0070C0"/>
          <w:sz w:val="26"/>
          <w:szCs w:val="26"/>
        </w:rPr>
        <w:t xml:space="preserve">La population active occupée en situation de sous-emploi a atteint </w:t>
      </w:r>
      <w:r w:rsidR="004F43F8" w:rsidRPr="006F4738">
        <w:rPr>
          <w:rFonts w:ascii="Book Antiqua" w:eastAsia="Book Antiqua" w:hAnsi="Book Antiqua" w:cs="Book Antiqua"/>
          <w:color w:val="0070C0"/>
          <w:sz w:val="26"/>
          <w:szCs w:val="26"/>
        </w:rPr>
        <w:t>988.</w:t>
      </w:r>
      <w:r w:rsidRPr="006F4738">
        <w:rPr>
          <w:rFonts w:ascii="Book Antiqua" w:eastAsia="Book Antiqua" w:hAnsi="Book Antiqua" w:cs="Book Antiqua"/>
          <w:color w:val="0070C0"/>
          <w:sz w:val="26"/>
          <w:szCs w:val="26"/>
        </w:rPr>
        <w:t>000</w:t>
      </w:r>
      <w:r w:rsidR="002A28D6">
        <w:rPr>
          <w:rFonts w:ascii="Book Antiqua" w:eastAsia="Book Antiqua" w:hAnsi="Book Antiqua" w:cs="Book Antiqua"/>
          <w:color w:val="0070C0"/>
          <w:sz w:val="26"/>
          <w:szCs w:val="26"/>
        </w:rPr>
        <w:t xml:space="preserve"> </w:t>
      </w:r>
      <w:r w:rsidRPr="006F4738">
        <w:rPr>
          <w:rFonts w:ascii="Book Antiqua" w:eastAsia="Book Antiqua" w:hAnsi="Book Antiqua" w:cs="Book Antiqua"/>
          <w:color w:val="0070C0"/>
          <w:sz w:val="26"/>
          <w:szCs w:val="26"/>
        </w:rPr>
        <w:t>personnes. Le ta</w:t>
      </w:r>
      <w:r w:rsidR="00F36718" w:rsidRPr="006F4738">
        <w:rPr>
          <w:rFonts w:ascii="Book Antiqua" w:eastAsia="Book Antiqua" w:hAnsi="Book Antiqua" w:cs="Book Antiqua"/>
          <w:color w:val="0070C0"/>
          <w:sz w:val="26"/>
          <w:szCs w:val="26"/>
        </w:rPr>
        <w:t>ux de sous-emploi est passé de 8,8% à 9,2%, au niveau</w:t>
      </w:r>
      <w:r w:rsidR="002A28D6">
        <w:rPr>
          <w:rFonts w:ascii="Book Antiqua" w:eastAsia="Book Antiqua" w:hAnsi="Book Antiqua" w:cs="Book Antiqua"/>
          <w:color w:val="0070C0"/>
          <w:sz w:val="26"/>
          <w:szCs w:val="26"/>
        </w:rPr>
        <w:t xml:space="preserve"> </w:t>
      </w:r>
      <w:r w:rsidR="00F36718" w:rsidRPr="006F4738">
        <w:rPr>
          <w:rFonts w:ascii="Book Antiqua" w:eastAsia="Book Antiqua" w:hAnsi="Book Antiqua" w:cs="Book Antiqua"/>
          <w:color w:val="0070C0"/>
          <w:sz w:val="26"/>
          <w:szCs w:val="26"/>
        </w:rPr>
        <w:t>national, de 8,7% à 8,9%</w:t>
      </w:r>
      <w:r w:rsidR="002A28D6">
        <w:rPr>
          <w:rFonts w:ascii="Book Antiqua" w:eastAsia="Book Antiqua" w:hAnsi="Book Antiqua" w:cs="Book Antiqua"/>
          <w:color w:val="0070C0"/>
          <w:sz w:val="26"/>
          <w:szCs w:val="26"/>
        </w:rPr>
        <w:t xml:space="preserve"> </w:t>
      </w:r>
      <w:r w:rsidR="00F36718" w:rsidRPr="006F4738">
        <w:rPr>
          <w:rFonts w:ascii="Book Antiqua" w:eastAsia="Book Antiqua" w:hAnsi="Book Antiqua" w:cs="Book Antiqua"/>
          <w:color w:val="0070C0"/>
          <w:sz w:val="26"/>
          <w:szCs w:val="26"/>
        </w:rPr>
        <w:t>en milieu urbain et de 8,9% à 9,6</w:t>
      </w:r>
      <w:r w:rsidRPr="006F4738">
        <w:rPr>
          <w:rFonts w:ascii="Book Antiqua" w:eastAsia="Book Antiqua" w:hAnsi="Book Antiqua" w:cs="Book Antiqua"/>
          <w:color w:val="0070C0"/>
          <w:sz w:val="26"/>
          <w:szCs w:val="26"/>
        </w:rPr>
        <w:t>% en milieu rural.</w:t>
      </w:r>
    </w:p>
    <w:p w:rsidR="00882371" w:rsidRPr="003D03B0" w:rsidRDefault="003D1D48" w:rsidP="003848CA">
      <w:pPr>
        <w:rPr>
          <w:rFonts w:ascii="Book Antiqua" w:eastAsia="Book Antiqua" w:hAnsi="Book Antiqua" w:cs="Book Antiqua"/>
          <w:b/>
          <w:bCs/>
          <w:color w:val="0070C0"/>
          <w:sz w:val="26"/>
          <w:szCs w:val="26"/>
        </w:rPr>
      </w:pPr>
      <w:r w:rsidRPr="00BA18D5">
        <w:rPr>
          <w:rFonts w:ascii="Book Antiqua" w:eastAsia="Book Antiqua" w:hAnsi="Book Antiqua" w:cs="Book Antiqua"/>
          <w:b/>
          <w:bCs/>
          <w:color w:val="0070C0"/>
          <w:sz w:val="26"/>
          <w:szCs w:val="26"/>
        </w:rPr>
        <w:br w:type="page"/>
      </w:r>
      <w:r w:rsidR="003C56CF" w:rsidRPr="003C56CF">
        <w:rPr>
          <w:rFonts w:ascii="Book Antiqua" w:eastAsia="Book Antiqua" w:hAnsi="Book Antiqua" w:cs="Book Antiqua"/>
          <w:b/>
          <w:bCs/>
          <w:color w:val="0070C0"/>
          <w:sz w:val="28"/>
          <w:szCs w:val="28"/>
        </w:rPr>
        <w:lastRenderedPageBreak/>
        <w:t xml:space="preserve">I.  </w:t>
      </w:r>
      <w:r w:rsidR="00882371" w:rsidRPr="003C56CF">
        <w:rPr>
          <w:rFonts w:ascii="Book Antiqua" w:eastAsia="Book Antiqua" w:hAnsi="Book Antiqua" w:cs="Book Antiqua"/>
          <w:b/>
          <w:bCs/>
          <w:color w:val="0070C0"/>
          <w:sz w:val="28"/>
          <w:szCs w:val="28"/>
        </w:rPr>
        <w:t>Activité et emploi</w:t>
      </w:r>
    </w:p>
    <w:p w:rsidR="00AD230E" w:rsidRPr="003D03B0" w:rsidRDefault="00E537B1" w:rsidP="00882371">
      <w:pPr>
        <w:spacing w:before="240" w:after="240" w:line="312" w:lineRule="auto"/>
        <w:rPr>
          <w:rFonts w:ascii="Book Antiqua" w:eastAsia="Book Antiqua" w:hAnsi="Book Antiqua" w:cs="Book Antiqua"/>
          <w:b/>
          <w:bCs/>
          <w:i/>
          <w:iCs/>
          <w:color w:val="0070C0"/>
          <w:sz w:val="26"/>
          <w:szCs w:val="26"/>
        </w:rPr>
      </w:pPr>
      <w:r w:rsidRPr="003D03B0">
        <w:rPr>
          <w:rFonts w:ascii="Book Antiqua" w:eastAsia="Book Antiqua" w:hAnsi="Book Antiqua" w:cs="Book Antiqua"/>
          <w:b/>
          <w:bCs/>
          <w:i/>
          <w:iCs/>
          <w:color w:val="0070C0"/>
          <w:sz w:val="26"/>
          <w:szCs w:val="26"/>
        </w:rPr>
        <w:t>Baisse d</w:t>
      </w:r>
      <w:r w:rsidR="0054373C" w:rsidRPr="003D03B0">
        <w:rPr>
          <w:rFonts w:ascii="Book Antiqua" w:eastAsia="Book Antiqua" w:hAnsi="Book Antiqua" w:cs="Book Antiqua"/>
          <w:b/>
          <w:bCs/>
          <w:i/>
          <w:iCs/>
          <w:color w:val="0070C0"/>
          <w:sz w:val="26"/>
          <w:szCs w:val="26"/>
        </w:rPr>
        <w:t>e</w:t>
      </w:r>
      <w:r w:rsidR="00B9565B">
        <w:rPr>
          <w:rFonts w:ascii="Book Antiqua" w:eastAsia="Book Antiqua" w:hAnsi="Book Antiqua" w:cs="Book Antiqua"/>
          <w:b/>
          <w:bCs/>
          <w:i/>
          <w:iCs/>
          <w:color w:val="0070C0"/>
          <w:sz w:val="26"/>
          <w:szCs w:val="26"/>
        </w:rPr>
        <w:t xml:space="preserve"> </w:t>
      </w:r>
      <w:r w:rsidR="0054373C" w:rsidRPr="003D03B0">
        <w:rPr>
          <w:rFonts w:ascii="Book Antiqua" w:eastAsia="Book Antiqua" w:hAnsi="Book Antiqua" w:cs="Book Antiqua"/>
          <w:b/>
          <w:bCs/>
          <w:i/>
          <w:iCs/>
          <w:color w:val="0070C0"/>
          <w:sz w:val="26"/>
          <w:szCs w:val="26"/>
        </w:rPr>
        <w:t>l</w:t>
      </w:r>
      <w:r w:rsidRPr="003D03B0">
        <w:rPr>
          <w:rFonts w:ascii="Book Antiqua" w:eastAsia="Book Antiqua" w:hAnsi="Book Antiqua" w:cs="Book Antiqua"/>
          <w:b/>
          <w:bCs/>
          <w:i/>
          <w:iCs/>
          <w:color w:val="0070C0"/>
          <w:sz w:val="26"/>
          <w:szCs w:val="26"/>
        </w:rPr>
        <w:t xml:space="preserve">’activité et </w:t>
      </w:r>
      <w:r w:rsidR="00E276F1" w:rsidRPr="003D03B0">
        <w:rPr>
          <w:rFonts w:ascii="Book Antiqua" w:eastAsia="Book Antiqua" w:hAnsi="Book Antiqua" w:cs="Book Antiqua"/>
          <w:b/>
          <w:bCs/>
          <w:i/>
          <w:iCs/>
          <w:color w:val="0070C0"/>
          <w:sz w:val="26"/>
          <w:szCs w:val="26"/>
        </w:rPr>
        <w:t>de l’emploi</w:t>
      </w:r>
    </w:p>
    <w:p w:rsidR="00AD230E" w:rsidRPr="00A5269F" w:rsidRDefault="00E537B1" w:rsidP="00AC7CCC">
      <w:pPr>
        <w:spacing w:before="240" w:after="240" w:line="312" w:lineRule="auto"/>
        <w:jc w:val="both"/>
        <w:rPr>
          <w:rFonts w:ascii="Book Antiqua" w:eastAsia="Book Antiqua" w:hAnsi="Book Antiqua" w:cs="Book Antiqua"/>
          <w:sz w:val="24"/>
          <w:szCs w:val="24"/>
        </w:rPr>
      </w:pPr>
      <w:r w:rsidRPr="00A5269F">
        <w:rPr>
          <w:rFonts w:ascii="Book Antiqua" w:eastAsia="Book Antiqua" w:hAnsi="Book Antiqua" w:cs="Book Antiqua"/>
          <w:sz w:val="24"/>
          <w:szCs w:val="24"/>
        </w:rPr>
        <w:t>Entr</w:t>
      </w:r>
      <w:r w:rsidR="00156B42" w:rsidRPr="00A5269F">
        <w:rPr>
          <w:rFonts w:ascii="Book Antiqua" w:eastAsia="Book Antiqua" w:hAnsi="Book Antiqua" w:cs="Book Antiqua"/>
          <w:sz w:val="24"/>
          <w:szCs w:val="24"/>
        </w:rPr>
        <w:t>e le premier</w:t>
      </w:r>
      <w:r w:rsidR="002A5048" w:rsidRPr="00A5269F">
        <w:rPr>
          <w:rFonts w:ascii="Book Antiqua" w:eastAsia="Book Antiqua" w:hAnsi="Book Antiqua" w:cs="Book Antiqua"/>
          <w:sz w:val="24"/>
          <w:szCs w:val="24"/>
        </w:rPr>
        <w:t xml:space="preserve"> trimestre de 2020 et la </w:t>
      </w:r>
      <w:r w:rsidR="002A5048" w:rsidRPr="001726BC">
        <w:rPr>
          <w:rFonts w:ascii="Book Antiqua" w:eastAsia="Book Antiqua" w:hAnsi="Book Antiqua" w:cs="Book Antiqua"/>
          <w:sz w:val="24"/>
          <w:szCs w:val="24"/>
        </w:rPr>
        <w:t>même période de 2021</w:t>
      </w:r>
      <w:r w:rsidRPr="001726BC">
        <w:rPr>
          <w:rFonts w:ascii="Book Antiqua" w:eastAsia="Book Antiqua" w:hAnsi="Book Antiqua" w:cs="Book Antiqua"/>
          <w:sz w:val="24"/>
          <w:szCs w:val="24"/>
        </w:rPr>
        <w:t>, le taux d’activité a bai</w:t>
      </w:r>
      <w:r w:rsidR="002A5048" w:rsidRPr="001726BC">
        <w:rPr>
          <w:rFonts w:ascii="Book Antiqua" w:eastAsia="Book Antiqua" w:hAnsi="Book Antiqua" w:cs="Book Antiqua"/>
          <w:sz w:val="24"/>
          <w:szCs w:val="24"/>
        </w:rPr>
        <w:t>ssé, au niveau national, de 46% à 45</w:t>
      </w:r>
      <w:r w:rsidRPr="001726BC">
        <w:rPr>
          <w:rFonts w:ascii="Book Antiqua" w:eastAsia="Book Antiqua" w:hAnsi="Book Antiqua" w:cs="Book Antiqua"/>
          <w:sz w:val="24"/>
          <w:szCs w:val="24"/>
        </w:rPr>
        <w:t>,5%.</w:t>
      </w:r>
      <w:r w:rsidR="002A5048" w:rsidRPr="001726BC">
        <w:rPr>
          <w:rFonts w:ascii="Book Antiqua" w:eastAsia="Book Antiqua" w:hAnsi="Book Antiqua" w:cs="Book Antiqua"/>
          <w:sz w:val="24"/>
          <w:szCs w:val="24"/>
        </w:rPr>
        <w:t xml:space="preserve"> Il a baissé de 53</w:t>
      </w:r>
      <w:r w:rsidR="00D35E94" w:rsidRPr="001726BC">
        <w:rPr>
          <w:rFonts w:ascii="Book Antiqua" w:eastAsia="Book Antiqua" w:hAnsi="Book Antiqua" w:cs="Book Antiqua"/>
          <w:sz w:val="24"/>
          <w:szCs w:val="24"/>
        </w:rPr>
        <w:t>,3</w:t>
      </w:r>
      <w:r w:rsidR="002A5048" w:rsidRPr="001726BC">
        <w:rPr>
          <w:rFonts w:ascii="Book Antiqua" w:eastAsia="Book Antiqua" w:hAnsi="Book Antiqua" w:cs="Book Antiqua"/>
          <w:sz w:val="24"/>
          <w:szCs w:val="24"/>
        </w:rPr>
        <w:t xml:space="preserve">% à 51,1% en milieu rural et </w:t>
      </w:r>
      <w:r w:rsidR="000E2D52" w:rsidRPr="001726BC">
        <w:rPr>
          <w:rFonts w:ascii="Book Antiqua" w:eastAsia="Book Antiqua" w:hAnsi="Book Antiqua" w:cs="Book Antiqua"/>
          <w:sz w:val="24"/>
          <w:szCs w:val="24"/>
        </w:rPr>
        <w:t xml:space="preserve">a augmenté </w:t>
      </w:r>
      <w:r w:rsidR="002A5048" w:rsidRPr="001726BC">
        <w:rPr>
          <w:rFonts w:ascii="Book Antiqua" w:eastAsia="Book Antiqua" w:hAnsi="Book Antiqua" w:cs="Book Antiqua"/>
          <w:sz w:val="24"/>
          <w:szCs w:val="24"/>
        </w:rPr>
        <w:t>de</w:t>
      </w:r>
      <w:r w:rsidR="00EF5D73">
        <w:rPr>
          <w:rFonts w:ascii="Book Antiqua" w:eastAsia="Book Antiqua" w:hAnsi="Book Antiqua" w:cs="Book Antiqua" w:hint="cs"/>
          <w:sz w:val="24"/>
          <w:szCs w:val="24"/>
          <w:rtl/>
        </w:rPr>
        <w:t xml:space="preserve"> </w:t>
      </w:r>
      <w:r w:rsidR="002A5048" w:rsidRPr="001726BC">
        <w:rPr>
          <w:rFonts w:ascii="Book Antiqua" w:eastAsia="Book Antiqua" w:hAnsi="Book Antiqua" w:cs="Book Antiqua"/>
          <w:sz w:val="24"/>
          <w:szCs w:val="24"/>
        </w:rPr>
        <w:t>42,1</w:t>
      </w:r>
      <w:r w:rsidRPr="001726BC">
        <w:rPr>
          <w:rFonts w:ascii="Book Antiqua" w:eastAsia="Book Antiqua" w:hAnsi="Book Antiqua" w:cs="Book Antiqua"/>
          <w:sz w:val="24"/>
          <w:szCs w:val="24"/>
        </w:rPr>
        <w:t>% à 4</w:t>
      </w:r>
      <w:r w:rsidR="002A5048" w:rsidRPr="001726BC">
        <w:rPr>
          <w:rFonts w:ascii="Book Antiqua" w:eastAsia="Book Antiqua" w:hAnsi="Book Antiqua" w:cs="Book Antiqua"/>
          <w:sz w:val="24"/>
          <w:szCs w:val="24"/>
        </w:rPr>
        <w:t>2,6</w:t>
      </w:r>
      <w:r w:rsidRPr="001726BC">
        <w:rPr>
          <w:rFonts w:ascii="Book Antiqua" w:eastAsia="Book Antiqua" w:hAnsi="Book Antiqua" w:cs="Book Antiqua"/>
          <w:sz w:val="24"/>
          <w:szCs w:val="24"/>
        </w:rPr>
        <w:t>% en milieu urbain. L’écart entre</w:t>
      </w:r>
      <w:r w:rsidR="002A5048" w:rsidRPr="001726BC">
        <w:rPr>
          <w:rFonts w:ascii="Book Antiqua" w:eastAsia="Book Antiqua" w:hAnsi="Book Antiqua" w:cs="Book Antiqua"/>
          <w:sz w:val="24"/>
          <w:szCs w:val="24"/>
        </w:rPr>
        <w:t xml:space="preserve"> hommes et femmes a atteint 49,5</w:t>
      </w:r>
      <w:r w:rsidRPr="001726BC">
        <w:rPr>
          <w:rFonts w:ascii="Book Antiqua" w:eastAsia="Book Antiqua" w:hAnsi="Book Antiqua" w:cs="Book Antiqua"/>
          <w:sz w:val="24"/>
          <w:szCs w:val="24"/>
        </w:rPr>
        <w:t xml:space="preserve"> points, avec des ta</w:t>
      </w:r>
      <w:r w:rsidR="002A5048" w:rsidRPr="001726BC">
        <w:rPr>
          <w:rFonts w:ascii="Book Antiqua" w:eastAsia="Book Antiqua" w:hAnsi="Book Antiqua" w:cs="Book Antiqua"/>
          <w:sz w:val="24"/>
          <w:szCs w:val="24"/>
        </w:rPr>
        <w:t>ux d’activité</w:t>
      </w:r>
      <w:r w:rsidR="002A5048" w:rsidRPr="00A5269F">
        <w:rPr>
          <w:rFonts w:ascii="Book Antiqua" w:eastAsia="Book Antiqua" w:hAnsi="Book Antiqua" w:cs="Book Antiqua"/>
          <w:sz w:val="24"/>
          <w:szCs w:val="24"/>
        </w:rPr>
        <w:t xml:space="preserve"> respectifs de 70,7% et de 21,2</w:t>
      </w:r>
      <w:r w:rsidR="00766FBB">
        <w:rPr>
          <w:rFonts w:ascii="Book Antiqua" w:eastAsia="Book Antiqua" w:hAnsi="Book Antiqua" w:cs="Book Antiqua"/>
          <w:sz w:val="24"/>
          <w:szCs w:val="24"/>
        </w:rPr>
        <w:t xml:space="preserve">%. Ces taux </w:t>
      </w:r>
      <w:r w:rsidR="000E2D52">
        <w:rPr>
          <w:rFonts w:ascii="Book Antiqua" w:eastAsia="Book Antiqua" w:hAnsi="Book Antiqua" w:cs="Book Antiqua"/>
          <w:sz w:val="24"/>
          <w:szCs w:val="24"/>
        </w:rPr>
        <w:t>étaient de</w:t>
      </w:r>
      <w:r w:rsidR="00923F1D">
        <w:rPr>
          <w:rFonts w:ascii="Book Antiqua" w:eastAsia="Book Antiqua" w:hAnsi="Book Antiqua" w:cs="Book Antiqua"/>
          <w:sz w:val="24"/>
          <w:szCs w:val="24"/>
        </w:rPr>
        <w:t xml:space="preserve"> </w:t>
      </w:r>
      <w:r w:rsidR="00AC7CCC">
        <w:rPr>
          <w:rFonts w:ascii="Book Antiqua" w:eastAsia="Book Antiqua" w:hAnsi="Book Antiqua" w:cs="Book Antiqua"/>
          <w:sz w:val="24"/>
          <w:szCs w:val="24"/>
        </w:rPr>
        <w:t xml:space="preserve">70,3% et </w:t>
      </w:r>
      <w:r w:rsidR="00E70765">
        <w:rPr>
          <w:rFonts w:ascii="Book Antiqua" w:eastAsia="Book Antiqua" w:hAnsi="Book Antiqua" w:cs="Book Antiqua"/>
          <w:sz w:val="24"/>
          <w:szCs w:val="24"/>
        </w:rPr>
        <w:t xml:space="preserve">de 22,6% </w:t>
      </w:r>
      <w:r w:rsidR="00D35E94">
        <w:rPr>
          <w:rFonts w:ascii="Book Antiqua" w:eastAsia="Book Antiqua" w:hAnsi="Book Antiqua" w:cs="Book Antiqua"/>
          <w:sz w:val="24"/>
          <w:szCs w:val="24"/>
        </w:rPr>
        <w:t xml:space="preserve">au premier trimestre </w:t>
      </w:r>
      <w:r w:rsidR="00AC7CCC">
        <w:rPr>
          <w:rFonts w:ascii="Book Antiqua" w:eastAsia="Book Antiqua" w:hAnsi="Book Antiqua" w:cs="Book Antiqua"/>
          <w:sz w:val="24"/>
          <w:szCs w:val="24"/>
        </w:rPr>
        <w:t>de 2020.</w:t>
      </w:r>
    </w:p>
    <w:p w:rsidR="00E70765" w:rsidRPr="00A5269F" w:rsidRDefault="00E537B1" w:rsidP="00233EC0">
      <w:pPr>
        <w:spacing w:before="240" w:after="240" w:line="312" w:lineRule="auto"/>
        <w:jc w:val="both"/>
        <w:rPr>
          <w:rFonts w:ascii="Book Antiqua" w:eastAsia="Book Antiqua" w:hAnsi="Book Antiqua" w:cs="Book Antiqua"/>
          <w:sz w:val="24"/>
          <w:szCs w:val="24"/>
        </w:rPr>
      </w:pPr>
      <w:r w:rsidRPr="00A5269F">
        <w:rPr>
          <w:rFonts w:ascii="Book Antiqua" w:eastAsia="Book Antiqua" w:hAnsi="Book Antiqua" w:cs="Book Antiqua"/>
          <w:sz w:val="24"/>
          <w:szCs w:val="24"/>
        </w:rPr>
        <w:t>De son côté, l</w:t>
      </w:r>
      <w:r w:rsidR="002A5048" w:rsidRPr="00A5269F">
        <w:rPr>
          <w:rFonts w:ascii="Book Antiqua" w:eastAsia="Book Antiqua" w:hAnsi="Book Antiqua" w:cs="Book Antiqua"/>
          <w:sz w:val="24"/>
          <w:szCs w:val="24"/>
        </w:rPr>
        <w:t>e taux d’emploi a baissé de 41,2% à 39</w:t>
      </w:r>
      <w:r w:rsidRPr="00A5269F">
        <w:rPr>
          <w:rFonts w:ascii="Book Antiqua" w:eastAsia="Book Antiqua" w:hAnsi="Book Antiqua" w:cs="Book Antiqua"/>
          <w:sz w:val="24"/>
          <w:szCs w:val="24"/>
        </w:rPr>
        <w:t xml:space="preserve">,9% au niveau national. Ce taux a connu une </w:t>
      </w:r>
      <w:r w:rsidR="002A5048" w:rsidRPr="00A5269F">
        <w:rPr>
          <w:rFonts w:ascii="Book Antiqua" w:eastAsia="Book Antiqua" w:hAnsi="Book Antiqua" w:cs="Book Antiqua"/>
          <w:sz w:val="24"/>
          <w:szCs w:val="24"/>
        </w:rPr>
        <w:t xml:space="preserve">légère baisse de 0,4 </w:t>
      </w:r>
      <w:r w:rsidRPr="00A5269F">
        <w:rPr>
          <w:rFonts w:ascii="Book Antiqua" w:eastAsia="Book Antiqua" w:hAnsi="Book Antiqua" w:cs="Book Antiqua"/>
          <w:sz w:val="24"/>
          <w:szCs w:val="24"/>
        </w:rPr>
        <w:t>point</w:t>
      </w:r>
      <w:r w:rsidR="002A5048" w:rsidRPr="00A5269F">
        <w:rPr>
          <w:rFonts w:ascii="Book Antiqua" w:eastAsia="Book Antiqua" w:hAnsi="Book Antiqua" w:cs="Book Antiqua"/>
          <w:sz w:val="24"/>
          <w:szCs w:val="24"/>
        </w:rPr>
        <w:t xml:space="preserve"> en milieu urbain</w:t>
      </w:r>
      <w:r w:rsidR="00D35E94">
        <w:rPr>
          <w:rFonts w:ascii="Book Antiqua" w:eastAsia="Book Antiqua" w:hAnsi="Book Antiqua" w:cs="Book Antiqua"/>
          <w:sz w:val="24"/>
          <w:szCs w:val="24"/>
        </w:rPr>
        <w:t xml:space="preserve"> (de 35,7% à 35,3%)</w:t>
      </w:r>
      <w:r w:rsidR="00233EC0">
        <w:rPr>
          <w:rFonts w:ascii="Book Antiqua" w:eastAsia="Book Antiqua" w:hAnsi="Book Antiqua" w:cs="Times New Roman"/>
          <w:sz w:val="24"/>
          <w:szCs w:val="24"/>
        </w:rPr>
        <w:t>, alors qu’il a perdu</w:t>
      </w:r>
      <w:r w:rsidR="002A5048" w:rsidRPr="00A5269F">
        <w:rPr>
          <w:rFonts w:ascii="Book Antiqua" w:eastAsia="Book Antiqua" w:hAnsi="Book Antiqua" w:cs="Book Antiqua"/>
          <w:sz w:val="24"/>
          <w:szCs w:val="24"/>
        </w:rPr>
        <w:t xml:space="preserve"> 2,8 </w:t>
      </w:r>
      <w:r w:rsidRPr="00A5269F">
        <w:rPr>
          <w:rFonts w:ascii="Book Antiqua" w:eastAsia="Book Antiqua" w:hAnsi="Book Antiqua" w:cs="Book Antiqua"/>
          <w:sz w:val="24"/>
          <w:szCs w:val="24"/>
        </w:rPr>
        <w:t>point</w:t>
      </w:r>
      <w:r w:rsidR="007E563F" w:rsidRPr="00A5269F">
        <w:rPr>
          <w:rFonts w:ascii="Book Antiqua" w:eastAsia="Book Antiqua" w:hAnsi="Book Antiqua" w:cs="Book Antiqua"/>
          <w:sz w:val="24"/>
          <w:szCs w:val="24"/>
        </w:rPr>
        <w:t>s</w:t>
      </w:r>
      <w:r w:rsidRPr="00A5269F">
        <w:rPr>
          <w:rFonts w:ascii="Book Antiqua" w:eastAsia="Book Antiqua" w:hAnsi="Book Antiqua" w:cs="Book Antiqua"/>
          <w:sz w:val="24"/>
          <w:szCs w:val="24"/>
        </w:rPr>
        <w:t xml:space="preserve"> en milieu rural</w:t>
      </w:r>
      <w:r w:rsidR="00D35E94">
        <w:rPr>
          <w:rFonts w:ascii="Book Antiqua" w:eastAsia="Book Antiqua" w:hAnsi="Book Antiqua" w:cs="Book Antiqua"/>
          <w:sz w:val="24"/>
          <w:szCs w:val="24"/>
        </w:rPr>
        <w:t xml:space="preserve"> (de 51,2% à 48,4%)</w:t>
      </w:r>
      <w:r w:rsidRPr="00A5269F">
        <w:rPr>
          <w:rFonts w:ascii="Book Antiqua" w:eastAsia="Book Antiqua" w:hAnsi="Book Antiqua" w:cs="Book Antiqua"/>
          <w:sz w:val="24"/>
          <w:szCs w:val="24"/>
        </w:rPr>
        <w:t>. L'écart ent</w:t>
      </w:r>
      <w:r w:rsidR="002A5048" w:rsidRPr="00A5269F">
        <w:rPr>
          <w:rFonts w:ascii="Book Antiqua" w:eastAsia="Book Antiqua" w:hAnsi="Book Antiqua" w:cs="Book Antiqua"/>
          <w:sz w:val="24"/>
          <w:szCs w:val="24"/>
        </w:rPr>
        <w:t>re hommes et femmes a atteint 45,4</w:t>
      </w:r>
      <w:r w:rsidRPr="00A5269F">
        <w:rPr>
          <w:rFonts w:ascii="Book Antiqua" w:eastAsia="Book Antiqua" w:hAnsi="Book Antiqua" w:cs="Book Antiqua"/>
          <w:sz w:val="24"/>
          <w:szCs w:val="24"/>
        </w:rPr>
        <w:t xml:space="preserve"> points avec de</w:t>
      </w:r>
      <w:r w:rsidR="007C54E7" w:rsidRPr="00A5269F">
        <w:rPr>
          <w:rFonts w:ascii="Book Antiqua" w:eastAsia="Book Antiqua" w:hAnsi="Book Antiqua" w:cs="Book Antiqua"/>
          <w:sz w:val="24"/>
          <w:szCs w:val="24"/>
        </w:rPr>
        <w:t>s taux d'emploi respectifs de 62,9% et de 17,5</w:t>
      </w:r>
      <w:r w:rsidRPr="00A5269F">
        <w:rPr>
          <w:rFonts w:ascii="Book Antiqua" w:eastAsia="Book Antiqua" w:hAnsi="Book Antiqua" w:cs="Book Antiqua"/>
          <w:sz w:val="24"/>
          <w:szCs w:val="24"/>
        </w:rPr>
        <w:t>%.</w:t>
      </w:r>
      <w:r w:rsidR="00923F1D">
        <w:rPr>
          <w:rFonts w:ascii="Book Antiqua" w:eastAsia="Book Antiqua" w:hAnsi="Book Antiqua" w:cs="Book Antiqua"/>
          <w:sz w:val="24"/>
          <w:szCs w:val="24"/>
        </w:rPr>
        <w:t xml:space="preserve"> </w:t>
      </w:r>
      <w:r w:rsidR="00E70765">
        <w:rPr>
          <w:rFonts w:ascii="Book Antiqua" w:eastAsia="Book Antiqua" w:hAnsi="Book Antiqua" w:cs="Book Antiqua"/>
          <w:sz w:val="24"/>
          <w:szCs w:val="24"/>
        </w:rPr>
        <w:t xml:space="preserve">Ces taux </w:t>
      </w:r>
      <w:r w:rsidR="0093185A">
        <w:rPr>
          <w:rFonts w:ascii="Book Antiqua" w:eastAsia="Book Antiqua" w:hAnsi="Book Antiqua" w:cs="Book Antiqua"/>
          <w:sz w:val="24"/>
          <w:szCs w:val="24"/>
        </w:rPr>
        <w:t>étaient de</w:t>
      </w:r>
      <w:r w:rsidR="00E70765">
        <w:rPr>
          <w:rFonts w:ascii="Book Antiqua" w:eastAsia="Book Antiqua" w:hAnsi="Book Antiqua" w:cs="Book Antiqua"/>
          <w:sz w:val="24"/>
          <w:szCs w:val="24"/>
        </w:rPr>
        <w:t xml:space="preserve"> 63,8% et de 19,3%, une année auparavant.</w:t>
      </w:r>
    </w:p>
    <w:p w:rsidR="00BE6DCB" w:rsidRPr="00BE6DCB" w:rsidRDefault="00BE6DCB" w:rsidP="00395053">
      <w:pPr>
        <w:spacing w:before="240" w:after="240" w:line="312" w:lineRule="auto"/>
        <w:jc w:val="both"/>
        <w:rPr>
          <w:rFonts w:ascii="Book Antiqua" w:eastAsia="Book Antiqua" w:hAnsi="Book Antiqua" w:cs="Book Antiqua"/>
          <w:b/>
          <w:bCs/>
          <w:i/>
          <w:iCs/>
          <w:color w:val="0070C0"/>
          <w:sz w:val="26"/>
          <w:szCs w:val="26"/>
        </w:rPr>
      </w:pPr>
      <w:r w:rsidRPr="00BE6DCB">
        <w:rPr>
          <w:rFonts w:ascii="Book Antiqua" w:eastAsia="Book Antiqua" w:hAnsi="Book Antiqua" w:cs="Book Antiqua"/>
          <w:b/>
          <w:bCs/>
          <w:i/>
          <w:iCs/>
          <w:color w:val="0070C0"/>
          <w:sz w:val="26"/>
          <w:szCs w:val="26"/>
        </w:rPr>
        <w:t xml:space="preserve">Perte de postes </w:t>
      </w:r>
      <w:r w:rsidR="00BA18D5">
        <w:rPr>
          <w:rFonts w:ascii="Book Antiqua" w:eastAsia="Book Antiqua" w:hAnsi="Book Antiqua" w:cs="Book Antiqua"/>
          <w:b/>
          <w:bCs/>
          <w:i/>
          <w:iCs/>
          <w:color w:val="0070C0"/>
          <w:sz w:val="26"/>
          <w:szCs w:val="26"/>
        </w:rPr>
        <w:t>d’</w:t>
      </w:r>
      <w:r w:rsidRPr="00BE6DCB">
        <w:rPr>
          <w:rFonts w:ascii="Book Antiqua" w:eastAsia="Book Antiqua" w:hAnsi="Book Antiqua" w:cs="Book Antiqua"/>
          <w:b/>
          <w:bCs/>
          <w:i/>
          <w:iCs/>
          <w:color w:val="0070C0"/>
          <w:sz w:val="26"/>
          <w:szCs w:val="26"/>
        </w:rPr>
        <w:t xml:space="preserve">emploi, essentiellement </w:t>
      </w:r>
      <w:r w:rsidR="00DB6741">
        <w:rPr>
          <w:rFonts w:ascii="Book Antiqua" w:eastAsia="Book Antiqua" w:hAnsi="Book Antiqua" w:cs="Book Antiqua"/>
          <w:b/>
          <w:bCs/>
          <w:i/>
          <w:iCs/>
          <w:color w:val="0070C0"/>
          <w:sz w:val="26"/>
          <w:szCs w:val="26"/>
        </w:rPr>
        <w:t xml:space="preserve">de </w:t>
      </w:r>
      <w:r w:rsidR="0093185A">
        <w:rPr>
          <w:rFonts w:ascii="Book Antiqua" w:eastAsia="Book Antiqua" w:hAnsi="Book Antiqua" w:cs="Book Antiqua"/>
          <w:b/>
          <w:bCs/>
          <w:i/>
          <w:iCs/>
          <w:color w:val="0070C0"/>
          <w:sz w:val="26"/>
          <w:szCs w:val="26"/>
        </w:rPr>
        <w:t>type non rémunéré</w:t>
      </w:r>
      <w:r w:rsidR="00961E34" w:rsidRPr="00483939">
        <w:rPr>
          <w:rFonts w:ascii="Book Antiqua" w:eastAsia="Book Antiqua" w:hAnsi="Book Antiqua" w:cs="Book Antiqua"/>
          <w:b/>
          <w:bCs/>
          <w:i/>
          <w:iCs/>
          <w:color w:val="0070C0"/>
          <w:sz w:val="26"/>
          <w:szCs w:val="26"/>
        </w:rPr>
        <w:t>s</w:t>
      </w:r>
    </w:p>
    <w:p w:rsidR="00AD230E" w:rsidRPr="00A5269F" w:rsidRDefault="00E537B1" w:rsidP="0011286A">
      <w:pPr>
        <w:spacing w:before="240" w:after="240" w:line="312" w:lineRule="auto"/>
        <w:jc w:val="both"/>
        <w:rPr>
          <w:rFonts w:ascii="Book Antiqua" w:eastAsia="Book Antiqua" w:hAnsi="Book Antiqua" w:cs="Book Antiqua"/>
          <w:sz w:val="24"/>
          <w:szCs w:val="24"/>
        </w:rPr>
      </w:pPr>
      <w:r w:rsidRPr="001726BC">
        <w:rPr>
          <w:rFonts w:ascii="Book Antiqua" w:eastAsia="Book Antiqua" w:hAnsi="Book Antiqua" w:cs="Book Antiqua"/>
          <w:sz w:val="24"/>
          <w:szCs w:val="24"/>
        </w:rPr>
        <w:t>Le vo</w:t>
      </w:r>
      <w:r w:rsidR="00395053" w:rsidRPr="001726BC">
        <w:rPr>
          <w:rFonts w:ascii="Book Antiqua" w:eastAsia="Book Antiqua" w:hAnsi="Book Antiqua" w:cs="Book Antiqua"/>
          <w:sz w:val="24"/>
          <w:szCs w:val="24"/>
        </w:rPr>
        <w:t>lume de l’emploi a baissé de 202</w:t>
      </w:r>
      <w:r w:rsidRPr="001726BC">
        <w:rPr>
          <w:rFonts w:ascii="Book Antiqua" w:eastAsia="Book Antiqua" w:hAnsi="Book Antiqua" w:cs="Book Antiqua"/>
          <w:sz w:val="24"/>
          <w:szCs w:val="24"/>
        </w:rPr>
        <w:t>.000</w:t>
      </w:r>
      <w:r w:rsidR="00923F1D">
        <w:rPr>
          <w:rFonts w:ascii="Book Antiqua" w:eastAsia="Book Antiqua" w:hAnsi="Book Antiqua" w:cs="Book Antiqua"/>
          <w:sz w:val="24"/>
          <w:szCs w:val="24"/>
        </w:rPr>
        <w:t xml:space="preserve"> </w:t>
      </w:r>
      <w:r w:rsidR="00395053" w:rsidRPr="001726BC">
        <w:rPr>
          <w:rFonts w:ascii="Book Antiqua" w:eastAsia="Book Antiqua" w:hAnsi="Book Antiqua" w:cs="Book Antiqua"/>
          <w:sz w:val="24"/>
          <w:szCs w:val="24"/>
        </w:rPr>
        <w:t>postes, suite à une perte de 258.000 postes en milieu rural et une création de 5</w:t>
      </w:r>
      <w:r w:rsidR="0011286A" w:rsidRPr="001726BC">
        <w:rPr>
          <w:rFonts w:ascii="Book Antiqua" w:eastAsia="Book Antiqua" w:hAnsi="Book Antiqua" w:cs="Book Antiqua"/>
          <w:sz w:val="24"/>
          <w:szCs w:val="24"/>
        </w:rPr>
        <w:t>6</w:t>
      </w:r>
      <w:r w:rsidRPr="001726BC">
        <w:rPr>
          <w:rFonts w:ascii="Book Antiqua" w:eastAsia="Book Antiqua" w:hAnsi="Book Antiqua" w:cs="Book Antiqua"/>
          <w:sz w:val="24"/>
          <w:szCs w:val="24"/>
        </w:rPr>
        <w:t xml:space="preserve">.000 en milieu </w:t>
      </w:r>
      <w:r w:rsidR="00BA18D5" w:rsidRPr="001726BC">
        <w:rPr>
          <w:rFonts w:ascii="Book Antiqua" w:eastAsia="Book Antiqua" w:hAnsi="Book Antiqua" w:cs="Book Antiqua"/>
          <w:sz w:val="24"/>
          <w:szCs w:val="24"/>
        </w:rPr>
        <w:t>urbain</w:t>
      </w:r>
      <w:r w:rsidRPr="001726BC">
        <w:rPr>
          <w:rFonts w:ascii="Book Antiqua" w:eastAsia="Book Antiqua" w:hAnsi="Book Antiqua" w:cs="Book Antiqua"/>
          <w:sz w:val="24"/>
          <w:szCs w:val="24"/>
        </w:rPr>
        <w:t>.</w:t>
      </w:r>
      <w:r w:rsidRPr="00A5269F">
        <w:rPr>
          <w:rFonts w:ascii="Book Antiqua" w:eastAsia="Book Antiqua" w:hAnsi="Book Antiqua" w:cs="Book Antiqua"/>
          <w:sz w:val="24"/>
          <w:szCs w:val="24"/>
        </w:rPr>
        <w:t xml:space="preserve"> Par type d’emploi, </w:t>
      </w:r>
      <w:r w:rsidR="00395053" w:rsidRPr="00A5269F">
        <w:rPr>
          <w:rFonts w:ascii="Book Antiqua" w:eastAsia="Book Antiqua" w:hAnsi="Book Antiqua" w:cs="Book Antiqua"/>
          <w:sz w:val="24"/>
          <w:szCs w:val="24"/>
        </w:rPr>
        <w:t>185</w:t>
      </w:r>
      <w:r w:rsidRPr="00A5269F">
        <w:rPr>
          <w:rFonts w:ascii="Book Antiqua" w:eastAsia="Book Antiqua" w:hAnsi="Book Antiqua" w:cs="Book Antiqua"/>
          <w:sz w:val="24"/>
          <w:szCs w:val="24"/>
        </w:rPr>
        <w:t xml:space="preserve">.000 emplois </w:t>
      </w:r>
      <w:r w:rsidR="00395053" w:rsidRPr="00A5269F">
        <w:rPr>
          <w:rFonts w:ascii="Book Antiqua" w:eastAsia="Book Antiqua" w:hAnsi="Book Antiqua" w:cs="Book Antiqua"/>
          <w:sz w:val="24"/>
          <w:szCs w:val="24"/>
        </w:rPr>
        <w:t xml:space="preserve">non </w:t>
      </w:r>
      <w:r w:rsidRPr="00A5269F">
        <w:rPr>
          <w:rFonts w:ascii="Book Antiqua" w:eastAsia="Book Antiqua" w:hAnsi="Book Antiqua" w:cs="Book Antiqua"/>
          <w:sz w:val="24"/>
          <w:szCs w:val="24"/>
        </w:rPr>
        <w:t xml:space="preserve">rémunérés ont été perdus, résultat d’une perte de </w:t>
      </w:r>
      <w:r w:rsidR="00395053" w:rsidRPr="00A5269F">
        <w:rPr>
          <w:rFonts w:ascii="Book Antiqua" w:eastAsia="Book Antiqua" w:hAnsi="Book Antiqua" w:cs="Book Antiqua"/>
          <w:sz w:val="24"/>
          <w:szCs w:val="24"/>
        </w:rPr>
        <w:t>178</w:t>
      </w:r>
      <w:r w:rsidRPr="00A5269F">
        <w:rPr>
          <w:rFonts w:ascii="Book Antiqua" w:eastAsia="Book Antiqua" w:hAnsi="Book Antiqua" w:cs="Book Antiqua"/>
          <w:sz w:val="24"/>
          <w:szCs w:val="24"/>
        </w:rPr>
        <w:t xml:space="preserve">.000 </w:t>
      </w:r>
      <w:r w:rsidR="00395053" w:rsidRPr="00A5269F">
        <w:rPr>
          <w:rFonts w:ascii="Book Antiqua" w:eastAsia="Book Antiqua" w:hAnsi="Book Antiqua" w:cs="Book Antiqua"/>
          <w:sz w:val="24"/>
          <w:szCs w:val="24"/>
        </w:rPr>
        <w:t>en milieu rural et de 7</w:t>
      </w:r>
      <w:r w:rsidRPr="00A5269F">
        <w:rPr>
          <w:rFonts w:ascii="Book Antiqua" w:eastAsia="Book Antiqua" w:hAnsi="Book Antiqua" w:cs="Book Antiqua"/>
          <w:sz w:val="24"/>
          <w:szCs w:val="24"/>
        </w:rPr>
        <w:t>.000 en milie</w:t>
      </w:r>
      <w:r w:rsidR="00395053" w:rsidRPr="00A5269F">
        <w:rPr>
          <w:rFonts w:ascii="Book Antiqua" w:eastAsia="Book Antiqua" w:hAnsi="Book Antiqua" w:cs="Book Antiqua"/>
          <w:sz w:val="24"/>
          <w:szCs w:val="24"/>
        </w:rPr>
        <w:t>u urbain</w:t>
      </w:r>
      <w:r w:rsidR="00E017C9" w:rsidRPr="00A5269F">
        <w:rPr>
          <w:rFonts w:ascii="Book Antiqua" w:eastAsia="Book Antiqua" w:hAnsi="Book Antiqua" w:cs="Book Antiqua"/>
          <w:sz w:val="24"/>
          <w:szCs w:val="24"/>
        </w:rPr>
        <w:t xml:space="preserve">. L’emploi rémunéré </w:t>
      </w:r>
      <w:r w:rsidR="00395053" w:rsidRPr="00A5269F">
        <w:rPr>
          <w:rFonts w:ascii="Book Antiqua" w:eastAsia="Book Antiqua" w:hAnsi="Book Antiqua" w:cs="Book Antiqua"/>
          <w:sz w:val="24"/>
          <w:szCs w:val="24"/>
        </w:rPr>
        <w:t>a régressé de 16</w:t>
      </w:r>
      <w:r w:rsidRPr="00A5269F">
        <w:rPr>
          <w:rFonts w:ascii="Book Antiqua" w:eastAsia="Book Antiqua" w:hAnsi="Book Antiqua" w:cs="Book Antiqua"/>
          <w:sz w:val="24"/>
          <w:szCs w:val="24"/>
        </w:rPr>
        <w:t>.000 postes</w:t>
      </w:r>
      <w:r w:rsidR="00395053" w:rsidRPr="00A5269F">
        <w:rPr>
          <w:rFonts w:ascii="Book Antiqua" w:eastAsia="Book Antiqua" w:hAnsi="Book Antiqua" w:cs="Book Antiqua"/>
          <w:sz w:val="24"/>
          <w:szCs w:val="24"/>
        </w:rPr>
        <w:t>, conséquence d'une perte de 80.000 en zones rurales et d’une création de 64</w:t>
      </w:r>
      <w:r w:rsidRPr="00A5269F">
        <w:rPr>
          <w:rFonts w:ascii="Book Antiqua" w:eastAsia="Book Antiqua" w:hAnsi="Book Antiqua" w:cs="Book Antiqua"/>
          <w:sz w:val="24"/>
          <w:szCs w:val="24"/>
        </w:rPr>
        <w:t>.000 emplois en zones urbaines.</w:t>
      </w:r>
    </w:p>
    <w:p w:rsidR="00395053" w:rsidRDefault="009126FC" w:rsidP="00395053">
      <w:pPr>
        <w:spacing w:before="240" w:after="240" w:line="312" w:lineRule="auto"/>
        <w:jc w:val="both"/>
        <w:rPr>
          <w:rFonts w:ascii="Book Antiqua" w:eastAsia="Book Antiqua" w:hAnsi="Book Antiqua" w:cs="Book Antiqua"/>
          <w:b/>
          <w:color w:val="0070C0"/>
          <w:sz w:val="20"/>
          <w:szCs w:val="20"/>
        </w:rPr>
      </w:pPr>
      <w:r w:rsidRPr="003D1D48">
        <w:rPr>
          <w:rFonts w:ascii="Book Antiqua" w:eastAsia="Book Antiqua" w:hAnsi="Book Antiqua" w:cs="Book Antiqua"/>
          <w:b/>
          <w:color w:val="0070C0"/>
          <w:sz w:val="20"/>
          <w:szCs w:val="20"/>
        </w:rPr>
        <w:t>Figure 1 : Variation</w:t>
      </w:r>
      <w:r w:rsidR="00E537B1" w:rsidRPr="003D1D48">
        <w:rPr>
          <w:rFonts w:ascii="Book Antiqua" w:eastAsia="Book Antiqua" w:hAnsi="Book Antiqua" w:cs="Book Antiqua"/>
          <w:b/>
          <w:color w:val="0070C0"/>
          <w:sz w:val="20"/>
          <w:szCs w:val="20"/>
        </w:rPr>
        <w:t xml:space="preserve"> ne</w:t>
      </w:r>
      <w:r w:rsidR="00BA18D5">
        <w:rPr>
          <w:rFonts w:ascii="Book Antiqua" w:eastAsia="Book Antiqua" w:hAnsi="Book Antiqua" w:cs="Book Antiqua"/>
          <w:b/>
          <w:color w:val="0070C0"/>
          <w:sz w:val="20"/>
          <w:szCs w:val="20"/>
        </w:rPr>
        <w:t xml:space="preserve">tte d’emploi entre le premier </w:t>
      </w:r>
      <w:r w:rsidR="00D35E94">
        <w:rPr>
          <w:rFonts w:ascii="Book Antiqua" w:eastAsia="Book Antiqua" w:hAnsi="Book Antiqua" w:cs="Book Antiqua"/>
          <w:b/>
          <w:color w:val="0070C0"/>
          <w:sz w:val="20"/>
          <w:szCs w:val="20"/>
        </w:rPr>
        <w:t>trimestre de 2020 et celui de 2021</w:t>
      </w:r>
      <w:r w:rsidR="00E537B1" w:rsidRPr="003D1D48">
        <w:rPr>
          <w:rFonts w:ascii="Book Antiqua" w:eastAsia="Book Antiqua" w:hAnsi="Book Antiqua" w:cs="Book Antiqua"/>
          <w:b/>
          <w:color w:val="0070C0"/>
          <w:sz w:val="20"/>
          <w:szCs w:val="20"/>
        </w:rPr>
        <w:t xml:space="preserve"> selon</w:t>
      </w:r>
      <w:r w:rsidR="00233EC0">
        <w:rPr>
          <w:rFonts w:ascii="Book Antiqua" w:eastAsia="Book Antiqua" w:hAnsi="Book Antiqua" w:cs="Book Antiqua"/>
          <w:b/>
          <w:color w:val="0070C0"/>
          <w:sz w:val="20"/>
          <w:szCs w:val="20"/>
        </w:rPr>
        <w:t xml:space="preserve"> le type d’emploi et </w:t>
      </w:r>
      <w:r w:rsidR="00E537B1" w:rsidRPr="003D1D48">
        <w:rPr>
          <w:rFonts w:ascii="Book Antiqua" w:eastAsia="Book Antiqua" w:hAnsi="Book Antiqua" w:cs="Book Antiqua"/>
          <w:b/>
          <w:color w:val="0070C0"/>
          <w:sz w:val="20"/>
          <w:szCs w:val="20"/>
        </w:rPr>
        <w:t xml:space="preserve"> le milieu de résidence</w:t>
      </w:r>
    </w:p>
    <w:p w:rsidR="00395053" w:rsidRPr="003D1D48" w:rsidRDefault="00395053" w:rsidP="00395053">
      <w:pPr>
        <w:spacing w:before="240" w:after="240" w:line="312" w:lineRule="auto"/>
        <w:jc w:val="center"/>
        <w:rPr>
          <w:rFonts w:ascii="Book Antiqua" w:eastAsia="Book Antiqua" w:hAnsi="Book Antiqua" w:cs="Book Antiqua"/>
          <w:b/>
          <w:color w:val="0070C0"/>
          <w:sz w:val="20"/>
          <w:szCs w:val="20"/>
        </w:rPr>
      </w:pPr>
      <w:r w:rsidRPr="00395053">
        <w:rPr>
          <w:rFonts w:ascii="Book Antiqua" w:eastAsia="Book Antiqua" w:hAnsi="Book Antiqua" w:cs="Book Antiqua"/>
          <w:b/>
          <w:noProof/>
          <w:color w:val="0070C0"/>
          <w:sz w:val="20"/>
          <w:szCs w:val="20"/>
        </w:rPr>
        <w:drawing>
          <wp:inline distT="0" distB="0" distL="0" distR="0">
            <wp:extent cx="4925089" cy="2299010"/>
            <wp:effectExtent l="0" t="0" r="0" b="0"/>
            <wp:docPr id="4"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4373C" w:rsidRPr="00BE6DCB" w:rsidRDefault="00BA18D5" w:rsidP="00BE6DCB">
      <w:pPr>
        <w:spacing w:before="240" w:after="240" w:line="312" w:lineRule="auto"/>
        <w:jc w:val="both"/>
        <w:rPr>
          <w:rFonts w:ascii="Book Antiqua" w:eastAsia="Book Antiqua" w:hAnsi="Book Antiqua" w:cs="Book Antiqua"/>
          <w:b/>
          <w:bCs/>
          <w:i/>
          <w:iCs/>
          <w:color w:val="0070C0"/>
          <w:sz w:val="26"/>
          <w:szCs w:val="26"/>
        </w:rPr>
      </w:pPr>
      <w:r w:rsidRPr="00BA18D5">
        <w:rPr>
          <w:rFonts w:ascii="Book Antiqua" w:eastAsia="Book Antiqua" w:hAnsi="Book Antiqua" w:cs="Book Antiqua"/>
          <w:b/>
          <w:bCs/>
          <w:i/>
          <w:iCs/>
          <w:color w:val="0070C0"/>
          <w:sz w:val="26"/>
          <w:szCs w:val="26"/>
        </w:rPr>
        <w:lastRenderedPageBreak/>
        <w:t xml:space="preserve">Baisse </w:t>
      </w:r>
      <w:r w:rsidR="0054373C" w:rsidRPr="00BE6DCB">
        <w:rPr>
          <w:rFonts w:ascii="Book Antiqua" w:eastAsia="Book Antiqua" w:hAnsi="Book Antiqua" w:cs="Book Antiqua"/>
          <w:b/>
          <w:bCs/>
          <w:i/>
          <w:iCs/>
          <w:color w:val="0070C0"/>
          <w:sz w:val="26"/>
          <w:szCs w:val="26"/>
        </w:rPr>
        <w:t>d</w:t>
      </w:r>
      <w:r w:rsidR="003D03B0" w:rsidRPr="00BE6DCB">
        <w:rPr>
          <w:rFonts w:ascii="Book Antiqua" w:eastAsia="Book Antiqua" w:hAnsi="Book Antiqua" w:cs="Book Antiqua"/>
          <w:b/>
          <w:bCs/>
          <w:i/>
          <w:iCs/>
          <w:color w:val="0070C0"/>
          <w:sz w:val="26"/>
          <w:szCs w:val="26"/>
        </w:rPr>
        <w:t>e l</w:t>
      </w:r>
      <w:r w:rsidR="00BE6DCB" w:rsidRPr="00BE6DCB">
        <w:rPr>
          <w:rFonts w:ascii="Book Antiqua" w:eastAsia="Book Antiqua" w:hAnsi="Book Antiqua" w:cs="Book Antiqua"/>
          <w:b/>
          <w:bCs/>
          <w:i/>
          <w:iCs/>
          <w:color w:val="0070C0"/>
          <w:sz w:val="26"/>
          <w:szCs w:val="26"/>
        </w:rPr>
        <w:t>’emploi dans l’agriculture forêt et pêche</w:t>
      </w:r>
      <w:r w:rsidR="00E70765">
        <w:rPr>
          <w:rFonts w:ascii="Book Antiqua" w:eastAsia="Book Antiqua" w:hAnsi="Book Antiqua" w:cs="Book Antiqua"/>
          <w:b/>
          <w:bCs/>
          <w:i/>
          <w:iCs/>
          <w:color w:val="0070C0"/>
          <w:sz w:val="26"/>
          <w:szCs w:val="26"/>
        </w:rPr>
        <w:t xml:space="preserve">, </w:t>
      </w:r>
      <w:r>
        <w:rPr>
          <w:rFonts w:ascii="Book Antiqua" w:eastAsia="Book Antiqua" w:hAnsi="Book Antiqua" w:cs="Book Antiqua"/>
          <w:b/>
          <w:bCs/>
          <w:i/>
          <w:iCs/>
          <w:color w:val="0070C0"/>
          <w:sz w:val="26"/>
          <w:szCs w:val="26"/>
        </w:rPr>
        <w:t>et</w:t>
      </w:r>
      <w:r w:rsidR="002A28D6">
        <w:rPr>
          <w:rFonts w:ascii="Book Antiqua" w:eastAsia="Book Antiqua" w:hAnsi="Book Antiqua" w:cs="Book Antiqua"/>
          <w:b/>
          <w:bCs/>
          <w:i/>
          <w:iCs/>
          <w:color w:val="0070C0"/>
          <w:sz w:val="26"/>
          <w:szCs w:val="26"/>
        </w:rPr>
        <w:t xml:space="preserve"> </w:t>
      </w:r>
      <w:r w:rsidR="00BE6DCB" w:rsidRPr="00BE6DCB">
        <w:rPr>
          <w:rFonts w:ascii="Book Antiqua" w:eastAsia="Book Antiqua" w:hAnsi="Book Antiqua" w:cs="Book Antiqua"/>
          <w:b/>
          <w:bCs/>
          <w:i/>
          <w:iCs/>
          <w:color w:val="0070C0"/>
          <w:sz w:val="26"/>
          <w:szCs w:val="26"/>
        </w:rPr>
        <w:t xml:space="preserve">l’industrie y compris </w:t>
      </w:r>
      <w:r w:rsidR="0093185A" w:rsidRPr="00BE6DCB">
        <w:rPr>
          <w:rFonts w:ascii="Book Antiqua" w:eastAsia="Book Antiqua" w:hAnsi="Book Antiqua" w:cs="Book Antiqua"/>
          <w:b/>
          <w:bCs/>
          <w:i/>
          <w:iCs/>
          <w:color w:val="0070C0"/>
          <w:sz w:val="26"/>
          <w:szCs w:val="26"/>
        </w:rPr>
        <w:t>l’artisanat contre</w:t>
      </w:r>
      <w:r w:rsidR="00BE6DCB" w:rsidRPr="00BE6DCB">
        <w:rPr>
          <w:rFonts w:ascii="Book Antiqua" w:eastAsia="Book Antiqua" w:hAnsi="Book Antiqua" w:cs="Book Antiqua"/>
          <w:b/>
          <w:bCs/>
          <w:i/>
          <w:iCs/>
          <w:color w:val="0070C0"/>
          <w:sz w:val="26"/>
          <w:szCs w:val="26"/>
        </w:rPr>
        <w:t xml:space="preserve"> une hausse dans les services et les BTP</w:t>
      </w:r>
    </w:p>
    <w:p w:rsidR="00AD230E" w:rsidRPr="00A5269F" w:rsidRDefault="00E537B1" w:rsidP="00F33414">
      <w:pPr>
        <w:spacing w:before="240" w:after="240" w:line="312" w:lineRule="auto"/>
        <w:jc w:val="both"/>
        <w:rPr>
          <w:rFonts w:ascii="Book Antiqua" w:eastAsia="Book Antiqua" w:hAnsi="Book Antiqua" w:cs="Book Antiqua"/>
          <w:sz w:val="24"/>
          <w:szCs w:val="24"/>
        </w:rPr>
      </w:pPr>
      <w:r w:rsidRPr="00A5269F">
        <w:rPr>
          <w:rFonts w:ascii="Book Antiqua" w:eastAsia="Book Antiqua" w:hAnsi="Book Antiqua" w:cs="Book Antiqua"/>
          <w:sz w:val="24"/>
          <w:szCs w:val="24"/>
        </w:rPr>
        <w:t xml:space="preserve">Entre le </w:t>
      </w:r>
      <w:r w:rsidR="00156B42" w:rsidRPr="00A5269F">
        <w:rPr>
          <w:rFonts w:ascii="Book Antiqua" w:eastAsia="Book Antiqua" w:hAnsi="Book Antiqua" w:cs="Book Antiqua"/>
          <w:sz w:val="24"/>
          <w:szCs w:val="24"/>
        </w:rPr>
        <w:t>premier trimestre de 2020 et celui de 2021</w:t>
      </w:r>
      <w:r w:rsidRPr="00A5269F">
        <w:rPr>
          <w:rFonts w:ascii="Book Antiqua" w:eastAsia="Book Antiqua" w:hAnsi="Book Antiqua" w:cs="Book Antiqua"/>
          <w:sz w:val="24"/>
          <w:szCs w:val="24"/>
        </w:rPr>
        <w:t xml:space="preserve">, </w:t>
      </w:r>
      <w:r w:rsidR="00F33414" w:rsidRPr="00A5269F">
        <w:rPr>
          <w:rFonts w:ascii="Book Antiqua" w:eastAsia="Book Antiqua" w:hAnsi="Book Antiqua" w:cs="Book Antiqua"/>
          <w:sz w:val="24"/>
          <w:szCs w:val="24"/>
        </w:rPr>
        <w:t>l</w:t>
      </w:r>
      <w:r w:rsidRPr="00A5269F">
        <w:rPr>
          <w:rFonts w:ascii="Book Antiqua" w:eastAsia="Book Antiqua" w:hAnsi="Book Antiqua" w:cs="Book Antiqua"/>
          <w:sz w:val="24"/>
          <w:szCs w:val="24"/>
        </w:rPr>
        <w:t>e secteur de l’</w:t>
      </w:r>
      <w:r w:rsidR="00BE14B6" w:rsidRPr="00A5269F">
        <w:rPr>
          <w:rFonts w:ascii="Book Antiqua" w:eastAsia="Book Antiqua" w:hAnsi="Book Antiqua" w:cs="Book Antiqua"/>
          <w:sz w:val="24"/>
          <w:szCs w:val="24"/>
        </w:rPr>
        <w:t>"</w:t>
      </w:r>
      <w:r w:rsidRPr="00A5269F">
        <w:rPr>
          <w:rFonts w:ascii="Book Antiqua" w:eastAsia="Book Antiqua" w:hAnsi="Book Antiqua" w:cs="Book Antiqua"/>
          <w:sz w:val="24"/>
          <w:szCs w:val="24"/>
        </w:rPr>
        <w:t>agricul</w:t>
      </w:r>
      <w:r w:rsidR="00F33414" w:rsidRPr="00A5269F">
        <w:rPr>
          <w:rFonts w:ascii="Book Antiqua" w:eastAsia="Book Antiqua" w:hAnsi="Book Antiqua" w:cs="Book Antiqua"/>
          <w:sz w:val="24"/>
          <w:szCs w:val="24"/>
        </w:rPr>
        <w:t>ture forêt et pêche" a perdu 231</w:t>
      </w:r>
      <w:r w:rsidRPr="00A5269F">
        <w:rPr>
          <w:rFonts w:ascii="Book Antiqua" w:eastAsia="Book Antiqua" w:hAnsi="Book Antiqua" w:cs="Book Antiqua"/>
          <w:sz w:val="24"/>
          <w:szCs w:val="24"/>
        </w:rPr>
        <w:t>.000 postes d'emp</w:t>
      </w:r>
      <w:r w:rsidR="00F33414" w:rsidRPr="00A5269F">
        <w:rPr>
          <w:rFonts w:ascii="Book Antiqua" w:eastAsia="Book Antiqua" w:hAnsi="Book Antiqua" w:cs="Book Antiqua"/>
          <w:sz w:val="24"/>
          <w:szCs w:val="24"/>
        </w:rPr>
        <w:t>l</w:t>
      </w:r>
      <w:r w:rsidR="00BA18D5">
        <w:rPr>
          <w:rFonts w:ascii="Book Antiqua" w:eastAsia="Book Antiqua" w:hAnsi="Book Antiqua" w:cs="Book Antiqua"/>
          <w:sz w:val="24"/>
          <w:szCs w:val="24"/>
        </w:rPr>
        <w:t>oi (-6,4%), résultat d’une baisse</w:t>
      </w:r>
      <w:r w:rsidR="00F33414" w:rsidRPr="00A5269F">
        <w:rPr>
          <w:rFonts w:ascii="Book Antiqua" w:eastAsia="Book Antiqua" w:hAnsi="Book Antiqua" w:cs="Book Antiqua"/>
          <w:sz w:val="24"/>
          <w:szCs w:val="24"/>
        </w:rPr>
        <w:t xml:space="preserve"> de 254</w:t>
      </w:r>
      <w:r w:rsidR="00BA18D5">
        <w:rPr>
          <w:rFonts w:ascii="Book Antiqua" w:eastAsia="Book Antiqua" w:hAnsi="Book Antiqua" w:cs="Book Antiqua"/>
          <w:sz w:val="24"/>
          <w:szCs w:val="24"/>
        </w:rPr>
        <w:t>.000 en milieu rural et d’une hausse</w:t>
      </w:r>
      <w:r w:rsidR="00F33414" w:rsidRPr="00A5269F">
        <w:rPr>
          <w:rFonts w:ascii="Book Antiqua" w:eastAsia="Book Antiqua" w:hAnsi="Book Antiqua" w:cs="Book Antiqua"/>
          <w:sz w:val="24"/>
          <w:szCs w:val="24"/>
        </w:rPr>
        <w:t xml:space="preserve"> de 23</w:t>
      </w:r>
      <w:r w:rsidRPr="00A5269F">
        <w:rPr>
          <w:rFonts w:ascii="Book Antiqua" w:eastAsia="Book Antiqua" w:hAnsi="Book Antiqua" w:cs="Book Antiqua"/>
          <w:sz w:val="24"/>
          <w:szCs w:val="24"/>
        </w:rPr>
        <w:t>.000 en milieu urbain.</w:t>
      </w:r>
    </w:p>
    <w:p w:rsidR="00A04035" w:rsidRPr="00A5269F" w:rsidRDefault="00E537B1" w:rsidP="00A04035">
      <w:pPr>
        <w:spacing w:before="240" w:after="240" w:line="312" w:lineRule="auto"/>
        <w:jc w:val="both"/>
        <w:rPr>
          <w:rFonts w:ascii="Book Antiqua" w:eastAsia="Book Antiqua" w:hAnsi="Book Antiqua" w:cs="Book Antiqua"/>
          <w:sz w:val="24"/>
          <w:szCs w:val="24"/>
        </w:rPr>
      </w:pPr>
      <w:r w:rsidRPr="00A5269F">
        <w:rPr>
          <w:rFonts w:ascii="Book Antiqua" w:eastAsia="Book Antiqua" w:hAnsi="Book Antiqua" w:cs="Book Antiqua"/>
          <w:sz w:val="24"/>
          <w:szCs w:val="24"/>
        </w:rPr>
        <w:t>Le secteur de</w:t>
      </w:r>
      <w:r w:rsidR="00C33BDF">
        <w:rPr>
          <w:rFonts w:ascii="Book Antiqua" w:eastAsia="Book Antiqua" w:hAnsi="Book Antiqua" w:cs="Book Antiqua"/>
          <w:sz w:val="24"/>
          <w:szCs w:val="24"/>
        </w:rPr>
        <w:t xml:space="preserve"> </w:t>
      </w:r>
      <w:r w:rsidRPr="00A5269F">
        <w:rPr>
          <w:rFonts w:ascii="Book Antiqua" w:eastAsia="Book Antiqua" w:hAnsi="Book Antiqua" w:cs="Book Antiqua"/>
          <w:sz w:val="24"/>
          <w:szCs w:val="24"/>
        </w:rPr>
        <w:t>l</w:t>
      </w:r>
      <w:r w:rsidR="00BE14B6" w:rsidRPr="00A5269F">
        <w:rPr>
          <w:rFonts w:ascii="Book Antiqua" w:eastAsia="Book Antiqua" w:hAnsi="Book Antiqua" w:cs="Book Antiqua"/>
          <w:sz w:val="24"/>
          <w:szCs w:val="24"/>
        </w:rPr>
        <w:t>’"</w:t>
      </w:r>
      <w:r w:rsidRPr="00A5269F">
        <w:rPr>
          <w:rFonts w:ascii="Book Antiqua" w:eastAsia="Book Antiqua" w:hAnsi="Book Antiqua" w:cs="Book Antiqua"/>
          <w:sz w:val="24"/>
          <w:szCs w:val="24"/>
        </w:rPr>
        <w:t>industrie y</w:t>
      </w:r>
      <w:r w:rsidR="00F33414" w:rsidRPr="00A5269F">
        <w:rPr>
          <w:rFonts w:ascii="Book Antiqua" w:eastAsia="Book Antiqua" w:hAnsi="Book Antiqua" w:cs="Book Antiqua"/>
          <w:sz w:val="24"/>
          <w:szCs w:val="24"/>
        </w:rPr>
        <w:t xml:space="preserve"> compris l’artisanat" a </w:t>
      </w:r>
      <w:r w:rsidR="00BA18D5">
        <w:rPr>
          <w:rFonts w:ascii="Book Antiqua" w:eastAsia="Book Antiqua" w:hAnsi="Book Antiqua" w:cs="Book Antiqua"/>
          <w:sz w:val="24"/>
          <w:szCs w:val="24"/>
        </w:rPr>
        <w:t>baissé de</w:t>
      </w:r>
      <w:r w:rsidR="00F33414" w:rsidRPr="00A5269F">
        <w:rPr>
          <w:rFonts w:ascii="Book Antiqua" w:eastAsia="Book Antiqua" w:hAnsi="Book Antiqua" w:cs="Book Antiqua"/>
          <w:sz w:val="24"/>
          <w:szCs w:val="24"/>
        </w:rPr>
        <w:t xml:space="preserve"> 48.000 postes, 25.000 en milieu urbain et 23</w:t>
      </w:r>
      <w:r w:rsidRPr="00A5269F">
        <w:rPr>
          <w:rFonts w:ascii="Book Antiqua" w:eastAsia="Book Antiqua" w:hAnsi="Book Antiqua" w:cs="Book Antiqua"/>
          <w:sz w:val="24"/>
          <w:szCs w:val="24"/>
        </w:rPr>
        <w:t xml:space="preserve">.000 en milieu rural, ce </w:t>
      </w:r>
      <w:r w:rsidR="00F33414" w:rsidRPr="00A5269F">
        <w:rPr>
          <w:rFonts w:ascii="Book Antiqua" w:eastAsia="Book Antiqua" w:hAnsi="Book Antiqua" w:cs="Book Antiqua"/>
          <w:sz w:val="24"/>
          <w:szCs w:val="24"/>
        </w:rPr>
        <w:t>qui correspond à une baisse de 3,6</w:t>
      </w:r>
      <w:r w:rsidRPr="00A5269F">
        <w:rPr>
          <w:rFonts w:ascii="Book Antiqua" w:eastAsia="Book Antiqua" w:hAnsi="Book Antiqua" w:cs="Book Antiqua"/>
          <w:sz w:val="24"/>
          <w:szCs w:val="24"/>
        </w:rPr>
        <w:t xml:space="preserve">% du volume de l'emploi dans ce </w:t>
      </w:r>
      <w:r w:rsidRPr="00B365DC">
        <w:rPr>
          <w:rFonts w:ascii="Book Antiqua" w:eastAsia="Book Antiqua" w:hAnsi="Book Antiqua" w:cs="Book Antiqua"/>
          <w:sz w:val="24"/>
          <w:szCs w:val="24"/>
        </w:rPr>
        <w:t>secteur.</w:t>
      </w:r>
      <w:r w:rsidR="00A04035" w:rsidRPr="00B365DC">
        <w:rPr>
          <w:rFonts w:ascii="Book Antiqua" w:eastAsia="Book Antiqua" w:hAnsi="Book Antiqua" w:cs="Book Antiqua"/>
          <w:sz w:val="24"/>
          <w:szCs w:val="24"/>
        </w:rPr>
        <w:t xml:space="preserve"> A noter que la part des activités artisanales</w:t>
      </w:r>
      <w:r w:rsidR="00A04035" w:rsidRPr="00B365DC">
        <w:rPr>
          <w:rStyle w:val="Appelnotedebasdep"/>
          <w:rFonts w:ascii="Book Antiqua" w:eastAsia="Book Antiqua" w:hAnsi="Book Antiqua" w:cs="Book Antiqua"/>
          <w:sz w:val="24"/>
          <w:szCs w:val="24"/>
        </w:rPr>
        <w:footnoteReference w:id="1"/>
      </w:r>
      <w:r w:rsidR="00A04035" w:rsidRPr="00B365DC">
        <w:rPr>
          <w:rFonts w:ascii="Book Antiqua" w:eastAsia="Book Antiqua" w:hAnsi="Book Antiqua" w:cs="Book Antiqua"/>
          <w:sz w:val="24"/>
          <w:szCs w:val="24"/>
        </w:rPr>
        <w:t xml:space="preserve"> dans le secteur de l’industrie est de 43,7% contre 47,4% au premier trimestre de 2020.</w:t>
      </w:r>
    </w:p>
    <w:p w:rsidR="00F33414" w:rsidRPr="00A5269F" w:rsidRDefault="00F33414" w:rsidP="00F33414">
      <w:pPr>
        <w:spacing w:before="240" w:after="240" w:line="312" w:lineRule="auto"/>
        <w:jc w:val="both"/>
        <w:rPr>
          <w:rFonts w:ascii="Book Antiqua" w:eastAsia="Book Antiqua" w:hAnsi="Book Antiqua" w:cs="Book Antiqua"/>
          <w:sz w:val="24"/>
          <w:szCs w:val="24"/>
        </w:rPr>
      </w:pPr>
      <w:r w:rsidRPr="00A5269F">
        <w:rPr>
          <w:rFonts w:ascii="Book Antiqua" w:eastAsia="Book Antiqua" w:hAnsi="Book Antiqua" w:cs="Book Antiqua"/>
          <w:sz w:val="24"/>
          <w:szCs w:val="24"/>
        </w:rPr>
        <w:t>Le secteur des "services", quant à lui, a créé 42.000 postes d’emploi au niveau national (24</w:t>
      </w:r>
      <w:r w:rsidR="00BE6DCB" w:rsidRPr="00A5269F">
        <w:rPr>
          <w:rFonts w:ascii="Book Antiqua" w:eastAsia="Book Antiqua" w:hAnsi="Book Antiqua" w:cs="Book Antiqua"/>
          <w:sz w:val="24"/>
          <w:szCs w:val="24"/>
        </w:rPr>
        <w:t>.000 en milieu urbain et 18</w:t>
      </w:r>
      <w:r w:rsidRPr="00A5269F">
        <w:rPr>
          <w:rFonts w:ascii="Book Antiqua" w:eastAsia="Book Antiqua" w:hAnsi="Book Antiqua" w:cs="Book Antiqua"/>
          <w:sz w:val="24"/>
          <w:szCs w:val="24"/>
        </w:rPr>
        <w:t>.000 en milieu rural)</w:t>
      </w:r>
      <w:r w:rsidR="00BE6DCB" w:rsidRPr="00A5269F">
        <w:rPr>
          <w:rFonts w:ascii="Book Antiqua" w:eastAsia="Book Antiqua" w:hAnsi="Book Antiqua" w:cs="Book Antiqua"/>
          <w:sz w:val="24"/>
          <w:szCs w:val="24"/>
        </w:rPr>
        <w:t>, enregistrant une baisse de 1</w:t>
      </w:r>
      <w:r w:rsidRPr="00A5269F">
        <w:rPr>
          <w:rFonts w:ascii="Book Antiqua" w:eastAsia="Book Antiqua" w:hAnsi="Book Antiqua" w:cs="Book Antiqua"/>
          <w:sz w:val="24"/>
          <w:szCs w:val="24"/>
        </w:rPr>
        <w:t xml:space="preserve">% de l’emploi dans ce secteur. </w:t>
      </w:r>
    </w:p>
    <w:p w:rsidR="00E017C9" w:rsidRPr="00A5269F" w:rsidRDefault="00E017C9" w:rsidP="00BE6DCB">
      <w:pPr>
        <w:spacing w:before="240" w:after="240" w:line="312" w:lineRule="auto"/>
        <w:jc w:val="both"/>
        <w:rPr>
          <w:rFonts w:ascii="Book Antiqua" w:eastAsia="Book Antiqua" w:hAnsi="Book Antiqua" w:cs="Book Antiqua"/>
          <w:sz w:val="24"/>
          <w:szCs w:val="24"/>
        </w:rPr>
      </w:pPr>
      <w:r w:rsidRPr="00A5269F">
        <w:rPr>
          <w:rFonts w:ascii="Book Antiqua" w:eastAsia="Book Antiqua" w:hAnsi="Book Antiqua" w:cs="Book Antiqua"/>
          <w:sz w:val="24"/>
          <w:szCs w:val="24"/>
        </w:rPr>
        <w:t xml:space="preserve">Le secteur des BTP </w:t>
      </w:r>
      <w:r w:rsidR="00BE6DCB" w:rsidRPr="00A5269F">
        <w:rPr>
          <w:rFonts w:ascii="Book Antiqua" w:eastAsia="Book Antiqua" w:hAnsi="Book Antiqua" w:cs="Book Antiqua"/>
          <w:sz w:val="24"/>
          <w:szCs w:val="24"/>
        </w:rPr>
        <w:t>a créé 39</w:t>
      </w:r>
      <w:r w:rsidRPr="00A5269F">
        <w:rPr>
          <w:rFonts w:ascii="Book Antiqua" w:eastAsia="Book Antiqua" w:hAnsi="Book Antiqua" w:cs="Book Antiqua"/>
          <w:sz w:val="24"/>
          <w:szCs w:val="24"/>
        </w:rPr>
        <w:t>.000 postes d’empl</w:t>
      </w:r>
      <w:r w:rsidR="00BE6DCB" w:rsidRPr="00A5269F">
        <w:rPr>
          <w:rFonts w:ascii="Book Antiqua" w:eastAsia="Book Antiqua" w:hAnsi="Book Antiqua" w:cs="Book Antiqua"/>
          <w:sz w:val="24"/>
          <w:szCs w:val="24"/>
        </w:rPr>
        <w:t xml:space="preserve">oi, résultat d’une création de 38.000 postes en milieu urbain et </w:t>
      </w:r>
      <w:r w:rsidRPr="00A5269F">
        <w:rPr>
          <w:rFonts w:ascii="Book Antiqua" w:eastAsia="Book Antiqua" w:hAnsi="Book Antiqua" w:cs="Book Antiqua"/>
          <w:sz w:val="24"/>
          <w:szCs w:val="24"/>
        </w:rPr>
        <w:t xml:space="preserve">de 1.000 en </w:t>
      </w:r>
      <w:r w:rsidR="00BE6DCB" w:rsidRPr="00A5269F">
        <w:rPr>
          <w:rFonts w:ascii="Book Antiqua" w:eastAsia="Book Antiqua" w:hAnsi="Book Antiqua" w:cs="Book Antiqua"/>
          <w:sz w:val="24"/>
          <w:szCs w:val="24"/>
        </w:rPr>
        <w:t xml:space="preserve">milieu rural, enregistrant une hausse de 3,4% </w:t>
      </w:r>
      <w:r w:rsidRPr="00A5269F">
        <w:rPr>
          <w:rFonts w:ascii="Book Antiqua" w:eastAsia="Book Antiqua" w:hAnsi="Book Antiqua" w:cs="Book Antiqua"/>
          <w:sz w:val="24"/>
          <w:szCs w:val="24"/>
        </w:rPr>
        <w:t>du volume d’emploi dans ce secteur.</w:t>
      </w:r>
    </w:p>
    <w:p w:rsidR="00AD230E" w:rsidRDefault="009D3A84" w:rsidP="009126FC">
      <w:pPr>
        <w:spacing w:before="240" w:after="240" w:line="312" w:lineRule="auto"/>
        <w:rPr>
          <w:rFonts w:ascii="Book Antiqua" w:eastAsia="Book Antiqua" w:hAnsi="Book Antiqua" w:cs="Book Antiqua"/>
          <w:b/>
          <w:color w:val="0070C0"/>
          <w:sz w:val="20"/>
          <w:szCs w:val="20"/>
        </w:rPr>
      </w:pPr>
      <w:r w:rsidRPr="003D1D48">
        <w:rPr>
          <w:rFonts w:ascii="Book Antiqua" w:eastAsia="Book Antiqua" w:hAnsi="Book Antiqua" w:cs="Book Antiqua"/>
          <w:b/>
          <w:color w:val="0070C0"/>
          <w:sz w:val="20"/>
          <w:szCs w:val="20"/>
        </w:rPr>
        <w:t>Figure</w:t>
      </w:r>
      <w:r w:rsidR="00E537B1" w:rsidRPr="003D1D48">
        <w:rPr>
          <w:rFonts w:ascii="Book Antiqua" w:eastAsia="Book Antiqua" w:hAnsi="Book Antiqua" w:cs="Book Antiqua"/>
          <w:b/>
          <w:color w:val="0070C0"/>
          <w:sz w:val="20"/>
          <w:szCs w:val="20"/>
        </w:rPr>
        <w:t xml:space="preserve"> 2</w:t>
      </w:r>
      <w:r w:rsidR="006D72D4" w:rsidRPr="003D1D48">
        <w:rPr>
          <w:rFonts w:ascii="Book Antiqua" w:eastAsia="Book Antiqua" w:hAnsi="Book Antiqua" w:cs="Book Antiqua"/>
          <w:b/>
          <w:color w:val="0070C0"/>
          <w:sz w:val="20"/>
          <w:szCs w:val="20"/>
        </w:rPr>
        <w:t xml:space="preserve"> : </w:t>
      </w:r>
      <w:r w:rsidR="009126FC" w:rsidRPr="003D1D48">
        <w:rPr>
          <w:rFonts w:ascii="Book Antiqua" w:eastAsia="Book Antiqua" w:hAnsi="Book Antiqua" w:cs="Book Antiqua"/>
          <w:b/>
          <w:color w:val="0070C0"/>
          <w:sz w:val="20"/>
          <w:szCs w:val="20"/>
        </w:rPr>
        <w:t>Variation</w:t>
      </w:r>
      <w:r w:rsidR="00E537B1" w:rsidRPr="003D1D48">
        <w:rPr>
          <w:rFonts w:ascii="Book Antiqua" w:eastAsia="Book Antiqua" w:hAnsi="Book Antiqua" w:cs="Book Antiqua"/>
          <w:b/>
          <w:color w:val="0070C0"/>
          <w:sz w:val="20"/>
          <w:szCs w:val="20"/>
        </w:rPr>
        <w:t xml:space="preserve"> ne</w:t>
      </w:r>
      <w:r w:rsidR="00F33414">
        <w:rPr>
          <w:rFonts w:ascii="Book Antiqua" w:eastAsia="Book Antiqua" w:hAnsi="Book Antiqua" w:cs="Book Antiqua"/>
          <w:b/>
          <w:color w:val="0070C0"/>
          <w:sz w:val="20"/>
          <w:szCs w:val="20"/>
        </w:rPr>
        <w:t xml:space="preserve">tte d’emploi entre le premier </w:t>
      </w:r>
      <w:r w:rsidR="00E537B1" w:rsidRPr="003D1D48">
        <w:rPr>
          <w:rFonts w:ascii="Book Antiqua" w:eastAsia="Book Antiqua" w:hAnsi="Book Antiqua" w:cs="Book Antiqua"/>
          <w:b/>
          <w:color w:val="0070C0"/>
          <w:sz w:val="20"/>
          <w:szCs w:val="20"/>
        </w:rPr>
        <w:t>trimestre</w:t>
      </w:r>
      <w:r w:rsidR="00F33414">
        <w:rPr>
          <w:rFonts w:ascii="Book Antiqua" w:eastAsia="Book Antiqua" w:hAnsi="Book Antiqua" w:cs="Book Antiqua"/>
          <w:b/>
          <w:color w:val="0070C0"/>
          <w:sz w:val="20"/>
          <w:szCs w:val="20"/>
        </w:rPr>
        <w:t xml:space="preserve"> de 2020 et celui de 2021 </w:t>
      </w:r>
      <w:r w:rsidR="00E537B1" w:rsidRPr="003D1D48">
        <w:rPr>
          <w:rFonts w:ascii="Book Antiqua" w:eastAsia="Book Antiqua" w:hAnsi="Book Antiqua" w:cs="Book Antiqua"/>
          <w:b/>
          <w:color w:val="0070C0"/>
          <w:sz w:val="20"/>
          <w:szCs w:val="20"/>
        </w:rPr>
        <w:t>par secteur d’activité économique et milieu de résidence</w:t>
      </w:r>
      <w:r w:rsidR="00097E88" w:rsidRPr="003D1D48">
        <w:rPr>
          <w:rStyle w:val="Appelnotedebasdep"/>
          <w:rFonts w:ascii="Book Antiqua" w:eastAsia="Book Antiqua" w:hAnsi="Book Antiqua" w:cs="Book Antiqua"/>
          <w:b/>
          <w:color w:val="0070C0"/>
          <w:sz w:val="20"/>
          <w:szCs w:val="20"/>
        </w:rPr>
        <w:footnoteReference w:id="2"/>
      </w:r>
    </w:p>
    <w:p w:rsidR="00F33414" w:rsidRPr="003D1D48" w:rsidRDefault="00F33414" w:rsidP="009126FC">
      <w:pPr>
        <w:spacing w:before="240" w:after="240" w:line="312" w:lineRule="auto"/>
        <w:rPr>
          <w:rFonts w:ascii="Book Antiqua" w:eastAsia="Book Antiqua" w:hAnsi="Book Antiqua" w:cs="Book Antiqua"/>
          <w:b/>
          <w:color w:val="0070C0"/>
          <w:sz w:val="20"/>
          <w:szCs w:val="20"/>
        </w:rPr>
      </w:pPr>
      <w:r w:rsidRPr="00F33414">
        <w:rPr>
          <w:rFonts w:ascii="Book Antiqua" w:eastAsia="Book Antiqua" w:hAnsi="Book Antiqua" w:cs="Book Antiqua"/>
          <w:b/>
          <w:noProof/>
          <w:color w:val="0070C0"/>
          <w:sz w:val="20"/>
          <w:szCs w:val="20"/>
        </w:rPr>
        <w:drawing>
          <wp:inline distT="0" distB="0" distL="0" distR="0">
            <wp:extent cx="5837274" cy="2743200"/>
            <wp:effectExtent l="0" t="0" r="0" b="0"/>
            <wp:docPr id="6"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F600A" w:rsidRPr="003C56CF" w:rsidRDefault="0011286A" w:rsidP="00C33BDF">
      <w:pPr>
        <w:rPr>
          <w:rFonts w:ascii="Book Antiqua" w:eastAsia="Book Antiqua" w:hAnsi="Book Antiqua" w:cs="Book Antiqua"/>
          <w:b/>
          <w:bCs/>
          <w:color w:val="0070C0"/>
          <w:sz w:val="28"/>
          <w:szCs w:val="28"/>
        </w:rPr>
      </w:pPr>
      <w:r>
        <w:rPr>
          <w:rFonts w:ascii="Book Antiqua" w:eastAsia="Book Antiqua" w:hAnsi="Book Antiqua" w:cs="Book Antiqua"/>
          <w:b/>
          <w:bCs/>
          <w:color w:val="0070C0"/>
          <w:sz w:val="28"/>
          <w:szCs w:val="28"/>
        </w:rPr>
        <w:br w:type="page"/>
      </w:r>
      <w:r w:rsidR="0086407B">
        <w:rPr>
          <w:rFonts w:ascii="Book Antiqua" w:eastAsia="Book Antiqua" w:hAnsi="Book Antiqua" w:cs="Book Antiqua"/>
          <w:b/>
          <w:bCs/>
          <w:color w:val="0070C0"/>
          <w:sz w:val="28"/>
          <w:szCs w:val="28"/>
        </w:rPr>
        <w:lastRenderedPageBreak/>
        <w:t xml:space="preserve">II- </w:t>
      </w:r>
      <w:r w:rsidR="00CF600A" w:rsidRPr="003C56CF">
        <w:rPr>
          <w:rFonts w:ascii="Book Antiqua" w:eastAsia="Book Antiqua" w:hAnsi="Book Antiqua" w:cs="Book Antiqua"/>
          <w:b/>
          <w:bCs/>
          <w:color w:val="0070C0"/>
          <w:sz w:val="28"/>
          <w:szCs w:val="28"/>
        </w:rPr>
        <w:t>Chômage et sous-emploi</w:t>
      </w:r>
    </w:p>
    <w:p w:rsidR="00695586" w:rsidRPr="003D03B0" w:rsidRDefault="00DB3BCC" w:rsidP="003D03B0">
      <w:pPr>
        <w:spacing w:before="240" w:after="240" w:line="312" w:lineRule="auto"/>
        <w:rPr>
          <w:rFonts w:ascii="Book Antiqua" w:eastAsia="Book Antiqua" w:hAnsi="Book Antiqua" w:cs="Book Antiqua"/>
          <w:b/>
          <w:bCs/>
          <w:i/>
          <w:iCs/>
          <w:color w:val="0070C0"/>
          <w:sz w:val="26"/>
          <w:szCs w:val="26"/>
        </w:rPr>
      </w:pPr>
      <w:r w:rsidRPr="003D03B0">
        <w:rPr>
          <w:rFonts w:ascii="Book Antiqua" w:eastAsia="Book Antiqua" w:hAnsi="Book Antiqua" w:cs="Book Antiqua"/>
          <w:b/>
          <w:bCs/>
          <w:i/>
          <w:iCs/>
          <w:color w:val="0070C0"/>
          <w:sz w:val="26"/>
          <w:szCs w:val="26"/>
        </w:rPr>
        <w:t>Hausse du chômage</w:t>
      </w:r>
      <w:r w:rsidR="00695586" w:rsidRPr="003D03B0">
        <w:rPr>
          <w:rFonts w:ascii="Book Antiqua" w:eastAsia="Book Antiqua" w:hAnsi="Book Antiqua" w:cs="Book Antiqua"/>
          <w:b/>
          <w:bCs/>
          <w:i/>
          <w:iCs/>
          <w:color w:val="0070C0"/>
          <w:sz w:val="26"/>
          <w:szCs w:val="26"/>
        </w:rPr>
        <w:t xml:space="preserve"> et du sous-emploi </w:t>
      </w:r>
    </w:p>
    <w:p w:rsidR="00DB3BCC" w:rsidRPr="00A5269F" w:rsidRDefault="00DB3BCC" w:rsidP="00F36718">
      <w:pPr>
        <w:spacing w:before="240" w:after="240" w:line="312" w:lineRule="auto"/>
        <w:jc w:val="both"/>
        <w:rPr>
          <w:rFonts w:ascii="Book Antiqua" w:hAnsi="Book Antiqua" w:cs="Times New Roman"/>
          <w:sz w:val="24"/>
          <w:szCs w:val="24"/>
        </w:rPr>
      </w:pPr>
      <w:r w:rsidRPr="00A5269F">
        <w:rPr>
          <w:rFonts w:ascii="Book Antiqua" w:hAnsi="Book Antiqua" w:cs="Times New Roman"/>
          <w:sz w:val="24"/>
          <w:szCs w:val="24"/>
        </w:rPr>
        <w:t>Le nombre de chômeurs a augmenté</w:t>
      </w:r>
      <w:r w:rsidR="00F36718" w:rsidRPr="00A5269F">
        <w:rPr>
          <w:rFonts w:ascii="Book Antiqua" w:hAnsi="Book Antiqua" w:cs="Times New Roman"/>
          <w:sz w:val="24"/>
          <w:szCs w:val="24"/>
        </w:rPr>
        <w:t xml:space="preserve"> de 242.000 personnes entre le premier trimestre de l’année 2020</w:t>
      </w:r>
      <w:r w:rsidRPr="00A5269F">
        <w:rPr>
          <w:rFonts w:ascii="Book Antiqua" w:hAnsi="Book Antiqua" w:cs="Times New Roman"/>
          <w:sz w:val="24"/>
          <w:szCs w:val="24"/>
        </w:rPr>
        <w:t xml:space="preserve"> et celui de 202</w:t>
      </w:r>
      <w:r w:rsidR="00F36718" w:rsidRPr="00A5269F">
        <w:rPr>
          <w:rFonts w:ascii="Book Antiqua" w:hAnsi="Book Antiqua" w:cs="Times New Roman"/>
          <w:sz w:val="24"/>
          <w:szCs w:val="24"/>
        </w:rPr>
        <w:t>1, passant de 1.292.000 à 1.534</w:t>
      </w:r>
      <w:r w:rsidRPr="00A5269F">
        <w:rPr>
          <w:rFonts w:ascii="Book Antiqua" w:hAnsi="Book Antiqua" w:cs="Times New Roman"/>
          <w:sz w:val="24"/>
          <w:szCs w:val="24"/>
        </w:rPr>
        <w:t>.000 chômeurs, ce qui cor</w:t>
      </w:r>
      <w:r w:rsidR="00F36718" w:rsidRPr="00A5269F">
        <w:rPr>
          <w:rFonts w:ascii="Book Antiqua" w:hAnsi="Book Antiqua" w:cs="Times New Roman"/>
          <w:sz w:val="24"/>
          <w:szCs w:val="24"/>
        </w:rPr>
        <w:t>respond à une augmentation de 19</w:t>
      </w:r>
      <w:r w:rsidR="00EF27A3" w:rsidRPr="00A5269F">
        <w:rPr>
          <w:rFonts w:ascii="Book Antiqua" w:hAnsi="Book Antiqua" w:cs="Times New Roman"/>
          <w:sz w:val="24"/>
          <w:szCs w:val="24"/>
        </w:rPr>
        <w:t>%. C</w:t>
      </w:r>
      <w:r w:rsidRPr="00A5269F">
        <w:rPr>
          <w:rFonts w:ascii="Book Antiqua" w:hAnsi="Book Antiqua" w:cs="Times New Roman"/>
          <w:sz w:val="24"/>
          <w:szCs w:val="24"/>
        </w:rPr>
        <w:t>ette hausse étant le ré</w:t>
      </w:r>
      <w:r w:rsidR="00F36718" w:rsidRPr="00A5269F">
        <w:rPr>
          <w:rFonts w:ascii="Book Antiqua" w:hAnsi="Book Antiqua" w:cs="Times New Roman"/>
          <w:sz w:val="24"/>
          <w:szCs w:val="24"/>
        </w:rPr>
        <w:t>sultat d’une augmentation de 185</w:t>
      </w:r>
      <w:r w:rsidRPr="00A5269F">
        <w:rPr>
          <w:rFonts w:ascii="Book Antiqua" w:hAnsi="Book Antiqua" w:cs="Times New Roman"/>
          <w:sz w:val="24"/>
          <w:szCs w:val="24"/>
        </w:rPr>
        <w:t>.000 c</w:t>
      </w:r>
      <w:r w:rsidR="00F36718" w:rsidRPr="00A5269F">
        <w:rPr>
          <w:rFonts w:ascii="Book Antiqua" w:hAnsi="Book Antiqua" w:cs="Times New Roman"/>
          <w:sz w:val="24"/>
          <w:szCs w:val="24"/>
        </w:rPr>
        <w:t>hômeurs en milieu urbain et de 57</w:t>
      </w:r>
      <w:r w:rsidRPr="00A5269F">
        <w:rPr>
          <w:rFonts w:ascii="Book Antiqua" w:hAnsi="Book Antiqua" w:cs="Times New Roman"/>
          <w:sz w:val="24"/>
          <w:szCs w:val="24"/>
        </w:rPr>
        <w:t>.000 en milieu rural.</w:t>
      </w:r>
    </w:p>
    <w:p w:rsidR="00DB3BCC" w:rsidRPr="00A5269F" w:rsidRDefault="00DB3BCC" w:rsidP="00AA186B">
      <w:pPr>
        <w:spacing w:before="240" w:after="240" w:line="312" w:lineRule="auto"/>
        <w:jc w:val="both"/>
        <w:rPr>
          <w:rFonts w:ascii="Book Antiqua" w:hAnsi="Book Antiqua" w:cs="Times New Roman"/>
          <w:sz w:val="24"/>
          <w:szCs w:val="24"/>
        </w:rPr>
      </w:pPr>
      <w:r w:rsidRPr="00A5269F">
        <w:rPr>
          <w:rFonts w:ascii="Book Antiqua" w:hAnsi="Book Antiqua" w:cs="Times New Roman"/>
          <w:sz w:val="24"/>
          <w:szCs w:val="24"/>
        </w:rPr>
        <w:t>Le tau</w:t>
      </w:r>
      <w:r w:rsidR="00F36718" w:rsidRPr="00A5269F">
        <w:rPr>
          <w:rFonts w:ascii="Book Antiqua" w:hAnsi="Book Antiqua" w:cs="Times New Roman"/>
          <w:sz w:val="24"/>
          <w:szCs w:val="24"/>
        </w:rPr>
        <w:t xml:space="preserve">x de chômage s’est accru de 2 </w:t>
      </w:r>
      <w:r w:rsidRPr="00A5269F">
        <w:rPr>
          <w:rFonts w:ascii="Book Antiqua" w:hAnsi="Book Antiqua" w:cs="Times New Roman"/>
          <w:sz w:val="24"/>
          <w:szCs w:val="24"/>
        </w:rPr>
        <w:t>poin</w:t>
      </w:r>
      <w:r w:rsidR="00F36718" w:rsidRPr="00A5269F">
        <w:rPr>
          <w:rFonts w:ascii="Book Antiqua" w:hAnsi="Book Antiqua" w:cs="Times New Roman"/>
          <w:sz w:val="24"/>
          <w:szCs w:val="24"/>
        </w:rPr>
        <w:t>ts entre les premiers trimestres de 2020 et de 2021, passant de 10,5</w:t>
      </w:r>
      <w:r w:rsidR="00AA186B" w:rsidRPr="00A5269F">
        <w:rPr>
          <w:rFonts w:ascii="Book Antiqua" w:hAnsi="Book Antiqua" w:cs="Times New Roman"/>
          <w:sz w:val="24"/>
          <w:szCs w:val="24"/>
        </w:rPr>
        <w:t>% à 12,5</w:t>
      </w:r>
      <w:r w:rsidRPr="00A5269F">
        <w:rPr>
          <w:rFonts w:ascii="Book Antiqua" w:hAnsi="Book Antiqua" w:cs="Times New Roman"/>
          <w:sz w:val="24"/>
          <w:szCs w:val="24"/>
        </w:rPr>
        <w:t>%. Il a enregistré une forte hausse aussi bien en milieu rural qu'en milieu urbain, passant respec</w:t>
      </w:r>
      <w:r w:rsidR="00AA186B" w:rsidRPr="00A5269F">
        <w:rPr>
          <w:rFonts w:ascii="Book Antiqua" w:hAnsi="Book Antiqua" w:cs="Times New Roman"/>
          <w:sz w:val="24"/>
          <w:szCs w:val="24"/>
        </w:rPr>
        <w:t xml:space="preserve">tivement de 3,9% </w:t>
      </w:r>
      <w:r w:rsidR="0093185A" w:rsidRPr="00A5269F">
        <w:rPr>
          <w:rFonts w:ascii="Book Antiqua" w:hAnsi="Book Antiqua" w:cs="Times New Roman"/>
          <w:sz w:val="24"/>
          <w:szCs w:val="24"/>
        </w:rPr>
        <w:t>à 5</w:t>
      </w:r>
      <w:r w:rsidR="00AA186B" w:rsidRPr="00A5269F">
        <w:rPr>
          <w:rFonts w:ascii="Book Antiqua" w:hAnsi="Book Antiqua" w:cs="Times New Roman"/>
          <w:sz w:val="24"/>
          <w:szCs w:val="24"/>
        </w:rPr>
        <w:t>,3% et de 15,1% à 17,1</w:t>
      </w:r>
      <w:r w:rsidRPr="00A5269F">
        <w:rPr>
          <w:rFonts w:ascii="Book Antiqua" w:hAnsi="Book Antiqua" w:cs="Times New Roman"/>
          <w:sz w:val="24"/>
          <w:szCs w:val="24"/>
        </w:rPr>
        <w:t xml:space="preserve">%. Il a également enregistré une forte </w:t>
      </w:r>
      <w:r w:rsidR="00AA186B" w:rsidRPr="00A5269F">
        <w:rPr>
          <w:rFonts w:ascii="Book Antiqua" w:hAnsi="Book Antiqua" w:cs="Times New Roman"/>
          <w:sz w:val="24"/>
          <w:szCs w:val="24"/>
        </w:rPr>
        <w:t>hausse parmi les femmes</w:t>
      </w:r>
      <w:r w:rsidR="00D35E94">
        <w:rPr>
          <w:rFonts w:ascii="Book Antiqua" w:hAnsi="Book Antiqua" w:cs="Times New Roman"/>
          <w:sz w:val="24"/>
          <w:szCs w:val="24"/>
        </w:rPr>
        <w:t xml:space="preserve"> (3,2 points)</w:t>
      </w:r>
      <w:r w:rsidR="00AA186B" w:rsidRPr="00A5269F">
        <w:rPr>
          <w:rFonts w:ascii="Book Antiqua" w:hAnsi="Book Antiqua" w:cs="Times New Roman"/>
          <w:sz w:val="24"/>
          <w:szCs w:val="24"/>
        </w:rPr>
        <w:t>, de 14,3% à 17,5</w:t>
      </w:r>
      <w:r w:rsidRPr="00A5269F">
        <w:rPr>
          <w:rFonts w:ascii="Book Antiqua" w:hAnsi="Book Antiqua" w:cs="Times New Roman"/>
          <w:sz w:val="24"/>
          <w:szCs w:val="24"/>
        </w:rPr>
        <w:t>%</w:t>
      </w:r>
      <w:r w:rsidR="00AA186B" w:rsidRPr="00A5269F">
        <w:rPr>
          <w:rFonts w:ascii="Book Antiqua" w:hAnsi="Book Antiqua" w:cs="Times New Roman"/>
          <w:sz w:val="24"/>
          <w:szCs w:val="24"/>
        </w:rPr>
        <w:t xml:space="preserve">, et </w:t>
      </w:r>
      <w:r w:rsidR="00DD6F1F" w:rsidRPr="00A5269F">
        <w:rPr>
          <w:rFonts w:ascii="Book Antiqua" w:hAnsi="Book Antiqua" w:cs="Times New Roman"/>
          <w:sz w:val="24"/>
          <w:szCs w:val="24"/>
        </w:rPr>
        <w:t>parmi les jeunes âgés de 15 à 24 ans (</w:t>
      </w:r>
      <w:r w:rsidRPr="00A5269F">
        <w:rPr>
          <w:rFonts w:ascii="Book Antiqua" w:hAnsi="Book Antiqua" w:cs="Times New Roman"/>
          <w:sz w:val="24"/>
          <w:szCs w:val="24"/>
        </w:rPr>
        <w:t>5,7 points</w:t>
      </w:r>
      <w:r w:rsidR="00DD6F1F" w:rsidRPr="00A5269F">
        <w:rPr>
          <w:rFonts w:ascii="Book Antiqua" w:hAnsi="Book Antiqua" w:cs="Times New Roman"/>
          <w:sz w:val="24"/>
          <w:szCs w:val="24"/>
        </w:rPr>
        <w:t>)</w:t>
      </w:r>
      <w:r w:rsidR="00D35E94">
        <w:rPr>
          <w:rFonts w:ascii="Book Antiqua" w:hAnsi="Book Antiqua" w:cs="Times New Roman"/>
          <w:sz w:val="24"/>
          <w:szCs w:val="24"/>
        </w:rPr>
        <w:t xml:space="preserve">, </w:t>
      </w:r>
      <w:r w:rsidR="00AA186B" w:rsidRPr="00A5269F">
        <w:rPr>
          <w:rFonts w:ascii="Book Antiqua" w:hAnsi="Book Antiqua" w:cs="Times New Roman"/>
          <w:sz w:val="24"/>
          <w:szCs w:val="24"/>
        </w:rPr>
        <w:t>de 26,8% à 32,5</w:t>
      </w:r>
      <w:r w:rsidRPr="00A5269F">
        <w:rPr>
          <w:rFonts w:ascii="Book Antiqua" w:hAnsi="Book Antiqua" w:cs="Times New Roman"/>
          <w:sz w:val="24"/>
          <w:szCs w:val="24"/>
        </w:rPr>
        <w:t>%.</w:t>
      </w:r>
    </w:p>
    <w:p w:rsidR="00BD5FDC" w:rsidRPr="00A5269F" w:rsidRDefault="00BD5FDC" w:rsidP="00AA186B">
      <w:pPr>
        <w:autoSpaceDE w:val="0"/>
        <w:autoSpaceDN w:val="0"/>
        <w:adjustRightInd w:val="0"/>
        <w:spacing w:before="240" w:after="240" w:line="312" w:lineRule="auto"/>
        <w:jc w:val="both"/>
        <w:rPr>
          <w:rFonts w:ascii="Book Antiqua" w:hAnsi="Book Antiqua" w:cs="Times New Roman"/>
          <w:sz w:val="24"/>
          <w:szCs w:val="24"/>
        </w:rPr>
      </w:pPr>
      <w:r w:rsidRPr="00A5269F">
        <w:rPr>
          <w:rFonts w:ascii="Book Antiqua" w:hAnsi="Book Antiqua" w:cs="Times New Roman"/>
          <w:sz w:val="24"/>
          <w:szCs w:val="24"/>
        </w:rPr>
        <w:t>Le taux de chômage des diplômés a, de son côté, enregistré une ha</w:t>
      </w:r>
      <w:r w:rsidR="00AA186B" w:rsidRPr="00A5269F">
        <w:rPr>
          <w:rFonts w:ascii="Book Antiqua" w:hAnsi="Book Antiqua" w:cs="Times New Roman"/>
          <w:sz w:val="24"/>
          <w:szCs w:val="24"/>
        </w:rPr>
        <w:t>usse de 2 points, passant de 17,8% à 19,8</w:t>
      </w:r>
      <w:r w:rsidRPr="00A5269F">
        <w:rPr>
          <w:rFonts w:ascii="Book Antiqua" w:hAnsi="Book Antiqua" w:cs="Times New Roman"/>
          <w:sz w:val="24"/>
          <w:szCs w:val="24"/>
        </w:rPr>
        <w:t xml:space="preserve">%. </w:t>
      </w:r>
    </w:p>
    <w:p w:rsidR="00DB3BCC" w:rsidRDefault="006D72D4" w:rsidP="008E6931">
      <w:pPr>
        <w:spacing w:before="240" w:after="240" w:line="312" w:lineRule="auto"/>
        <w:jc w:val="both"/>
        <w:rPr>
          <w:rFonts w:ascii="Book Antiqua" w:eastAsia="Book Antiqua" w:hAnsi="Book Antiqua" w:cs="Book Antiqua"/>
          <w:b/>
          <w:color w:val="0070C0"/>
          <w:sz w:val="20"/>
          <w:szCs w:val="20"/>
        </w:rPr>
      </w:pPr>
      <w:r w:rsidRPr="003D1D48">
        <w:rPr>
          <w:rFonts w:ascii="Book Antiqua" w:eastAsia="Book Antiqua" w:hAnsi="Book Antiqua" w:cs="Book Antiqua"/>
          <w:b/>
          <w:color w:val="0070C0"/>
          <w:sz w:val="20"/>
          <w:szCs w:val="20"/>
        </w:rPr>
        <w:t>Figure 3</w:t>
      </w:r>
      <w:r w:rsidR="00882371" w:rsidRPr="003D1D48">
        <w:rPr>
          <w:rFonts w:ascii="Book Antiqua" w:eastAsia="Book Antiqua" w:hAnsi="Book Antiqua" w:cs="Book Antiqua"/>
          <w:b/>
          <w:color w:val="0070C0"/>
          <w:sz w:val="20"/>
          <w:szCs w:val="20"/>
        </w:rPr>
        <w:t> :</w:t>
      </w:r>
      <w:r w:rsidR="00DB3BCC" w:rsidRPr="003D1D48">
        <w:rPr>
          <w:rFonts w:ascii="Book Antiqua" w:eastAsia="Book Antiqua" w:hAnsi="Book Antiqua" w:cs="Book Antiqua"/>
          <w:b/>
          <w:color w:val="0070C0"/>
          <w:sz w:val="20"/>
          <w:szCs w:val="20"/>
        </w:rPr>
        <w:t xml:space="preserve"> Evolution du taux de chômage entre l</w:t>
      </w:r>
      <w:r w:rsidR="008E6931">
        <w:rPr>
          <w:rFonts w:ascii="Book Antiqua" w:eastAsia="Book Antiqua" w:hAnsi="Book Antiqua" w:cs="Book Antiqua"/>
          <w:b/>
          <w:color w:val="0070C0"/>
          <w:sz w:val="20"/>
          <w:szCs w:val="20"/>
        </w:rPr>
        <w:t>es premiers trimestres de 2020 et de 2021</w:t>
      </w:r>
      <w:r w:rsidR="00DB3BCC" w:rsidRPr="003D1D48">
        <w:rPr>
          <w:rFonts w:ascii="Book Antiqua" w:eastAsia="Book Antiqua" w:hAnsi="Book Antiqua" w:cs="Book Antiqua"/>
          <w:b/>
          <w:color w:val="0070C0"/>
          <w:sz w:val="20"/>
          <w:szCs w:val="20"/>
        </w:rPr>
        <w:t xml:space="preserve"> pour certaines catégories de la population (en %)</w:t>
      </w:r>
      <w:r w:rsidR="008E6931">
        <w:rPr>
          <w:rFonts w:ascii="Book Antiqua" w:eastAsia="Book Antiqua" w:hAnsi="Book Antiqua" w:cs="Book Antiqua"/>
          <w:b/>
          <w:color w:val="0070C0"/>
          <w:sz w:val="20"/>
          <w:szCs w:val="20"/>
        </w:rPr>
        <w:t>.</w:t>
      </w:r>
    </w:p>
    <w:p w:rsidR="008E6931" w:rsidRPr="003D1D48" w:rsidRDefault="008E6931" w:rsidP="008E6931">
      <w:pPr>
        <w:spacing w:before="240" w:after="240" w:line="312" w:lineRule="auto"/>
        <w:jc w:val="center"/>
        <w:rPr>
          <w:rFonts w:ascii="Book Antiqua" w:eastAsia="Book Antiqua" w:hAnsi="Book Antiqua" w:cs="Book Antiqua"/>
          <w:b/>
          <w:color w:val="0070C0"/>
          <w:sz w:val="20"/>
          <w:szCs w:val="20"/>
        </w:rPr>
      </w:pPr>
      <w:r w:rsidRPr="008E6931">
        <w:rPr>
          <w:rFonts w:ascii="Book Antiqua" w:eastAsia="Book Antiqua" w:hAnsi="Book Antiqua" w:cs="Book Antiqua"/>
          <w:b/>
          <w:noProof/>
          <w:color w:val="0070C0"/>
          <w:sz w:val="20"/>
          <w:szCs w:val="20"/>
        </w:rPr>
        <w:drawing>
          <wp:inline distT="0" distB="0" distL="0" distR="0">
            <wp:extent cx="5538765" cy="3051545"/>
            <wp:effectExtent l="0" t="0" r="0" b="0"/>
            <wp:docPr id="8"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230E" w:rsidRPr="00A5269F" w:rsidRDefault="00695586" w:rsidP="006A06D5">
      <w:pPr>
        <w:pStyle w:val="MMTopic2"/>
        <w:numPr>
          <w:ilvl w:val="0"/>
          <w:numId w:val="0"/>
        </w:numPr>
        <w:spacing w:before="240" w:after="240" w:line="312" w:lineRule="auto"/>
        <w:jc w:val="both"/>
        <w:rPr>
          <w:rFonts w:ascii="Book Antiqua" w:eastAsia="Book Antiqua" w:hAnsi="Book Antiqua" w:cs="Book Antiqua"/>
          <w:color w:val="auto"/>
          <w:sz w:val="24"/>
          <w:szCs w:val="24"/>
          <w:lang w:eastAsia="fr-FR"/>
        </w:rPr>
      </w:pPr>
      <w:r w:rsidRPr="00A5269F">
        <w:rPr>
          <w:rFonts w:ascii="Book Antiqua" w:eastAsia="Book Antiqua" w:hAnsi="Book Antiqua" w:cs="Book Antiqua"/>
          <w:color w:val="auto"/>
          <w:sz w:val="24"/>
          <w:szCs w:val="24"/>
          <w:lang w:eastAsia="fr-FR"/>
        </w:rPr>
        <w:lastRenderedPageBreak/>
        <w:t xml:space="preserve">Par ailleurs, </w:t>
      </w:r>
      <w:r w:rsidR="00BC5A28" w:rsidRPr="00A5269F">
        <w:rPr>
          <w:rFonts w:ascii="Book Antiqua" w:eastAsia="Book Antiqua" w:hAnsi="Book Antiqua" w:cs="Book Antiqua"/>
          <w:color w:val="auto"/>
          <w:sz w:val="24"/>
          <w:szCs w:val="24"/>
          <w:lang w:eastAsia="fr-FR"/>
        </w:rPr>
        <w:t>l</w:t>
      </w:r>
      <w:r w:rsidR="00E537B1" w:rsidRPr="00A5269F">
        <w:rPr>
          <w:rFonts w:ascii="Book Antiqua" w:eastAsia="Book Antiqua" w:hAnsi="Book Antiqua" w:cs="Book Antiqua"/>
          <w:color w:val="auto"/>
          <w:sz w:val="24"/>
          <w:szCs w:val="24"/>
          <w:lang w:eastAsia="fr-FR"/>
        </w:rPr>
        <w:t>e volume du sous-emploi, dans ses deux composantes</w:t>
      </w:r>
      <w:r w:rsidR="00316D51" w:rsidRPr="00A5269F">
        <w:rPr>
          <w:rStyle w:val="Appelnotedebasdep"/>
          <w:rFonts w:ascii="Book Antiqua" w:eastAsia="Book Antiqua" w:hAnsi="Book Antiqua" w:cs="Book Antiqua"/>
          <w:color w:val="auto"/>
          <w:sz w:val="24"/>
          <w:szCs w:val="24"/>
          <w:lang w:eastAsia="fr-FR"/>
        </w:rPr>
        <w:footnoteReference w:id="3"/>
      </w:r>
      <w:r w:rsidR="00E537B1" w:rsidRPr="00A5269F">
        <w:rPr>
          <w:rFonts w:ascii="Book Antiqua" w:eastAsia="Book Antiqua" w:hAnsi="Book Antiqua" w:cs="Book Antiqua"/>
          <w:color w:val="auto"/>
          <w:sz w:val="24"/>
          <w:szCs w:val="24"/>
          <w:lang w:eastAsia="fr-FR"/>
        </w:rPr>
        <w:t xml:space="preserve">, est </w:t>
      </w:r>
      <w:r w:rsidR="006A06D5" w:rsidRPr="00A5269F">
        <w:rPr>
          <w:rFonts w:ascii="Book Antiqua" w:eastAsia="Book Antiqua" w:hAnsi="Book Antiqua" w:cs="Book Antiqua"/>
          <w:color w:val="auto"/>
          <w:sz w:val="24"/>
          <w:szCs w:val="24"/>
          <w:lang w:eastAsia="fr-FR"/>
        </w:rPr>
        <w:t>passé, durant la période, de 954</w:t>
      </w:r>
      <w:r w:rsidR="00E537B1" w:rsidRPr="00A5269F">
        <w:rPr>
          <w:rFonts w:ascii="Book Antiqua" w:eastAsia="Book Antiqua" w:hAnsi="Book Antiqua" w:cs="Book Antiqua"/>
          <w:color w:val="auto"/>
          <w:sz w:val="24"/>
          <w:szCs w:val="24"/>
          <w:lang w:eastAsia="fr-FR"/>
        </w:rPr>
        <w:t>.000 personnes à</w:t>
      </w:r>
      <w:r w:rsidR="00A04892">
        <w:rPr>
          <w:rFonts w:ascii="Book Antiqua" w:eastAsia="Book Antiqua" w:hAnsi="Book Antiqua" w:cs="Book Antiqua"/>
          <w:color w:val="auto"/>
          <w:sz w:val="24"/>
          <w:szCs w:val="24"/>
          <w:lang w:eastAsia="fr-FR"/>
        </w:rPr>
        <w:t xml:space="preserve"> 988.000, de </w:t>
      </w:r>
      <w:r w:rsidR="00A04892" w:rsidRPr="0011286A">
        <w:rPr>
          <w:rFonts w:ascii="Book Antiqua" w:eastAsia="Book Antiqua" w:hAnsi="Book Antiqua" w:cs="Book Antiqua"/>
          <w:color w:val="auto"/>
          <w:sz w:val="24"/>
          <w:szCs w:val="24"/>
          <w:lang w:eastAsia="fr-FR"/>
        </w:rPr>
        <w:t>531</w:t>
      </w:r>
      <w:r w:rsidR="006A06D5" w:rsidRPr="0011286A">
        <w:rPr>
          <w:rFonts w:ascii="Book Antiqua" w:eastAsia="Book Antiqua" w:hAnsi="Book Antiqua" w:cs="Book Antiqua"/>
          <w:color w:val="auto"/>
          <w:sz w:val="24"/>
          <w:szCs w:val="24"/>
          <w:lang w:eastAsia="fr-FR"/>
        </w:rPr>
        <w:t>.000</w:t>
      </w:r>
      <w:r w:rsidR="006A06D5" w:rsidRPr="00A5269F">
        <w:rPr>
          <w:rFonts w:ascii="Book Antiqua" w:eastAsia="Book Antiqua" w:hAnsi="Book Antiqua" w:cs="Book Antiqua"/>
          <w:color w:val="auto"/>
          <w:sz w:val="24"/>
          <w:szCs w:val="24"/>
          <w:lang w:eastAsia="fr-FR"/>
        </w:rPr>
        <w:t xml:space="preserve"> à 552.000 dans les villes et de 423.000 à 435</w:t>
      </w:r>
      <w:r w:rsidR="00E537B1" w:rsidRPr="00A5269F">
        <w:rPr>
          <w:rFonts w:ascii="Book Antiqua" w:eastAsia="Book Antiqua" w:hAnsi="Book Antiqua" w:cs="Book Antiqua"/>
          <w:color w:val="auto"/>
          <w:sz w:val="24"/>
          <w:szCs w:val="24"/>
          <w:lang w:eastAsia="fr-FR"/>
        </w:rPr>
        <w:t>.000 à la campagne. Le taux de so</w:t>
      </w:r>
      <w:r w:rsidR="006A06D5" w:rsidRPr="00A5269F">
        <w:rPr>
          <w:rFonts w:ascii="Book Antiqua" w:eastAsia="Book Antiqua" w:hAnsi="Book Antiqua" w:cs="Book Antiqua"/>
          <w:color w:val="auto"/>
          <w:sz w:val="24"/>
          <w:szCs w:val="24"/>
          <w:lang w:eastAsia="fr-FR"/>
        </w:rPr>
        <w:t>us-emploi est ainsi passé de 8,8</w:t>
      </w:r>
      <w:r w:rsidR="00E537B1" w:rsidRPr="00A5269F">
        <w:rPr>
          <w:rFonts w:ascii="Book Antiqua" w:eastAsia="Book Antiqua" w:hAnsi="Book Antiqua" w:cs="Book Antiqua"/>
          <w:color w:val="auto"/>
          <w:sz w:val="24"/>
          <w:szCs w:val="24"/>
          <w:lang w:eastAsia="fr-FR"/>
        </w:rPr>
        <w:t xml:space="preserve">% à </w:t>
      </w:r>
      <w:r w:rsidR="006A06D5" w:rsidRPr="00A5269F">
        <w:rPr>
          <w:rFonts w:ascii="Book Antiqua" w:eastAsia="Book Antiqua" w:hAnsi="Book Antiqua" w:cs="Book Antiqua"/>
          <w:color w:val="auto"/>
          <w:sz w:val="24"/>
          <w:szCs w:val="24"/>
          <w:lang w:eastAsia="fr-FR"/>
        </w:rPr>
        <w:t>9,2</w:t>
      </w:r>
      <w:r w:rsidR="00E537B1" w:rsidRPr="00A5269F">
        <w:rPr>
          <w:rFonts w:ascii="Book Antiqua" w:eastAsia="Book Antiqua" w:hAnsi="Book Antiqua" w:cs="Book Antiqua"/>
          <w:color w:val="auto"/>
          <w:sz w:val="24"/>
          <w:szCs w:val="24"/>
          <w:lang w:eastAsia="fr-FR"/>
        </w:rPr>
        <w:t>%, au</w:t>
      </w:r>
      <w:r w:rsidR="006A06D5" w:rsidRPr="00A5269F">
        <w:rPr>
          <w:rFonts w:ascii="Book Antiqua" w:eastAsia="Book Antiqua" w:hAnsi="Book Antiqua" w:cs="Book Antiqua"/>
          <w:color w:val="auto"/>
          <w:sz w:val="24"/>
          <w:szCs w:val="24"/>
          <w:lang w:eastAsia="fr-FR"/>
        </w:rPr>
        <w:t xml:space="preserve"> niveau national, de 8,7% à 8,9</w:t>
      </w:r>
      <w:r w:rsidR="00E537B1" w:rsidRPr="00A5269F">
        <w:rPr>
          <w:rFonts w:ascii="Book Antiqua" w:eastAsia="Book Antiqua" w:hAnsi="Book Antiqua" w:cs="Book Antiqua"/>
          <w:color w:val="auto"/>
          <w:sz w:val="24"/>
          <w:szCs w:val="24"/>
          <w:lang w:eastAsia="fr-FR"/>
        </w:rPr>
        <w:t>% en milieu urbain et de</w:t>
      </w:r>
      <w:r w:rsidR="006A06D5" w:rsidRPr="00A5269F">
        <w:rPr>
          <w:rFonts w:ascii="Book Antiqua" w:eastAsia="Book Antiqua" w:hAnsi="Book Antiqua" w:cs="Book Antiqua"/>
          <w:color w:val="auto"/>
          <w:sz w:val="24"/>
          <w:szCs w:val="24"/>
          <w:lang w:eastAsia="fr-FR"/>
        </w:rPr>
        <w:t xml:space="preserve"> 8,9% à 9,6</w:t>
      </w:r>
      <w:r w:rsidR="00E537B1" w:rsidRPr="00A5269F">
        <w:rPr>
          <w:rFonts w:ascii="Book Antiqua" w:eastAsia="Book Antiqua" w:hAnsi="Book Antiqua" w:cs="Book Antiqua"/>
          <w:color w:val="auto"/>
          <w:sz w:val="24"/>
          <w:szCs w:val="24"/>
          <w:lang w:eastAsia="fr-FR"/>
        </w:rPr>
        <w:t>% en milieu rural.</w:t>
      </w:r>
    </w:p>
    <w:p w:rsidR="00E250EF" w:rsidRPr="00A5269F" w:rsidRDefault="00E537B1" w:rsidP="00233EC0">
      <w:pPr>
        <w:spacing w:before="240" w:after="240" w:line="312" w:lineRule="auto"/>
        <w:jc w:val="both"/>
        <w:rPr>
          <w:rFonts w:ascii="Book Antiqua" w:eastAsia="Book Antiqua" w:hAnsi="Book Antiqua" w:cs="Book Antiqua"/>
          <w:sz w:val="24"/>
          <w:szCs w:val="24"/>
        </w:rPr>
      </w:pPr>
      <w:r w:rsidRPr="00A5269F">
        <w:rPr>
          <w:rFonts w:ascii="Book Antiqua" w:eastAsia="Book Antiqua" w:hAnsi="Book Antiqua" w:cs="Book Antiqua"/>
          <w:sz w:val="24"/>
          <w:szCs w:val="24"/>
        </w:rPr>
        <w:t>Le ta</w:t>
      </w:r>
      <w:r w:rsidR="00462A31" w:rsidRPr="00A5269F">
        <w:rPr>
          <w:rFonts w:ascii="Book Antiqua" w:eastAsia="Book Antiqua" w:hAnsi="Book Antiqua" w:cs="Book Antiqua"/>
          <w:sz w:val="24"/>
          <w:szCs w:val="24"/>
        </w:rPr>
        <w:t>ux de sous-emploi des hommes (10,2</w:t>
      </w:r>
      <w:r w:rsidRPr="00A5269F">
        <w:rPr>
          <w:rFonts w:ascii="Book Antiqua" w:eastAsia="Book Antiqua" w:hAnsi="Book Antiqua" w:cs="Book Antiqua"/>
          <w:sz w:val="24"/>
          <w:szCs w:val="24"/>
        </w:rPr>
        <w:t xml:space="preserve">%) est </w:t>
      </w:r>
      <w:r w:rsidR="00462A31" w:rsidRPr="00A5269F">
        <w:rPr>
          <w:rFonts w:ascii="Book Antiqua" w:eastAsia="Book Antiqua" w:hAnsi="Book Antiqua" w:cs="Book Antiqua"/>
          <w:sz w:val="24"/>
          <w:szCs w:val="24"/>
        </w:rPr>
        <w:t xml:space="preserve">presque </w:t>
      </w:r>
      <w:r w:rsidRPr="00A5269F">
        <w:rPr>
          <w:rFonts w:ascii="Book Antiqua" w:eastAsia="Book Antiqua" w:hAnsi="Book Antiqua" w:cs="Book Antiqua"/>
          <w:sz w:val="24"/>
          <w:szCs w:val="24"/>
        </w:rPr>
        <w:t>deux fois plus</w:t>
      </w:r>
      <w:r w:rsidR="00462A31" w:rsidRPr="00A5269F">
        <w:rPr>
          <w:rFonts w:ascii="Book Antiqua" w:eastAsia="Book Antiqua" w:hAnsi="Book Antiqua" w:cs="Book Antiqua"/>
          <w:sz w:val="24"/>
          <w:szCs w:val="24"/>
        </w:rPr>
        <w:t xml:space="preserve"> élevé que celui </w:t>
      </w:r>
      <w:r w:rsidR="00D35E94">
        <w:rPr>
          <w:rFonts w:ascii="Book Antiqua" w:eastAsia="Book Antiqua" w:hAnsi="Book Antiqua" w:cs="Book Antiqua"/>
          <w:sz w:val="24"/>
          <w:szCs w:val="24"/>
        </w:rPr>
        <w:t xml:space="preserve">des femmes (5,6%). </w:t>
      </w:r>
      <w:r w:rsidR="00E250EF" w:rsidRPr="00265B9D">
        <w:rPr>
          <w:rFonts w:ascii="Book Antiqua" w:eastAsia="Book Antiqua" w:hAnsi="Book Antiqua" w:cs="Book Antiqua"/>
          <w:sz w:val="24"/>
          <w:szCs w:val="24"/>
        </w:rPr>
        <w:t>En milieu urbain, il est de 9% contre 8,3% pour les femmes et en milieu rural, il e</w:t>
      </w:r>
      <w:r w:rsidR="00E250EF" w:rsidRPr="00A5269F">
        <w:rPr>
          <w:rFonts w:ascii="Book Antiqua" w:eastAsia="Book Antiqua" w:hAnsi="Book Antiqua" w:cs="Book Antiqua"/>
          <w:sz w:val="24"/>
          <w:szCs w:val="24"/>
        </w:rPr>
        <w:t xml:space="preserve">st presque </w:t>
      </w:r>
      <w:r w:rsidR="00233EC0">
        <w:rPr>
          <w:rFonts w:ascii="Book Antiqua" w:eastAsia="Book Antiqua" w:hAnsi="Book Antiqua" w:cs="Book Antiqua"/>
          <w:sz w:val="24"/>
          <w:szCs w:val="24"/>
        </w:rPr>
        <w:t>5</w:t>
      </w:r>
      <w:r w:rsidR="00233EC0" w:rsidRPr="00A5269F">
        <w:rPr>
          <w:rFonts w:ascii="Book Antiqua" w:eastAsia="Book Antiqua" w:hAnsi="Book Antiqua" w:cs="Book Antiqua"/>
          <w:sz w:val="24"/>
          <w:szCs w:val="24"/>
        </w:rPr>
        <w:t xml:space="preserve"> </w:t>
      </w:r>
      <w:r w:rsidR="00E250EF" w:rsidRPr="00A5269F">
        <w:rPr>
          <w:rFonts w:ascii="Book Antiqua" w:eastAsia="Book Antiqua" w:hAnsi="Book Antiqua" w:cs="Book Antiqua"/>
          <w:sz w:val="24"/>
          <w:szCs w:val="24"/>
        </w:rPr>
        <w:t>fois plus élevé parmi le</w:t>
      </w:r>
      <w:r w:rsidR="00E250EF">
        <w:rPr>
          <w:rFonts w:ascii="Book Antiqua" w:eastAsia="Book Antiqua" w:hAnsi="Book Antiqua" w:cs="Book Antiqua"/>
          <w:sz w:val="24"/>
          <w:szCs w:val="24"/>
        </w:rPr>
        <w:t>s hommes avec 12</w:t>
      </w:r>
      <w:r w:rsidR="00E250EF" w:rsidRPr="00A5269F">
        <w:rPr>
          <w:rFonts w:ascii="Book Antiqua" w:eastAsia="Book Antiqua" w:hAnsi="Book Antiqua" w:cs="Book Antiqua"/>
          <w:sz w:val="24"/>
          <w:szCs w:val="24"/>
        </w:rPr>
        <w:t>% que parmi les femmes (2,5%).</w:t>
      </w:r>
    </w:p>
    <w:p w:rsidR="00462A31" w:rsidRDefault="00E537B1" w:rsidP="00BC5A28">
      <w:pPr>
        <w:spacing w:before="240" w:after="240" w:line="312" w:lineRule="auto"/>
        <w:rPr>
          <w:rFonts w:ascii="Book Antiqua" w:eastAsia="Book Antiqua" w:hAnsi="Book Antiqua" w:cs="Book Antiqua"/>
          <w:b/>
          <w:color w:val="0070C0"/>
          <w:sz w:val="20"/>
          <w:szCs w:val="20"/>
        </w:rPr>
      </w:pPr>
      <w:r w:rsidRPr="003D1D48">
        <w:rPr>
          <w:rFonts w:ascii="Book Antiqua" w:eastAsia="Book Antiqua" w:hAnsi="Book Antiqua" w:cs="Book Antiqua"/>
          <w:b/>
          <w:color w:val="0070C0"/>
          <w:sz w:val="20"/>
          <w:szCs w:val="20"/>
        </w:rPr>
        <w:t xml:space="preserve">Figure </w:t>
      </w:r>
      <w:r w:rsidR="00882371" w:rsidRPr="003D1D48">
        <w:rPr>
          <w:rFonts w:ascii="Book Antiqua" w:eastAsia="Book Antiqua" w:hAnsi="Book Antiqua" w:cs="Book Antiqua"/>
          <w:b/>
          <w:color w:val="0070C0"/>
          <w:sz w:val="20"/>
          <w:szCs w:val="20"/>
        </w:rPr>
        <w:t>4</w:t>
      </w:r>
      <w:r w:rsidR="00BC5A28" w:rsidRPr="003D1D48">
        <w:rPr>
          <w:rFonts w:ascii="Book Antiqua" w:eastAsia="Book Antiqua" w:hAnsi="Book Antiqua" w:cs="Book Antiqua"/>
          <w:b/>
          <w:color w:val="0070C0"/>
          <w:sz w:val="20"/>
          <w:szCs w:val="20"/>
        </w:rPr>
        <w:t> : Évolution</w:t>
      </w:r>
      <w:r w:rsidRPr="003D1D48">
        <w:rPr>
          <w:rFonts w:ascii="Book Antiqua" w:eastAsia="Book Antiqua" w:hAnsi="Book Antiqua" w:cs="Book Antiqua"/>
          <w:b/>
          <w:color w:val="0070C0"/>
          <w:sz w:val="20"/>
          <w:szCs w:val="20"/>
        </w:rPr>
        <w:t xml:space="preserve"> du taux de</w:t>
      </w:r>
      <w:r w:rsidR="00462A31">
        <w:rPr>
          <w:rFonts w:ascii="Book Antiqua" w:eastAsia="Book Antiqua" w:hAnsi="Book Antiqua" w:cs="Book Antiqua"/>
          <w:b/>
          <w:color w:val="0070C0"/>
          <w:sz w:val="20"/>
          <w:szCs w:val="20"/>
        </w:rPr>
        <w:t xml:space="preserve"> sous-emploi entre le premier trimestre de 2020 et celui de 2021 </w:t>
      </w:r>
      <w:r w:rsidRPr="003D1D48">
        <w:rPr>
          <w:rFonts w:ascii="Book Antiqua" w:eastAsia="Book Antiqua" w:hAnsi="Book Antiqua" w:cs="Book Antiqua"/>
          <w:b/>
          <w:color w:val="0070C0"/>
          <w:sz w:val="20"/>
          <w:szCs w:val="20"/>
        </w:rPr>
        <w:t>parmi certaines catégories de la population (en %)</w:t>
      </w:r>
    </w:p>
    <w:p w:rsidR="00490D10" w:rsidRDefault="00462A31" w:rsidP="00462A31">
      <w:pPr>
        <w:rPr>
          <w:rFonts w:ascii="Book Antiqua" w:hAnsi="Book Antiqua" w:cstheme="majorHAnsi"/>
          <w:b/>
          <w:bCs/>
          <w:i/>
          <w:iCs/>
          <w:color w:val="31849B" w:themeColor="accent5" w:themeShade="BF"/>
          <w:spacing w:val="-10"/>
          <w:kern w:val="28"/>
          <w:sz w:val="28"/>
          <w:szCs w:val="28"/>
        </w:rPr>
      </w:pPr>
      <w:r w:rsidRPr="00462A31">
        <w:rPr>
          <w:rFonts w:ascii="Book Antiqua" w:eastAsia="Book Antiqua" w:hAnsi="Book Antiqua" w:cs="Book Antiqua"/>
          <w:b/>
          <w:noProof/>
          <w:color w:val="0070C0"/>
          <w:sz w:val="20"/>
          <w:szCs w:val="20"/>
        </w:rPr>
        <w:drawing>
          <wp:inline distT="0" distB="0" distL="0" distR="0">
            <wp:extent cx="5988345" cy="2743200"/>
            <wp:effectExtent l="0" t="0" r="0" b="0"/>
            <wp:docPr id="10"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A0E16" w:rsidRPr="00505315" w:rsidRDefault="003D1D48" w:rsidP="00505315">
      <w:pPr>
        <w:pStyle w:val="Paragraphedeliste"/>
        <w:numPr>
          <w:ilvl w:val="0"/>
          <w:numId w:val="10"/>
        </w:numPr>
        <w:rPr>
          <w:kern w:val="28"/>
          <w:sz w:val="32"/>
          <w:szCs w:val="32"/>
        </w:rPr>
      </w:pPr>
      <w:r w:rsidRPr="00505315">
        <w:rPr>
          <w:rFonts w:ascii="Book Antiqua" w:hAnsi="Book Antiqua" w:cstheme="majorHAnsi"/>
          <w:b/>
          <w:bCs/>
          <w:i/>
          <w:iCs/>
          <w:color w:val="31849B" w:themeColor="accent5" w:themeShade="BF"/>
          <w:spacing w:val="-10"/>
          <w:kern w:val="28"/>
          <w:sz w:val="28"/>
          <w:szCs w:val="28"/>
        </w:rPr>
        <w:br w:type="page"/>
      </w:r>
      <w:r w:rsidR="007A0E16" w:rsidRPr="00505315">
        <w:rPr>
          <w:rFonts w:ascii="Book Antiqua" w:eastAsia="Book Antiqua" w:hAnsi="Book Antiqua" w:cs="Book Antiqua"/>
          <w:b/>
          <w:bCs/>
          <w:color w:val="0070C0"/>
          <w:sz w:val="28"/>
          <w:szCs w:val="28"/>
        </w:rPr>
        <w:lastRenderedPageBreak/>
        <w:t>Situation régionale du marché du travail</w:t>
      </w:r>
    </w:p>
    <w:p w:rsidR="007A0E16" w:rsidRPr="00A5269F" w:rsidRDefault="00DB6741" w:rsidP="007A0E16">
      <w:pPr>
        <w:spacing w:before="240" w:after="240" w:line="312" w:lineRule="auto"/>
        <w:jc w:val="both"/>
        <w:rPr>
          <w:rFonts w:ascii="Book Antiqua" w:eastAsia="Book Antiqua" w:hAnsi="Book Antiqua" w:cs="Book Antiqua"/>
          <w:sz w:val="24"/>
          <w:szCs w:val="24"/>
        </w:rPr>
      </w:pPr>
      <w:r w:rsidRPr="00A5269F">
        <w:rPr>
          <w:rFonts w:ascii="Book Antiqua" w:eastAsia="Book Antiqua" w:hAnsi="Book Antiqua" w:cs="Book Antiqua"/>
          <w:sz w:val="24"/>
          <w:szCs w:val="24"/>
        </w:rPr>
        <w:t>Cinq régions abritent 72</w:t>
      </w:r>
      <w:r w:rsidR="007A0E16" w:rsidRPr="00A5269F">
        <w:rPr>
          <w:rFonts w:ascii="Book Antiqua" w:eastAsia="Book Antiqua" w:hAnsi="Book Antiqua" w:cs="Book Antiqua"/>
          <w:sz w:val="24"/>
          <w:szCs w:val="24"/>
        </w:rPr>
        <w:t>% de l’ensemble des actifs âgés de 15 ans et plus. La région de Casablanca-Settat vien</w:t>
      </w:r>
      <w:r w:rsidR="00D04F4B" w:rsidRPr="00A5269F">
        <w:rPr>
          <w:rFonts w:ascii="Book Antiqua" w:eastAsia="Book Antiqua" w:hAnsi="Book Antiqua" w:cs="Book Antiqua"/>
          <w:sz w:val="24"/>
          <w:szCs w:val="24"/>
        </w:rPr>
        <w:t>t en première position avec 22,</w:t>
      </w:r>
      <w:r w:rsidRPr="00A5269F">
        <w:rPr>
          <w:rFonts w:ascii="Book Antiqua" w:eastAsia="Book Antiqua" w:hAnsi="Book Antiqua" w:cs="Book Antiqua"/>
          <w:sz w:val="24"/>
          <w:szCs w:val="24"/>
        </w:rPr>
        <w:t>5</w:t>
      </w:r>
      <w:r w:rsidR="007A0E16" w:rsidRPr="00A5269F">
        <w:rPr>
          <w:rFonts w:ascii="Book Antiqua" w:eastAsia="Book Antiqua" w:hAnsi="Book Antiqua" w:cs="Book Antiqua"/>
          <w:sz w:val="24"/>
          <w:szCs w:val="24"/>
        </w:rPr>
        <w:t>% d’actifs</w:t>
      </w:r>
      <w:r w:rsidR="00D04F4B" w:rsidRPr="00A5269F">
        <w:rPr>
          <w:rFonts w:ascii="Book Antiqua" w:eastAsia="Book Antiqua" w:hAnsi="Book Antiqua" w:cs="Book Antiqua"/>
          <w:sz w:val="24"/>
          <w:szCs w:val="24"/>
        </w:rPr>
        <w:t>, suivie de Marrakech-Safi (13,</w:t>
      </w:r>
      <w:r w:rsidRPr="00A5269F">
        <w:rPr>
          <w:rFonts w:ascii="Book Antiqua" w:eastAsia="Book Antiqua" w:hAnsi="Book Antiqua" w:cs="Book Antiqua"/>
          <w:sz w:val="24"/>
          <w:szCs w:val="24"/>
        </w:rPr>
        <w:t>3</w:t>
      </w:r>
      <w:r w:rsidR="007A0E16" w:rsidRPr="00A5269F">
        <w:rPr>
          <w:rFonts w:ascii="Book Antiqua" w:eastAsia="Book Antiqua" w:hAnsi="Book Antiqua" w:cs="Book Antiqua"/>
          <w:sz w:val="24"/>
          <w:szCs w:val="24"/>
        </w:rPr>
        <w:t>%), de Rabat-Salé-Kéni</w:t>
      </w:r>
      <w:r w:rsidRPr="00A5269F">
        <w:rPr>
          <w:rFonts w:ascii="Book Antiqua" w:eastAsia="Book Antiqua" w:hAnsi="Book Antiqua" w:cs="Book Antiqua"/>
          <w:sz w:val="24"/>
          <w:szCs w:val="24"/>
        </w:rPr>
        <w:t>tra (13,3</w:t>
      </w:r>
      <w:r w:rsidR="00D04F4B" w:rsidRPr="00A5269F">
        <w:rPr>
          <w:rFonts w:ascii="Book Antiqua" w:eastAsia="Book Antiqua" w:hAnsi="Book Antiqua" w:cs="Book Antiqua"/>
          <w:sz w:val="24"/>
          <w:szCs w:val="24"/>
        </w:rPr>
        <w:t>%), de Fès-Meknès (11,4</w:t>
      </w:r>
      <w:r w:rsidR="007A0E16" w:rsidRPr="00A5269F">
        <w:rPr>
          <w:rFonts w:ascii="Book Antiqua" w:eastAsia="Book Antiqua" w:hAnsi="Book Antiqua" w:cs="Book Antiqua"/>
          <w:sz w:val="24"/>
          <w:szCs w:val="24"/>
        </w:rPr>
        <w:t>%) et de Tanger-Tétouan-Al Hoceima (11</w:t>
      </w:r>
      <w:r w:rsidR="00D04F4B" w:rsidRPr="00A5269F">
        <w:rPr>
          <w:rFonts w:ascii="Book Antiqua" w:eastAsia="Book Antiqua" w:hAnsi="Book Antiqua" w:cs="Book Antiqua"/>
          <w:sz w:val="24"/>
          <w:szCs w:val="24"/>
        </w:rPr>
        <w:t>,2</w:t>
      </w:r>
      <w:r w:rsidR="007A0E16" w:rsidRPr="00A5269F">
        <w:rPr>
          <w:rFonts w:ascii="Book Antiqua" w:eastAsia="Book Antiqua" w:hAnsi="Book Antiqua" w:cs="Book Antiqua"/>
          <w:sz w:val="24"/>
          <w:szCs w:val="24"/>
        </w:rPr>
        <w:t>%).</w:t>
      </w:r>
    </w:p>
    <w:p w:rsidR="007A0E16" w:rsidRPr="00A5269F" w:rsidRDefault="007A0E16" w:rsidP="00CF55C7">
      <w:pPr>
        <w:spacing w:before="240" w:after="240" w:line="312" w:lineRule="auto"/>
        <w:jc w:val="both"/>
        <w:rPr>
          <w:rFonts w:ascii="Book Antiqua" w:eastAsia="Book Antiqua" w:hAnsi="Book Antiqua" w:cs="Book Antiqua"/>
          <w:sz w:val="24"/>
          <w:szCs w:val="24"/>
        </w:rPr>
      </w:pPr>
      <w:r w:rsidRPr="00A5269F">
        <w:rPr>
          <w:rFonts w:ascii="Book Antiqua" w:eastAsia="Book Antiqua" w:hAnsi="Book Antiqua" w:cs="Book Antiqua"/>
          <w:sz w:val="24"/>
          <w:szCs w:val="24"/>
        </w:rPr>
        <w:t>Quatre régions affichent des taux d’activité plus éle</w:t>
      </w:r>
      <w:r w:rsidR="003839A4" w:rsidRPr="00A5269F">
        <w:rPr>
          <w:rFonts w:ascii="Book Antiqua" w:eastAsia="Book Antiqua" w:hAnsi="Book Antiqua" w:cs="Book Antiqua"/>
          <w:sz w:val="24"/>
          <w:szCs w:val="24"/>
        </w:rPr>
        <w:t>vés que la moyenne nationale (45</w:t>
      </w:r>
      <w:r w:rsidRPr="00A5269F">
        <w:rPr>
          <w:rFonts w:ascii="Book Antiqua" w:eastAsia="Book Antiqua" w:hAnsi="Book Antiqua" w:cs="Book Antiqua"/>
          <w:sz w:val="24"/>
          <w:szCs w:val="24"/>
        </w:rPr>
        <w:t>,5%);</w:t>
      </w:r>
      <w:r w:rsidR="00CF55C7">
        <w:rPr>
          <w:rFonts w:ascii="Book Antiqua" w:eastAsia="Book Antiqua" w:hAnsi="Book Antiqua" w:cs="Book Antiqua" w:hint="cs"/>
          <w:sz w:val="24"/>
          <w:szCs w:val="24"/>
          <w:rtl/>
        </w:rPr>
        <w:t xml:space="preserve"> </w:t>
      </w:r>
      <w:r w:rsidR="00D04F4B" w:rsidRPr="00A5269F">
        <w:rPr>
          <w:rFonts w:ascii="Book Antiqua" w:eastAsia="Book Antiqua" w:hAnsi="Book Antiqua" w:cs="Book Antiqua"/>
          <w:sz w:val="24"/>
          <w:szCs w:val="24"/>
        </w:rPr>
        <w:t>Casablanca-Settat avec 48,6%, Tanger-Tétouan-Al Hoceima (</w:t>
      </w:r>
      <w:r w:rsidRPr="00A5269F">
        <w:rPr>
          <w:rFonts w:ascii="Book Antiqua" w:eastAsia="Book Antiqua" w:hAnsi="Book Antiqua" w:cs="Book Antiqua"/>
          <w:sz w:val="24"/>
          <w:szCs w:val="24"/>
        </w:rPr>
        <w:t>4</w:t>
      </w:r>
      <w:r w:rsidR="003839A4" w:rsidRPr="00A5269F">
        <w:rPr>
          <w:rFonts w:ascii="Book Antiqua" w:eastAsia="Book Antiqua" w:hAnsi="Book Antiqua" w:cs="Book Antiqua"/>
          <w:sz w:val="24"/>
          <w:szCs w:val="24"/>
        </w:rPr>
        <w:t>8,1%</w:t>
      </w:r>
      <w:r w:rsidR="00D04F4B" w:rsidRPr="00A5269F">
        <w:rPr>
          <w:rFonts w:ascii="Book Antiqua" w:eastAsia="Book Antiqua" w:hAnsi="Book Antiqua" w:cs="Book Antiqua"/>
          <w:sz w:val="24"/>
          <w:szCs w:val="24"/>
        </w:rPr>
        <w:t>)</w:t>
      </w:r>
      <w:r w:rsidR="003839A4" w:rsidRPr="00A5269F">
        <w:rPr>
          <w:rFonts w:ascii="Book Antiqua" w:eastAsia="Book Antiqua" w:hAnsi="Book Antiqua" w:cs="Book Antiqua"/>
          <w:sz w:val="24"/>
          <w:szCs w:val="24"/>
        </w:rPr>
        <w:t>, Marrakech-Safi (46,8</w:t>
      </w:r>
      <w:r w:rsidRPr="00A5269F">
        <w:rPr>
          <w:rFonts w:ascii="Book Antiqua" w:eastAsia="Book Antiqua" w:hAnsi="Book Antiqua" w:cs="Book Antiqua"/>
          <w:sz w:val="24"/>
          <w:szCs w:val="24"/>
        </w:rPr>
        <w:t xml:space="preserve">%) et </w:t>
      </w:r>
      <w:r w:rsidR="003839A4" w:rsidRPr="00A5269F">
        <w:rPr>
          <w:rFonts w:ascii="Book Antiqua" w:eastAsia="Book Antiqua" w:hAnsi="Book Antiqua" w:cs="Book Antiqua"/>
          <w:sz w:val="24"/>
          <w:szCs w:val="24"/>
        </w:rPr>
        <w:t xml:space="preserve">Drâa-Tafilalet (46,4%). </w:t>
      </w:r>
      <w:r w:rsidRPr="00A5269F">
        <w:rPr>
          <w:rFonts w:ascii="Book Antiqua" w:eastAsia="Book Antiqua" w:hAnsi="Book Antiqua" w:cs="Book Antiqua"/>
          <w:sz w:val="24"/>
          <w:szCs w:val="24"/>
        </w:rPr>
        <w:t xml:space="preserve">En revanche, les taux les plus bas sont </w:t>
      </w:r>
      <w:r w:rsidR="003839A4" w:rsidRPr="00A5269F">
        <w:rPr>
          <w:rFonts w:ascii="Book Antiqua" w:eastAsia="Book Antiqua" w:hAnsi="Book Antiqua" w:cs="Book Antiqua"/>
          <w:sz w:val="24"/>
          <w:szCs w:val="24"/>
        </w:rPr>
        <w:t>enregistrés dans les régions</w:t>
      </w:r>
      <w:r w:rsidR="00CF55C7">
        <w:rPr>
          <w:rFonts w:ascii="Book Antiqua" w:eastAsia="Book Antiqua" w:hAnsi="Book Antiqua" w:cs="Book Antiqua" w:hint="cs"/>
          <w:sz w:val="24"/>
          <w:szCs w:val="24"/>
          <w:rtl/>
        </w:rPr>
        <w:t xml:space="preserve"> </w:t>
      </w:r>
      <w:r w:rsidR="00CF55C7" w:rsidRPr="00A5269F">
        <w:rPr>
          <w:rFonts w:ascii="Book Antiqua" w:eastAsia="Book Antiqua" w:hAnsi="Book Antiqua" w:cs="Book Antiqua"/>
          <w:sz w:val="24"/>
          <w:szCs w:val="24"/>
        </w:rPr>
        <w:t>de Fès-Meknès</w:t>
      </w:r>
      <w:r w:rsidR="00CF55C7">
        <w:rPr>
          <w:rFonts w:ascii="Book Antiqua" w:eastAsia="Book Antiqua" w:hAnsi="Book Antiqua" w:cs="Book Antiqua" w:hint="cs"/>
          <w:sz w:val="24"/>
          <w:szCs w:val="24"/>
          <w:rtl/>
        </w:rPr>
        <w:t xml:space="preserve"> </w:t>
      </w:r>
      <w:r w:rsidR="00CF55C7" w:rsidRPr="00A5269F">
        <w:rPr>
          <w:rFonts w:ascii="Book Antiqua" w:eastAsia="Book Antiqua" w:hAnsi="Book Antiqua" w:cs="Book Antiqua"/>
          <w:sz w:val="24"/>
          <w:szCs w:val="24"/>
        </w:rPr>
        <w:t>(42,</w:t>
      </w:r>
      <w:r w:rsidR="00CF55C7">
        <w:rPr>
          <w:rFonts w:ascii="Book Antiqua" w:eastAsia="Book Antiqua" w:hAnsi="Book Antiqua" w:cs="Book Antiqua" w:hint="cs"/>
          <w:sz w:val="24"/>
          <w:szCs w:val="24"/>
          <w:rtl/>
        </w:rPr>
        <w:t>5</w:t>
      </w:r>
      <w:r w:rsidR="00CF55C7" w:rsidRPr="00A5269F">
        <w:rPr>
          <w:rFonts w:ascii="Book Antiqua" w:eastAsia="Book Antiqua" w:hAnsi="Book Antiqua" w:cs="Book Antiqua"/>
          <w:sz w:val="24"/>
          <w:szCs w:val="24"/>
        </w:rPr>
        <w:t>%)</w:t>
      </w:r>
      <w:r w:rsidR="00CF55C7">
        <w:rPr>
          <w:rFonts w:ascii="Book Antiqua" w:eastAsia="Book Antiqua" w:hAnsi="Book Antiqua" w:cs="Times New Roman"/>
          <w:sz w:val="24"/>
          <w:szCs w:val="24"/>
        </w:rPr>
        <w:t>,</w:t>
      </w:r>
      <w:r w:rsidR="00CF55C7">
        <w:rPr>
          <w:rFonts w:ascii="Book Antiqua" w:eastAsia="Book Antiqua" w:hAnsi="Book Antiqua" w:cs="Book Antiqua" w:hint="cs"/>
          <w:sz w:val="24"/>
          <w:szCs w:val="24"/>
          <w:rtl/>
        </w:rPr>
        <w:t xml:space="preserve"> </w:t>
      </w:r>
      <w:r w:rsidR="003839A4" w:rsidRPr="00A5269F">
        <w:rPr>
          <w:rFonts w:ascii="Book Antiqua" w:eastAsia="Book Antiqua" w:hAnsi="Book Antiqua" w:cs="Book Antiqua"/>
          <w:sz w:val="24"/>
          <w:szCs w:val="24"/>
        </w:rPr>
        <w:t xml:space="preserve"> de Souss-Massa (42,3</w:t>
      </w:r>
      <w:r w:rsidRPr="00A5269F">
        <w:rPr>
          <w:rFonts w:ascii="Book Antiqua" w:eastAsia="Book Antiqua" w:hAnsi="Book Antiqua" w:cs="Book Antiqua"/>
          <w:sz w:val="24"/>
          <w:szCs w:val="24"/>
        </w:rPr>
        <w:t>%) et de l’Oriental (41</w:t>
      </w:r>
      <w:r w:rsidR="003839A4" w:rsidRPr="00A5269F">
        <w:rPr>
          <w:rFonts w:ascii="Book Antiqua" w:eastAsia="Book Antiqua" w:hAnsi="Book Antiqua" w:cs="Book Antiqua"/>
          <w:sz w:val="24"/>
          <w:szCs w:val="24"/>
        </w:rPr>
        <w:t>,6</w:t>
      </w:r>
      <w:r w:rsidRPr="00A5269F">
        <w:rPr>
          <w:rFonts w:ascii="Book Antiqua" w:eastAsia="Book Antiqua" w:hAnsi="Book Antiqua" w:cs="Book Antiqua"/>
          <w:sz w:val="24"/>
          <w:szCs w:val="24"/>
        </w:rPr>
        <w:t>%).</w:t>
      </w:r>
    </w:p>
    <w:p w:rsidR="00C33BDF" w:rsidRDefault="007A0E16" w:rsidP="002A28D6">
      <w:pPr>
        <w:spacing w:before="240" w:after="240" w:line="312" w:lineRule="auto"/>
        <w:jc w:val="center"/>
        <w:rPr>
          <w:rFonts w:ascii="Book Antiqua" w:eastAsia="Book Antiqua" w:hAnsi="Book Antiqua" w:cs="Book Antiqua"/>
          <w:b/>
          <w:color w:val="0070C0"/>
          <w:sz w:val="20"/>
          <w:szCs w:val="20"/>
        </w:rPr>
      </w:pPr>
      <w:r w:rsidRPr="003D1D48">
        <w:rPr>
          <w:rFonts w:ascii="Book Antiqua" w:eastAsia="Book Antiqua" w:hAnsi="Book Antiqua" w:cs="Book Antiqua"/>
          <w:b/>
          <w:color w:val="0070C0"/>
          <w:sz w:val="20"/>
          <w:szCs w:val="20"/>
        </w:rPr>
        <w:t>Figure 5 : Taux d’activit</w:t>
      </w:r>
      <w:r w:rsidR="003839A4">
        <w:rPr>
          <w:rFonts w:ascii="Book Antiqua" w:eastAsia="Book Antiqua" w:hAnsi="Book Antiqua" w:cs="Book Antiqua"/>
          <w:b/>
          <w:color w:val="0070C0"/>
          <w:sz w:val="20"/>
          <w:szCs w:val="20"/>
        </w:rPr>
        <w:t>é selon les régions au premier trimestre de 2021</w:t>
      </w:r>
      <w:r w:rsidRPr="003D1D48">
        <w:rPr>
          <w:rFonts w:ascii="Book Antiqua" w:eastAsia="Book Antiqua" w:hAnsi="Book Antiqua" w:cs="Book Antiqua"/>
          <w:b/>
          <w:color w:val="0070C0"/>
          <w:sz w:val="20"/>
          <w:szCs w:val="20"/>
        </w:rPr>
        <w:t xml:space="preserve"> (en%).</w:t>
      </w:r>
      <w:r w:rsidR="00C33BDF" w:rsidRPr="00C33BDF">
        <w:rPr>
          <w:rFonts w:ascii="Book Antiqua" w:eastAsia="Book Antiqua" w:hAnsi="Book Antiqua" w:cs="Book Antiqua"/>
          <w:b/>
          <w:noProof/>
          <w:color w:val="0070C0"/>
          <w:sz w:val="20"/>
          <w:szCs w:val="20"/>
        </w:rPr>
        <w:drawing>
          <wp:inline distT="0" distB="0" distL="0" distR="0">
            <wp:extent cx="5733415" cy="2650439"/>
            <wp:effectExtent l="0" t="0" r="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A0E16" w:rsidRPr="00A5269F" w:rsidRDefault="003D6A78" w:rsidP="00DB6741">
      <w:pPr>
        <w:jc w:val="both"/>
        <w:rPr>
          <w:rFonts w:ascii="Book Antiqua" w:eastAsia="Book Antiqua" w:hAnsi="Book Antiqua" w:cs="Book Antiqua"/>
          <w:sz w:val="24"/>
          <w:szCs w:val="24"/>
        </w:rPr>
      </w:pPr>
      <w:r w:rsidRPr="00A5269F">
        <w:rPr>
          <w:rFonts w:ascii="Book Antiqua" w:eastAsia="Book Antiqua" w:hAnsi="Book Antiqua" w:cs="Book Antiqua"/>
          <w:sz w:val="24"/>
          <w:szCs w:val="24"/>
        </w:rPr>
        <w:t>Presque</w:t>
      </w:r>
      <w:r w:rsidR="00DB6741" w:rsidRPr="00A5269F">
        <w:rPr>
          <w:rFonts w:ascii="Book Antiqua" w:eastAsia="Book Antiqua" w:hAnsi="Book Antiqua" w:cs="Book Antiqua"/>
          <w:sz w:val="24"/>
          <w:szCs w:val="24"/>
        </w:rPr>
        <w:t xml:space="preserve"> trois quarts des chômeurs (73</w:t>
      </w:r>
      <w:r w:rsidR="007A0E16" w:rsidRPr="00A5269F">
        <w:rPr>
          <w:rFonts w:ascii="Book Antiqua" w:eastAsia="Book Antiqua" w:hAnsi="Book Antiqua" w:cs="Book Antiqua"/>
          <w:sz w:val="24"/>
          <w:szCs w:val="24"/>
        </w:rPr>
        <w:t xml:space="preserve">%) sont concentrés dans cinq </w:t>
      </w:r>
      <w:r w:rsidR="00923F1D">
        <w:rPr>
          <w:rFonts w:ascii="Book Antiqua" w:eastAsia="Book Antiqua" w:hAnsi="Book Antiqua" w:cs="Book Antiqua"/>
          <w:sz w:val="24"/>
          <w:szCs w:val="24"/>
        </w:rPr>
        <w:t>régions</w:t>
      </w:r>
      <w:r w:rsidR="009167A6" w:rsidRPr="00A5269F">
        <w:rPr>
          <w:rFonts w:ascii="Book Antiqua" w:eastAsia="Book Antiqua" w:hAnsi="Book Antiqua" w:cs="Book Antiqua"/>
          <w:sz w:val="24"/>
          <w:szCs w:val="24"/>
        </w:rPr>
        <w:t>;</w:t>
      </w:r>
      <w:r w:rsidR="007A0E16" w:rsidRPr="00A5269F">
        <w:rPr>
          <w:rFonts w:ascii="Book Antiqua" w:eastAsia="Book Antiqua" w:hAnsi="Book Antiqua" w:cs="Book Antiqua"/>
          <w:sz w:val="24"/>
          <w:szCs w:val="24"/>
        </w:rPr>
        <w:t xml:space="preserve"> Casablanca-Settat vie</w:t>
      </w:r>
      <w:r w:rsidR="00DB6741" w:rsidRPr="00A5269F">
        <w:rPr>
          <w:rFonts w:ascii="Book Antiqua" w:eastAsia="Book Antiqua" w:hAnsi="Book Antiqua" w:cs="Book Antiqua"/>
          <w:sz w:val="24"/>
          <w:szCs w:val="24"/>
        </w:rPr>
        <w:t>nt en première position avec 27,5</w:t>
      </w:r>
      <w:r w:rsidR="007A0E16" w:rsidRPr="00A5269F">
        <w:rPr>
          <w:rFonts w:ascii="Book Antiqua" w:eastAsia="Book Antiqua" w:hAnsi="Book Antiqua" w:cs="Book Antiqua"/>
          <w:sz w:val="24"/>
          <w:szCs w:val="24"/>
        </w:rPr>
        <w:t>% de chômeurs, su</w:t>
      </w:r>
      <w:r w:rsidR="00DB6741" w:rsidRPr="00A5269F">
        <w:rPr>
          <w:rFonts w:ascii="Book Antiqua" w:eastAsia="Book Antiqua" w:hAnsi="Book Antiqua" w:cs="Book Antiqua"/>
          <w:sz w:val="24"/>
          <w:szCs w:val="24"/>
        </w:rPr>
        <w:t>ivie de Rabat-Salé-Kénitra (13,1</w:t>
      </w:r>
      <w:r w:rsidR="007A0E16" w:rsidRPr="00A5269F">
        <w:rPr>
          <w:rFonts w:ascii="Book Antiqua" w:eastAsia="Book Antiqua" w:hAnsi="Book Antiqua" w:cs="Book Antiqua"/>
          <w:sz w:val="24"/>
          <w:szCs w:val="24"/>
        </w:rPr>
        <w:t>%), de Fès-Mekn</w:t>
      </w:r>
      <w:r w:rsidR="00DB6741" w:rsidRPr="00A5269F">
        <w:rPr>
          <w:rFonts w:ascii="Book Antiqua" w:eastAsia="Book Antiqua" w:hAnsi="Book Antiqua" w:cs="Book Antiqua"/>
          <w:sz w:val="24"/>
          <w:szCs w:val="24"/>
        </w:rPr>
        <w:t>ès (12,5%), de Tanger-Tétouan-Al Hoceima (10,7%) et de l’Oriental (9,6%).</w:t>
      </w:r>
    </w:p>
    <w:p w:rsidR="007A0E16" w:rsidRPr="00A5269F" w:rsidRDefault="007A0E16" w:rsidP="007A0E16">
      <w:pPr>
        <w:jc w:val="both"/>
        <w:rPr>
          <w:rFonts w:ascii="Book Antiqua" w:eastAsia="Book Antiqua" w:hAnsi="Book Antiqua" w:cs="Book Antiqua"/>
          <w:sz w:val="24"/>
          <w:szCs w:val="24"/>
        </w:rPr>
      </w:pPr>
    </w:p>
    <w:p w:rsidR="007A0E16" w:rsidRPr="00A5269F" w:rsidRDefault="007A0E16" w:rsidP="00CF55C7">
      <w:pPr>
        <w:jc w:val="both"/>
        <w:rPr>
          <w:rFonts w:ascii="Book Antiqua" w:eastAsia="Book Antiqua" w:hAnsi="Book Antiqua" w:cs="Book Antiqua"/>
          <w:b/>
          <w:sz w:val="24"/>
          <w:szCs w:val="24"/>
        </w:rPr>
      </w:pPr>
      <w:r w:rsidRPr="00A5269F">
        <w:rPr>
          <w:rFonts w:ascii="Book Antiqua" w:eastAsia="Book Antiqua" w:hAnsi="Book Antiqua" w:cs="Book Antiqua"/>
          <w:sz w:val="24"/>
          <w:szCs w:val="24"/>
        </w:rPr>
        <w:t>Les taux de chômage les plus élevés sont observés da</w:t>
      </w:r>
      <w:r w:rsidR="00D04F4B" w:rsidRPr="00A5269F">
        <w:rPr>
          <w:rFonts w:ascii="Book Antiqua" w:eastAsia="Book Antiqua" w:hAnsi="Book Antiqua" w:cs="Book Antiqua"/>
          <w:sz w:val="24"/>
          <w:szCs w:val="24"/>
        </w:rPr>
        <w:t xml:space="preserve">ns </w:t>
      </w:r>
      <w:r w:rsidR="00D35E94">
        <w:rPr>
          <w:rFonts w:ascii="Book Antiqua" w:eastAsia="Book Antiqua" w:hAnsi="Book Antiqua" w:cs="Book Antiqua"/>
          <w:sz w:val="24"/>
          <w:szCs w:val="24"/>
        </w:rPr>
        <w:t xml:space="preserve">les </w:t>
      </w:r>
      <w:r w:rsidR="00D35E94" w:rsidRPr="00A5269F">
        <w:rPr>
          <w:rFonts w:ascii="Book Antiqua" w:eastAsia="Book Antiqua" w:hAnsi="Book Antiqua" w:cs="Book Antiqua"/>
          <w:sz w:val="24"/>
          <w:szCs w:val="24"/>
        </w:rPr>
        <w:t>régions du Sud (19,6%)</w:t>
      </w:r>
      <w:r w:rsidR="00D35E94">
        <w:rPr>
          <w:rFonts w:ascii="Book Antiqua" w:eastAsia="Book Antiqua" w:hAnsi="Book Antiqua" w:cs="Book Antiqua"/>
          <w:sz w:val="24"/>
          <w:szCs w:val="24"/>
        </w:rPr>
        <w:t xml:space="preserve"> et </w:t>
      </w:r>
      <w:r w:rsidR="00D04F4B" w:rsidRPr="00A5269F">
        <w:rPr>
          <w:rFonts w:ascii="Book Antiqua" w:eastAsia="Book Antiqua" w:hAnsi="Book Antiqua" w:cs="Book Antiqua"/>
          <w:sz w:val="24"/>
          <w:szCs w:val="24"/>
        </w:rPr>
        <w:t>de l’Oriental (18,7</w:t>
      </w:r>
      <w:r w:rsidR="00D35E94">
        <w:rPr>
          <w:rFonts w:ascii="Book Antiqua" w:eastAsia="Book Antiqua" w:hAnsi="Book Antiqua" w:cs="Book Antiqua"/>
          <w:sz w:val="24"/>
          <w:szCs w:val="24"/>
        </w:rPr>
        <w:t>%).</w:t>
      </w:r>
      <w:r w:rsidR="00CF55C7">
        <w:rPr>
          <w:rFonts w:ascii="Book Antiqua" w:eastAsia="Book Antiqua" w:hAnsi="Book Antiqua" w:cs="Book Antiqua" w:hint="cs"/>
          <w:sz w:val="24"/>
          <w:szCs w:val="24"/>
          <w:rtl/>
        </w:rPr>
        <w:t xml:space="preserve"> </w:t>
      </w:r>
      <w:r w:rsidR="00CF55C7">
        <w:rPr>
          <w:rFonts w:ascii="Book Antiqua" w:eastAsia="Book Antiqua" w:hAnsi="Book Antiqua" w:cs="Book Antiqua"/>
          <w:sz w:val="24"/>
          <w:szCs w:val="24"/>
        </w:rPr>
        <w:t>Avec moins d’acuité, deux</w:t>
      </w:r>
      <w:r w:rsidRPr="00A5269F">
        <w:rPr>
          <w:rFonts w:ascii="Book Antiqua" w:eastAsia="Book Antiqua" w:hAnsi="Book Antiqua" w:cs="Book Antiqua"/>
          <w:sz w:val="24"/>
          <w:szCs w:val="24"/>
        </w:rPr>
        <w:t xml:space="preserve"> autres régions dépassent la moyenne n</w:t>
      </w:r>
      <w:r w:rsidR="00D04F4B" w:rsidRPr="00A5269F">
        <w:rPr>
          <w:rFonts w:ascii="Book Antiqua" w:eastAsia="Book Antiqua" w:hAnsi="Book Antiqua" w:cs="Book Antiqua"/>
          <w:sz w:val="24"/>
          <w:szCs w:val="24"/>
        </w:rPr>
        <w:t>ationale (12,5</w:t>
      </w:r>
      <w:r w:rsidRPr="00A5269F">
        <w:rPr>
          <w:rFonts w:ascii="Book Antiqua" w:eastAsia="Book Antiqua" w:hAnsi="Book Antiqua" w:cs="Book Antiqua"/>
          <w:sz w:val="24"/>
          <w:szCs w:val="24"/>
        </w:rPr>
        <w:t>%</w:t>
      </w:r>
      <w:r w:rsidR="00D04F4B" w:rsidRPr="00A5269F">
        <w:rPr>
          <w:rFonts w:ascii="Book Antiqua" w:eastAsia="Book Antiqua" w:hAnsi="Book Antiqua" w:cs="Book Antiqua"/>
          <w:sz w:val="24"/>
          <w:szCs w:val="24"/>
        </w:rPr>
        <w:t>) à savoir Casablanca-Settat (15,3%) et Fès-Meknès (13,6</w:t>
      </w:r>
      <w:r w:rsidRPr="00A5269F">
        <w:rPr>
          <w:rFonts w:ascii="Book Antiqua" w:eastAsia="Book Antiqua" w:hAnsi="Book Antiqua" w:cs="Book Antiqua"/>
          <w:sz w:val="24"/>
          <w:szCs w:val="24"/>
        </w:rPr>
        <w:t xml:space="preserve">%). En revanche, les régions de </w:t>
      </w:r>
      <w:r w:rsidR="00D04F4B" w:rsidRPr="00A5269F">
        <w:rPr>
          <w:rFonts w:ascii="Book Antiqua" w:eastAsia="Book Antiqua" w:hAnsi="Book Antiqua" w:cs="Book Antiqua"/>
          <w:sz w:val="24"/>
          <w:szCs w:val="24"/>
        </w:rPr>
        <w:t xml:space="preserve">Drâa-Tafilalet, </w:t>
      </w:r>
      <w:r w:rsidR="00D35E94" w:rsidRPr="00A5269F">
        <w:rPr>
          <w:rFonts w:ascii="Book Antiqua" w:eastAsia="Book Antiqua" w:hAnsi="Book Antiqua" w:cs="Book Antiqua"/>
          <w:sz w:val="24"/>
          <w:szCs w:val="24"/>
        </w:rPr>
        <w:t>de Marrakech-Safi</w:t>
      </w:r>
      <w:r w:rsidR="00D35E94">
        <w:rPr>
          <w:rFonts w:ascii="Book Antiqua" w:eastAsia="Book Antiqua" w:hAnsi="Book Antiqua" w:cs="Book Antiqua"/>
          <w:sz w:val="24"/>
          <w:szCs w:val="24"/>
        </w:rPr>
        <w:t xml:space="preserve">, et </w:t>
      </w:r>
      <w:r w:rsidR="00D04F4B" w:rsidRPr="00A5269F">
        <w:rPr>
          <w:rFonts w:ascii="Book Antiqua" w:eastAsia="Book Antiqua" w:hAnsi="Book Antiqua" w:cs="Book Antiqua"/>
          <w:sz w:val="24"/>
          <w:szCs w:val="24"/>
        </w:rPr>
        <w:t xml:space="preserve">de </w:t>
      </w:r>
      <w:r w:rsidRPr="00A5269F">
        <w:rPr>
          <w:rFonts w:ascii="Book Antiqua" w:eastAsia="Book Antiqua" w:hAnsi="Book Antiqua" w:cs="Book Antiqua"/>
          <w:sz w:val="24"/>
          <w:szCs w:val="24"/>
        </w:rPr>
        <w:t xml:space="preserve">Béni Mellal- Khénifra enregistrent les taux les </w:t>
      </w:r>
      <w:r w:rsidR="00D04F4B" w:rsidRPr="00A5269F">
        <w:rPr>
          <w:rFonts w:ascii="Book Antiqua" w:eastAsia="Book Antiqua" w:hAnsi="Book Antiqua" w:cs="Book Antiqua"/>
          <w:sz w:val="24"/>
          <w:szCs w:val="24"/>
        </w:rPr>
        <w:t>plus bas avec respectivement 7,8</w:t>
      </w:r>
      <w:r w:rsidRPr="00A5269F">
        <w:rPr>
          <w:rFonts w:ascii="Book Antiqua" w:eastAsia="Book Antiqua" w:hAnsi="Book Antiqua" w:cs="Book Antiqua"/>
          <w:sz w:val="24"/>
          <w:szCs w:val="24"/>
        </w:rPr>
        <w:t>%</w:t>
      </w:r>
      <w:r w:rsidR="00D04F4B" w:rsidRPr="00A5269F">
        <w:rPr>
          <w:rFonts w:ascii="Book Antiqua" w:eastAsia="Book Antiqua" w:hAnsi="Book Antiqua" w:cs="Book Antiqua"/>
          <w:sz w:val="24"/>
          <w:szCs w:val="24"/>
        </w:rPr>
        <w:t>, 7,9</w:t>
      </w:r>
      <w:r w:rsidR="0093185A" w:rsidRPr="00A5269F">
        <w:rPr>
          <w:rFonts w:ascii="Book Antiqua" w:eastAsia="Book Antiqua" w:hAnsi="Book Antiqua" w:cs="Book Antiqua"/>
          <w:sz w:val="24"/>
          <w:szCs w:val="24"/>
        </w:rPr>
        <w:t>% et</w:t>
      </w:r>
      <w:r w:rsidR="00D04F4B" w:rsidRPr="00A5269F">
        <w:rPr>
          <w:rFonts w:ascii="Book Antiqua" w:eastAsia="Book Antiqua" w:hAnsi="Book Antiqua" w:cs="Book Antiqua"/>
          <w:sz w:val="24"/>
          <w:szCs w:val="24"/>
        </w:rPr>
        <w:t xml:space="preserve"> 8</w:t>
      </w:r>
      <w:r w:rsidRPr="00A5269F">
        <w:rPr>
          <w:rFonts w:ascii="Book Antiqua" w:eastAsia="Book Antiqua" w:hAnsi="Book Antiqua" w:cs="Book Antiqua"/>
          <w:sz w:val="24"/>
          <w:szCs w:val="24"/>
        </w:rPr>
        <w:t xml:space="preserve">,8%. </w:t>
      </w:r>
    </w:p>
    <w:p w:rsidR="00D35E94" w:rsidRDefault="00D35E94">
      <w:pPr>
        <w:rPr>
          <w:rFonts w:ascii="Book Antiqua" w:eastAsia="Book Antiqua" w:hAnsi="Book Antiqua" w:cs="Book Antiqua"/>
          <w:b/>
          <w:color w:val="0070C0"/>
          <w:sz w:val="20"/>
          <w:szCs w:val="20"/>
        </w:rPr>
      </w:pPr>
      <w:r>
        <w:rPr>
          <w:rFonts w:ascii="Book Antiqua" w:eastAsia="Book Antiqua" w:hAnsi="Book Antiqua" w:cs="Book Antiqua"/>
          <w:b/>
          <w:color w:val="0070C0"/>
          <w:sz w:val="20"/>
          <w:szCs w:val="20"/>
        </w:rPr>
        <w:br w:type="page"/>
      </w:r>
    </w:p>
    <w:p w:rsidR="00265B9D" w:rsidRDefault="007A0E16" w:rsidP="00265B9D">
      <w:pPr>
        <w:spacing w:before="240" w:after="240" w:line="312" w:lineRule="auto"/>
        <w:jc w:val="center"/>
        <w:rPr>
          <w:rFonts w:ascii="Book Antiqua" w:eastAsia="Book Antiqua" w:hAnsi="Book Antiqua" w:cs="Book Antiqua"/>
          <w:b/>
          <w:color w:val="0070C0"/>
          <w:sz w:val="20"/>
          <w:szCs w:val="20"/>
        </w:rPr>
      </w:pPr>
      <w:r w:rsidRPr="003D1D48">
        <w:rPr>
          <w:rFonts w:ascii="Book Antiqua" w:eastAsia="Book Antiqua" w:hAnsi="Book Antiqua" w:cs="Book Antiqua"/>
          <w:b/>
          <w:color w:val="0070C0"/>
          <w:sz w:val="20"/>
          <w:szCs w:val="20"/>
        </w:rPr>
        <w:lastRenderedPageBreak/>
        <w:t>Figure 6 : Taux de chômag</w:t>
      </w:r>
      <w:r w:rsidR="00D04F4B">
        <w:rPr>
          <w:rFonts w:ascii="Book Antiqua" w:eastAsia="Book Antiqua" w:hAnsi="Book Antiqua" w:cs="Book Antiqua"/>
          <w:b/>
          <w:color w:val="0070C0"/>
          <w:sz w:val="20"/>
          <w:szCs w:val="20"/>
        </w:rPr>
        <w:t xml:space="preserve">e selon les régions au </w:t>
      </w:r>
      <w:r w:rsidR="0093185A">
        <w:rPr>
          <w:rFonts w:ascii="Book Antiqua" w:eastAsia="Book Antiqua" w:hAnsi="Book Antiqua" w:cs="Book Antiqua"/>
          <w:b/>
          <w:color w:val="0070C0"/>
          <w:sz w:val="20"/>
          <w:szCs w:val="20"/>
        </w:rPr>
        <w:t xml:space="preserve">premier </w:t>
      </w:r>
      <w:r w:rsidR="0093185A" w:rsidRPr="003D1D48">
        <w:rPr>
          <w:rFonts w:ascii="Book Antiqua" w:eastAsia="Book Antiqua" w:hAnsi="Book Antiqua" w:cs="Book Antiqua"/>
          <w:b/>
          <w:color w:val="0070C0"/>
          <w:sz w:val="20"/>
          <w:szCs w:val="20"/>
        </w:rPr>
        <w:t>trimestre</w:t>
      </w:r>
      <w:r w:rsidR="003C56CF">
        <w:rPr>
          <w:rFonts w:ascii="Book Antiqua" w:eastAsia="Book Antiqua" w:hAnsi="Book Antiqua" w:cs="Book Antiqua"/>
          <w:b/>
          <w:color w:val="0070C0"/>
          <w:sz w:val="20"/>
          <w:szCs w:val="20"/>
        </w:rPr>
        <w:t xml:space="preserve"> de 2021</w:t>
      </w:r>
      <w:r w:rsidRPr="003D1D48">
        <w:rPr>
          <w:rFonts w:ascii="Book Antiqua" w:eastAsia="Book Antiqua" w:hAnsi="Book Antiqua" w:cs="Book Antiqua"/>
          <w:b/>
          <w:color w:val="0070C0"/>
          <w:sz w:val="20"/>
          <w:szCs w:val="20"/>
        </w:rPr>
        <w:t xml:space="preserve"> (en%)</w:t>
      </w:r>
    </w:p>
    <w:p w:rsidR="00E017C9" w:rsidRPr="003D03B0" w:rsidRDefault="00C33BDF" w:rsidP="00C33BDF">
      <w:pPr>
        <w:jc w:val="center"/>
        <w:rPr>
          <w:rFonts w:ascii="Book Antiqua" w:eastAsia="Book Antiqua" w:hAnsi="Book Antiqua" w:cs="Book Antiqua"/>
          <w:b/>
          <w:color w:val="0070C0"/>
          <w:sz w:val="20"/>
          <w:szCs w:val="20"/>
        </w:rPr>
      </w:pPr>
      <w:r w:rsidRPr="00C33BDF">
        <w:rPr>
          <w:rFonts w:ascii="Book Antiqua" w:eastAsia="Book Antiqua" w:hAnsi="Book Antiqua" w:cs="Book Antiqua"/>
          <w:noProof/>
        </w:rPr>
        <w:drawing>
          <wp:inline distT="0" distB="0" distL="0" distR="0">
            <wp:extent cx="4572000" cy="2743200"/>
            <wp:effectExtent l="0" t="0" r="0" b="0"/>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A0E16">
        <w:rPr>
          <w:rFonts w:ascii="Book Antiqua" w:eastAsia="Book Antiqua" w:hAnsi="Book Antiqua" w:cs="Book Antiqua"/>
        </w:rPr>
        <w:br w:type="page"/>
      </w:r>
      <w:r w:rsidR="00E017C9" w:rsidRPr="003D03B0">
        <w:rPr>
          <w:rFonts w:ascii="Book Antiqua" w:eastAsia="Book Antiqua" w:hAnsi="Book Antiqua" w:cs="Book Antiqua"/>
          <w:b/>
          <w:color w:val="0070C0"/>
          <w:sz w:val="20"/>
          <w:szCs w:val="20"/>
        </w:rPr>
        <w:lastRenderedPageBreak/>
        <w:t xml:space="preserve">Tableau 1 : Indicateurs trimestriels d'activité, d’emploi et de chômage par milieu de résidence </w:t>
      </w:r>
      <w:r w:rsidR="00E017C9" w:rsidRPr="00D56E96">
        <w:rPr>
          <w:rFonts w:ascii="Book Antiqua" w:eastAsia="Book Antiqua" w:hAnsi="Book Antiqua" w:cs="Book Antiqua"/>
          <w:b/>
          <w:color w:val="0070C0"/>
          <w:sz w:val="20"/>
          <w:szCs w:val="20"/>
          <w:vertAlign w:val="superscript"/>
        </w:rPr>
        <w:t>(1)</w:t>
      </w:r>
    </w:p>
    <w:p w:rsidR="00E017C9" w:rsidRPr="001D45AF" w:rsidRDefault="00E017C9" w:rsidP="00E017C9">
      <w:pPr>
        <w:spacing w:line="240" w:lineRule="auto"/>
        <w:rPr>
          <w:rFonts w:ascii="Book Antiqua" w:hAnsi="Book Antiqua"/>
          <w:b/>
          <w:bCs/>
          <w:color w:val="4F81BD" w:themeColor="accent1"/>
          <w:sz w:val="20"/>
          <w:szCs w:val="20"/>
        </w:rPr>
      </w:pPr>
    </w:p>
    <w:tbl>
      <w:tblPr>
        <w:tblW w:w="5000" w:type="pct"/>
        <w:tblLayout w:type="fixed"/>
        <w:tblCellMar>
          <w:left w:w="70" w:type="dxa"/>
          <w:right w:w="70" w:type="dxa"/>
        </w:tblCellMar>
        <w:tblLook w:val="04A0"/>
      </w:tblPr>
      <w:tblGrid>
        <w:gridCol w:w="4318"/>
        <w:gridCol w:w="721"/>
        <w:gridCol w:w="719"/>
        <w:gridCol w:w="1012"/>
        <w:gridCol w:w="719"/>
        <w:gridCol w:w="721"/>
        <w:gridCol w:w="959"/>
      </w:tblGrid>
      <w:tr w:rsidR="00E017C9" w:rsidRPr="003C56CF" w:rsidTr="00362716">
        <w:trPr>
          <w:trHeight w:val="315"/>
        </w:trPr>
        <w:tc>
          <w:tcPr>
            <w:tcW w:w="235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017C9" w:rsidRPr="003C56CF" w:rsidRDefault="00E017C9" w:rsidP="00490D10">
            <w:pPr>
              <w:bidi/>
              <w:spacing w:line="240" w:lineRule="auto"/>
              <w:rPr>
                <w:rFonts w:ascii="Garamond" w:eastAsia="Times New Roman" w:hAnsi="Garamond" w:cs="Times New Roman"/>
                <w:b/>
                <w:bCs/>
                <w:color w:val="000000"/>
                <w:sz w:val="18"/>
                <w:szCs w:val="18"/>
              </w:rPr>
            </w:pPr>
            <w:r w:rsidRPr="003C56CF">
              <w:rPr>
                <w:rFonts w:ascii="Garamond" w:eastAsia="Times New Roman" w:hAnsi="Garamond" w:cs="Times New Roman"/>
                <w:b/>
                <w:bCs/>
                <w:color w:val="000000"/>
                <w:sz w:val="18"/>
                <w:szCs w:val="18"/>
                <w:rtl/>
              </w:rPr>
              <w:t> </w:t>
            </w:r>
          </w:p>
        </w:tc>
        <w:tc>
          <w:tcPr>
            <w:tcW w:w="1337" w:type="pct"/>
            <w:gridSpan w:val="3"/>
            <w:tcBorders>
              <w:top w:val="single" w:sz="4" w:space="0" w:color="auto"/>
              <w:left w:val="nil"/>
              <w:bottom w:val="single" w:sz="4" w:space="0" w:color="auto"/>
              <w:right w:val="single" w:sz="4" w:space="0" w:color="auto"/>
            </w:tcBorders>
            <w:shd w:val="clear" w:color="auto" w:fill="auto"/>
            <w:noWrap/>
            <w:hideMark/>
          </w:tcPr>
          <w:p w:rsidR="00E017C9" w:rsidRPr="0011286A" w:rsidRDefault="00AC7186" w:rsidP="00490D10">
            <w:pPr>
              <w:spacing w:line="240" w:lineRule="auto"/>
              <w:jc w:val="center"/>
              <w:rPr>
                <w:rFonts w:ascii="Garamond" w:eastAsia="Times New Roman" w:hAnsi="Garamond" w:cs="Times New Roman"/>
                <w:b/>
                <w:bCs/>
                <w:color w:val="000000"/>
                <w:sz w:val="18"/>
                <w:szCs w:val="18"/>
                <w:rtl/>
              </w:rPr>
            </w:pPr>
            <w:r w:rsidRPr="0011286A">
              <w:rPr>
                <w:rFonts w:ascii="Garamond" w:eastAsia="Times New Roman" w:hAnsi="Garamond" w:cs="Times New Roman"/>
                <w:b/>
                <w:bCs/>
                <w:color w:val="000000"/>
                <w:sz w:val="18"/>
                <w:szCs w:val="18"/>
              </w:rPr>
              <w:t>1</w:t>
            </w:r>
            <w:r w:rsidR="005E6710" w:rsidRPr="0011286A">
              <w:rPr>
                <w:rFonts w:ascii="Garamond" w:eastAsia="Times New Roman" w:hAnsi="Garamond" w:cs="Times New Roman"/>
                <w:b/>
                <w:bCs/>
                <w:color w:val="000000"/>
                <w:sz w:val="18"/>
                <w:szCs w:val="18"/>
                <w:vertAlign w:val="superscript"/>
              </w:rPr>
              <w:t>er</w:t>
            </w:r>
            <w:r w:rsidR="00E017C9" w:rsidRPr="0011286A">
              <w:rPr>
                <w:rFonts w:ascii="Garamond" w:eastAsia="Times New Roman" w:hAnsi="Garamond" w:cs="Times New Roman"/>
                <w:b/>
                <w:bCs/>
                <w:color w:val="000000"/>
                <w:sz w:val="18"/>
                <w:szCs w:val="18"/>
              </w:rPr>
              <w:t xml:space="preserve">trimestre </w:t>
            </w:r>
            <w:r w:rsidR="00097E88" w:rsidRPr="0011286A">
              <w:rPr>
                <w:rFonts w:ascii="Garamond" w:eastAsia="Times New Roman" w:hAnsi="Garamond" w:cs="Times New Roman"/>
                <w:b/>
                <w:bCs/>
                <w:color w:val="000000"/>
                <w:sz w:val="18"/>
                <w:szCs w:val="18"/>
              </w:rPr>
              <w:t xml:space="preserve">de </w:t>
            </w:r>
            <w:r w:rsidR="00E017C9" w:rsidRPr="0011286A">
              <w:rPr>
                <w:rFonts w:ascii="Garamond" w:eastAsia="Times New Roman" w:hAnsi="Garamond" w:cs="Times New Roman"/>
                <w:b/>
                <w:bCs/>
                <w:color w:val="000000"/>
                <w:sz w:val="18"/>
                <w:szCs w:val="18"/>
              </w:rPr>
              <w:t>20</w:t>
            </w:r>
            <w:r w:rsidRPr="0011286A">
              <w:rPr>
                <w:rFonts w:ascii="Garamond" w:eastAsia="Times New Roman" w:hAnsi="Garamond" w:cs="Times New Roman"/>
                <w:b/>
                <w:bCs/>
                <w:color w:val="000000"/>
                <w:sz w:val="18"/>
                <w:szCs w:val="18"/>
              </w:rPr>
              <w:t>20</w:t>
            </w:r>
          </w:p>
        </w:tc>
        <w:tc>
          <w:tcPr>
            <w:tcW w:w="1308" w:type="pct"/>
            <w:gridSpan w:val="3"/>
            <w:tcBorders>
              <w:top w:val="single" w:sz="4" w:space="0" w:color="auto"/>
              <w:left w:val="nil"/>
              <w:bottom w:val="single" w:sz="4" w:space="0" w:color="auto"/>
              <w:right w:val="single" w:sz="4" w:space="0" w:color="auto"/>
            </w:tcBorders>
            <w:shd w:val="clear" w:color="auto" w:fill="auto"/>
            <w:noWrap/>
            <w:hideMark/>
          </w:tcPr>
          <w:p w:rsidR="00E017C9" w:rsidRPr="0011286A" w:rsidRDefault="00AC7186" w:rsidP="00490D10">
            <w:pPr>
              <w:spacing w:line="240" w:lineRule="auto"/>
              <w:jc w:val="center"/>
              <w:rPr>
                <w:rFonts w:ascii="Garamond" w:eastAsia="Times New Roman" w:hAnsi="Garamond" w:cs="Times New Roman"/>
                <w:b/>
                <w:bCs/>
                <w:color w:val="000000"/>
                <w:sz w:val="18"/>
                <w:szCs w:val="18"/>
              </w:rPr>
            </w:pPr>
            <w:r w:rsidRPr="0011286A">
              <w:rPr>
                <w:rFonts w:ascii="Garamond" w:eastAsia="Times New Roman" w:hAnsi="Garamond" w:cs="Times New Roman"/>
                <w:b/>
                <w:bCs/>
                <w:color w:val="000000"/>
                <w:sz w:val="18"/>
                <w:szCs w:val="18"/>
              </w:rPr>
              <w:t>1</w:t>
            </w:r>
            <w:r w:rsidR="005E6710" w:rsidRPr="0011286A">
              <w:rPr>
                <w:rFonts w:ascii="Garamond" w:eastAsia="Times New Roman" w:hAnsi="Garamond" w:cs="Times New Roman"/>
                <w:b/>
                <w:bCs/>
                <w:color w:val="000000"/>
                <w:sz w:val="18"/>
                <w:szCs w:val="18"/>
                <w:vertAlign w:val="superscript"/>
              </w:rPr>
              <w:t>er</w:t>
            </w:r>
            <w:r w:rsidR="00E017C9" w:rsidRPr="0011286A">
              <w:rPr>
                <w:rFonts w:ascii="Garamond" w:eastAsia="Times New Roman" w:hAnsi="Garamond" w:cs="Times New Roman"/>
                <w:b/>
                <w:bCs/>
                <w:color w:val="000000"/>
                <w:sz w:val="18"/>
                <w:szCs w:val="18"/>
              </w:rPr>
              <w:t xml:space="preserve"> trimestre </w:t>
            </w:r>
            <w:r w:rsidR="00097E88" w:rsidRPr="0011286A">
              <w:rPr>
                <w:rFonts w:ascii="Garamond" w:eastAsia="Times New Roman" w:hAnsi="Garamond" w:cs="Times New Roman"/>
                <w:b/>
                <w:bCs/>
                <w:color w:val="000000"/>
                <w:sz w:val="18"/>
                <w:szCs w:val="18"/>
              </w:rPr>
              <w:t xml:space="preserve">de </w:t>
            </w:r>
            <w:r w:rsidRPr="0011286A">
              <w:rPr>
                <w:rFonts w:ascii="Garamond" w:eastAsia="Times New Roman" w:hAnsi="Garamond" w:cs="Times New Roman"/>
                <w:b/>
                <w:bCs/>
                <w:color w:val="000000"/>
                <w:sz w:val="18"/>
                <w:szCs w:val="18"/>
              </w:rPr>
              <w:t>2021</w:t>
            </w:r>
          </w:p>
        </w:tc>
      </w:tr>
      <w:tr w:rsidR="000B69AD" w:rsidRPr="003C56CF" w:rsidTr="00362716">
        <w:trPr>
          <w:trHeight w:val="315"/>
        </w:trPr>
        <w:tc>
          <w:tcPr>
            <w:tcW w:w="2355" w:type="pct"/>
            <w:vMerge/>
            <w:tcBorders>
              <w:top w:val="single" w:sz="4" w:space="0" w:color="auto"/>
              <w:left w:val="single" w:sz="4" w:space="0" w:color="auto"/>
              <w:bottom w:val="single" w:sz="4" w:space="0" w:color="auto"/>
              <w:right w:val="single" w:sz="4" w:space="0" w:color="auto"/>
            </w:tcBorders>
            <w:vAlign w:val="center"/>
            <w:hideMark/>
          </w:tcPr>
          <w:p w:rsidR="00E017C9" w:rsidRPr="003C56CF" w:rsidRDefault="00E017C9" w:rsidP="00490D10">
            <w:pPr>
              <w:spacing w:line="240" w:lineRule="auto"/>
              <w:rPr>
                <w:rFonts w:ascii="Garamond" w:eastAsia="Times New Roman" w:hAnsi="Garamond" w:cs="Times New Roman"/>
                <w:b/>
                <w:bCs/>
                <w:color w:val="000000"/>
                <w:sz w:val="18"/>
                <w:szCs w:val="18"/>
              </w:rPr>
            </w:pPr>
          </w:p>
        </w:tc>
        <w:tc>
          <w:tcPr>
            <w:tcW w:w="393" w:type="pct"/>
            <w:tcBorders>
              <w:top w:val="nil"/>
              <w:left w:val="nil"/>
              <w:bottom w:val="single" w:sz="4" w:space="0" w:color="auto"/>
              <w:right w:val="single" w:sz="4" w:space="0" w:color="auto"/>
            </w:tcBorders>
            <w:shd w:val="clear" w:color="auto" w:fill="auto"/>
            <w:hideMark/>
          </w:tcPr>
          <w:p w:rsidR="00E017C9" w:rsidRPr="003C56CF" w:rsidRDefault="00E017C9" w:rsidP="00490D10">
            <w:pPr>
              <w:bidi/>
              <w:spacing w:line="240" w:lineRule="auto"/>
              <w:jc w:val="center"/>
              <w:rPr>
                <w:rFonts w:ascii="Garamond" w:eastAsia="Times New Roman" w:hAnsi="Garamond" w:cs="Times New Roman"/>
                <w:b/>
                <w:bCs/>
                <w:color w:val="000000"/>
                <w:sz w:val="18"/>
                <w:szCs w:val="18"/>
              </w:rPr>
            </w:pPr>
            <w:r w:rsidRPr="003C56CF">
              <w:rPr>
                <w:rFonts w:ascii="Garamond" w:eastAsia="Times New Roman" w:hAnsi="Garamond" w:cs="Times New Roman"/>
                <w:b/>
                <w:bCs/>
                <w:color w:val="000000"/>
                <w:sz w:val="18"/>
                <w:szCs w:val="18"/>
              </w:rPr>
              <w:t>Urbain</w:t>
            </w:r>
          </w:p>
        </w:tc>
        <w:tc>
          <w:tcPr>
            <w:tcW w:w="392" w:type="pct"/>
            <w:tcBorders>
              <w:top w:val="nil"/>
              <w:left w:val="nil"/>
              <w:bottom w:val="single" w:sz="4" w:space="0" w:color="auto"/>
              <w:right w:val="single" w:sz="4" w:space="0" w:color="auto"/>
            </w:tcBorders>
            <w:shd w:val="clear" w:color="auto" w:fill="auto"/>
            <w:hideMark/>
          </w:tcPr>
          <w:p w:rsidR="00E017C9" w:rsidRPr="003C56CF" w:rsidRDefault="00E017C9" w:rsidP="00490D10">
            <w:pPr>
              <w:bidi/>
              <w:spacing w:line="240" w:lineRule="auto"/>
              <w:jc w:val="center"/>
              <w:rPr>
                <w:rFonts w:ascii="Garamond" w:eastAsia="Times New Roman" w:hAnsi="Garamond" w:cs="Times New Roman"/>
                <w:b/>
                <w:bCs/>
                <w:color w:val="000000"/>
                <w:sz w:val="18"/>
                <w:szCs w:val="18"/>
                <w:rtl/>
              </w:rPr>
            </w:pPr>
            <w:r w:rsidRPr="003C56CF">
              <w:rPr>
                <w:rFonts w:ascii="Garamond" w:eastAsia="Times New Roman" w:hAnsi="Garamond" w:cs="Times New Roman"/>
                <w:b/>
                <w:bCs/>
                <w:color w:val="000000"/>
                <w:sz w:val="18"/>
                <w:szCs w:val="18"/>
              </w:rPr>
              <w:t>Rural</w:t>
            </w:r>
          </w:p>
        </w:tc>
        <w:tc>
          <w:tcPr>
            <w:tcW w:w="552" w:type="pct"/>
            <w:tcBorders>
              <w:top w:val="nil"/>
              <w:left w:val="nil"/>
              <w:bottom w:val="single" w:sz="4" w:space="0" w:color="auto"/>
              <w:right w:val="single" w:sz="4" w:space="0" w:color="auto"/>
            </w:tcBorders>
            <w:shd w:val="clear" w:color="auto" w:fill="auto"/>
            <w:hideMark/>
          </w:tcPr>
          <w:p w:rsidR="00E017C9" w:rsidRPr="003C56CF" w:rsidRDefault="00E017C9" w:rsidP="00490D10">
            <w:pPr>
              <w:bidi/>
              <w:spacing w:line="240" w:lineRule="auto"/>
              <w:jc w:val="center"/>
              <w:rPr>
                <w:rFonts w:ascii="Garamond" w:eastAsia="Times New Roman" w:hAnsi="Garamond" w:cs="Times New Roman"/>
                <w:b/>
                <w:bCs/>
                <w:color w:val="000000"/>
                <w:sz w:val="18"/>
                <w:szCs w:val="18"/>
                <w:rtl/>
              </w:rPr>
            </w:pPr>
            <w:r w:rsidRPr="003C56CF">
              <w:rPr>
                <w:rFonts w:ascii="Garamond" w:eastAsia="Times New Roman" w:hAnsi="Garamond" w:cs="Times New Roman"/>
                <w:b/>
                <w:bCs/>
                <w:color w:val="000000"/>
                <w:sz w:val="18"/>
                <w:szCs w:val="18"/>
              </w:rPr>
              <w:t>Ensemble</w:t>
            </w:r>
          </w:p>
        </w:tc>
        <w:tc>
          <w:tcPr>
            <w:tcW w:w="392" w:type="pct"/>
            <w:tcBorders>
              <w:top w:val="nil"/>
              <w:left w:val="nil"/>
              <w:bottom w:val="single" w:sz="4" w:space="0" w:color="auto"/>
              <w:right w:val="single" w:sz="4" w:space="0" w:color="auto"/>
            </w:tcBorders>
            <w:shd w:val="clear" w:color="auto" w:fill="auto"/>
            <w:hideMark/>
          </w:tcPr>
          <w:p w:rsidR="00E017C9" w:rsidRPr="003C56CF" w:rsidRDefault="00E017C9" w:rsidP="00490D10">
            <w:pPr>
              <w:bidi/>
              <w:spacing w:line="240" w:lineRule="auto"/>
              <w:jc w:val="center"/>
              <w:rPr>
                <w:rFonts w:ascii="Garamond" w:eastAsia="Times New Roman" w:hAnsi="Garamond" w:cs="Times New Roman"/>
                <w:b/>
                <w:bCs/>
                <w:color w:val="000000"/>
                <w:sz w:val="18"/>
                <w:szCs w:val="18"/>
                <w:rtl/>
              </w:rPr>
            </w:pPr>
            <w:r w:rsidRPr="003C56CF">
              <w:rPr>
                <w:rFonts w:ascii="Garamond" w:eastAsia="Times New Roman" w:hAnsi="Garamond" w:cs="Times New Roman"/>
                <w:b/>
                <w:bCs/>
                <w:color w:val="000000"/>
                <w:sz w:val="18"/>
                <w:szCs w:val="18"/>
              </w:rPr>
              <w:t>Urbain</w:t>
            </w:r>
          </w:p>
        </w:tc>
        <w:tc>
          <w:tcPr>
            <w:tcW w:w="393" w:type="pct"/>
            <w:tcBorders>
              <w:top w:val="nil"/>
              <w:left w:val="nil"/>
              <w:bottom w:val="single" w:sz="4" w:space="0" w:color="auto"/>
              <w:right w:val="single" w:sz="4" w:space="0" w:color="auto"/>
            </w:tcBorders>
            <w:shd w:val="clear" w:color="auto" w:fill="auto"/>
            <w:hideMark/>
          </w:tcPr>
          <w:p w:rsidR="00E017C9" w:rsidRPr="003C56CF" w:rsidRDefault="00E017C9" w:rsidP="00490D10">
            <w:pPr>
              <w:bidi/>
              <w:spacing w:line="240" w:lineRule="auto"/>
              <w:jc w:val="center"/>
              <w:rPr>
                <w:rFonts w:ascii="Garamond" w:eastAsia="Times New Roman" w:hAnsi="Garamond" w:cs="Times New Roman"/>
                <w:b/>
                <w:bCs/>
                <w:color w:val="000000"/>
                <w:sz w:val="18"/>
                <w:szCs w:val="18"/>
                <w:rtl/>
              </w:rPr>
            </w:pPr>
            <w:r w:rsidRPr="003C56CF">
              <w:rPr>
                <w:rFonts w:ascii="Garamond" w:eastAsia="Times New Roman" w:hAnsi="Garamond" w:cs="Times New Roman"/>
                <w:b/>
                <w:bCs/>
                <w:color w:val="000000"/>
                <w:sz w:val="18"/>
                <w:szCs w:val="18"/>
              </w:rPr>
              <w:t>Rural</w:t>
            </w:r>
          </w:p>
        </w:tc>
        <w:tc>
          <w:tcPr>
            <w:tcW w:w="523" w:type="pct"/>
            <w:tcBorders>
              <w:top w:val="nil"/>
              <w:left w:val="nil"/>
              <w:bottom w:val="single" w:sz="4" w:space="0" w:color="auto"/>
              <w:right w:val="single" w:sz="4" w:space="0" w:color="auto"/>
            </w:tcBorders>
            <w:shd w:val="clear" w:color="auto" w:fill="auto"/>
            <w:hideMark/>
          </w:tcPr>
          <w:p w:rsidR="00E017C9" w:rsidRPr="003C56CF" w:rsidRDefault="00E017C9" w:rsidP="00490D10">
            <w:pPr>
              <w:bidi/>
              <w:spacing w:line="240" w:lineRule="auto"/>
              <w:jc w:val="center"/>
              <w:rPr>
                <w:rFonts w:ascii="Garamond" w:eastAsia="Times New Roman" w:hAnsi="Garamond" w:cs="Times New Roman"/>
                <w:b/>
                <w:bCs/>
                <w:color w:val="000000"/>
                <w:sz w:val="18"/>
                <w:szCs w:val="18"/>
                <w:rtl/>
              </w:rPr>
            </w:pPr>
            <w:r w:rsidRPr="003C56CF">
              <w:rPr>
                <w:rFonts w:ascii="Garamond" w:eastAsia="Times New Roman" w:hAnsi="Garamond" w:cs="Times New Roman"/>
                <w:b/>
                <w:bCs/>
                <w:color w:val="000000"/>
                <w:sz w:val="18"/>
                <w:szCs w:val="18"/>
              </w:rPr>
              <w:t>Ensemble</w:t>
            </w:r>
          </w:p>
        </w:tc>
      </w:tr>
      <w:tr w:rsidR="00E017C9" w:rsidRPr="003C56CF" w:rsidTr="000B69AD">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E017C9" w:rsidRPr="003C56CF" w:rsidRDefault="00E017C9" w:rsidP="00483427">
            <w:pPr>
              <w:spacing w:line="240" w:lineRule="auto"/>
              <w:rPr>
                <w:rFonts w:ascii="Garamond" w:eastAsia="Times New Roman" w:hAnsi="Garamond" w:cs="Times New Roman"/>
                <w:b/>
                <w:bCs/>
                <w:color w:val="1F497D"/>
                <w:sz w:val="18"/>
                <w:szCs w:val="18"/>
                <w:rtl/>
              </w:rPr>
            </w:pPr>
            <w:r w:rsidRPr="003C56CF">
              <w:rPr>
                <w:rFonts w:ascii="Garamond" w:eastAsia="Times New Roman" w:hAnsi="Garamond" w:cs="Times New Roman"/>
                <w:b/>
                <w:bCs/>
                <w:color w:val="0070C0"/>
                <w:sz w:val="18"/>
                <w:szCs w:val="18"/>
              </w:rPr>
              <w:t>Activité (des 15 ans</w:t>
            </w:r>
            <w:r w:rsidR="00483427" w:rsidRPr="003C56CF">
              <w:rPr>
                <w:rFonts w:ascii="Garamond" w:eastAsia="Times New Roman" w:hAnsi="Garamond" w:cs="Times New Roman"/>
                <w:b/>
                <w:bCs/>
                <w:color w:val="0070C0"/>
                <w:sz w:val="18"/>
                <w:szCs w:val="18"/>
              </w:rPr>
              <w:t xml:space="preserve"> ou</w:t>
            </w:r>
            <w:r w:rsidRPr="003C56CF">
              <w:rPr>
                <w:rFonts w:ascii="Garamond" w:eastAsia="Times New Roman" w:hAnsi="Garamond" w:cs="Times New Roman"/>
                <w:b/>
                <w:bCs/>
                <w:color w:val="0070C0"/>
                <w:sz w:val="18"/>
                <w:szCs w:val="18"/>
              </w:rPr>
              <w:t xml:space="preserve"> plus)</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D35E94" w:rsidRDefault="00AC7186" w:rsidP="00D35E94">
            <w:pPr>
              <w:spacing w:line="240" w:lineRule="auto"/>
              <w:ind w:firstLineChars="100" w:firstLine="180"/>
              <w:rPr>
                <w:rFonts w:ascii="Garamond" w:eastAsia="Times New Roman" w:hAnsi="Garamond" w:cs="Times New Roman"/>
                <w:color w:val="000000"/>
                <w:sz w:val="18"/>
                <w:szCs w:val="18"/>
              </w:rPr>
            </w:pPr>
            <w:r w:rsidRPr="00D35E94">
              <w:rPr>
                <w:rFonts w:ascii="Garamond" w:eastAsia="Times New Roman" w:hAnsi="Garamond" w:cs="Times New Roman"/>
                <w:color w:val="000000"/>
                <w:sz w:val="18"/>
                <w:szCs w:val="18"/>
              </w:rPr>
              <w:t>Population active (en milliers)</w:t>
            </w:r>
          </w:p>
        </w:tc>
        <w:tc>
          <w:tcPr>
            <w:tcW w:w="393" w:type="pct"/>
            <w:tcBorders>
              <w:top w:val="nil"/>
              <w:left w:val="nil"/>
              <w:bottom w:val="single" w:sz="4" w:space="0" w:color="auto"/>
              <w:right w:val="single" w:sz="4" w:space="0" w:color="auto"/>
            </w:tcBorders>
            <w:shd w:val="clear" w:color="auto" w:fill="auto"/>
            <w:noWrap/>
            <w:hideMark/>
          </w:tcPr>
          <w:p w:rsidR="00AC7186" w:rsidRPr="00D35E94" w:rsidRDefault="00AC7186" w:rsidP="00D35E94">
            <w:pPr>
              <w:spacing w:line="240" w:lineRule="auto"/>
              <w:ind w:firstLineChars="100" w:firstLine="180"/>
              <w:jc w:val="right"/>
              <w:rPr>
                <w:rFonts w:ascii="Garamond" w:eastAsia="Times New Roman" w:hAnsi="Garamond" w:cs="Times New Roman"/>
                <w:sz w:val="18"/>
                <w:szCs w:val="18"/>
              </w:rPr>
            </w:pPr>
            <w:r w:rsidRPr="00D35E94">
              <w:rPr>
                <w:rFonts w:ascii="Garamond" w:eastAsia="Times New Roman" w:hAnsi="Garamond" w:cs="Times New Roman"/>
                <w:sz w:val="18"/>
                <w:szCs w:val="18"/>
              </w:rPr>
              <w:t>7 262</w:t>
            </w:r>
          </w:p>
        </w:tc>
        <w:tc>
          <w:tcPr>
            <w:tcW w:w="392" w:type="pct"/>
            <w:tcBorders>
              <w:top w:val="nil"/>
              <w:left w:val="nil"/>
              <w:bottom w:val="single" w:sz="4" w:space="0" w:color="auto"/>
              <w:right w:val="single" w:sz="4" w:space="0" w:color="auto"/>
            </w:tcBorders>
            <w:shd w:val="clear" w:color="auto" w:fill="auto"/>
            <w:noWrap/>
            <w:hideMark/>
          </w:tcPr>
          <w:p w:rsidR="00AC7186" w:rsidRPr="00D35E94" w:rsidRDefault="00AC7186" w:rsidP="00D35E94">
            <w:pPr>
              <w:spacing w:line="240" w:lineRule="auto"/>
              <w:ind w:firstLineChars="100" w:firstLine="180"/>
              <w:jc w:val="right"/>
              <w:rPr>
                <w:rFonts w:ascii="Garamond" w:eastAsia="Times New Roman" w:hAnsi="Garamond" w:cs="Times New Roman"/>
                <w:sz w:val="18"/>
                <w:szCs w:val="18"/>
              </w:rPr>
            </w:pPr>
            <w:r w:rsidRPr="00D35E94">
              <w:rPr>
                <w:rFonts w:ascii="Garamond" w:eastAsia="Times New Roman" w:hAnsi="Garamond" w:cs="Times New Roman"/>
                <w:sz w:val="18"/>
                <w:szCs w:val="18"/>
              </w:rPr>
              <w:t>4 987</w:t>
            </w:r>
          </w:p>
        </w:tc>
        <w:tc>
          <w:tcPr>
            <w:tcW w:w="552" w:type="pct"/>
            <w:tcBorders>
              <w:top w:val="nil"/>
              <w:left w:val="nil"/>
              <w:bottom w:val="single" w:sz="4" w:space="0" w:color="auto"/>
              <w:right w:val="single" w:sz="4" w:space="0" w:color="auto"/>
            </w:tcBorders>
            <w:shd w:val="clear" w:color="auto" w:fill="auto"/>
            <w:noWrap/>
            <w:hideMark/>
          </w:tcPr>
          <w:p w:rsidR="00AC7186" w:rsidRPr="00D35E94" w:rsidRDefault="00AC7186" w:rsidP="00D35E94">
            <w:pPr>
              <w:spacing w:line="240" w:lineRule="auto"/>
              <w:ind w:firstLineChars="100" w:firstLine="180"/>
              <w:jc w:val="right"/>
              <w:rPr>
                <w:rFonts w:ascii="Garamond" w:eastAsia="Times New Roman" w:hAnsi="Garamond" w:cs="Times New Roman"/>
                <w:sz w:val="18"/>
                <w:szCs w:val="18"/>
              </w:rPr>
            </w:pPr>
            <w:r w:rsidRPr="00D35E94">
              <w:rPr>
                <w:rFonts w:ascii="Garamond" w:eastAsia="Times New Roman" w:hAnsi="Garamond" w:cs="Times New Roman"/>
                <w:sz w:val="18"/>
                <w:szCs w:val="18"/>
              </w:rPr>
              <w:t>12 249</w:t>
            </w:r>
          </w:p>
        </w:tc>
        <w:tc>
          <w:tcPr>
            <w:tcW w:w="392" w:type="pct"/>
            <w:tcBorders>
              <w:top w:val="nil"/>
              <w:left w:val="nil"/>
              <w:bottom w:val="single" w:sz="4" w:space="0" w:color="auto"/>
              <w:right w:val="single" w:sz="4" w:space="0" w:color="auto"/>
            </w:tcBorders>
            <w:shd w:val="clear" w:color="auto" w:fill="auto"/>
            <w:noWrap/>
            <w:hideMark/>
          </w:tcPr>
          <w:p w:rsidR="00AC7186" w:rsidRPr="00D35E94" w:rsidRDefault="00AC7186" w:rsidP="00D35E94">
            <w:pPr>
              <w:spacing w:line="240" w:lineRule="auto"/>
              <w:ind w:firstLineChars="100" w:firstLine="180"/>
              <w:jc w:val="right"/>
              <w:rPr>
                <w:rFonts w:ascii="Garamond" w:eastAsia="Times New Roman" w:hAnsi="Garamond" w:cs="Times New Roman"/>
                <w:sz w:val="18"/>
                <w:szCs w:val="18"/>
              </w:rPr>
            </w:pPr>
            <w:r w:rsidRPr="00D35E94">
              <w:rPr>
                <w:rFonts w:ascii="Garamond" w:eastAsia="Times New Roman" w:hAnsi="Garamond" w:cs="Times New Roman"/>
                <w:sz w:val="18"/>
                <w:szCs w:val="18"/>
              </w:rPr>
              <w:t>7 504</w:t>
            </w:r>
          </w:p>
        </w:tc>
        <w:tc>
          <w:tcPr>
            <w:tcW w:w="393" w:type="pct"/>
            <w:tcBorders>
              <w:top w:val="nil"/>
              <w:left w:val="nil"/>
              <w:bottom w:val="single" w:sz="4" w:space="0" w:color="auto"/>
              <w:right w:val="single" w:sz="4" w:space="0" w:color="auto"/>
            </w:tcBorders>
            <w:shd w:val="clear" w:color="auto" w:fill="auto"/>
            <w:noWrap/>
            <w:hideMark/>
          </w:tcPr>
          <w:p w:rsidR="00AC7186" w:rsidRPr="00D35E94" w:rsidRDefault="00AC7186" w:rsidP="00D35E94">
            <w:pPr>
              <w:spacing w:line="240" w:lineRule="auto"/>
              <w:ind w:firstLineChars="100" w:firstLine="180"/>
              <w:jc w:val="right"/>
              <w:rPr>
                <w:rFonts w:ascii="Garamond" w:eastAsia="Times New Roman" w:hAnsi="Garamond" w:cs="Times New Roman"/>
                <w:sz w:val="18"/>
                <w:szCs w:val="18"/>
              </w:rPr>
            </w:pPr>
            <w:r w:rsidRPr="00D35E94">
              <w:rPr>
                <w:rFonts w:ascii="Garamond" w:eastAsia="Times New Roman" w:hAnsi="Garamond" w:cs="Times New Roman"/>
                <w:sz w:val="18"/>
                <w:szCs w:val="18"/>
              </w:rPr>
              <w:t>4 785</w:t>
            </w:r>
          </w:p>
        </w:tc>
        <w:tc>
          <w:tcPr>
            <w:tcW w:w="523" w:type="pct"/>
            <w:tcBorders>
              <w:top w:val="nil"/>
              <w:left w:val="nil"/>
              <w:bottom w:val="single" w:sz="4" w:space="0" w:color="auto"/>
              <w:right w:val="single" w:sz="4" w:space="0" w:color="auto"/>
            </w:tcBorders>
            <w:shd w:val="clear" w:color="auto" w:fill="auto"/>
            <w:noWrap/>
            <w:hideMark/>
          </w:tcPr>
          <w:p w:rsidR="00AC7186" w:rsidRPr="00D35E94" w:rsidRDefault="00AC7186" w:rsidP="00D35E94">
            <w:pPr>
              <w:spacing w:line="240" w:lineRule="auto"/>
              <w:ind w:firstLineChars="100" w:firstLine="180"/>
              <w:jc w:val="right"/>
              <w:rPr>
                <w:rFonts w:ascii="Garamond" w:eastAsia="Times New Roman" w:hAnsi="Garamond" w:cs="Times New Roman"/>
                <w:sz w:val="18"/>
                <w:szCs w:val="18"/>
              </w:rPr>
            </w:pPr>
            <w:r w:rsidRPr="00D35E94">
              <w:rPr>
                <w:rFonts w:ascii="Garamond" w:eastAsia="Times New Roman" w:hAnsi="Garamond" w:cs="Times New Roman"/>
                <w:sz w:val="18"/>
                <w:szCs w:val="18"/>
              </w:rPr>
              <w:t>12 289</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Taux de féminisation de la population active</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23,1</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27,5</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24,9</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22,9</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24,7</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23,6</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Taux d'activité (en%)</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42,1</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53,3</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46,0</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42,6</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51,1</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45,5</w:t>
            </w:r>
          </w:p>
        </w:tc>
      </w:tr>
      <w:tr w:rsidR="00E017C9" w:rsidRPr="003C56CF" w:rsidTr="000B69AD">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E017C9" w:rsidRPr="003C56CF" w:rsidRDefault="00E017C9" w:rsidP="003C56CF">
            <w:pPr>
              <w:spacing w:line="240" w:lineRule="auto"/>
              <w:ind w:firstLineChars="200" w:firstLine="360"/>
              <w:rPr>
                <w:rFonts w:ascii="Garamond" w:eastAsia="Times New Roman" w:hAnsi="Garamond" w:cs="Times New Roman"/>
                <w:i/>
                <w:iCs/>
                <w:sz w:val="18"/>
                <w:szCs w:val="18"/>
              </w:rPr>
            </w:pPr>
            <w:r w:rsidRPr="003C56CF">
              <w:rPr>
                <w:rFonts w:ascii="Garamond" w:eastAsia="Times New Roman" w:hAnsi="Garamond" w:cs="Times New Roman"/>
                <w:i/>
                <w:iCs/>
                <w:sz w:val="18"/>
                <w:szCs w:val="18"/>
              </w:rPr>
              <w:t>• Selon le sexe</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400" w:firstLine="72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Hommes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66,7</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76,7</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70,3</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67,7</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76,1</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70,7</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400" w:firstLine="72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Femmes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18,9</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29,5</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22,6</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19,0</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25,6</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21,2</w:t>
            </w:r>
          </w:p>
        </w:tc>
      </w:tr>
      <w:tr w:rsidR="00E017C9" w:rsidRPr="003C56CF" w:rsidTr="000B69AD">
        <w:trPr>
          <w:trHeight w:val="31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rsidR="00E017C9" w:rsidRPr="003C56CF" w:rsidRDefault="00E017C9" w:rsidP="003C56CF">
            <w:pPr>
              <w:spacing w:line="240" w:lineRule="auto"/>
              <w:ind w:firstLineChars="200" w:firstLine="360"/>
              <w:rPr>
                <w:rFonts w:ascii="Garamond" w:eastAsia="Times New Roman" w:hAnsi="Garamond" w:cs="Times New Roman"/>
                <w:i/>
                <w:iCs/>
                <w:sz w:val="18"/>
                <w:szCs w:val="18"/>
              </w:rPr>
            </w:pPr>
            <w:r w:rsidRPr="003C56CF">
              <w:rPr>
                <w:rFonts w:ascii="Garamond" w:eastAsia="Times New Roman" w:hAnsi="Garamond" w:cs="Times New Roman"/>
                <w:i/>
                <w:iCs/>
                <w:sz w:val="18"/>
                <w:szCs w:val="18"/>
              </w:rPr>
              <w:t>• Selon l'âge</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400" w:firstLine="72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15-24 ans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21,6</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32,1</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25,8</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21,0</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28,4</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24,0</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400" w:firstLine="72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25-34 ans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58,9</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62,6</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60,2</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59,6</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60,4</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59,9</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400" w:firstLine="72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35-44 ans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58,4</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68,6</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61,8</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58,0</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66,7</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60,8</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400" w:firstLine="72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45 ans et plus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35,1</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55,5</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42,1</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36,4</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54,2</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42,4</w:t>
            </w:r>
          </w:p>
        </w:tc>
      </w:tr>
      <w:tr w:rsidR="00E017C9" w:rsidRPr="003C56CF" w:rsidTr="000B69AD">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rsidR="00E017C9" w:rsidRPr="003C56CF" w:rsidRDefault="00E017C9" w:rsidP="003C56CF">
            <w:pPr>
              <w:spacing w:line="240" w:lineRule="auto"/>
              <w:ind w:firstLineChars="200" w:firstLine="360"/>
              <w:rPr>
                <w:rFonts w:ascii="Garamond" w:eastAsia="Times New Roman" w:hAnsi="Garamond" w:cs="Times New Roman"/>
                <w:i/>
                <w:iCs/>
                <w:sz w:val="18"/>
                <w:szCs w:val="18"/>
              </w:rPr>
            </w:pPr>
            <w:r w:rsidRPr="003C56CF">
              <w:rPr>
                <w:rFonts w:ascii="Garamond" w:eastAsia="Times New Roman" w:hAnsi="Garamond" w:cs="Times New Roman"/>
                <w:i/>
                <w:iCs/>
                <w:sz w:val="18"/>
                <w:szCs w:val="18"/>
              </w:rPr>
              <w:t>• Selon le diplôme</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400" w:firstLine="72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Non diplômés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35,5</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56,4</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45,4</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35,6</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54,2</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44,3</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400" w:firstLine="72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Diplômés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46,9</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46,3</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46,8</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47,5</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44,3</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46,8</w:t>
            </w:r>
          </w:p>
        </w:tc>
      </w:tr>
      <w:tr w:rsidR="00E017C9" w:rsidRPr="003C56CF" w:rsidTr="000B69AD">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rsidR="00E017C9" w:rsidRPr="003C56CF" w:rsidRDefault="00E017C9" w:rsidP="00483427">
            <w:pPr>
              <w:spacing w:line="240" w:lineRule="auto"/>
              <w:rPr>
                <w:rFonts w:ascii="Garamond" w:eastAsia="Times New Roman" w:hAnsi="Garamond" w:cs="Times New Roman"/>
                <w:b/>
                <w:bCs/>
                <w:color w:val="1F497D"/>
                <w:sz w:val="18"/>
                <w:szCs w:val="18"/>
              </w:rPr>
            </w:pPr>
            <w:r w:rsidRPr="003C56CF">
              <w:rPr>
                <w:rFonts w:ascii="Garamond" w:eastAsia="Times New Roman" w:hAnsi="Garamond" w:cs="Times New Roman"/>
                <w:b/>
                <w:bCs/>
                <w:color w:val="0070C0"/>
                <w:sz w:val="18"/>
                <w:szCs w:val="18"/>
              </w:rPr>
              <w:t xml:space="preserve">Emploi (des 15 ans </w:t>
            </w:r>
            <w:r w:rsidR="00483427" w:rsidRPr="003C56CF">
              <w:rPr>
                <w:rFonts w:ascii="Garamond" w:eastAsia="Times New Roman" w:hAnsi="Garamond" w:cs="Times New Roman"/>
                <w:b/>
                <w:bCs/>
                <w:color w:val="0070C0"/>
                <w:sz w:val="18"/>
                <w:szCs w:val="18"/>
              </w:rPr>
              <w:t>ou</w:t>
            </w:r>
            <w:r w:rsidRPr="003C56CF">
              <w:rPr>
                <w:rFonts w:ascii="Garamond" w:eastAsia="Times New Roman" w:hAnsi="Garamond" w:cs="Times New Roman"/>
                <w:b/>
                <w:bCs/>
                <w:color w:val="0070C0"/>
                <w:sz w:val="18"/>
                <w:szCs w:val="18"/>
              </w:rPr>
              <w:t xml:space="preserve"> plus)</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1"/>
              <w:rPr>
                <w:rFonts w:ascii="Garamond" w:eastAsia="Times New Roman" w:hAnsi="Garamond" w:cs="Times New Roman"/>
                <w:b/>
                <w:bCs/>
                <w:color w:val="000000"/>
                <w:sz w:val="18"/>
                <w:szCs w:val="18"/>
              </w:rPr>
            </w:pPr>
            <w:r w:rsidRPr="003C56CF">
              <w:rPr>
                <w:rFonts w:ascii="Garamond" w:eastAsia="Times New Roman" w:hAnsi="Garamond" w:cs="Times New Roman"/>
                <w:b/>
                <w:bCs/>
                <w:color w:val="000000"/>
                <w:sz w:val="18"/>
                <w:szCs w:val="18"/>
              </w:rPr>
              <w:t>Population active occupée (en milliers)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6 167</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4 791</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10 957</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6 223</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4 532</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10 755</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Taux d'emploi (en %)</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35,7</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51,2</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41,2</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35,3</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48,4</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39,9</w:t>
            </w:r>
          </w:p>
        </w:tc>
      </w:tr>
      <w:tr w:rsidR="00E017C9" w:rsidRPr="003C56CF" w:rsidTr="000B69AD">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rsidR="00E017C9" w:rsidRPr="003C56CF" w:rsidRDefault="00E017C9" w:rsidP="003C56CF">
            <w:pPr>
              <w:spacing w:line="240" w:lineRule="auto"/>
              <w:ind w:firstLineChars="200" w:firstLine="360"/>
              <w:rPr>
                <w:rFonts w:ascii="Garamond" w:eastAsia="Times New Roman" w:hAnsi="Garamond" w:cs="Times New Roman"/>
                <w:i/>
                <w:iCs/>
                <w:sz w:val="18"/>
                <w:szCs w:val="18"/>
              </w:rPr>
            </w:pPr>
            <w:r w:rsidRPr="003C56CF">
              <w:rPr>
                <w:rFonts w:ascii="Garamond" w:eastAsia="Times New Roman" w:hAnsi="Garamond" w:cs="Times New Roman"/>
                <w:i/>
                <w:iCs/>
                <w:sz w:val="18"/>
                <w:szCs w:val="18"/>
              </w:rPr>
              <w:t>• Selon le sexe</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400" w:firstLine="72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Hommes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58,4</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73,4</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63,8</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58,0</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71,9</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62,9</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400" w:firstLine="72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Femmes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14,4</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28,7</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19,3</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14,0</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24,4</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jc w:val="right"/>
              <w:rPr>
                <w:rFonts w:ascii="Garamond" w:eastAsia="Times New Roman" w:hAnsi="Garamond" w:cs="Times New Roman"/>
                <w:sz w:val="18"/>
                <w:szCs w:val="18"/>
              </w:rPr>
            </w:pPr>
            <w:r w:rsidRPr="003C56CF">
              <w:rPr>
                <w:rFonts w:ascii="Garamond" w:eastAsia="Times New Roman" w:hAnsi="Garamond" w:cs="Times New Roman"/>
                <w:sz w:val="18"/>
                <w:szCs w:val="18"/>
              </w:rPr>
              <w:t>17,5</w:t>
            </w:r>
          </w:p>
        </w:tc>
      </w:tr>
      <w:tr w:rsidR="00E017C9" w:rsidRPr="003C56CF" w:rsidTr="000B69AD">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rsidR="00E017C9" w:rsidRPr="003C56CF" w:rsidRDefault="00E017C9" w:rsidP="003C56CF">
            <w:pPr>
              <w:spacing w:line="240" w:lineRule="auto"/>
              <w:ind w:firstLineChars="100" w:firstLine="180"/>
              <w:rPr>
                <w:rFonts w:ascii="Garamond" w:eastAsia="Times New Roman" w:hAnsi="Garamond" w:cs="Times New Roman"/>
                <w:sz w:val="18"/>
                <w:szCs w:val="18"/>
              </w:rPr>
            </w:pPr>
            <w:r w:rsidRPr="003C56CF">
              <w:rPr>
                <w:rFonts w:ascii="Garamond" w:eastAsia="Times New Roman" w:hAnsi="Garamond" w:cs="Times New Roman"/>
                <w:sz w:val="18"/>
                <w:szCs w:val="18"/>
              </w:rPr>
              <w:t>Structure de l'emploi selon les secteurs d'activité économique</w:t>
            </w:r>
            <w:r w:rsidR="00097E88" w:rsidRPr="003C56CF">
              <w:rPr>
                <w:rFonts w:ascii="Garamond" w:eastAsia="Times New Roman" w:hAnsi="Garamond" w:cs="Times New Roman"/>
                <w:sz w:val="18"/>
                <w:szCs w:val="18"/>
              </w:rPr>
              <w:t xml:space="preserve"> (en%)</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200" w:firstLine="36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Agriculture, forêt et pêche</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4,5</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69,1</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32,8</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4,9</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67,5</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31,2</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200" w:firstLine="36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Industrie (y compris artisanat)</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18,1</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4,5</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12,1</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17,5</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4,2</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11,9</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200" w:firstLine="36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BTP</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11,8</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8,8</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10,5</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12,3</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9,3</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11,1</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200" w:firstLine="36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Services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65,4</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17,6</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44,5</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65,2</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19,0</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45,8</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200" w:firstLine="36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Activités non déterminées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0,1</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0,0</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0,1</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0,1</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0,0</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0,0</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100" w:firstLine="18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Part (en%) de l'emploi rémunéré dans l'emploi total, dont :</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97,0</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67,8</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84,2</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97,2</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69,9</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85,7</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200" w:firstLine="36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Salariés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67,2</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41,5</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58,1</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66,2</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42,0</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57,8</w:t>
            </w:r>
          </w:p>
        </w:tc>
      </w:tr>
      <w:tr w:rsidR="00AC718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AC7186" w:rsidRPr="003C56CF" w:rsidRDefault="00AC7186" w:rsidP="003C56CF">
            <w:pPr>
              <w:spacing w:line="240" w:lineRule="auto"/>
              <w:ind w:firstLineChars="200" w:firstLine="36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Auto-employés</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32,8</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58,5</w:t>
            </w:r>
          </w:p>
        </w:tc>
        <w:tc>
          <w:tcPr>
            <w:tcW w:w="55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41,9</w:t>
            </w:r>
          </w:p>
        </w:tc>
        <w:tc>
          <w:tcPr>
            <w:tcW w:w="392"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33,8</w:t>
            </w:r>
          </w:p>
        </w:tc>
        <w:tc>
          <w:tcPr>
            <w:tcW w:w="39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58,0</w:t>
            </w:r>
          </w:p>
        </w:tc>
        <w:tc>
          <w:tcPr>
            <w:tcW w:w="523" w:type="pct"/>
            <w:tcBorders>
              <w:top w:val="nil"/>
              <w:left w:val="nil"/>
              <w:bottom w:val="single" w:sz="4" w:space="0" w:color="auto"/>
              <w:right w:val="single" w:sz="4" w:space="0" w:color="auto"/>
            </w:tcBorders>
            <w:shd w:val="clear" w:color="auto" w:fill="auto"/>
            <w:noWrap/>
            <w:hideMark/>
          </w:tcPr>
          <w:p w:rsidR="00AC7186" w:rsidRPr="003C56CF" w:rsidRDefault="00AC7186" w:rsidP="003C56CF">
            <w:pPr>
              <w:ind w:firstLineChars="100" w:firstLine="180"/>
              <w:jc w:val="right"/>
              <w:rPr>
                <w:rFonts w:ascii="Garamond" w:hAnsi="Garamond" w:cs="Calibri"/>
                <w:sz w:val="18"/>
                <w:szCs w:val="18"/>
              </w:rPr>
            </w:pPr>
            <w:r w:rsidRPr="003C56CF">
              <w:rPr>
                <w:rFonts w:ascii="Garamond" w:hAnsi="Garamond" w:cs="Calibri"/>
                <w:sz w:val="18"/>
                <w:szCs w:val="18"/>
              </w:rPr>
              <w:t>42,2</w:t>
            </w:r>
          </w:p>
        </w:tc>
      </w:tr>
      <w:tr w:rsidR="000471F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0471F6" w:rsidRPr="003C56CF" w:rsidRDefault="000471F6" w:rsidP="003C56CF">
            <w:pPr>
              <w:spacing w:line="240" w:lineRule="auto"/>
              <w:ind w:firstLineChars="100" w:firstLine="181"/>
              <w:rPr>
                <w:rFonts w:ascii="Garamond" w:eastAsia="Times New Roman" w:hAnsi="Garamond" w:cs="Times New Roman"/>
                <w:b/>
                <w:bCs/>
                <w:color w:val="000000"/>
                <w:sz w:val="18"/>
                <w:szCs w:val="18"/>
              </w:rPr>
            </w:pPr>
            <w:r w:rsidRPr="003C56CF">
              <w:rPr>
                <w:rFonts w:ascii="Garamond" w:eastAsia="Times New Roman" w:hAnsi="Garamond" w:cs="Times New Roman"/>
                <w:b/>
                <w:bCs/>
                <w:color w:val="000000"/>
                <w:sz w:val="18"/>
                <w:szCs w:val="18"/>
              </w:rPr>
              <w:t>Population active occupée en sous-emploi (en milliers)</w:t>
            </w:r>
          </w:p>
        </w:tc>
        <w:tc>
          <w:tcPr>
            <w:tcW w:w="393"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1"/>
              <w:jc w:val="right"/>
              <w:rPr>
                <w:rFonts w:ascii="Garamond" w:hAnsi="Garamond" w:cs="Calibri"/>
                <w:b/>
                <w:bCs/>
                <w:sz w:val="18"/>
                <w:szCs w:val="18"/>
              </w:rPr>
            </w:pPr>
            <w:r w:rsidRPr="0011286A">
              <w:rPr>
                <w:rFonts w:ascii="Garamond" w:hAnsi="Garamond" w:cs="Calibri"/>
                <w:b/>
                <w:bCs/>
                <w:sz w:val="18"/>
                <w:szCs w:val="18"/>
              </w:rPr>
              <w:t>53</w:t>
            </w:r>
            <w:r w:rsidR="00A04892" w:rsidRPr="0011286A">
              <w:rPr>
                <w:rFonts w:ascii="Garamond" w:hAnsi="Garamond" w:cs="Calibri"/>
                <w:b/>
                <w:bCs/>
                <w:sz w:val="18"/>
                <w:szCs w:val="18"/>
              </w:rPr>
              <w:t>1</w:t>
            </w:r>
          </w:p>
        </w:tc>
        <w:tc>
          <w:tcPr>
            <w:tcW w:w="392"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1"/>
              <w:jc w:val="right"/>
              <w:rPr>
                <w:rFonts w:ascii="Garamond" w:hAnsi="Garamond" w:cs="Calibri"/>
                <w:b/>
                <w:bCs/>
                <w:sz w:val="18"/>
                <w:szCs w:val="18"/>
              </w:rPr>
            </w:pPr>
            <w:r w:rsidRPr="003C56CF">
              <w:rPr>
                <w:rFonts w:ascii="Garamond" w:hAnsi="Garamond" w:cs="Calibri"/>
                <w:b/>
                <w:bCs/>
                <w:sz w:val="18"/>
                <w:szCs w:val="18"/>
              </w:rPr>
              <w:t>423</w:t>
            </w:r>
          </w:p>
        </w:tc>
        <w:tc>
          <w:tcPr>
            <w:tcW w:w="552"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1"/>
              <w:jc w:val="right"/>
              <w:rPr>
                <w:rFonts w:ascii="Garamond" w:hAnsi="Garamond" w:cs="Calibri"/>
                <w:b/>
                <w:bCs/>
                <w:sz w:val="18"/>
                <w:szCs w:val="18"/>
              </w:rPr>
            </w:pPr>
            <w:r w:rsidRPr="003C56CF">
              <w:rPr>
                <w:rFonts w:ascii="Garamond" w:hAnsi="Garamond" w:cs="Calibri"/>
                <w:b/>
                <w:bCs/>
                <w:sz w:val="18"/>
                <w:szCs w:val="18"/>
              </w:rPr>
              <w:t>954</w:t>
            </w:r>
          </w:p>
        </w:tc>
        <w:tc>
          <w:tcPr>
            <w:tcW w:w="392"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1"/>
              <w:jc w:val="right"/>
              <w:rPr>
                <w:rFonts w:ascii="Garamond" w:hAnsi="Garamond" w:cs="Calibri"/>
                <w:b/>
                <w:bCs/>
                <w:sz w:val="18"/>
                <w:szCs w:val="18"/>
              </w:rPr>
            </w:pPr>
            <w:r w:rsidRPr="003C56CF">
              <w:rPr>
                <w:rFonts w:ascii="Garamond" w:hAnsi="Garamond" w:cs="Calibri"/>
                <w:b/>
                <w:bCs/>
                <w:sz w:val="18"/>
                <w:szCs w:val="18"/>
              </w:rPr>
              <w:t>552</w:t>
            </w:r>
          </w:p>
        </w:tc>
        <w:tc>
          <w:tcPr>
            <w:tcW w:w="393"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1"/>
              <w:jc w:val="right"/>
              <w:rPr>
                <w:rFonts w:ascii="Garamond" w:hAnsi="Garamond" w:cs="Calibri"/>
                <w:b/>
                <w:bCs/>
                <w:sz w:val="18"/>
                <w:szCs w:val="18"/>
              </w:rPr>
            </w:pPr>
            <w:r w:rsidRPr="003C56CF">
              <w:rPr>
                <w:rFonts w:ascii="Garamond" w:hAnsi="Garamond" w:cs="Calibri"/>
                <w:b/>
                <w:bCs/>
                <w:sz w:val="18"/>
                <w:szCs w:val="18"/>
              </w:rPr>
              <w:t>435</w:t>
            </w:r>
          </w:p>
        </w:tc>
        <w:tc>
          <w:tcPr>
            <w:tcW w:w="523"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1"/>
              <w:jc w:val="right"/>
              <w:rPr>
                <w:rFonts w:ascii="Garamond" w:hAnsi="Garamond" w:cs="Calibri"/>
                <w:b/>
                <w:bCs/>
                <w:sz w:val="18"/>
                <w:szCs w:val="18"/>
              </w:rPr>
            </w:pPr>
            <w:r w:rsidRPr="003C56CF">
              <w:rPr>
                <w:rFonts w:ascii="Garamond" w:hAnsi="Garamond" w:cs="Calibri"/>
                <w:b/>
                <w:bCs/>
                <w:sz w:val="18"/>
                <w:szCs w:val="18"/>
              </w:rPr>
              <w:t>988</w:t>
            </w:r>
          </w:p>
        </w:tc>
      </w:tr>
      <w:tr w:rsidR="000471F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0471F6" w:rsidRPr="003C56CF" w:rsidRDefault="000471F6" w:rsidP="003C56CF">
            <w:pPr>
              <w:spacing w:line="240" w:lineRule="auto"/>
              <w:ind w:firstLineChars="100" w:firstLine="180"/>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Taux de sous-emploi (en%)</w:t>
            </w:r>
          </w:p>
        </w:tc>
        <w:tc>
          <w:tcPr>
            <w:tcW w:w="393"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8,7</w:t>
            </w:r>
          </w:p>
        </w:tc>
        <w:tc>
          <w:tcPr>
            <w:tcW w:w="392"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8,9</w:t>
            </w:r>
          </w:p>
        </w:tc>
        <w:tc>
          <w:tcPr>
            <w:tcW w:w="552"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8,8</w:t>
            </w:r>
          </w:p>
        </w:tc>
        <w:tc>
          <w:tcPr>
            <w:tcW w:w="392"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8,9</w:t>
            </w:r>
          </w:p>
        </w:tc>
        <w:tc>
          <w:tcPr>
            <w:tcW w:w="393"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9,6</w:t>
            </w:r>
          </w:p>
        </w:tc>
        <w:tc>
          <w:tcPr>
            <w:tcW w:w="523"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9,2</w:t>
            </w:r>
          </w:p>
        </w:tc>
      </w:tr>
      <w:tr w:rsidR="00E017C9" w:rsidRPr="003C56CF" w:rsidTr="000B69AD">
        <w:trPr>
          <w:trHeight w:val="315"/>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hideMark/>
          </w:tcPr>
          <w:p w:rsidR="00E017C9" w:rsidRPr="003C56CF" w:rsidRDefault="00E017C9" w:rsidP="003C56CF">
            <w:pPr>
              <w:spacing w:line="240" w:lineRule="auto"/>
              <w:ind w:firstLineChars="200" w:firstLine="360"/>
              <w:rPr>
                <w:rFonts w:ascii="Garamond" w:eastAsia="Times New Roman" w:hAnsi="Garamond" w:cs="Times New Roman"/>
                <w:i/>
                <w:iCs/>
                <w:sz w:val="18"/>
                <w:szCs w:val="18"/>
              </w:rPr>
            </w:pPr>
            <w:r w:rsidRPr="003C56CF">
              <w:rPr>
                <w:rFonts w:ascii="Garamond" w:eastAsia="Times New Roman" w:hAnsi="Garamond" w:cs="Times New Roman"/>
                <w:i/>
                <w:iCs/>
                <w:sz w:val="18"/>
                <w:szCs w:val="18"/>
              </w:rPr>
              <w:t>• Selon la forme de sous-emploi</w:t>
            </w:r>
          </w:p>
        </w:tc>
      </w:tr>
      <w:tr w:rsidR="000471F6" w:rsidRPr="003C56CF" w:rsidTr="00362716">
        <w:trPr>
          <w:trHeight w:val="315"/>
        </w:trPr>
        <w:tc>
          <w:tcPr>
            <w:tcW w:w="2355" w:type="pct"/>
            <w:tcBorders>
              <w:top w:val="nil"/>
              <w:left w:val="single" w:sz="4" w:space="0" w:color="auto"/>
              <w:bottom w:val="single" w:sz="4" w:space="0" w:color="auto"/>
              <w:right w:val="single" w:sz="4" w:space="0" w:color="auto"/>
            </w:tcBorders>
            <w:shd w:val="clear" w:color="auto" w:fill="auto"/>
            <w:noWrap/>
            <w:hideMark/>
          </w:tcPr>
          <w:p w:rsidR="000471F6" w:rsidRPr="003C56CF" w:rsidRDefault="000471F6" w:rsidP="00097E88">
            <w:pPr>
              <w:spacing w:line="240" w:lineRule="auto"/>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 xml:space="preserve">Sous-emploi lié </w:t>
            </w:r>
            <w:r w:rsidRPr="003C56CF">
              <w:rPr>
                <w:rFonts w:ascii="Book Antiqua" w:eastAsia="Book Antiqua" w:hAnsi="Book Antiqua" w:cs="Book Antiqua"/>
                <w:sz w:val="18"/>
                <w:szCs w:val="18"/>
              </w:rPr>
              <w:t>au nombre d’heures travaillées</w:t>
            </w:r>
            <w:r w:rsidRPr="003C56CF">
              <w:rPr>
                <w:rFonts w:ascii="Garamond" w:eastAsia="Times New Roman" w:hAnsi="Garamond" w:cs="Times New Roman"/>
                <w:color w:val="000000"/>
                <w:sz w:val="18"/>
                <w:szCs w:val="18"/>
              </w:rPr>
              <w:t>)</w:t>
            </w:r>
          </w:p>
        </w:tc>
        <w:tc>
          <w:tcPr>
            <w:tcW w:w="393"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4,2</w:t>
            </w:r>
          </w:p>
        </w:tc>
        <w:tc>
          <w:tcPr>
            <w:tcW w:w="392"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3,9</w:t>
            </w:r>
          </w:p>
        </w:tc>
        <w:tc>
          <w:tcPr>
            <w:tcW w:w="552"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4,1</w:t>
            </w:r>
          </w:p>
        </w:tc>
        <w:tc>
          <w:tcPr>
            <w:tcW w:w="392"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4,0</w:t>
            </w:r>
          </w:p>
        </w:tc>
        <w:tc>
          <w:tcPr>
            <w:tcW w:w="393"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4,5</w:t>
            </w:r>
          </w:p>
        </w:tc>
        <w:tc>
          <w:tcPr>
            <w:tcW w:w="523" w:type="pct"/>
            <w:tcBorders>
              <w:top w:val="nil"/>
              <w:left w:val="nil"/>
              <w:bottom w:val="single" w:sz="4" w:space="0" w:color="auto"/>
              <w:right w:val="single" w:sz="4" w:space="0" w:color="auto"/>
            </w:tcBorders>
            <w:shd w:val="clear" w:color="auto" w:fill="auto"/>
            <w:noWrap/>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4,2</w:t>
            </w:r>
          </w:p>
        </w:tc>
      </w:tr>
      <w:tr w:rsidR="000471F6" w:rsidRPr="003C56CF" w:rsidTr="00362716">
        <w:trPr>
          <w:trHeight w:val="480"/>
        </w:trPr>
        <w:tc>
          <w:tcPr>
            <w:tcW w:w="2355" w:type="pct"/>
            <w:tcBorders>
              <w:top w:val="nil"/>
              <w:left w:val="single" w:sz="4" w:space="0" w:color="auto"/>
              <w:bottom w:val="single" w:sz="4" w:space="0" w:color="auto"/>
              <w:right w:val="single" w:sz="4" w:space="0" w:color="auto"/>
            </w:tcBorders>
            <w:shd w:val="clear" w:color="auto" w:fill="auto"/>
            <w:hideMark/>
          </w:tcPr>
          <w:p w:rsidR="000471F6" w:rsidRPr="003C56CF" w:rsidRDefault="000471F6" w:rsidP="00097E88">
            <w:pPr>
              <w:spacing w:line="240" w:lineRule="auto"/>
              <w:rPr>
                <w:rFonts w:ascii="Garamond" w:eastAsia="Times New Roman" w:hAnsi="Garamond" w:cs="Times New Roman"/>
                <w:color w:val="000000"/>
                <w:sz w:val="18"/>
                <w:szCs w:val="18"/>
              </w:rPr>
            </w:pPr>
            <w:r w:rsidRPr="003C56CF">
              <w:rPr>
                <w:rFonts w:ascii="Garamond" w:eastAsia="Times New Roman" w:hAnsi="Garamond" w:cs="Times New Roman"/>
                <w:color w:val="000000"/>
                <w:sz w:val="18"/>
                <w:szCs w:val="18"/>
              </w:rPr>
              <w:t xml:space="preserve">Sous-emploi lié </w:t>
            </w:r>
            <w:r w:rsidRPr="003C56CF">
              <w:rPr>
                <w:rFonts w:ascii="Book Antiqua" w:eastAsia="Book Antiqua" w:hAnsi="Book Antiqua" w:cs="Book Antiqua"/>
                <w:sz w:val="18"/>
                <w:szCs w:val="18"/>
              </w:rPr>
              <w:t>à l’insuffisance du revenu ou à l’inadéquation entre la formation et l’emploi exercé</w:t>
            </w:r>
          </w:p>
        </w:tc>
        <w:tc>
          <w:tcPr>
            <w:tcW w:w="393" w:type="pct"/>
            <w:tcBorders>
              <w:top w:val="nil"/>
              <w:left w:val="nil"/>
              <w:bottom w:val="single" w:sz="4" w:space="0" w:color="auto"/>
              <w:right w:val="single" w:sz="4" w:space="0" w:color="auto"/>
            </w:tcBorders>
            <w:shd w:val="clear" w:color="auto" w:fill="auto"/>
            <w:noWrap/>
            <w:vAlign w:val="bottom"/>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4,5</w:t>
            </w:r>
          </w:p>
        </w:tc>
        <w:tc>
          <w:tcPr>
            <w:tcW w:w="392" w:type="pct"/>
            <w:tcBorders>
              <w:top w:val="nil"/>
              <w:left w:val="nil"/>
              <w:bottom w:val="single" w:sz="4" w:space="0" w:color="auto"/>
              <w:right w:val="single" w:sz="4" w:space="0" w:color="auto"/>
            </w:tcBorders>
            <w:shd w:val="clear" w:color="auto" w:fill="auto"/>
            <w:noWrap/>
            <w:vAlign w:val="bottom"/>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4,9</w:t>
            </w:r>
          </w:p>
        </w:tc>
        <w:tc>
          <w:tcPr>
            <w:tcW w:w="552" w:type="pct"/>
            <w:tcBorders>
              <w:top w:val="nil"/>
              <w:left w:val="nil"/>
              <w:bottom w:val="single" w:sz="4" w:space="0" w:color="auto"/>
              <w:right w:val="single" w:sz="4" w:space="0" w:color="auto"/>
            </w:tcBorders>
            <w:shd w:val="clear" w:color="auto" w:fill="auto"/>
            <w:noWrap/>
            <w:vAlign w:val="bottom"/>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4,7</w:t>
            </w:r>
          </w:p>
        </w:tc>
        <w:tc>
          <w:tcPr>
            <w:tcW w:w="392" w:type="pct"/>
            <w:tcBorders>
              <w:top w:val="nil"/>
              <w:left w:val="nil"/>
              <w:bottom w:val="single" w:sz="4" w:space="0" w:color="auto"/>
              <w:right w:val="single" w:sz="4" w:space="0" w:color="auto"/>
            </w:tcBorders>
            <w:shd w:val="clear" w:color="auto" w:fill="auto"/>
            <w:noWrap/>
            <w:vAlign w:val="bottom"/>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4,9</w:t>
            </w:r>
          </w:p>
        </w:tc>
        <w:tc>
          <w:tcPr>
            <w:tcW w:w="393" w:type="pct"/>
            <w:tcBorders>
              <w:top w:val="nil"/>
              <w:left w:val="nil"/>
              <w:bottom w:val="single" w:sz="4" w:space="0" w:color="auto"/>
              <w:right w:val="single" w:sz="4" w:space="0" w:color="auto"/>
            </w:tcBorders>
            <w:shd w:val="clear" w:color="auto" w:fill="auto"/>
            <w:noWrap/>
            <w:vAlign w:val="bottom"/>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5,1</w:t>
            </w:r>
          </w:p>
        </w:tc>
        <w:tc>
          <w:tcPr>
            <w:tcW w:w="523" w:type="pct"/>
            <w:tcBorders>
              <w:top w:val="nil"/>
              <w:left w:val="nil"/>
              <w:bottom w:val="single" w:sz="4" w:space="0" w:color="auto"/>
              <w:right w:val="single" w:sz="4" w:space="0" w:color="auto"/>
            </w:tcBorders>
            <w:shd w:val="clear" w:color="auto" w:fill="auto"/>
            <w:noWrap/>
            <w:vAlign w:val="bottom"/>
            <w:hideMark/>
          </w:tcPr>
          <w:p w:rsidR="000471F6" w:rsidRPr="003C56CF" w:rsidRDefault="000471F6" w:rsidP="003C56CF">
            <w:pPr>
              <w:ind w:firstLineChars="100" w:firstLine="180"/>
              <w:jc w:val="right"/>
              <w:rPr>
                <w:rFonts w:ascii="Garamond" w:hAnsi="Garamond" w:cs="Calibri"/>
                <w:sz w:val="18"/>
                <w:szCs w:val="18"/>
              </w:rPr>
            </w:pPr>
            <w:r w:rsidRPr="003C56CF">
              <w:rPr>
                <w:rFonts w:ascii="Garamond" w:hAnsi="Garamond" w:cs="Calibri"/>
                <w:sz w:val="18"/>
                <w:szCs w:val="18"/>
              </w:rPr>
              <w:t>5,0</w:t>
            </w:r>
          </w:p>
        </w:tc>
      </w:tr>
    </w:tbl>
    <w:p w:rsidR="00E017C9" w:rsidRDefault="00E017C9" w:rsidP="00E017C9">
      <w:pPr>
        <w:jc w:val="both"/>
        <w:rPr>
          <w:rFonts w:ascii="Book Antiqua" w:eastAsia="Book Antiqua" w:hAnsi="Book Antiqua" w:cs="Book Antiqua"/>
        </w:rPr>
      </w:pPr>
    </w:p>
    <w:tbl>
      <w:tblPr>
        <w:tblW w:w="5000" w:type="pct"/>
        <w:jc w:val="center"/>
        <w:tblLayout w:type="fixed"/>
        <w:tblCellMar>
          <w:left w:w="70" w:type="dxa"/>
          <w:right w:w="70" w:type="dxa"/>
        </w:tblCellMar>
        <w:tblLook w:val="04A0"/>
      </w:tblPr>
      <w:tblGrid>
        <w:gridCol w:w="9169"/>
      </w:tblGrid>
      <w:tr w:rsidR="00E017C9" w:rsidRPr="00D63663" w:rsidTr="000471F6">
        <w:trPr>
          <w:trHeight w:val="558"/>
          <w:jc w:val="center"/>
        </w:trPr>
        <w:tc>
          <w:tcPr>
            <w:tcW w:w="5000" w:type="pct"/>
            <w:shd w:val="clear" w:color="auto" w:fill="auto"/>
          </w:tcPr>
          <w:tbl>
            <w:tblPr>
              <w:tblW w:w="9029" w:type="dxa"/>
              <w:tblLayout w:type="fixed"/>
              <w:tblCellMar>
                <w:left w:w="0" w:type="dxa"/>
                <w:right w:w="0" w:type="dxa"/>
              </w:tblCellMar>
              <w:tblLook w:val="04A0"/>
            </w:tblPr>
            <w:tblGrid>
              <w:gridCol w:w="3969"/>
              <w:gridCol w:w="934"/>
              <w:gridCol w:w="767"/>
              <w:gridCol w:w="59"/>
              <w:gridCol w:w="825"/>
              <w:gridCol w:w="825"/>
              <w:gridCol w:w="825"/>
              <w:gridCol w:w="825"/>
            </w:tblGrid>
            <w:tr w:rsidR="00E017C9" w:rsidRPr="00907A93" w:rsidTr="000471F6">
              <w:trPr>
                <w:trHeight w:val="552"/>
              </w:trPr>
              <w:tc>
                <w:tcPr>
                  <w:tcW w:w="9029" w:type="dxa"/>
                  <w:gridSpan w:val="8"/>
                  <w:tcBorders>
                    <w:top w:val="nil"/>
                    <w:left w:val="nil"/>
                    <w:bottom w:val="single" w:sz="4" w:space="0" w:color="auto"/>
                    <w:right w:val="nil"/>
                  </w:tcBorders>
                  <w:shd w:val="clear" w:color="auto" w:fill="auto"/>
                  <w:noWrap/>
                  <w:tcMar>
                    <w:top w:w="15" w:type="dxa"/>
                    <w:left w:w="15" w:type="dxa"/>
                    <w:bottom w:w="0" w:type="dxa"/>
                    <w:right w:w="15" w:type="dxa"/>
                  </w:tcMar>
                  <w:hideMark/>
                </w:tcPr>
                <w:p w:rsidR="00E017C9" w:rsidRPr="00907A93" w:rsidRDefault="00E017C9" w:rsidP="00490D10">
                  <w:pPr>
                    <w:spacing w:line="240" w:lineRule="auto"/>
                    <w:rPr>
                      <w:rFonts w:ascii="Garamond" w:hAnsi="Garamond"/>
                      <w:color w:val="000000"/>
                    </w:rPr>
                  </w:pPr>
                  <w:r>
                    <w:rPr>
                      <w:rFonts w:ascii="Book Antiqua" w:eastAsia="Book Antiqua" w:hAnsi="Book Antiqua" w:cs="Book Antiqua"/>
                    </w:rPr>
                    <w:lastRenderedPageBreak/>
                    <w:br w:type="page"/>
                  </w:r>
                  <w:r w:rsidRPr="003D03B0">
                    <w:rPr>
                      <w:rFonts w:ascii="Book Antiqua" w:eastAsia="Book Antiqua" w:hAnsi="Book Antiqua" w:cs="Book Antiqua"/>
                      <w:b/>
                      <w:color w:val="0070C0"/>
                      <w:sz w:val="20"/>
                      <w:szCs w:val="20"/>
                    </w:rPr>
                    <w:t>Tableau 1 : Indicateurs trimestriels d'activité, d’emploi et de chômage par milieu de résidence (suite)</w:t>
                  </w:r>
                </w:p>
              </w:tc>
            </w:tr>
            <w:tr w:rsidR="00E017C9" w:rsidRPr="00907A93" w:rsidTr="000471F6">
              <w:trPr>
                <w:trHeight w:val="315"/>
              </w:trPr>
              <w:tc>
                <w:tcPr>
                  <w:tcW w:w="3969"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rsidR="00E017C9" w:rsidRPr="00907A93" w:rsidRDefault="00E017C9" w:rsidP="00490D10">
                  <w:pPr>
                    <w:bidi/>
                    <w:jc w:val="right"/>
                    <w:rPr>
                      <w:rFonts w:ascii="Garamond" w:hAnsi="Garamond"/>
                      <w:b/>
                      <w:bCs/>
                      <w:color w:val="000000"/>
                      <w:sz w:val="18"/>
                      <w:szCs w:val="18"/>
                    </w:rPr>
                  </w:pPr>
                </w:p>
              </w:tc>
              <w:tc>
                <w:tcPr>
                  <w:tcW w:w="2585" w:type="dxa"/>
                  <w:gridSpan w:val="4"/>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E017C9" w:rsidRPr="0011286A" w:rsidRDefault="00AC7186" w:rsidP="00490D10">
                  <w:pPr>
                    <w:jc w:val="center"/>
                    <w:rPr>
                      <w:rFonts w:ascii="Garamond" w:hAnsi="Garamond"/>
                      <w:b/>
                      <w:bCs/>
                      <w:color w:val="000000"/>
                      <w:sz w:val="18"/>
                      <w:szCs w:val="18"/>
                      <w:rtl/>
                    </w:rPr>
                  </w:pPr>
                  <w:r w:rsidRPr="0011286A">
                    <w:rPr>
                      <w:rFonts w:ascii="Garamond" w:eastAsia="Times New Roman" w:hAnsi="Garamond" w:cs="Times New Roman"/>
                      <w:b/>
                      <w:bCs/>
                      <w:color w:val="000000"/>
                      <w:sz w:val="18"/>
                      <w:szCs w:val="18"/>
                    </w:rPr>
                    <w:t>1</w:t>
                  </w:r>
                  <w:r w:rsidR="005E6710" w:rsidRPr="0011286A">
                    <w:rPr>
                      <w:rFonts w:ascii="Garamond" w:eastAsia="Times New Roman" w:hAnsi="Garamond" w:cs="Times New Roman"/>
                      <w:b/>
                      <w:bCs/>
                      <w:color w:val="000000"/>
                      <w:sz w:val="18"/>
                      <w:szCs w:val="18"/>
                      <w:vertAlign w:val="superscript"/>
                    </w:rPr>
                    <w:t xml:space="preserve">er </w:t>
                  </w:r>
                  <w:r w:rsidR="00E017C9" w:rsidRPr="0011286A">
                    <w:rPr>
                      <w:rFonts w:ascii="Garamond" w:hAnsi="Garamond"/>
                      <w:b/>
                      <w:bCs/>
                      <w:color w:val="000000"/>
                      <w:sz w:val="18"/>
                      <w:szCs w:val="18"/>
                    </w:rPr>
                    <w:t xml:space="preserve">trimestre </w:t>
                  </w:r>
                  <w:r w:rsidR="00097E88" w:rsidRPr="0011286A">
                    <w:rPr>
                      <w:rFonts w:ascii="Garamond" w:hAnsi="Garamond"/>
                      <w:b/>
                      <w:bCs/>
                      <w:color w:val="000000"/>
                      <w:sz w:val="18"/>
                      <w:szCs w:val="18"/>
                    </w:rPr>
                    <w:t xml:space="preserve">de </w:t>
                  </w:r>
                  <w:r w:rsidR="00E017C9" w:rsidRPr="0011286A">
                    <w:rPr>
                      <w:rFonts w:ascii="Garamond" w:hAnsi="Garamond"/>
                      <w:b/>
                      <w:bCs/>
                      <w:color w:val="000000"/>
                      <w:sz w:val="18"/>
                      <w:szCs w:val="18"/>
                    </w:rPr>
                    <w:t>20</w:t>
                  </w:r>
                  <w:r w:rsidRPr="0011286A">
                    <w:rPr>
                      <w:rFonts w:ascii="Garamond" w:hAnsi="Garamond"/>
                      <w:b/>
                      <w:bCs/>
                      <w:color w:val="000000"/>
                      <w:sz w:val="18"/>
                      <w:szCs w:val="18"/>
                    </w:rPr>
                    <w:t>20</w:t>
                  </w:r>
                </w:p>
              </w:tc>
              <w:tc>
                <w:tcPr>
                  <w:tcW w:w="2475" w:type="dxa"/>
                  <w:gridSpan w:val="3"/>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hideMark/>
                </w:tcPr>
                <w:p w:rsidR="00E017C9" w:rsidRPr="0011286A" w:rsidRDefault="00AC7186" w:rsidP="00490D10">
                  <w:pPr>
                    <w:jc w:val="center"/>
                    <w:rPr>
                      <w:rFonts w:ascii="Garamond" w:hAnsi="Garamond"/>
                      <w:b/>
                      <w:bCs/>
                      <w:color w:val="000000"/>
                      <w:sz w:val="18"/>
                      <w:szCs w:val="18"/>
                    </w:rPr>
                  </w:pPr>
                  <w:r w:rsidRPr="0011286A">
                    <w:rPr>
                      <w:rFonts w:ascii="Garamond" w:eastAsia="Times New Roman" w:hAnsi="Garamond" w:cs="Times New Roman"/>
                      <w:b/>
                      <w:bCs/>
                      <w:color w:val="000000"/>
                      <w:sz w:val="18"/>
                      <w:szCs w:val="18"/>
                    </w:rPr>
                    <w:t>1</w:t>
                  </w:r>
                  <w:r w:rsidR="005E6710" w:rsidRPr="0011286A">
                    <w:rPr>
                      <w:rFonts w:ascii="Garamond" w:eastAsia="Times New Roman" w:hAnsi="Garamond" w:cs="Times New Roman"/>
                      <w:b/>
                      <w:bCs/>
                      <w:color w:val="000000"/>
                      <w:sz w:val="18"/>
                      <w:szCs w:val="18"/>
                      <w:vertAlign w:val="superscript"/>
                    </w:rPr>
                    <w:t xml:space="preserve">er </w:t>
                  </w:r>
                  <w:r w:rsidR="00E017C9" w:rsidRPr="0011286A">
                    <w:rPr>
                      <w:rFonts w:ascii="Garamond" w:hAnsi="Garamond"/>
                      <w:b/>
                      <w:bCs/>
                      <w:color w:val="000000"/>
                      <w:sz w:val="18"/>
                      <w:szCs w:val="18"/>
                    </w:rPr>
                    <w:t xml:space="preserve">trimestre </w:t>
                  </w:r>
                  <w:r w:rsidR="00097E88" w:rsidRPr="0011286A">
                    <w:rPr>
                      <w:rFonts w:ascii="Garamond" w:hAnsi="Garamond"/>
                      <w:b/>
                      <w:bCs/>
                      <w:color w:val="000000"/>
                      <w:sz w:val="18"/>
                      <w:szCs w:val="18"/>
                    </w:rPr>
                    <w:t xml:space="preserve">de </w:t>
                  </w:r>
                  <w:r w:rsidRPr="0011286A">
                    <w:rPr>
                      <w:rFonts w:ascii="Garamond" w:hAnsi="Garamond"/>
                      <w:b/>
                      <w:bCs/>
                      <w:color w:val="000000"/>
                      <w:sz w:val="18"/>
                      <w:szCs w:val="18"/>
                    </w:rPr>
                    <w:t>2021</w:t>
                  </w:r>
                </w:p>
              </w:tc>
            </w:tr>
            <w:tr w:rsidR="00E017C9" w:rsidRPr="00907A93" w:rsidTr="000471F6">
              <w:trPr>
                <w:trHeight w:val="315"/>
              </w:trPr>
              <w:tc>
                <w:tcPr>
                  <w:tcW w:w="3969" w:type="dxa"/>
                  <w:vMerge/>
                  <w:tcBorders>
                    <w:top w:val="nil"/>
                    <w:left w:val="single" w:sz="4" w:space="0" w:color="auto"/>
                    <w:bottom w:val="single" w:sz="4" w:space="0" w:color="auto"/>
                    <w:right w:val="single" w:sz="4" w:space="0" w:color="auto"/>
                  </w:tcBorders>
                  <w:vAlign w:val="center"/>
                  <w:hideMark/>
                </w:tcPr>
                <w:p w:rsidR="00E017C9" w:rsidRPr="00907A93" w:rsidRDefault="00E017C9" w:rsidP="00490D10">
                  <w:pPr>
                    <w:rPr>
                      <w:rFonts w:ascii="Garamond" w:hAnsi="Garamond"/>
                      <w:b/>
                      <w:bCs/>
                      <w:color w:val="000000"/>
                      <w:sz w:val="18"/>
                      <w:szCs w:val="18"/>
                    </w:rPr>
                  </w:pPr>
                </w:p>
              </w:tc>
              <w:tc>
                <w:tcPr>
                  <w:tcW w:w="934"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017C9" w:rsidRPr="00907A93" w:rsidRDefault="00E017C9" w:rsidP="00490D10">
                  <w:pPr>
                    <w:bidi/>
                    <w:jc w:val="center"/>
                    <w:rPr>
                      <w:rFonts w:ascii="Garamond" w:hAnsi="Garamond"/>
                      <w:b/>
                      <w:bCs/>
                      <w:color w:val="000000"/>
                      <w:sz w:val="18"/>
                      <w:szCs w:val="18"/>
                    </w:rPr>
                  </w:pPr>
                  <w:r w:rsidRPr="00907A93">
                    <w:rPr>
                      <w:rFonts w:ascii="Garamond" w:hAnsi="Garamond"/>
                      <w:b/>
                      <w:bCs/>
                      <w:color w:val="000000"/>
                      <w:sz w:val="18"/>
                      <w:szCs w:val="18"/>
                    </w:rPr>
                    <w:t>Urbain</w:t>
                  </w:r>
                </w:p>
              </w:tc>
              <w:tc>
                <w:tcPr>
                  <w:tcW w:w="826"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017C9" w:rsidRPr="00907A93" w:rsidRDefault="00E017C9" w:rsidP="00490D10">
                  <w:pPr>
                    <w:bidi/>
                    <w:jc w:val="center"/>
                    <w:rPr>
                      <w:rFonts w:ascii="Garamond" w:hAnsi="Garamond"/>
                      <w:b/>
                      <w:bCs/>
                      <w:color w:val="000000"/>
                      <w:sz w:val="18"/>
                      <w:szCs w:val="18"/>
                      <w:rtl/>
                    </w:rPr>
                  </w:pPr>
                  <w:r w:rsidRPr="00907A93">
                    <w:rPr>
                      <w:rFonts w:ascii="Garamond" w:hAnsi="Garamond"/>
                      <w:b/>
                      <w:bCs/>
                      <w:color w:val="000000"/>
                      <w:sz w:val="18"/>
                      <w:szCs w:val="18"/>
                    </w:rPr>
                    <w:t>Rural</w:t>
                  </w:r>
                </w:p>
              </w:tc>
              <w:tc>
                <w:tcPr>
                  <w:tcW w:w="82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017C9" w:rsidRPr="00907A93" w:rsidRDefault="00E017C9" w:rsidP="00490D10">
                  <w:pPr>
                    <w:bidi/>
                    <w:jc w:val="center"/>
                    <w:rPr>
                      <w:rFonts w:ascii="Garamond" w:hAnsi="Garamond"/>
                      <w:b/>
                      <w:bCs/>
                      <w:color w:val="000000"/>
                      <w:sz w:val="18"/>
                      <w:szCs w:val="18"/>
                      <w:rtl/>
                    </w:rPr>
                  </w:pPr>
                  <w:r w:rsidRPr="00907A93">
                    <w:rPr>
                      <w:rFonts w:ascii="Garamond" w:hAnsi="Garamond"/>
                      <w:b/>
                      <w:bCs/>
                      <w:color w:val="000000"/>
                      <w:sz w:val="18"/>
                      <w:szCs w:val="18"/>
                    </w:rPr>
                    <w:t>Ensemble</w:t>
                  </w:r>
                </w:p>
              </w:tc>
              <w:tc>
                <w:tcPr>
                  <w:tcW w:w="82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017C9" w:rsidRPr="00907A93" w:rsidRDefault="00E017C9" w:rsidP="00490D10">
                  <w:pPr>
                    <w:bidi/>
                    <w:jc w:val="center"/>
                    <w:rPr>
                      <w:rFonts w:ascii="Garamond" w:hAnsi="Garamond"/>
                      <w:b/>
                      <w:bCs/>
                      <w:color w:val="000000"/>
                      <w:sz w:val="18"/>
                      <w:szCs w:val="18"/>
                      <w:rtl/>
                    </w:rPr>
                  </w:pPr>
                  <w:r w:rsidRPr="00907A93">
                    <w:rPr>
                      <w:rFonts w:ascii="Garamond" w:hAnsi="Garamond"/>
                      <w:b/>
                      <w:bCs/>
                      <w:color w:val="000000"/>
                      <w:sz w:val="18"/>
                      <w:szCs w:val="18"/>
                    </w:rPr>
                    <w:t>Urbain</w:t>
                  </w:r>
                </w:p>
              </w:tc>
              <w:tc>
                <w:tcPr>
                  <w:tcW w:w="82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017C9" w:rsidRPr="00907A93" w:rsidRDefault="00E017C9" w:rsidP="00490D10">
                  <w:pPr>
                    <w:bidi/>
                    <w:jc w:val="center"/>
                    <w:rPr>
                      <w:rFonts w:ascii="Garamond" w:hAnsi="Garamond"/>
                      <w:b/>
                      <w:bCs/>
                      <w:color w:val="000000"/>
                      <w:sz w:val="18"/>
                      <w:szCs w:val="18"/>
                      <w:rtl/>
                    </w:rPr>
                  </w:pPr>
                  <w:r w:rsidRPr="00907A93">
                    <w:rPr>
                      <w:rFonts w:ascii="Garamond" w:hAnsi="Garamond"/>
                      <w:b/>
                      <w:bCs/>
                      <w:color w:val="000000"/>
                      <w:sz w:val="18"/>
                      <w:szCs w:val="18"/>
                    </w:rPr>
                    <w:t>Rural</w:t>
                  </w:r>
                </w:p>
              </w:tc>
              <w:tc>
                <w:tcPr>
                  <w:tcW w:w="825"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rsidR="00E017C9" w:rsidRPr="00907A93" w:rsidRDefault="00E017C9" w:rsidP="00490D10">
                  <w:pPr>
                    <w:bidi/>
                    <w:jc w:val="center"/>
                    <w:rPr>
                      <w:rFonts w:ascii="Garamond" w:hAnsi="Garamond"/>
                      <w:b/>
                      <w:bCs/>
                      <w:color w:val="000000"/>
                      <w:sz w:val="18"/>
                      <w:szCs w:val="18"/>
                      <w:rtl/>
                    </w:rPr>
                  </w:pPr>
                  <w:r w:rsidRPr="00907A93">
                    <w:rPr>
                      <w:rFonts w:ascii="Garamond" w:hAnsi="Garamond"/>
                      <w:b/>
                      <w:bCs/>
                      <w:color w:val="000000"/>
                      <w:sz w:val="18"/>
                      <w:szCs w:val="18"/>
                    </w:rPr>
                    <w:t>Ensemble</w:t>
                  </w:r>
                </w:p>
              </w:tc>
            </w:tr>
            <w:tr w:rsidR="00E017C9" w:rsidRPr="00907A93" w:rsidTr="000471F6">
              <w:trPr>
                <w:trHeight w:val="315"/>
              </w:trPr>
              <w:tc>
                <w:tcPr>
                  <w:tcW w:w="9029" w:type="dxa"/>
                  <w:gridSpan w:val="8"/>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hideMark/>
                </w:tcPr>
                <w:p w:rsidR="00E017C9" w:rsidRPr="00907A93" w:rsidRDefault="00E017C9" w:rsidP="00490D10">
                  <w:pPr>
                    <w:rPr>
                      <w:rFonts w:ascii="Garamond" w:hAnsi="Garamond"/>
                      <w:b/>
                      <w:bCs/>
                      <w:color w:val="1F497D"/>
                      <w:sz w:val="18"/>
                      <w:szCs w:val="18"/>
                      <w:rtl/>
                    </w:rPr>
                  </w:pPr>
                  <w:r w:rsidRPr="003D03B0">
                    <w:rPr>
                      <w:rFonts w:ascii="Garamond" w:hAnsi="Garamond"/>
                      <w:b/>
                      <w:bCs/>
                      <w:color w:val="0070C0"/>
                      <w:sz w:val="18"/>
                      <w:szCs w:val="18"/>
                    </w:rPr>
                    <w:t>Chômage</w:t>
                  </w:r>
                </w:p>
              </w:tc>
            </w:tr>
            <w:tr w:rsidR="000471F6" w:rsidRPr="00907A93" w:rsidTr="000471F6">
              <w:trPr>
                <w:trHeight w:val="315"/>
              </w:trPr>
              <w:tc>
                <w:tcPr>
                  <w:tcW w:w="3969" w:type="dxa"/>
                  <w:tcBorders>
                    <w:top w:val="nil"/>
                    <w:left w:val="single" w:sz="4" w:space="0" w:color="auto"/>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907A93" w:rsidRDefault="000471F6" w:rsidP="00490D10">
                  <w:pPr>
                    <w:ind w:firstLineChars="100" w:firstLine="181"/>
                    <w:rPr>
                      <w:rFonts w:ascii="Garamond" w:hAnsi="Garamond"/>
                      <w:b/>
                      <w:bCs/>
                      <w:color w:val="000000"/>
                      <w:sz w:val="18"/>
                      <w:szCs w:val="18"/>
                    </w:rPr>
                  </w:pPr>
                  <w:r w:rsidRPr="00907A93">
                    <w:rPr>
                      <w:rFonts w:ascii="Garamond" w:hAnsi="Garamond"/>
                      <w:b/>
                      <w:bCs/>
                      <w:color w:val="000000"/>
                      <w:sz w:val="18"/>
                      <w:szCs w:val="18"/>
                    </w:rPr>
                    <w:t>Population active en chômage</w:t>
                  </w:r>
                  <w:r>
                    <w:rPr>
                      <w:rFonts w:ascii="Garamond" w:eastAsia="Times New Roman" w:hAnsi="Garamond" w:cs="Times New Roman"/>
                      <w:b/>
                      <w:bCs/>
                      <w:color w:val="000000"/>
                      <w:sz w:val="18"/>
                      <w:szCs w:val="18"/>
                    </w:rPr>
                    <w:t>(en milliers)</w:t>
                  </w:r>
                </w:p>
              </w:tc>
              <w:tc>
                <w:tcPr>
                  <w:tcW w:w="934" w:type="dxa"/>
                  <w:tcBorders>
                    <w:top w:val="nil"/>
                    <w:left w:val="nil"/>
                    <w:bottom w:val="single" w:sz="4" w:space="0" w:color="auto"/>
                    <w:right w:val="single" w:sz="4" w:space="0" w:color="auto"/>
                  </w:tcBorders>
                  <w:shd w:val="clear" w:color="auto" w:fill="auto"/>
                  <w:noWrap/>
                  <w:tcMar>
                    <w:top w:w="15" w:type="dxa"/>
                    <w:left w:w="15" w:type="dxa"/>
                    <w:bottom w:w="0" w:type="dxa"/>
                    <w:right w:w="135" w:type="dxa"/>
                  </w:tcMar>
                  <w:hideMark/>
                </w:tcPr>
                <w:p w:rsidR="000471F6" w:rsidRPr="00043275" w:rsidRDefault="000471F6" w:rsidP="007839D4">
                  <w:pPr>
                    <w:ind w:firstLineChars="100" w:firstLine="201"/>
                    <w:jc w:val="center"/>
                    <w:rPr>
                      <w:rFonts w:ascii="Garamond" w:hAnsi="Garamond" w:cs="Calibri"/>
                      <w:b/>
                      <w:bCs/>
                      <w:sz w:val="20"/>
                      <w:szCs w:val="20"/>
                    </w:rPr>
                  </w:pPr>
                  <w:r w:rsidRPr="00043275">
                    <w:rPr>
                      <w:rFonts w:ascii="Garamond" w:hAnsi="Garamond" w:cs="Calibri"/>
                      <w:b/>
                      <w:bCs/>
                      <w:sz w:val="20"/>
                      <w:szCs w:val="20"/>
                    </w:rPr>
                    <w:t>1 096</w:t>
                  </w:r>
                </w:p>
              </w:tc>
              <w:tc>
                <w:tcPr>
                  <w:tcW w:w="826" w:type="dxa"/>
                  <w:gridSpan w:val="2"/>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1"/>
                    <w:jc w:val="center"/>
                    <w:rPr>
                      <w:rFonts w:ascii="Garamond" w:hAnsi="Garamond" w:cs="Calibri"/>
                      <w:b/>
                      <w:bCs/>
                      <w:sz w:val="20"/>
                      <w:szCs w:val="20"/>
                    </w:rPr>
                  </w:pPr>
                  <w:r w:rsidRPr="00043275">
                    <w:rPr>
                      <w:rFonts w:ascii="Garamond" w:hAnsi="Garamond" w:cs="Calibri"/>
                      <w:b/>
                      <w:bCs/>
                      <w:sz w:val="20"/>
                      <w:szCs w:val="20"/>
                    </w:rPr>
                    <w:t>196</w:t>
                  </w:r>
                </w:p>
              </w:tc>
              <w:tc>
                <w:tcPr>
                  <w:tcW w:w="825"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1"/>
                    <w:jc w:val="center"/>
                    <w:rPr>
                      <w:rFonts w:ascii="Garamond" w:hAnsi="Garamond" w:cs="Calibri"/>
                      <w:b/>
                      <w:bCs/>
                      <w:sz w:val="20"/>
                      <w:szCs w:val="20"/>
                    </w:rPr>
                  </w:pPr>
                  <w:r w:rsidRPr="00043275">
                    <w:rPr>
                      <w:rFonts w:ascii="Garamond" w:hAnsi="Garamond" w:cs="Calibri"/>
                      <w:b/>
                      <w:bCs/>
                      <w:sz w:val="20"/>
                      <w:szCs w:val="20"/>
                    </w:rPr>
                    <w:t>1 292</w:t>
                  </w:r>
                </w:p>
              </w:tc>
              <w:tc>
                <w:tcPr>
                  <w:tcW w:w="825"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1"/>
                    <w:jc w:val="center"/>
                    <w:rPr>
                      <w:rFonts w:ascii="Garamond" w:hAnsi="Garamond" w:cs="Calibri"/>
                      <w:b/>
                      <w:bCs/>
                      <w:sz w:val="20"/>
                      <w:szCs w:val="20"/>
                    </w:rPr>
                  </w:pPr>
                  <w:r w:rsidRPr="00043275">
                    <w:rPr>
                      <w:rFonts w:ascii="Garamond" w:hAnsi="Garamond" w:cs="Calibri"/>
                      <w:b/>
                      <w:bCs/>
                      <w:sz w:val="20"/>
                      <w:szCs w:val="20"/>
                    </w:rPr>
                    <w:t>1 281</w:t>
                  </w:r>
                </w:p>
              </w:tc>
              <w:tc>
                <w:tcPr>
                  <w:tcW w:w="825"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1"/>
                    <w:jc w:val="center"/>
                    <w:rPr>
                      <w:rFonts w:ascii="Garamond" w:hAnsi="Garamond" w:cs="Calibri"/>
                      <w:b/>
                      <w:bCs/>
                      <w:sz w:val="20"/>
                      <w:szCs w:val="20"/>
                    </w:rPr>
                  </w:pPr>
                  <w:r w:rsidRPr="00043275">
                    <w:rPr>
                      <w:rFonts w:ascii="Garamond" w:hAnsi="Garamond" w:cs="Calibri"/>
                      <w:b/>
                      <w:bCs/>
                      <w:sz w:val="20"/>
                      <w:szCs w:val="20"/>
                    </w:rPr>
                    <w:t>253</w:t>
                  </w:r>
                </w:p>
              </w:tc>
              <w:tc>
                <w:tcPr>
                  <w:tcW w:w="825"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1"/>
                    <w:jc w:val="center"/>
                    <w:rPr>
                      <w:rFonts w:ascii="Garamond" w:hAnsi="Garamond" w:cs="Calibri"/>
                      <w:b/>
                      <w:bCs/>
                      <w:sz w:val="20"/>
                      <w:szCs w:val="20"/>
                    </w:rPr>
                  </w:pPr>
                  <w:r w:rsidRPr="00043275">
                    <w:rPr>
                      <w:rFonts w:ascii="Garamond" w:hAnsi="Garamond" w:cs="Calibri"/>
                      <w:b/>
                      <w:bCs/>
                      <w:sz w:val="20"/>
                      <w:szCs w:val="20"/>
                    </w:rPr>
                    <w:t>1 534</w:t>
                  </w:r>
                </w:p>
              </w:tc>
            </w:tr>
            <w:tr w:rsidR="000471F6" w:rsidRPr="00907A93" w:rsidTr="000471F6">
              <w:trPr>
                <w:trHeight w:val="315"/>
              </w:trPr>
              <w:tc>
                <w:tcPr>
                  <w:tcW w:w="3969" w:type="dxa"/>
                  <w:tcBorders>
                    <w:top w:val="nil"/>
                    <w:left w:val="single" w:sz="4" w:space="0" w:color="auto"/>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907A93" w:rsidRDefault="000471F6" w:rsidP="000471F6">
                  <w:pPr>
                    <w:rPr>
                      <w:rFonts w:ascii="Garamond" w:hAnsi="Garamond"/>
                      <w:color w:val="000000"/>
                      <w:sz w:val="18"/>
                      <w:szCs w:val="18"/>
                    </w:rPr>
                  </w:pPr>
                  <w:r w:rsidRPr="00907A93">
                    <w:rPr>
                      <w:rFonts w:ascii="Garamond" w:hAnsi="Garamond"/>
                      <w:color w:val="000000"/>
                      <w:sz w:val="18"/>
                      <w:szCs w:val="18"/>
                    </w:rPr>
                    <w:t>Taux de féminisation de la population active en chômage</w:t>
                  </w:r>
                  <w:r>
                    <w:rPr>
                      <w:rFonts w:ascii="Garamond" w:hAnsi="Garamond"/>
                      <w:color w:val="000000"/>
                      <w:sz w:val="18"/>
                      <w:szCs w:val="18"/>
                    </w:rPr>
                    <w:t xml:space="preserve"> (en%)</w:t>
                  </w:r>
                </w:p>
              </w:tc>
              <w:tc>
                <w:tcPr>
                  <w:tcW w:w="934" w:type="dxa"/>
                  <w:tcBorders>
                    <w:top w:val="nil"/>
                    <w:left w:val="nil"/>
                    <w:bottom w:val="single" w:sz="4" w:space="0" w:color="auto"/>
                    <w:right w:val="single" w:sz="4" w:space="0" w:color="auto"/>
                  </w:tcBorders>
                  <w:shd w:val="clear" w:color="auto" w:fill="auto"/>
                  <w:noWrap/>
                  <w:tcMar>
                    <w:top w:w="15" w:type="dxa"/>
                    <w:left w:w="15" w:type="dxa"/>
                    <w:bottom w:w="0" w:type="dxa"/>
                    <w:right w:w="135" w:type="dxa"/>
                  </w:tcMar>
                  <w:hideMark/>
                </w:tcPr>
                <w:p w:rsidR="000471F6" w:rsidRPr="00043275" w:rsidRDefault="000471F6" w:rsidP="007839D4">
                  <w:pPr>
                    <w:ind w:firstLineChars="100" w:firstLine="200"/>
                    <w:jc w:val="center"/>
                    <w:rPr>
                      <w:rFonts w:ascii="Garamond" w:hAnsi="Garamond" w:cs="Calibri"/>
                      <w:sz w:val="20"/>
                      <w:szCs w:val="20"/>
                    </w:rPr>
                  </w:pPr>
                  <w:r w:rsidRPr="00043275">
                    <w:rPr>
                      <w:rFonts w:ascii="Garamond" w:hAnsi="Garamond" w:cs="Calibri"/>
                      <w:sz w:val="20"/>
                      <w:szCs w:val="20"/>
                    </w:rPr>
                    <w:t>36,2</w:t>
                  </w:r>
                </w:p>
              </w:tc>
              <w:tc>
                <w:tcPr>
                  <w:tcW w:w="826" w:type="dxa"/>
                  <w:gridSpan w:val="2"/>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0"/>
                    <w:jc w:val="center"/>
                    <w:rPr>
                      <w:rFonts w:ascii="Garamond" w:hAnsi="Garamond" w:cs="Calibri"/>
                      <w:sz w:val="20"/>
                      <w:szCs w:val="20"/>
                    </w:rPr>
                  </w:pPr>
                  <w:r w:rsidRPr="00043275">
                    <w:rPr>
                      <w:rFonts w:ascii="Garamond" w:hAnsi="Garamond" w:cs="Calibri"/>
                      <w:sz w:val="20"/>
                      <w:szCs w:val="20"/>
                    </w:rPr>
                    <w:t>19,9</w:t>
                  </w:r>
                </w:p>
              </w:tc>
              <w:tc>
                <w:tcPr>
                  <w:tcW w:w="825"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0"/>
                    <w:jc w:val="center"/>
                    <w:rPr>
                      <w:rFonts w:ascii="Garamond" w:hAnsi="Garamond" w:cs="Calibri"/>
                      <w:sz w:val="20"/>
                      <w:szCs w:val="20"/>
                    </w:rPr>
                  </w:pPr>
                  <w:r w:rsidRPr="00043275">
                    <w:rPr>
                      <w:rFonts w:ascii="Garamond" w:hAnsi="Garamond" w:cs="Calibri"/>
                      <w:sz w:val="20"/>
                      <w:szCs w:val="20"/>
                    </w:rPr>
                    <w:t>33,8</w:t>
                  </w:r>
                </w:p>
              </w:tc>
              <w:tc>
                <w:tcPr>
                  <w:tcW w:w="825"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0"/>
                    <w:jc w:val="center"/>
                    <w:rPr>
                      <w:rFonts w:ascii="Garamond" w:hAnsi="Garamond" w:cs="Calibri"/>
                      <w:sz w:val="20"/>
                      <w:szCs w:val="20"/>
                    </w:rPr>
                  </w:pPr>
                  <w:r w:rsidRPr="00043275">
                    <w:rPr>
                      <w:rFonts w:ascii="Garamond" w:hAnsi="Garamond" w:cs="Calibri"/>
                      <w:sz w:val="20"/>
                      <w:szCs w:val="20"/>
                    </w:rPr>
                    <w:t>35,5</w:t>
                  </w:r>
                </w:p>
              </w:tc>
              <w:tc>
                <w:tcPr>
                  <w:tcW w:w="825"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0"/>
                    <w:jc w:val="center"/>
                    <w:rPr>
                      <w:rFonts w:ascii="Garamond" w:hAnsi="Garamond" w:cs="Calibri"/>
                      <w:sz w:val="20"/>
                      <w:szCs w:val="20"/>
                    </w:rPr>
                  </w:pPr>
                  <w:r w:rsidRPr="00043275">
                    <w:rPr>
                      <w:rFonts w:ascii="Garamond" w:hAnsi="Garamond" w:cs="Calibri"/>
                      <w:sz w:val="20"/>
                      <w:szCs w:val="20"/>
                    </w:rPr>
                    <w:t>21,2</w:t>
                  </w:r>
                </w:p>
              </w:tc>
              <w:tc>
                <w:tcPr>
                  <w:tcW w:w="825"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0"/>
                    <w:jc w:val="center"/>
                    <w:rPr>
                      <w:rFonts w:ascii="Garamond" w:hAnsi="Garamond" w:cs="Calibri"/>
                      <w:sz w:val="20"/>
                      <w:szCs w:val="20"/>
                    </w:rPr>
                  </w:pPr>
                  <w:r w:rsidRPr="00043275">
                    <w:rPr>
                      <w:rFonts w:ascii="Garamond" w:hAnsi="Garamond" w:cs="Calibri"/>
                      <w:sz w:val="20"/>
                      <w:szCs w:val="20"/>
                    </w:rPr>
                    <w:t>33,2</w:t>
                  </w:r>
                </w:p>
              </w:tc>
            </w:tr>
            <w:tr w:rsidR="000471F6" w:rsidRPr="00907A93" w:rsidTr="000471F6">
              <w:trPr>
                <w:trHeight w:val="315"/>
              </w:trPr>
              <w:tc>
                <w:tcPr>
                  <w:tcW w:w="3969" w:type="dxa"/>
                  <w:tcBorders>
                    <w:top w:val="nil"/>
                    <w:left w:val="single" w:sz="4" w:space="0" w:color="auto"/>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907A93" w:rsidRDefault="000471F6" w:rsidP="00490D10">
                  <w:pPr>
                    <w:ind w:firstLineChars="100" w:firstLine="180"/>
                    <w:rPr>
                      <w:rFonts w:ascii="Garamond" w:hAnsi="Garamond"/>
                      <w:color w:val="000000"/>
                      <w:sz w:val="18"/>
                      <w:szCs w:val="18"/>
                    </w:rPr>
                  </w:pPr>
                  <w:r w:rsidRPr="00907A93">
                    <w:rPr>
                      <w:rFonts w:ascii="Garamond" w:hAnsi="Garamond"/>
                      <w:color w:val="000000"/>
                      <w:sz w:val="18"/>
                      <w:szCs w:val="18"/>
                    </w:rPr>
                    <w:t>Taux de chômage</w:t>
                  </w:r>
                  <w:r>
                    <w:rPr>
                      <w:rFonts w:ascii="Garamond" w:hAnsi="Garamond"/>
                      <w:color w:val="000000"/>
                      <w:sz w:val="18"/>
                      <w:szCs w:val="18"/>
                    </w:rPr>
                    <w:t xml:space="preserve"> (en %)</w:t>
                  </w:r>
                </w:p>
              </w:tc>
              <w:tc>
                <w:tcPr>
                  <w:tcW w:w="934" w:type="dxa"/>
                  <w:tcBorders>
                    <w:top w:val="nil"/>
                    <w:left w:val="nil"/>
                    <w:bottom w:val="single" w:sz="4" w:space="0" w:color="auto"/>
                    <w:right w:val="single" w:sz="4" w:space="0" w:color="auto"/>
                  </w:tcBorders>
                  <w:shd w:val="clear" w:color="auto" w:fill="auto"/>
                  <w:noWrap/>
                  <w:tcMar>
                    <w:top w:w="15" w:type="dxa"/>
                    <w:left w:w="15" w:type="dxa"/>
                    <w:bottom w:w="0" w:type="dxa"/>
                    <w:right w:w="135" w:type="dxa"/>
                  </w:tcMar>
                  <w:hideMark/>
                </w:tcPr>
                <w:p w:rsidR="000471F6" w:rsidRPr="00043275" w:rsidRDefault="000471F6" w:rsidP="007839D4">
                  <w:pPr>
                    <w:ind w:firstLineChars="100" w:firstLine="200"/>
                    <w:jc w:val="center"/>
                    <w:rPr>
                      <w:rFonts w:ascii="Garamond" w:hAnsi="Garamond" w:cs="Calibri"/>
                      <w:sz w:val="20"/>
                      <w:szCs w:val="20"/>
                    </w:rPr>
                  </w:pPr>
                  <w:r w:rsidRPr="00043275">
                    <w:rPr>
                      <w:rFonts w:ascii="Garamond" w:hAnsi="Garamond" w:cs="Calibri"/>
                      <w:sz w:val="20"/>
                      <w:szCs w:val="20"/>
                    </w:rPr>
                    <w:t>15,1</w:t>
                  </w:r>
                </w:p>
              </w:tc>
              <w:tc>
                <w:tcPr>
                  <w:tcW w:w="826" w:type="dxa"/>
                  <w:gridSpan w:val="2"/>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0"/>
                    <w:jc w:val="center"/>
                    <w:rPr>
                      <w:rFonts w:ascii="Garamond" w:hAnsi="Garamond" w:cs="Calibri"/>
                      <w:sz w:val="20"/>
                      <w:szCs w:val="20"/>
                    </w:rPr>
                  </w:pPr>
                  <w:r w:rsidRPr="00043275">
                    <w:rPr>
                      <w:rFonts w:ascii="Garamond" w:hAnsi="Garamond" w:cs="Calibri"/>
                      <w:sz w:val="20"/>
                      <w:szCs w:val="20"/>
                    </w:rPr>
                    <w:t>3,9</w:t>
                  </w:r>
                </w:p>
              </w:tc>
              <w:tc>
                <w:tcPr>
                  <w:tcW w:w="825"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0"/>
                    <w:jc w:val="center"/>
                    <w:rPr>
                      <w:rFonts w:ascii="Garamond" w:hAnsi="Garamond" w:cs="Calibri"/>
                      <w:sz w:val="20"/>
                      <w:szCs w:val="20"/>
                    </w:rPr>
                  </w:pPr>
                  <w:r w:rsidRPr="00043275">
                    <w:rPr>
                      <w:rFonts w:ascii="Garamond" w:hAnsi="Garamond" w:cs="Calibri"/>
                      <w:sz w:val="20"/>
                      <w:szCs w:val="20"/>
                    </w:rPr>
                    <w:t>10,5</w:t>
                  </w:r>
                </w:p>
              </w:tc>
              <w:tc>
                <w:tcPr>
                  <w:tcW w:w="825"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0"/>
                    <w:jc w:val="center"/>
                    <w:rPr>
                      <w:rFonts w:ascii="Garamond" w:hAnsi="Garamond" w:cs="Calibri"/>
                      <w:sz w:val="20"/>
                      <w:szCs w:val="20"/>
                    </w:rPr>
                  </w:pPr>
                  <w:r w:rsidRPr="00043275">
                    <w:rPr>
                      <w:rFonts w:ascii="Garamond" w:hAnsi="Garamond" w:cs="Calibri"/>
                      <w:sz w:val="20"/>
                      <w:szCs w:val="20"/>
                    </w:rPr>
                    <w:t>17,1</w:t>
                  </w:r>
                </w:p>
              </w:tc>
              <w:tc>
                <w:tcPr>
                  <w:tcW w:w="825"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0"/>
                    <w:jc w:val="center"/>
                    <w:rPr>
                      <w:rFonts w:ascii="Garamond" w:hAnsi="Garamond" w:cs="Calibri"/>
                      <w:sz w:val="20"/>
                      <w:szCs w:val="20"/>
                    </w:rPr>
                  </w:pPr>
                  <w:r w:rsidRPr="00043275">
                    <w:rPr>
                      <w:rFonts w:ascii="Garamond" w:hAnsi="Garamond" w:cs="Calibri"/>
                      <w:sz w:val="20"/>
                      <w:szCs w:val="20"/>
                    </w:rPr>
                    <w:t>5,3</w:t>
                  </w:r>
                </w:p>
              </w:tc>
              <w:tc>
                <w:tcPr>
                  <w:tcW w:w="825" w:type="dxa"/>
                  <w:tcBorders>
                    <w:top w:val="nil"/>
                    <w:left w:val="nil"/>
                    <w:bottom w:val="single" w:sz="4" w:space="0" w:color="auto"/>
                    <w:right w:val="single" w:sz="4" w:space="0" w:color="auto"/>
                  </w:tcBorders>
                  <w:shd w:val="clear" w:color="auto" w:fill="auto"/>
                  <w:noWrap/>
                  <w:tcMar>
                    <w:top w:w="15" w:type="dxa"/>
                    <w:left w:w="135" w:type="dxa"/>
                    <w:bottom w:w="0" w:type="dxa"/>
                    <w:right w:w="15" w:type="dxa"/>
                  </w:tcMar>
                  <w:hideMark/>
                </w:tcPr>
                <w:p w:rsidR="000471F6" w:rsidRPr="00043275" w:rsidRDefault="000471F6" w:rsidP="007839D4">
                  <w:pPr>
                    <w:ind w:firstLineChars="100" w:firstLine="200"/>
                    <w:jc w:val="center"/>
                    <w:rPr>
                      <w:rFonts w:ascii="Garamond" w:hAnsi="Garamond" w:cs="Calibri"/>
                      <w:sz w:val="20"/>
                      <w:szCs w:val="20"/>
                    </w:rPr>
                  </w:pPr>
                  <w:r w:rsidRPr="00043275">
                    <w:rPr>
                      <w:rFonts w:ascii="Garamond" w:hAnsi="Garamond" w:cs="Calibri"/>
                      <w:sz w:val="20"/>
                      <w:szCs w:val="20"/>
                    </w:rPr>
                    <w:t>12,5</w:t>
                  </w:r>
                </w:p>
              </w:tc>
            </w:tr>
            <w:tr w:rsidR="00E017C9" w:rsidRPr="00907A93" w:rsidTr="000471F6">
              <w:trPr>
                <w:trHeight w:val="315"/>
              </w:trPr>
              <w:tc>
                <w:tcPr>
                  <w:tcW w:w="9029" w:type="dxa"/>
                  <w:gridSpan w:val="8"/>
                  <w:tcBorders>
                    <w:top w:val="single" w:sz="4" w:space="0" w:color="auto"/>
                    <w:left w:val="single" w:sz="4" w:space="0" w:color="auto"/>
                    <w:bottom w:val="single" w:sz="4" w:space="0" w:color="auto"/>
                    <w:right w:val="single" w:sz="4" w:space="0" w:color="000000"/>
                  </w:tcBorders>
                  <w:shd w:val="clear" w:color="auto" w:fill="auto"/>
                  <w:noWrap/>
                  <w:tcMar>
                    <w:top w:w="15" w:type="dxa"/>
                    <w:left w:w="270" w:type="dxa"/>
                    <w:bottom w:w="0" w:type="dxa"/>
                    <w:right w:w="15" w:type="dxa"/>
                  </w:tcMar>
                  <w:vAlign w:val="center"/>
                  <w:hideMark/>
                </w:tcPr>
                <w:p w:rsidR="00E017C9" w:rsidRPr="00043275" w:rsidRDefault="00E017C9" w:rsidP="00067D07">
                  <w:pPr>
                    <w:ind w:firstLineChars="200" w:firstLine="360"/>
                    <w:rPr>
                      <w:rFonts w:ascii="Garamond" w:hAnsi="Garamond"/>
                      <w:i/>
                      <w:iCs/>
                      <w:sz w:val="18"/>
                      <w:szCs w:val="18"/>
                    </w:rPr>
                  </w:pPr>
                  <w:r w:rsidRPr="00043275">
                    <w:rPr>
                      <w:rFonts w:ascii="Garamond" w:hAnsi="Garamond"/>
                      <w:i/>
                      <w:iCs/>
                      <w:sz w:val="18"/>
                      <w:szCs w:val="18"/>
                    </w:rPr>
                    <w:t>• Selon le sexe</w:t>
                  </w:r>
                </w:p>
              </w:tc>
            </w:tr>
            <w:tr w:rsidR="00043275" w:rsidRPr="00907A93" w:rsidTr="00BA18D5">
              <w:trPr>
                <w:trHeight w:val="315"/>
              </w:trPr>
              <w:tc>
                <w:tcPr>
                  <w:tcW w:w="3969" w:type="dxa"/>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907A93" w:rsidRDefault="00043275" w:rsidP="00490D10">
                  <w:pPr>
                    <w:ind w:firstLineChars="400" w:firstLine="720"/>
                    <w:rPr>
                      <w:rFonts w:ascii="Garamond" w:hAnsi="Garamond"/>
                      <w:color w:val="000000"/>
                      <w:sz w:val="18"/>
                      <w:szCs w:val="18"/>
                    </w:rPr>
                  </w:pPr>
                  <w:r w:rsidRPr="00907A93">
                    <w:rPr>
                      <w:rFonts w:ascii="Garamond" w:hAnsi="Garamond"/>
                      <w:color w:val="000000"/>
                      <w:sz w:val="18"/>
                      <w:szCs w:val="18"/>
                    </w:rPr>
                    <w:t>Hommes</w:t>
                  </w:r>
                </w:p>
              </w:tc>
              <w:tc>
                <w:tcPr>
                  <w:tcW w:w="934" w:type="dxa"/>
                  <w:tcBorders>
                    <w:top w:val="nil"/>
                    <w:left w:val="nil"/>
                    <w:bottom w:val="single" w:sz="4" w:space="0" w:color="auto"/>
                    <w:right w:val="single" w:sz="4" w:space="0" w:color="auto"/>
                  </w:tcBorders>
                  <w:shd w:val="clear" w:color="auto" w:fill="auto"/>
                  <w:noWrap/>
                  <w:tcMar>
                    <w:top w:w="15" w:type="dxa"/>
                    <w:left w:w="15" w:type="dxa"/>
                    <w:bottom w:w="0" w:type="dxa"/>
                    <w:right w:w="135" w:type="dxa"/>
                  </w:tcMar>
                  <w:hideMark/>
                </w:tcPr>
                <w:p w:rsidR="00043275" w:rsidRPr="00043275" w:rsidRDefault="00043275" w:rsidP="00043275">
                  <w:pPr>
                    <w:spacing w:line="240" w:lineRule="auto"/>
                    <w:ind w:leftChars="-6" w:left="3" w:hangingChars="8" w:hanging="16"/>
                    <w:jc w:val="center"/>
                    <w:rPr>
                      <w:rFonts w:ascii="Garamond" w:eastAsia="Times New Roman" w:hAnsi="Garamond" w:cs="Calibri"/>
                      <w:sz w:val="20"/>
                      <w:szCs w:val="20"/>
                    </w:rPr>
                  </w:pPr>
                  <w:r w:rsidRPr="00043275">
                    <w:rPr>
                      <w:rFonts w:ascii="Garamond" w:eastAsia="Times New Roman" w:hAnsi="Garamond" w:cs="Calibri"/>
                      <w:sz w:val="20"/>
                      <w:szCs w:val="20"/>
                    </w:rPr>
                    <w:t>12,5</w:t>
                  </w:r>
                </w:p>
              </w:tc>
              <w:tc>
                <w:tcPr>
                  <w:tcW w:w="767"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spacing w:line="240" w:lineRule="auto"/>
                    <w:ind w:leftChars="-90" w:left="2" w:hangingChars="100" w:hanging="200"/>
                    <w:jc w:val="center"/>
                    <w:rPr>
                      <w:rFonts w:ascii="Garamond" w:eastAsia="Times New Roman" w:hAnsi="Garamond" w:cs="Calibri"/>
                      <w:sz w:val="20"/>
                      <w:szCs w:val="20"/>
                    </w:rPr>
                  </w:pPr>
                  <w:r w:rsidRPr="00043275">
                    <w:rPr>
                      <w:rFonts w:ascii="Garamond" w:eastAsia="Times New Roman" w:hAnsi="Garamond" w:cs="Calibri"/>
                      <w:sz w:val="20"/>
                      <w:szCs w:val="20"/>
                    </w:rPr>
                    <w:t>4,3</w:t>
                  </w:r>
                </w:p>
              </w:tc>
              <w:tc>
                <w:tcPr>
                  <w:tcW w:w="884" w:type="dxa"/>
                  <w:gridSpan w:val="2"/>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spacing w:line="240" w:lineRule="auto"/>
                    <w:ind w:leftChars="-6" w:left="3" w:hangingChars="8" w:hanging="16"/>
                    <w:jc w:val="center"/>
                    <w:rPr>
                      <w:rFonts w:ascii="Garamond" w:eastAsia="Times New Roman" w:hAnsi="Garamond" w:cs="Calibri"/>
                      <w:sz w:val="20"/>
                      <w:szCs w:val="20"/>
                    </w:rPr>
                  </w:pPr>
                  <w:r w:rsidRPr="00043275">
                    <w:rPr>
                      <w:rFonts w:ascii="Garamond" w:eastAsia="Times New Roman" w:hAnsi="Garamond" w:cs="Calibri"/>
                      <w:sz w:val="20"/>
                      <w:szCs w:val="20"/>
                    </w:rPr>
                    <w:t>9,3</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spacing w:line="240" w:lineRule="auto"/>
                    <w:ind w:leftChars="-132" w:left="-290"/>
                    <w:jc w:val="center"/>
                    <w:rPr>
                      <w:rFonts w:ascii="Garamond" w:eastAsia="Times New Roman" w:hAnsi="Garamond" w:cs="Calibri"/>
                      <w:sz w:val="20"/>
                      <w:szCs w:val="20"/>
                    </w:rPr>
                  </w:pPr>
                  <w:r w:rsidRPr="00043275">
                    <w:rPr>
                      <w:rFonts w:ascii="Garamond" w:eastAsia="Times New Roman" w:hAnsi="Garamond" w:cs="Calibri"/>
                      <w:sz w:val="20"/>
                      <w:szCs w:val="20"/>
                    </w:rPr>
                    <w:t>14,3</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spacing w:line="240" w:lineRule="auto"/>
                    <w:ind w:leftChars="-6" w:left="3" w:hangingChars="8" w:hanging="16"/>
                    <w:jc w:val="center"/>
                    <w:rPr>
                      <w:rFonts w:ascii="Garamond" w:eastAsia="Times New Roman" w:hAnsi="Garamond" w:cs="Calibri"/>
                      <w:sz w:val="20"/>
                      <w:szCs w:val="20"/>
                    </w:rPr>
                  </w:pPr>
                  <w:r w:rsidRPr="00043275">
                    <w:rPr>
                      <w:rFonts w:ascii="Garamond" w:eastAsia="Times New Roman" w:hAnsi="Garamond" w:cs="Calibri"/>
                      <w:sz w:val="20"/>
                      <w:szCs w:val="20"/>
                    </w:rPr>
                    <w:t>5,5</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spacing w:line="240" w:lineRule="auto"/>
                    <w:ind w:leftChars="-173" w:left="41" w:hangingChars="211" w:hanging="422"/>
                    <w:jc w:val="center"/>
                    <w:rPr>
                      <w:rFonts w:ascii="Garamond" w:eastAsia="Times New Roman" w:hAnsi="Garamond" w:cs="Calibri"/>
                      <w:sz w:val="20"/>
                      <w:szCs w:val="20"/>
                    </w:rPr>
                  </w:pPr>
                  <w:r w:rsidRPr="00043275">
                    <w:rPr>
                      <w:rFonts w:ascii="Garamond" w:eastAsia="Times New Roman" w:hAnsi="Garamond" w:cs="Calibri"/>
                      <w:sz w:val="20"/>
                      <w:szCs w:val="20"/>
                    </w:rPr>
                    <w:t>10,9</w:t>
                  </w:r>
                </w:p>
              </w:tc>
            </w:tr>
            <w:tr w:rsidR="00043275" w:rsidRPr="00907A93" w:rsidTr="00BA18D5">
              <w:trPr>
                <w:trHeight w:val="315"/>
              </w:trPr>
              <w:tc>
                <w:tcPr>
                  <w:tcW w:w="3969" w:type="dxa"/>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907A93" w:rsidRDefault="00043275" w:rsidP="00490D10">
                  <w:pPr>
                    <w:ind w:firstLineChars="400" w:firstLine="720"/>
                    <w:rPr>
                      <w:rFonts w:ascii="Garamond" w:hAnsi="Garamond"/>
                      <w:color w:val="000000"/>
                      <w:sz w:val="18"/>
                      <w:szCs w:val="18"/>
                    </w:rPr>
                  </w:pPr>
                  <w:r w:rsidRPr="00907A93">
                    <w:rPr>
                      <w:rFonts w:ascii="Garamond" w:hAnsi="Garamond"/>
                      <w:color w:val="000000"/>
                      <w:sz w:val="18"/>
                      <w:szCs w:val="18"/>
                    </w:rPr>
                    <w:t>Femmes</w:t>
                  </w:r>
                </w:p>
              </w:tc>
              <w:tc>
                <w:tcPr>
                  <w:tcW w:w="934" w:type="dxa"/>
                  <w:tcBorders>
                    <w:top w:val="nil"/>
                    <w:left w:val="nil"/>
                    <w:bottom w:val="single" w:sz="4" w:space="0" w:color="auto"/>
                    <w:right w:val="single" w:sz="4" w:space="0" w:color="auto"/>
                  </w:tcBorders>
                  <w:shd w:val="clear" w:color="auto" w:fill="auto"/>
                  <w:noWrap/>
                  <w:tcMar>
                    <w:top w:w="15" w:type="dxa"/>
                    <w:left w:w="15" w:type="dxa"/>
                    <w:bottom w:w="0" w:type="dxa"/>
                    <w:right w:w="135" w:type="dxa"/>
                  </w:tcMar>
                  <w:hideMark/>
                </w:tcPr>
                <w:p w:rsidR="00043275" w:rsidRPr="00043275" w:rsidRDefault="00043275" w:rsidP="00043275">
                  <w:pPr>
                    <w:spacing w:line="240" w:lineRule="auto"/>
                    <w:ind w:leftChars="-6" w:left="3" w:hangingChars="8" w:hanging="16"/>
                    <w:jc w:val="center"/>
                    <w:rPr>
                      <w:rFonts w:ascii="Garamond" w:eastAsia="Times New Roman" w:hAnsi="Garamond" w:cs="Calibri"/>
                      <w:sz w:val="20"/>
                      <w:szCs w:val="20"/>
                    </w:rPr>
                  </w:pPr>
                  <w:r w:rsidRPr="00043275">
                    <w:rPr>
                      <w:rFonts w:ascii="Garamond" w:eastAsia="Times New Roman" w:hAnsi="Garamond" w:cs="Calibri"/>
                      <w:sz w:val="20"/>
                      <w:szCs w:val="20"/>
                    </w:rPr>
                    <w:t>23,6</w:t>
                  </w:r>
                </w:p>
              </w:tc>
              <w:tc>
                <w:tcPr>
                  <w:tcW w:w="767"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spacing w:line="240" w:lineRule="auto"/>
                    <w:ind w:leftChars="-154" w:left="3" w:hangingChars="171" w:hanging="342"/>
                    <w:jc w:val="center"/>
                    <w:rPr>
                      <w:rFonts w:ascii="Garamond" w:eastAsia="Times New Roman" w:hAnsi="Garamond" w:cs="Calibri"/>
                      <w:sz w:val="20"/>
                      <w:szCs w:val="20"/>
                    </w:rPr>
                  </w:pPr>
                  <w:r w:rsidRPr="00043275">
                    <w:rPr>
                      <w:rFonts w:ascii="Garamond" w:eastAsia="Times New Roman" w:hAnsi="Garamond" w:cs="Calibri"/>
                      <w:sz w:val="20"/>
                      <w:szCs w:val="20"/>
                    </w:rPr>
                    <w:t>2,9</w:t>
                  </w:r>
                </w:p>
              </w:tc>
              <w:tc>
                <w:tcPr>
                  <w:tcW w:w="884" w:type="dxa"/>
                  <w:gridSpan w:val="2"/>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spacing w:line="240" w:lineRule="auto"/>
                    <w:ind w:leftChars="-6" w:left="3" w:hangingChars="8" w:hanging="16"/>
                    <w:jc w:val="center"/>
                    <w:rPr>
                      <w:rFonts w:ascii="Garamond" w:eastAsia="Times New Roman" w:hAnsi="Garamond" w:cs="Calibri"/>
                      <w:sz w:val="20"/>
                      <w:szCs w:val="20"/>
                    </w:rPr>
                  </w:pPr>
                  <w:r w:rsidRPr="00043275">
                    <w:rPr>
                      <w:rFonts w:ascii="Garamond" w:eastAsia="Times New Roman" w:hAnsi="Garamond" w:cs="Calibri"/>
                      <w:sz w:val="20"/>
                      <w:szCs w:val="20"/>
                    </w:rPr>
                    <w:t>14,3</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spacing w:line="240" w:lineRule="auto"/>
                    <w:ind w:leftChars="-131" w:left="34" w:hangingChars="161" w:hanging="322"/>
                    <w:jc w:val="center"/>
                    <w:rPr>
                      <w:rFonts w:ascii="Garamond" w:eastAsia="Times New Roman" w:hAnsi="Garamond" w:cs="Calibri"/>
                      <w:sz w:val="20"/>
                      <w:szCs w:val="20"/>
                    </w:rPr>
                  </w:pPr>
                  <w:r w:rsidRPr="00043275">
                    <w:rPr>
                      <w:rFonts w:ascii="Garamond" w:eastAsia="Times New Roman" w:hAnsi="Garamond" w:cs="Calibri"/>
                      <w:sz w:val="20"/>
                      <w:szCs w:val="20"/>
                    </w:rPr>
                    <w:t>26,4</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spacing w:line="240" w:lineRule="auto"/>
                    <w:ind w:leftChars="-6" w:left="3" w:hangingChars="8" w:hanging="16"/>
                    <w:jc w:val="center"/>
                    <w:rPr>
                      <w:rFonts w:ascii="Garamond" w:eastAsia="Times New Roman" w:hAnsi="Garamond" w:cs="Calibri"/>
                      <w:sz w:val="20"/>
                      <w:szCs w:val="20"/>
                    </w:rPr>
                  </w:pPr>
                  <w:r w:rsidRPr="00043275">
                    <w:rPr>
                      <w:rFonts w:ascii="Garamond" w:eastAsia="Times New Roman" w:hAnsi="Garamond" w:cs="Calibri"/>
                      <w:sz w:val="20"/>
                      <w:szCs w:val="20"/>
                    </w:rPr>
                    <w:t>4,5</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spacing w:line="240" w:lineRule="auto"/>
                    <w:ind w:leftChars="-173" w:left="41" w:hangingChars="211" w:hanging="422"/>
                    <w:jc w:val="center"/>
                    <w:rPr>
                      <w:rFonts w:ascii="Garamond" w:eastAsia="Times New Roman" w:hAnsi="Garamond" w:cs="Calibri"/>
                      <w:sz w:val="20"/>
                      <w:szCs w:val="20"/>
                    </w:rPr>
                  </w:pPr>
                  <w:r w:rsidRPr="00043275">
                    <w:rPr>
                      <w:rFonts w:ascii="Garamond" w:eastAsia="Times New Roman" w:hAnsi="Garamond" w:cs="Calibri"/>
                      <w:sz w:val="20"/>
                      <w:szCs w:val="20"/>
                    </w:rPr>
                    <w:t>17,5</w:t>
                  </w:r>
                </w:p>
              </w:tc>
            </w:tr>
            <w:tr w:rsidR="00E017C9" w:rsidRPr="00907A93" w:rsidTr="000471F6">
              <w:trPr>
                <w:trHeight w:val="315"/>
              </w:trPr>
              <w:tc>
                <w:tcPr>
                  <w:tcW w:w="9029" w:type="dxa"/>
                  <w:gridSpan w:val="8"/>
                  <w:tcBorders>
                    <w:top w:val="single" w:sz="4" w:space="0" w:color="auto"/>
                    <w:left w:val="single" w:sz="4" w:space="0" w:color="auto"/>
                    <w:bottom w:val="single" w:sz="4" w:space="0" w:color="auto"/>
                    <w:right w:val="single" w:sz="4" w:space="0" w:color="000000"/>
                  </w:tcBorders>
                  <w:shd w:val="clear" w:color="auto" w:fill="auto"/>
                  <w:noWrap/>
                  <w:tcMar>
                    <w:top w:w="15" w:type="dxa"/>
                    <w:left w:w="270" w:type="dxa"/>
                    <w:bottom w:w="0" w:type="dxa"/>
                    <w:right w:w="15" w:type="dxa"/>
                  </w:tcMar>
                  <w:vAlign w:val="center"/>
                  <w:hideMark/>
                </w:tcPr>
                <w:p w:rsidR="00E017C9" w:rsidRPr="00043275" w:rsidRDefault="00E017C9" w:rsidP="00067D07">
                  <w:pPr>
                    <w:ind w:firstLineChars="200" w:firstLine="360"/>
                    <w:rPr>
                      <w:rFonts w:ascii="Garamond" w:hAnsi="Garamond"/>
                      <w:i/>
                      <w:iCs/>
                      <w:sz w:val="18"/>
                      <w:szCs w:val="18"/>
                    </w:rPr>
                  </w:pPr>
                  <w:r w:rsidRPr="00043275">
                    <w:rPr>
                      <w:rFonts w:ascii="Garamond" w:hAnsi="Garamond"/>
                      <w:i/>
                      <w:iCs/>
                      <w:sz w:val="18"/>
                      <w:szCs w:val="18"/>
                    </w:rPr>
                    <w:t>• Selon l'âge</w:t>
                  </w:r>
                </w:p>
              </w:tc>
            </w:tr>
            <w:tr w:rsidR="00043275" w:rsidRPr="00907A93" w:rsidTr="00BA18D5">
              <w:trPr>
                <w:trHeight w:val="315"/>
              </w:trPr>
              <w:tc>
                <w:tcPr>
                  <w:tcW w:w="3969" w:type="dxa"/>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907A93" w:rsidRDefault="00043275" w:rsidP="00490D10">
                  <w:pPr>
                    <w:ind w:firstLineChars="400" w:firstLine="720"/>
                    <w:rPr>
                      <w:rFonts w:ascii="Garamond" w:hAnsi="Garamond"/>
                      <w:color w:val="000000"/>
                      <w:sz w:val="18"/>
                      <w:szCs w:val="18"/>
                    </w:rPr>
                  </w:pPr>
                  <w:r w:rsidRPr="00907A93">
                    <w:rPr>
                      <w:rFonts w:ascii="Garamond" w:hAnsi="Garamond"/>
                      <w:color w:val="000000"/>
                      <w:sz w:val="18"/>
                      <w:szCs w:val="18"/>
                    </w:rPr>
                    <w:t>15-24 ans</w:t>
                  </w:r>
                </w:p>
              </w:tc>
              <w:tc>
                <w:tcPr>
                  <w:tcW w:w="934" w:type="dxa"/>
                  <w:tcBorders>
                    <w:top w:val="nil"/>
                    <w:left w:val="nil"/>
                    <w:bottom w:val="single" w:sz="4" w:space="0" w:color="auto"/>
                    <w:right w:val="single" w:sz="4" w:space="0" w:color="auto"/>
                  </w:tcBorders>
                  <w:shd w:val="clear" w:color="auto" w:fill="auto"/>
                  <w:noWrap/>
                  <w:tcMar>
                    <w:top w:w="15" w:type="dxa"/>
                    <w:left w:w="15" w:type="dxa"/>
                    <w:bottom w:w="0" w:type="dxa"/>
                    <w:right w:w="135" w:type="dxa"/>
                  </w:tcMar>
                  <w:hideMark/>
                </w:tcPr>
                <w:p w:rsidR="00043275" w:rsidRPr="00043275" w:rsidRDefault="00043275" w:rsidP="00043275">
                  <w:pPr>
                    <w:ind w:firstLineChars="100" w:firstLine="200"/>
                    <w:jc w:val="right"/>
                    <w:rPr>
                      <w:rFonts w:ascii="Garamond" w:hAnsi="Garamond" w:cs="Calibri"/>
                      <w:sz w:val="20"/>
                      <w:szCs w:val="20"/>
                    </w:rPr>
                  </w:pPr>
                  <w:r w:rsidRPr="00043275">
                    <w:rPr>
                      <w:rFonts w:ascii="Garamond" w:hAnsi="Garamond" w:cs="Calibri"/>
                      <w:sz w:val="20"/>
                      <w:szCs w:val="20"/>
                    </w:rPr>
                    <w:t>41,4</w:t>
                  </w:r>
                </w:p>
              </w:tc>
              <w:tc>
                <w:tcPr>
                  <w:tcW w:w="826" w:type="dxa"/>
                  <w:gridSpan w:val="2"/>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90" w:left="22" w:hangingChars="110" w:hanging="220"/>
                    <w:jc w:val="right"/>
                    <w:rPr>
                      <w:rFonts w:ascii="Garamond" w:hAnsi="Garamond" w:cs="Calibri"/>
                      <w:sz w:val="20"/>
                      <w:szCs w:val="20"/>
                    </w:rPr>
                  </w:pPr>
                  <w:r w:rsidRPr="00043275">
                    <w:rPr>
                      <w:rFonts w:ascii="Garamond" w:hAnsi="Garamond" w:cs="Calibri"/>
                      <w:sz w:val="20"/>
                      <w:szCs w:val="20"/>
                    </w:rPr>
                    <w:t>12,2</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43" w:left="35" w:hangingChars="175" w:hanging="350"/>
                    <w:jc w:val="right"/>
                    <w:rPr>
                      <w:rFonts w:ascii="Garamond" w:hAnsi="Garamond" w:cs="Calibri"/>
                      <w:sz w:val="20"/>
                      <w:szCs w:val="20"/>
                    </w:rPr>
                  </w:pPr>
                  <w:r w:rsidRPr="00043275">
                    <w:rPr>
                      <w:rFonts w:ascii="Garamond" w:hAnsi="Garamond" w:cs="Calibri"/>
                      <w:sz w:val="20"/>
                      <w:szCs w:val="20"/>
                    </w:rPr>
                    <w:t>26,8</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95" w:left="-39" w:hangingChars="195" w:hanging="390"/>
                    <w:jc w:val="right"/>
                    <w:rPr>
                      <w:rFonts w:ascii="Garamond" w:hAnsi="Garamond" w:cs="Calibri"/>
                      <w:sz w:val="20"/>
                      <w:szCs w:val="20"/>
                    </w:rPr>
                  </w:pPr>
                  <w:r w:rsidRPr="00043275">
                    <w:rPr>
                      <w:rFonts w:ascii="Garamond" w:hAnsi="Garamond" w:cs="Calibri"/>
                      <w:sz w:val="20"/>
                      <w:szCs w:val="20"/>
                    </w:rPr>
                    <w:t>45,6</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122"/>
                    <w:jc w:val="right"/>
                    <w:rPr>
                      <w:rFonts w:ascii="Garamond" w:hAnsi="Garamond" w:cs="Calibri"/>
                      <w:sz w:val="20"/>
                      <w:szCs w:val="20"/>
                    </w:rPr>
                  </w:pPr>
                  <w:r w:rsidRPr="00043275">
                    <w:rPr>
                      <w:rFonts w:ascii="Garamond" w:hAnsi="Garamond" w:cs="Calibri"/>
                      <w:sz w:val="20"/>
                      <w:szCs w:val="20"/>
                    </w:rPr>
                    <w:t>18,0</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08" w:left="-22" w:hangingChars="108" w:hanging="216"/>
                    <w:jc w:val="right"/>
                    <w:rPr>
                      <w:rFonts w:ascii="Garamond" w:hAnsi="Garamond" w:cs="Calibri"/>
                      <w:sz w:val="20"/>
                      <w:szCs w:val="20"/>
                    </w:rPr>
                  </w:pPr>
                  <w:r w:rsidRPr="00043275">
                    <w:rPr>
                      <w:rFonts w:ascii="Garamond" w:hAnsi="Garamond" w:cs="Calibri"/>
                      <w:sz w:val="20"/>
                      <w:szCs w:val="20"/>
                    </w:rPr>
                    <w:t>32,5</w:t>
                  </w:r>
                </w:p>
              </w:tc>
            </w:tr>
            <w:tr w:rsidR="00043275" w:rsidRPr="00907A93" w:rsidTr="00BA18D5">
              <w:trPr>
                <w:trHeight w:val="315"/>
              </w:trPr>
              <w:tc>
                <w:tcPr>
                  <w:tcW w:w="3969" w:type="dxa"/>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907A93" w:rsidRDefault="00043275" w:rsidP="00490D10">
                  <w:pPr>
                    <w:ind w:firstLineChars="400" w:firstLine="720"/>
                    <w:rPr>
                      <w:rFonts w:ascii="Garamond" w:hAnsi="Garamond"/>
                      <w:color w:val="000000"/>
                      <w:sz w:val="18"/>
                      <w:szCs w:val="18"/>
                    </w:rPr>
                  </w:pPr>
                  <w:r w:rsidRPr="00907A93">
                    <w:rPr>
                      <w:rFonts w:ascii="Garamond" w:hAnsi="Garamond"/>
                      <w:color w:val="000000"/>
                      <w:sz w:val="18"/>
                      <w:szCs w:val="18"/>
                    </w:rPr>
                    <w:t>25-34 ans</w:t>
                  </w:r>
                </w:p>
              </w:tc>
              <w:tc>
                <w:tcPr>
                  <w:tcW w:w="934" w:type="dxa"/>
                  <w:tcBorders>
                    <w:top w:val="nil"/>
                    <w:left w:val="nil"/>
                    <w:bottom w:val="single" w:sz="4" w:space="0" w:color="auto"/>
                    <w:right w:val="single" w:sz="4" w:space="0" w:color="auto"/>
                  </w:tcBorders>
                  <w:shd w:val="clear" w:color="auto" w:fill="auto"/>
                  <w:noWrap/>
                  <w:tcMar>
                    <w:top w:w="15" w:type="dxa"/>
                    <w:left w:w="15" w:type="dxa"/>
                    <w:bottom w:w="0" w:type="dxa"/>
                    <w:right w:w="135" w:type="dxa"/>
                  </w:tcMar>
                  <w:hideMark/>
                </w:tcPr>
                <w:p w:rsidR="00043275" w:rsidRPr="00043275" w:rsidRDefault="00043275" w:rsidP="00043275">
                  <w:pPr>
                    <w:ind w:firstLineChars="100" w:firstLine="200"/>
                    <w:jc w:val="right"/>
                    <w:rPr>
                      <w:rFonts w:ascii="Garamond" w:hAnsi="Garamond" w:cs="Calibri"/>
                      <w:sz w:val="20"/>
                      <w:szCs w:val="20"/>
                    </w:rPr>
                  </w:pPr>
                  <w:r w:rsidRPr="00043275">
                    <w:rPr>
                      <w:rFonts w:ascii="Garamond" w:hAnsi="Garamond" w:cs="Calibri"/>
                      <w:sz w:val="20"/>
                      <w:szCs w:val="20"/>
                    </w:rPr>
                    <w:t>24,1</w:t>
                  </w:r>
                </w:p>
              </w:tc>
              <w:tc>
                <w:tcPr>
                  <w:tcW w:w="826" w:type="dxa"/>
                  <w:gridSpan w:val="2"/>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25" w:left="-5" w:hangingChars="25" w:hanging="50"/>
                    <w:jc w:val="right"/>
                    <w:rPr>
                      <w:rFonts w:ascii="Garamond" w:hAnsi="Garamond" w:cs="Calibri"/>
                      <w:sz w:val="20"/>
                      <w:szCs w:val="20"/>
                    </w:rPr>
                  </w:pPr>
                  <w:r w:rsidRPr="00043275">
                    <w:rPr>
                      <w:rFonts w:ascii="Garamond" w:hAnsi="Garamond" w:cs="Calibri"/>
                      <w:sz w:val="20"/>
                      <w:szCs w:val="20"/>
                    </w:rPr>
                    <w:t>5,6</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78" w:left="-16" w:hangingChars="78" w:hanging="156"/>
                    <w:jc w:val="right"/>
                    <w:rPr>
                      <w:rFonts w:ascii="Garamond" w:hAnsi="Garamond" w:cs="Calibri"/>
                      <w:sz w:val="20"/>
                      <w:szCs w:val="20"/>
                    </w:rPr>
                  </w:pPr>
                  <w:r w:rsidRPr="00043275">
                    <w:rPr>
                      <w:rFonts w:ascii="Garamond" w:hAnsi="Garamond" w:cs="Calibri"/>
                      <w:sz w:val="20"/>
                      <w:szCs w:val="20"/>
                    </w:rPr>
                    <w:t>17,7</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67" w:left="-13" w:hangingChars="67" w:hanging="134"/>
                    <w:jc w:val="right"/>
                    <w:rPr>
                      <w:rFonts w:ascii="Garamond" w:hAnsi="Garamond" w:cs="Calibri"/>
                      <w:sz w:val="20"/>
                      <w:szCs w:val="20"/>
                    </w:rPr>
                  </w:pPr>
                  <w:r w:rsidRPr="00043275">
                    <w:rPr>
                      <w:rFonts w:ascii="Garamond" w:hAnsi="Garamond" w:cs="Calibri"/>
                      <w:sz w:val="20"/>
                      <w:szCs w:val="20"/>
                    </w:rPr>
                    <w:t>25,9</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20" w:left="-24" w:hangingChars="120" w:hanging="240"/>
                    <w:jc w:val="right"/>
                    <w:rPr>
                      <w:rFonts w:ascii="Garamond" w:hAnsi="Garamond" w:cs="Calibri"/>
                      <w:sz w:val="20"/>
                      <w:szCs w:val="20"/>
                    </w:rPr>
                  </w:pPr>
                  <w:r w:rsidRPr="00043275">
                    <w:rPr>
                      <w:rFonts w:ascii="Garamond" w:hAnsi="Garamond" w:cs="Calibri"/>
                      <w:sz w:val="20"/>
                      <w:szCs w:val="20"/>
                    </w:rPr>
                    <w:t>6,8</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71" w:left="18" w:hangingChars="87" w:hanging="174"/>
                    <w:jc w:val="right"/>
                    <w:rPr>
                      <w:rFonts w:ascii="Garamond" w:hAnsi="Garamond" w:cs="Calibri"/>
                      <w:sz w:val="20"/>
                      <w:szCs w:val="20"/>
                    </w:rPr>
                  </w:pPr>
                  <w:r w:rsidRPr="00043275">
                    <w:rPr>
                      <w:rFonts w:ascii="Garamond" w:hAnsi="Garamond" w:cs="Calibri"/>
                      <w:sz w:val="20"/>
                      <w:szCs w:val="20"/>
                    </w:rPr>
                    <w:t>19,6</w:t>
                  </w:r>
                </w:p>
              </w:tc>
            </w:tr>
            <w:tr w:rsidR="00043275" w:rsidRPr="00907A93" w:rsidTr="00BA18D5">
              <w:trPr>
                <w:trHeight w:val="315"/>
              </w:trPr>
              <w:tc>
                <w:tcPr>
                  <w:tcW w:w="3969" w:type="dxa"/>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907A93" w:rsidRDefault="00043275" w:rsidP="00490D10">
                  <w:pPr>
                    <w:ind w:firstLineChars="400" w:firstLine="720"/>
                    <w:rPr>
                      <w:rFonts w:ascii="Garamond" w:hAnsi="Garamond"/>
                      <w:color w:val="000000"/>
                      <w:sz w:val="18"/>
                      <w:szCs w:val="18"/>
                    </w:rPr>
                  </w:pPr>
                  <w:r w:rsidRPr="00907A93">
                    <w:rPr>
                      <w:rFonts w:ascii="Garamond" w:hAnsi="Garamond"/>
                      <w:color w:val="000000"/>
                      <w:sz w:val="18"/>
                      <w:szCs w:val="18"/>
                    </w:rPr>
                    <w:t>35-44 ans</w:t>
                  </w:r>
                </w:p>
              </w:tc>
              <w:tc>
                <w:tcPr>
                  <w:tcW w:w="934" w:type="dxa"/>
                  <w:tcBorders>
                    <w:top w:val="nil"/>
                    <w:left w:val="nil"/>
                    <w:bottom w:val="single" w:sz="4" w:space="0" w:color="auto"/>
                    <w:right w:val="single" w:sz="4" w:space="0" w:color="auto"/>
                  </w:tcBorders>
                  <w:shd w:val="clear" w:color="auto" w:fill="auto"/>
                  <w:noWrap/>
                  <w:tcMar>
                    <w:top w:w="15" w:type="dxa"/>
                    <w:left w:w="15" w:type="dxa"/>
                    <w:bottom w:w="0" w:type="dxa"/>
                    <w:right w:w="135" w:type="dxa"/>
                  </w:tcMar>
                  <w:hideMark/>
                </w:tcPr>
                <w:p w:rsidR="00043275" w:rsidRPr="00043275" w:rsidRDefault="00043275" w:rsidP="00043275">
                  <w:pPr>
                    <w:ind w:firstLineChars="100" w:firstLine="200"/>
                    <w:jc w:val="right"/>
                    <w:rPr>
                      <w:rFonts w:ascii="Garamond" w:hAnsi="Garamond" w:cs="Calibri"/>
                      <w:sz w:val="20"/>
                      <w:szCs w:val="20"/>
                    </w:rPr>
                  </w:pPr>
                  <w:r w:rsidRPr="00043275">
                    <w:rPr>
                      <w:rFonts w:ascii="Garamond" w:hAnsi="Garamond" w:cs="Calibri"/>
                      <w:sz w:val="20"/>
                      <w:szCs w:val="20"/>
                    </w:rPr>
                    <w:t>7,4</w:t>
                  </w:r>
                </w:p>
              </w:tc>
              <w:tc>
                <w:tcPr>
                  <w:tcW w:w="826" w:type="dxa"/>
                  <w:gridSpan w:val="2"/>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90" w:left="-18" w:hangingChars="90" w:hanging="180"/>
                    <w:jc w:val="right"/>
                    <w:rPr>
                      <w:rFonts w:ascii="Garamond" w:hAnsi="Garamond" w:cs="Calibri"/>
                      <w:sz w:val="20"/>
                      <w:szCs w:val="20"/>
                    </w:rPr>
                  </w:pPr>
                  <w:r w:rsidRPr="00043275">
                    <w:rPr>
                      <w:rFonts w:ascii="Garamond" w:hAnsi="Garamond" w:cs="Calibri"/>
                      <w:sz w:val="20"/>
                      <w:szCs w:val="20"/>
                    </w:rPr>
                    <w:t>1,8</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78" w:left="-16" w:hangingChars="78" w:hanging="156"/>
                    <w:jc w:val="right"/>
                    <w:rPr>
                      <w:rFonts w:ascii="Garamond" w:hAnsi="Garamond" w:cs="Calibri"/>
                      <w:sz w:val="20"/>
                      <w:szCs w:val="20"/>
                    </w:rPr>
                  </w:pPr>
                  <w:r w:rsidRPr="00043275">
                    <w:rPr>
                      <w:rFonts w:ascii="Garamond" w:hAnsi="Garamond" w:cs="Calibri"/>
                      <w:sz w:val="20"/>
                      <w:szCs w:val="20"/>
                    </w:rPr>
                    <w:t>5,3</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31" w:left="-26" w:hangingChars="131" w:hanging="262"/>
                    <w:jc w:val="right"/>
                    <w:rPr>
                      <w:rFonts w:ascii="Garamond" w:hAnsi="Garamond" w:cs="Calibri"/>
                      <w:sz w:val="20"/>
                      <w:szCs w:val="20"/>
                    </w:rPr>
                  </w:pPr>
                  <w:r w:rsidRPr="00043275">
                    <w:rPr>
                      <w:rFonts w:ascii="Garamond" w:hAnsi="Garamond" w:cs="Calibri"/>
                      <w:sz w:val="20"/>
                      <w:szCs w:val="20"/>
                    </w:rPr>
                    <w:t>10,0</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20" w:left="-24" w:hangingChars="120" w:hanging="240"/>
                    <w:jc w:val="right"/>
                    <w:rPr>
                      <w:rFonts w:ascii="Garamond" w:hAnsi="Garamond" w:cs="Calibri"/>
                      <w:sz w:val="20"/>
                      <w:szCs w:val="20"/>
                    </w:rPr>
                  </w:pPr>
                  <w:r w:rsidRPr="00043275">
                    <w:rPr>
                      <w:rFonts w:ascii="Garamond" w:hAnsi="Garamond" w:cs="Calibri"/>
                      <w:sz w:val="20"/>
                      <w:szCs w:val="20"/>
                    </w:rPr>
                    <w:t>2,7</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44" w:left="-9" w:hangingChars="44" w:hanging="88"/>
                    <w:jc w:val="right"/>
                    <w:rPr>
                      <w:rFonts w:ascii="Garamond" w:hAnsi="Garamond" w:cs="Calibri"/>
                      <w:sz w:val="20"/>
                      <w:szCs w:val="20"/>
                    </w:rPr>
                  </w:pPr>
                  <w:r w:rsidRPr="00043275">
                    <w:rPr>
                      <w:rFonts w:ascii="Garamond" w:hAnsi="Garamond" w:cs="Calibri"/>
                      <w:sz w:val="20"/>
                      <w:szCs w:val="20"/>
                    </w:rPr>
                    <w:t>7,4</w:t>
                  </w:r>
                </w:p>
              </w:tc>
            </w:tr>
            <w:tr w:rsidR="00043275" w:rsidRPr="00907A93" w:rsidTr="00BA18D5">
              <w:trPr>
                <w:trHeight w:val="315"/>
              </w:trPr>
              <w:tc>
                <w:tcPr>
                  <w:tcW w:w="3969" w:type="dxa"/>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907A93" w:rsidRDefault="00043275" w:rsidP="00490D10">
                  <w:pPr>
                    <w:ind w:firstLineChars="400" w:firstLine="720"/>
                    <w:rPr>
                      <w:rFonts w:ascii="Garamond" w:hAnsi="Garamond"/>
                      <w:color w:val="000000"/>
                      <w:sz w:val="18"/>
                      <w:szCs w:val="18"/>
                    </w:rPr>
                  </w:pPr>
                  <w:r w:rsidRPr="00907A93">
                    <w:rPr>
                      <w:rFonts w:ascii="Garamond" w:hAnsi="Garamond"/>
                      <w:color w:val="000000"/>
                      <w:sz w:val="18"/>
                      <w:szCs w:val="18"/>
                    </w:rPr>
                    <w:t>45 ans et plus</w:t>
                  </w:r>
                </w:p>
              </w:tc>
              <w:tc>
                <w:tcPr>
                  <w:tcW w:w="934" w:type="dxa"/>
                  <w:tcBorders>
                    <w:top w:val="nil"/>
                    <w:left w:val="nil"/>
                    <w:bottom w:val="single" w:sz="4" w:space="0" w:color="auto"/>
                    <w:right w:val="single" w:sz="4" w:space="0" w:color="auto"/>
                  </w:tcBorders>
                  <w:shd w:val="clear" w:color="auto" w:fill="auto"/>
                  <w:noWrap/>
                  <w:tcMar>
                    <w:top w:w="15" w:type="dxa"/>
                    <w:left w:w="15" w:type="dxa"/>
                    <w:bottom w:w="0" w:type="dxa"/>
                    <w:right w:w="135" w:type="dxa"/>
                  </w:tcMar>
                  <w:hideMark/>
                </w:tcPr>
                <w:p w:rsidR="00043275" w:rsidRPr="00043275" w:rsidRDefault="00043275" w:rsidP="00043275">
                  <w:pPr>
                    <w:ind w:firstLineChars="100" w:firstLine="200"/>
                    <w:jc w:val="right"/>
                    <w:rPr>
                      <w:rFonts w:ascii="Garamond" w:hAnsi="Garamond" w:cs="Calibri"/>
                      <w:sz w:val="20"/>
                      <w:szCs w:val="20"/>
                    </w:rPr>
                  </w:pPr>
                  <w:r w:rsidRPr="00043275">
                    <w:rPr>
                      <w:rFonts w:ascii="Garamond" w:hAnsi="Garamond" w:cs="Calibri"/>
                      <w:sz w:val="20"/>
                      <w:szCs w:val="20"/>
                    </w:rPr>
                    <w:t>4,1</w:t>
                  </w:r>
                </w:p>
              </w:tc>
              <w:tc>
                <w:tcPr>
                  <w:tcW w:w="826" w:type="dxa"/>
                  <w:gridSpan w:val="2"/>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54" w:left="-31" w:hangingChars="154" w:hanging="308"/>
                    <w:jc w:val="right"/>
                    <w:rPr>
                      <w:rFonts w:ascii="Garamond" w:hAnsi="Garamond" w:cs="Calibri"/>
                      <w:sz w:val="20"/>
                      <w:szCs w:val="20"/>
                    </w:rPr>
                  </w:pPr>
                  <w:r w:rsidRPr="00043275">
                    <w:rPr>
                      <w:rFonts w:ascii="Garamond" w:hAnsi="Garamond" w:cs="Calibri"/>
                      <w:sz w:val="20"/>
                      <w:szCs w:val="20"/>
                    </w:rPr>
                    <w:t>0,8</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4" w:left="-3" w:hangingChars="14" w:hanging="28"/>
                    <w:jc w:val="right"/>
                    <w:rPr>
                      <w:rFonts w:ascii="Garamond" w:hAnsi="Garamond" w:cs="Calibri"/>
                      <w:sz w:val="20"/>
                      <w:szCs w:val="20"/>
                    </w:rPr>
                  </w:pPr>
                  <w:r w:rsidRPr="00043275">
                    <w:rPr>
                      <w:rFonts w:ascii="Garamond" w:hAnsi="Garamond" w:cs="Calibri"/>
                      <w:sz w:val="20"/>
                      <w:szCs w:val="20"/>
                    </w:rPr>
                    <w:t>2,6</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31" w:left="34" w:hangingChars="161" w:hanging="322"/>
                    <w:jc w:val="right"/>
                    <w:rPr>
                      <w:rFonts w:ascii="Garamond" w:hAnsi="Garamond" w:cs="Calibri"/>
                      <w:sz w:val="20"/>
                      <w:szCs w:val="20"/>
                    </w:rPr>
                  </w:pPr>
                  <w:r w:rsidRPr="00043275">
                    <w:rPr>
                      <w:rFonts w:ascii="Garamond" w:hAnsi="Garamond" w:cs="Calibri"/>
                      <w:sz w:val="20"/>
                      <w:szCs w:val="20"/>
                    </w:rPr>
                    <w:t>5,9</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20" w:left="-24" w:hangingChars="120" w:hanging="240"/>
                    <w:jc w:val="right"/>
                    <w:rPr>
                      <w:rFonts w:ascii="Garamond" w:hAnsi="Garamond" w:cs="Calibri"/>
                      <w:sz w:val="20"/>
                      <w:szCs w:val="20"/>
                    </w:rPr>
                  </w:pPr>
                  <w:r w:rsidRPr="00043275">
                    <w:rPr>
                      <w:rFonts w:ascii="Garamond" w:hAnsi="Garamond" w:cs="Calibri"/>
                      <w:sz w:val="20"/>
                      <w:szCs w:val="20"/>
                    </w:rPr>
                    <w:t>1,4</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08" w:left="-22" w:hangingChars="108" w:hanging="216"/>
                    <w:jc w:val="right"/>
                    <w:rPr>
                      <w:rFonts w:ascii="Garamond" w:hAnsi="Garamond" w:cs="Calibri"/>
                      <w:sz w:val="20"/>
                      <w:szCs w:val="20"/>
                    </w:rPr>
                  </w:pPr>
                  <w:r w:rsidRPr="00043275">
                    <w:rPr>
                      <w:rFonts w:ascii="Garamond" w:hAnsi="Garamond" w:cs="Calibri"/>
                      <w:sz w:val="20"/>
                      <w:szCs w:val="20"/>
                    </w:rPr>
                    <w:t>3,9</w:t>
                  </w:r>
                </w:p>
              </w:tc>
            </w:tr>
            <w:tr w:rsidR="00E017C9" w:rsidRPr="00907A93" w:rsidTr="000471F6">
              <w:trPr>
                <w:trHeight w:val="315"/>
              </w:trPr>
              <w:tc>
                <w:tcPr>
                  <w:tcW w:w="9029" w:type="dxa"/>
                  <w:gridSpan w:val="8"/>
                  <w:tcBorders>
                    <w:top w:val="single" w:sz="4" w:space="0" w:color="auto"/>
                    <w:left w:val="single" w:sz="4" w:space="0" w:color="auto"/>
                    <w:bottom w:val="single" w:sz="4" w:space="0" w:color="auto"/>
                    <w:right w:val="single" w:sz="4" w:space="0" w:color="000000"/>
                  </w:tcBorders>
                  <w:shd w:val="clear" w:color="auto" w:fill="auto"/>
                  <w:noWrap/>
                  <w:tcMar>
                    <w:top w:w="15" w:type="dxa"/>
                    <w:left w:w="270" w:type="dxa"/>
                    <w:bottom w:w="0" w:type="dxa"/>
                    <w:right w:w="15" w:type="dxa"/>
                  </w:tcMar>
                  <w:vAlign w:val="center"/>
                  <w:hideMark/>
                </w:tcPr>
                <w:p w:rsidR="00E017C9" w:rsidRPr="00043275" w:rsidRDefault="00E017C9" w:rsidP="00067D07">
                  <w:pPr>
                    <w:ind w:firstLineChars="200" w:firstLine="360"/>
                    <w:rPr>
                      <w:rFonts w:ascii="Garamond" w:hAnsi="Garamond"/>
                      <w:i/>
                      <w:iCs/>
                      <w:sz w:val="18"/>
                      <w:szCs w:val="18"/>
                    </w:rPr>
                  </w:pPr>
                  <w:r w:rsidRPr="00043275">
                    <w:rPr>
                      <w:rFonts w:ascii="Garamond" w:hAnsi="Garamond"/>
                      <w:i/>
                      <w:iCs/>
                      <w:sz w:val="18"/>
                      <w:szCs w:val="18"/>
                    </w:rPr>
                    <w:t>• Selon le diplôme</w:t>
                  </w:r>
                </w:p>
              </w:tc>
            </w:tr>
            <w:tr w:rsidR="00043275" w:rsidRPr="00907A93" w:rsidTr="00BA18D5">
              <w:trPr>
                <w:trHeight w:val="315"/>
              </w:trPr>
              <w:tc>
                <w:tcPr>
                  <w:tcW w:w="3969" w:type="dxa"/>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907A93" w:rsidRDefault="00043275" w:rsidP="00490D10">
                  <w:pPr>
                    <w:ind w:firstLineChars="400" w:firstLine="720"/>
                    <w:rPr>
                      <w:rFonts w:ascii="Garamond" w:hAnsi="Garamond"/>
                      <w:color w:val="000000"/>
                      <w:sz w:val="18"/>
                      <w:szCs w:val="18"/>
                    </w:rPr>
                  </w:pPr>
                  <w:r w:rsidRPr="00907A93">
                    <w:rPr>
                      <w:rFonts w:ascii="Garamond" w:hAnsi="Garamond"/>
                      <w:color w:val="000000"/>
                      <w:sz w:val="18"/>
                      <w:szCs w:val="18"/>
                    </w:rPr>
                    <w:t>Non diplômés</w:t>
                  </w:r>
                </w:p>
              </w:tc>
              <w:tc>
                <w:tcPr>
                  <w:tcW w:w="934" w:type="dxa"/>
                  <w:tcBorders>
                    <w:top w:val="nil"/>
                    <w:left w:val="nil"/>
                    <w:bottom w:val="single" w:sz="4" w:space="0" w:color="auto"/>
                    <w:right w:val="single" w:sz="4" w:space="0" w:color="auto"/>
                  </w:tcBorders>
                  <w:shd w:val="clear" w:color="auto" w:fill="auto"/>
                  <w:noWrap/>
                  <w:tcMar>
                    <w:top w:w="15" w:type="dxa"/>
                    <w:left w:w="15" w:type="dxa"/>
                    <w:bottom w:w="0" w:type="dxa"/>
                    <w:right w:w="135" w:type="dxa"/>
                  </w:tcMar>
                  <w:hideMark/>
                </w:tcPr>
                <w:p w:rsidR="00043275" w:rsidRPr="00043275" w:rsidRDefault="00043275" w:rsidP="00043275">
                  <w:pPr>
                    <w:ind w:firstLineChars="100" w:firstLine="220"/>
                    <w:jc w:val="right"/>
                    <w:rPr>
                      <w:rFonts w:ascii="Garamond" w:hAnsi="Garamond" w:cs="Calibri"/>
                      <w:sz w:val="24"/>
                      <w:szCs w:val="24"/>
                    </w:rPr>
                  </w:pPr>
                  <w:r w:rsidRPr="00043275">
                    <w:rPr>
                      <w:rFonts w:ascii="Garamond" w:hAnsi="Garamond" w:cs="Calibri"/>
                    </w:rPr>
                    <w:t>6,5</w:t>
                  </w:r>
                </w:p>
              </w:tc>
              <w:tc>
                <w:tcPr>
                  <w:tcW w:w="826" w:type="dxa"/>
                  <w:gridSpan w:val="2"/>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54" w:hangingChars="154" w:hanging="339"/>
                    <w:jc w:val="right"/>
                    <w:rPr>
                      <w:rFonts w:ascii="Garamond" w:hAnsi="Garamond" w:cs="Calibri"/>
                      <w:sz w:val="24"/>
                      <w:szCs w:val="24"/>
                    </w:rPr>
                  </w:pPr>
                  <w:r w:rsidRPr="00043275">
                    <w:rPr>
                      <w:rFonts w:ascii="Garamond" w:hAnsi="Garamond" w:cs="Calibri"/>
                    </w:rPr>
                    <w:t>1,6</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43" w:hangingChars="143" w:hanging="315"/>
                    <w:jc w:val="right"/>
                    <w:rPr>
                      <w:rFonts w:ascii="Garamond" w:hAnsi="Garamond" w:cs="Calibri"/>
                      <w:sz w:val="24"/>
                      <w:szCs w:val="24"/>
                    </w:rPr>
                  </w:pPr>
                  <w:r w:rsidRPr="00043275">
                    <w:rPr>
                      <w:rFonts w:ascii="Garamond" w:hAnsi="Garamond" w:cs="Calibri"/>
                    </w:rPr>
                    <w:t>3,6</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31" w:hangingChars="131" w:hanging="288"/>
                    <w:jc w:val="right"/>
                    <w:rPr>
                      <w:rFonts w:ascii="Garamond" w:hAnsi="Garamond" w:cs="Calibri"/>
                      <w:sz w:val="24"/>
                      <w:szCs w:val="24"/>
                    </w:rPr>
                  </w:pPr>
                  <w:r w:rsidRPr="00043275">
                    <w:rPr>
                      <w:rFonts w:ascii="Garamond" w:hAnsi="Garamond" w:cs="Calibri"/>
                    </w:rPr>
                    <w:t>8,4</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249" w:hangingChars="249" w:hanging="548"/>
                    <w:jc w:val="right"/>
                    <w:rPr>
                      <w:rFonts w:ascii="Garamond" w:hAnsi="Garamond" w:cs="Calibri"/>
                      <w:sz w:val="24"/>
                      <w:szCs w:val="24"/>
                    </w:rPr>
                  </w:pPr>
                  <w:r w:rsidRPr="00043275">
                    <w:rPr>
                      <w:rFonts w:ascii="Garamond" w:hAnsi="Garamond" w:cs="Calibri"/>
                    </w:rPr>
                    <w:t>2,5</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237" w:hangingChars="237" w:hanging="521"/>
                    <w:jc w:val="right"/>
                    <w:rPr>
                      <w:rFonts w:ascii="Garamond" w:hAnsi="Garamond" w:cs="Calibri"/>
                      <w:sz w:val="24"/>
                      <w:szCs w:val="24"/>
                    </w:rPr>
                  </w:pPr>
                  <w:r w:rsidRPr="00043275">
                    <w:rPr>
                      <w:rFonts w:ascii="Garamond" w:hAnsi="Garamond" w:cs="Calibri"/>
                    </w:rPr>
                    <w:t>5,0</w:t>
                  </w:r>
                </w:p>
              </w:tc>
            </w:tr>
            <w:tr w:rsidR="00043275" w:rsidRPr="00907A93" w:rsidTr="00BA18D5">
              <w:trPr>
                <w:trHeight w:val="315"/>
              </w:trPr>
              <w:tc>
                <w:tcPr>
                  <w:tcW w:w="3969" w:type="dxa"/>
                  <w:tcBorders>
                    <w:top w:val="nil"/>
                    <w:left w:val="single" w:sz="4" w:space="0" w:color="auto"/>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907A93" w:rsidRDefault="00043275" w:rsidP="00490D10">
                  <w:pPr>
                    <w:ind w:firstLineChars="400" w:firstLine="720"/>
                    <w:rPr>
                      <w:rFonts w:ascii="Garamond" w:hAnsi="Garamond"/>
                      <w:color w:val="000000"/>
                      <w:sz w:val="18"/>
                      <w:szCs w:val="18"/>
                    </w:rPr>
                  </w:pPr>
                  <w:r w:rsidRPr="00907A93">
                    <w:rPr>
                      <w:rFonts w:ascii="Garamond" w:hAnsi="Garamond"/>
                      <w:color w:val="000000"/>
                      <w:sz w:val="18"/>
                      <w:szCs w:val="18"/>
                    </w:rPr>
                    <w:t>Diplômés</w:t>
                  </w:r>
                </w:p>
              </w:tc>
              <w:tc>
                <w:tcPr>
                  <w:tcW w:w="934" w:type="dxa"/>
                  <w:tcBorders>
                    <w:top w:val="nil"/>
                    <w:left w:val="nil"/>
                    <w:bottom w:val="single" w:sz="4" w:space="0" w:color="auto"/>
                    <w:right w:val="single" w:sz="4" w:space="0" w:color="auto"/>
                  </w:tcBorders>
                  <w:shd w:val="clear" w:color="auto" w:fill="auto"/>
                  <w:noWrap/>
                  <w:tcMar>
                    <w:top w:w="15" w:type="dxa"/>
                    <w:left w:w="15" w:type="dxa"/>
                    <w:bottom w:w="0" w:type="dxa"/>
                    <w:right w:w="135" w:type="dxa"/>
                  </w:tcMar>
                  <w:hideMark/>
                </w:tcPr>
                <w:p w:rsidR="00043275" w:rsidRPr="00043275" w:rsidRDefault="00043275" w:rsidP="00043275">
                  <w:pPr>
                    <w:ind w:firstLineChars="100" w:firstLine="220"/>
                    <w:jc w:val="right"/>
                    <w:rPr>
                      <w:rFonts w:ascii="Garamond" w:hAnsi="Garamond" w:cs="Calibri"/>
                      <w:sz w:val="24"/>
                      <w:szCs w:val="24"/>
                    </w:rPr>
                  </w:pPr>
                  <w:r w:rsidRPr="00043275">
                    <w:rPr>
                      <w:rFonts w:ascii="Garamond" w:hAnsi="Garamond" w:cs="Calibri"/>
                    </w:rPr>
                    <w:t>19,9</w:t>
                  </w:r>
                </w:p>
              </w:tc>
              <w:tc>
                <w:tcPr>
                  <w:tcW w:w="826" w:type="dxa"/>
                  <w:gridSpan w:val="2"/>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90" w:hangingChars="90" w:hanging="198"/>
                    <w:jc w:val="right"/>
                    <w:rPr>
                      <w:rFonts w:ascii="Garamond" w:hAnsi="Garamond" w:cs="Calibri"/>
                      <w:sz w:val="24"/>
                      <w:szCs w:val="24"/>
                    </w:rPr>
                  </w:pPr>
                  <w:r w:rsidRPr="00043275">
                    <w:rPr>
                      <w:rFonts w:ascii="Garamond" w:hAnsi="Garamond" w:cs="Calibri"/>
                    </w:rPr>
                    <w:t>10,4</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43" w:hangingChars="143" w:hanging="315"/>
                    <w:jc w:val="right"/>
                    <w:rPr>
                      <w:rFonts w:ascii="Garamond" w:hAnsi="Garamond" w:cs="Calibri"/>
                      <w:sz w:val="24"/>
                      <w:szCs w:val="24"/>
                    </w:rPr>
                  </w:pPr>
                  <w:r w:rsidRPr="00043275">
                    <w:rPr>
                      <w:rFonts w:ascii="Garamond" w:hAnsi="Garamond" w:cs="Calibri"/>
                    </w:rPr>
                    <w:t>17,8</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67" w:hangingChars="67" w:hanging="147"/>
                    <w:jc w:val="right"/>
                    <w:rPr>
                      <w:rFonts w:ascii="Garamond" w:hAnsi="Garamond" w:cs="Calibri"/>
                      <w:sz w:val="24"/>
                      <w:szCs w:val="24"/>
                    </w:rPr>
                  </w:pPr>
                  <w:r w:rsidRPr="00043275">
                    <w:rPr>
                      <w:rFonts w:ascii="Garamond" w:hAnsi="Garamond" w:cs="Calibri"/>
                    </w:rPr>
                    <w:t>21,7</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55" w:hangingChars="55" w:hanging="121"/>
                    <w:jc w:val="right"/>
                    <w:rPr>
                      <w:rFonts w:ascii="Garamond" w:hAnsi="Garamond" w:cs="Calibri"/>
                      <w:sz w:val="24"/>
                      <w:szCs w:val="24"/>
                    </w:rPr>
                  </w:pPr>
                  <w:r w:rsidRPr="00043275">
                    <w:rPr>
                      <w:rFonts w:ascii="Garamond" w:hAnsi="Garamond" w:cs="Calibri"/>
                    </w:rPr>
                    <w:t>12,6</w:t>
                  </w:r>
                </w:p>
              </w:tc>
              <w:tc>
                <w:tcPr>
                  <w:tcW w:w="825" w:type="dxa"/>
                  <w:tcBorders>
                    <w:top w:val="nil"/>
                    <w:left w:val="nil"/>
                    <w:bottom w:val="single" w:sz="4" w:space="0" w:color="auto"/>
                    <w:right w:val="single" w:sz="4" w:space="0" w:color="auto"/>
                  </w:tcBorders>
                  <w:shd w:val="clear" w:color="auto" w:fill="auto"/>
                  <w:noWrap/>
                  <w:tcMar>
                    <w:top w:w="15" w:type="dxa"/>
                    <w:left w:w="540" w:type="dxa"/>
                    <w:bottom w:w="0" w:type="dxa"/>
                    <w:right w:w="15" w:type="dxa"/>
                  </w:tcMar>
                  <w:hideMark/>
                </w:tcPr>
                <w:p w:rsidR="00043275" w:rsidRPr="00043275" w:rsidRDefault="00043275" w:rsidP="00043275">
                  <w:pPr>
                    <w:ind w:leftChars="-172" w:hangingChars="172" w:hanging="378"/>
                    <w:jc w:val="right"/>
                    <w:rPr>
                      <w:rFonts w:ascii="Garamond" w:hAnsi="Garamond" w:cs="Calibri"/>
                      <w:sz w:val="24"/>
                      <w:szCs w:val="24"/>
                    </w:rPr>
                  </w:pPr>
                  <w:r w:rsidRPr="00043275">
                    <w:rPr>
                      <w:rFonts w:ascii="Garamond" w:hAnsi="Garamond" w:cs="Calibri"/>
                    </w:rPr>
                    <w:t>19,8</w:t>
                  </w:r>
                </w:p>
              </w:tc>
            </w:tr>
          </w:tbl>
          <w:p w:rsidR="00E017C9" w:rsidRPr="00D63663" w:rsidRDefault="00E017C9" w:rsidP="00490D10">
            <w:pPr>
              <w:pStyle w:val="Titre1"/>
              <w:jc w:val="center"/>
              <w:rPr>
                <w:rFonts w:ascii="Book Antiqua" w:hAnsi="Book Antiqua" w:cs="Browallia New"/>
                <w:b/>
                <w:bCs/>
                <w:color w:val="4F81BD" w:themeColor="accent1"/>
                <w:sz w:val="18"/>
                <w:szCs w:val="18"/>
              </w:rPr>
            </w:pPr>
          </w:p>
        </w:tc>
      </w:tr>
    </w:tbl>
    <w:p w:rsidR="00E017C9" w:rsidRDefault="00E017C9" w:rsidP="00E017C9">
      <w:pPr>
        <w:rPr>
          <w:rFonts w:ascii="Book Antiqua" w:eastAsia="Book Antiqua" w:hAnsi="Book Antiqua" w:cs="Book Antiqua"/>
        </w:rPr>
      </w:pPr>
    </w:p>
    <w:p w:rsidR="00E017C9" w:rsidRPr="00D14168" w:rsidRDefault="00E017C9" w:rsidP="00E017C9">
      <w:pPr>
        <w:numPr>
          <w:ilvl w:val="0"/>
          <w:numId w:val="4"/>
        </w:num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r w:rsidRPr="00D14168">
        <w:rPr>
          <w:rFonts w:ascii="Times New Roman" w:eastAsia="Calibri" w:hAnsi="Times New Roman" w:cs="Times New Roman"/>
          <w:color w:val="222222"/>
          <w:sz w:val="20"/>
          <w:szCs w:val="20"/>
          <w:shd w:val="clear" w:color="auto" w:fill="FFFFFF"/>
          <w:lang w:eastAsia="en-US"/>
        </w:rPr>
        <w:t xml:space="preserve">Source : Enquête nationale sur l'emploi, Haut-Commissariat au Plan </w:t>
      </w:r>
    </w:p>
    <w:p w:rsidR="00E017C9" w:rsidRPr="00D14168" w:rsidRDefault="00E017C9" w:rsidP="00E017C9">
      <w:pPr>
        <w:numPr>
          <w:ilvl w:val="0"/>
          <w:numId w:val="4"/>
        </w:num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r w:rsidRPr="00D14168">
        <w:rPr>
          <w:rFonts w:ascii="Times New Roman" w:eastAsia="Calibri" w:hAnsi="Times New Roman" w:cs="Times New Roman"/>
          <w:color w:val="222222"/>
          <w:sz w:val="20"/>
          <w:szCs w:val="20"/>
          <w:shd w:val="clear" w:color="auto" w:fill="FFFFFF"/>
          <w:lang w:eastAsia="en-US"/>
        </w:rPr>
        <w:t>Pour les définitions des concepts et indicateurs utilisés, se référer au glossaire disponible sur le site web du HCP </w:t>
      </w:r>
      <w:r w:rsidRPr="00D14168">
        <w:rPr>
          <w:rFonts w:ascii="Times New Roman" w:eastAsia="Calibri" w:hAnsi="Times New Roman" w:cs="Times New Roman"/>
          <w:b/>
          <w:bCs/>
          <w:color w:val="222222"/>
          <w:sz w:val="20"/>
          <w:szCs w:val="20"/>
          <w:shd w:val="clear" w:color="auto" w:fill="FFFFFF"/>
          <w:lang w:eastAsia="en-US"/>
        </w:rPr>
        <w:t xml:space="preserve">: </w:t>
      </w:r>
      <w:hyperlink r:id="rId14" w:history="1">
        <w:r w:rsidRPr="00D14168">
          <w:rPr>
            <w:rFonts w:ascii="Times New Roman" w:eastAsia="Calibri" w:hAnsi="Times New Roman" w:cs="Times New Roman"/>
            <w:b/>
            <w:bCs/>
            <w:color w:val="222222"/>
            <w:sz w:val="20"/>
            <w:szCs w:val="20"/>
            <w:shd w:val="clear" w:color="auto" w:fill="FFFFFF"/>
            <w:lang w:eastAsia="en-US"/>
          </w:rPr>
          <w:t>http://www.hcp.ma</w:t>
        </w:r>
      </w:hyperlink>
      <w:r w:rsidRPr="00D14168">
        <w:rPr>
          <w:rFonts w:ascii="Times New Roman" w:eastAsia="Calibri" w:hAnsi="Times New Roman" w:cs="Times New Roman"/>
          <w:color w:val="222222"/>
          <w:sz w:val="20"/>
          <w:szCs w:val="20"/>
          <w:shd w:val="clear" w:color="auto" w:fill="FFFFFF"/>
          <w:lang w:eastAsia="en-US"/>
        </w:rPr>
        <w:t>.</w:t>
      </w:r>
    </w:p>
    <w:p w:rsidR="00E017C9" w:rsidRDefault="00E017C9" w:rsidP="002A5048">
      <w:pPr>
        <w:numPr>
          <w:ilvl w:val="0"/>
          <w:numId w:val="4"/>
        </w:num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r w:rsidRPr="00F7064B">
        <w:rPr>
          <w:rFonts w:ascii="Times New Roman" w:eastAsia="Calibri" w:hAnsi="Times New Roman" w:cs="Times New Roman"/>
          <w:color w:val="222222"/>
          <w:sz w:val="20"/>
          <w:szCs w:val="20"/>
          <w:shd w:val="clear" w:color="auto" w:fill="FFFFFF"/>
          <w:lang w:eastAsia="en-US"/>
        </w:rPr>
        <w:t>Les données chiffrées sont arrondies. Le résultat arrondi d’une combinaison de données chiffrées (qui fait intervenir leurs valeurs réelles) peut se trouver légèrement différent de celui que donnerait la combinaison de leurs valeurs arrondies.</w:t>
      </w: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tbl>
      <w:tblPr>
        <w:tblStyle w:val="Grilledutableau"/>
        <w:tblW w:w="4965" w:type="pct"/>
        <w:tblLayout w:type="fixed"/>
        <w:tblLook w:val="04A0"/>
      </w:tblPr>
      <w:tblGrid>
        <w:gridCol w:w="4626"/>
        <w:gridCol w:w="2310"/>
        <w:gridCol w:w="2244"/>
      </w:tblGrid>
      <w:tr w:rsidR="007A0E16" w:rsidRPr="002900EE" w:rsidTr="003839A4">
        <w:trPr>
          <w:trHeight w:val="315"/>
        </w:trPr>
        <w:tc>
          <w:tcPr>
            <w:tcW w:w="5000" w:type="pct"/>
            <w:gridSpan w:val="3"/>
            <w:tcBorders>
              <w:top w:val="nil"/>
              <w:left w:val="nil"/>
              <w:bottom w:val="single" w:sz="4" w:space="0" w:color="auto"/>
              <w:right w:val="nil"/>
            </w:tcBorders>
            <w:noWrap/>
            <w:hideMark/>
          </w:tcPr>
          <w:p w:rsidR="007A0E16" w:rsidRPr="002900EE" w:rsidRDefault="007A0E16" w:rsidP="002A5048">
            <w:pPr>
              <w:rPr>
                <w:rFonts w:ascii="Book Antiqua" w:eastAsia="Book Antiqua" w:hAnsi="Book Antiqua" w:cs="Book Antiqua"/>
                <w:b/>
                <w:bCs/>
              </w:rPr>
            </w:pPr>
            <w:r w:rsidRPr="007A0E16">
              <w:rPr>
                <w:rFonts w:ascii="Book Antiqua" w:eastAsia="Book Antiqua" w:hAnsi="Book Antiqua" w:cs="Book Antiqua"/>
                <w:b/>
                <w:color w:val="0070C0"/>
                <w:sz w:val="20"/>
                <w:szCs w:val="20"/>
              </w:rPr>
              <w:lastRenderedPageBreak/>
              <w:t>Tableau 2 : Taux d'activité, d’emploi et de chômage par région (en%)</w:t>
            </w:r>
          </w:p>
        </w:tc>
      </w:tr>
      <w:tr w:rsidR="007A0E16" w:rsidRPr="002900EE" w:rsidTr="0011286A">
        <w:trPr>
          <w:trHeight w:val="315"/>
        </w:trPr>
        <w:tc>
          <w:tcPr>
            <w:tcW w:w="2520" w:type="pct"/>
            <w:tcBorders>
              <w:top w:val="single" w:sz="4" w:space="0" w:color="auto"/>
            </w:tcBorders>
            <w:noWrap/>
            <w:hideMark/>
          </w:tcPr>
          <w:p w:rsidR="007A0E16" w:rsidRPr="00D14168" w:rsidRDefault="007A0E16" w:rsidP="002A5048">
            <w:pPr>
              <w:rPr>
                <w:rFonts w:ascii="Garamond" w:eastAsia="Book Antiqua" w:hAnsi="Garamond" w:cs="Book Antiqua"/>
                <w:sz w:val="18"/>
                <w:szCs w:val="18"/>
              </w:rPr>
            </w:pPr>
            <w:r w:rsidRPr="00D14168">
              <w:rPr>
                <w:rFonts w:ascii="Garamond" w:eastAsia="Book Antiqua" w:hAnsi="Garamond" w:cs="Book Antiqua"/>
                <w:sz w:val="18"/>
                <w:szCs w:val="18"/>
              </w:rPr>
              <w:t> </w:t>
            </w:r>
          </w:p>
        </w:tc>
        <w:tc>
          <w:tcPr>
            <w:tcW w:w="1258" w:type="pct"/>
            <w:tcBorders>
              <w:top w:val="single" w:sz="4" w:space="0" w:color="auto"/>
            </w:tcBorders>
            <w:shd w:val="clear" w:color="auto" w:fill="auto"/>
            <w:noWrap/>
            <w:hideMark/>
          </w:tcPr>
          <w:p w:rsidR="007A0E16" w:rsidRPr="0011286A" w:rsidRDefault="005E6710" w:rsidP="002A5048">
            <w:pPr>
              <w:jc w:val="center"/>
              <w:rPr>
                <w:rFonts w:ascii="Garamond" w:eastAsia="Book Antiqua" w:hAnsi="Garamond" w:cs="Book Antiqua"/>
                <w:b/>
                <w:bCs/>
                <w:sz w:val="18"/>
                <w:szCs w:val="18"/>
              </w:rPr>
            </w:pPr>
            <w:r w:rsidRPr="0011286A">
              <w:rPr>
                <w:rFonts w:ascii="Garamond" w:eastAsia="Book Antiqua" w:hAnsi="Garamond" w:cs="Book Antiqua"/>
                <w:b/>
                <w:bCs/>
                <w:sz w:val="18"/>
                <w:szCs w:val="18"/>
              </w:rPr>
              <w:t>1</w:t>
            </w:r>
            <w:r w:rsidRPr="0011286A">
              <w:rPr>
                <w:rFonts w:ascii="Garamond" w:eastAsia="Book Antiqua" w:hAnsi="Garamond" w:cs="Book Antiqua"/>
                <w:b/>
                <w:bCs/>
                <w:sz w:val="18"/>
                <w:szCs w:val="18"/>
                <w:vertAlign w:val="superscript"/>
              </w:rPr>
              <w:t>er</w:t>
            </w:r>
            <w:r w:rsidR="007A0E16" w:rsidRPr="0011286A">
              <w:rPr>
                <w:rFonts w:ascii="Garamond" w:eastAsia="Book Antiqua" w:hAnsi="Garamond" w:cs="Book Antiqua"/>
                <w:b/>
                <w:bCs/>
                <w:sz w:val="18"/>
                <w:szCs w:val="18"/>
              </w:rPr>
              <w:t xml:space="preserve">trimestre de </w:t>
            </w:r>
            <w:r w:rsidR="00AC7186" w:rsidRPr="0011286A">
              <w:rPr>
                <w:rFonts w:ascii="Garamond" w:eastAsia="Book Antiqua" w:hAnsi="Garamond" w:cs="Book Antiqua"/>
                <w:b/>
                <w:bCs/>
                <w:sz w:val="18"/>
                <w:szCs w:val="18"/>
              </w:rPr>
              <w:t>2020</w:t>
            </w:r>
          </w:p>
        </w:tc>
        <w:tc>
          <w:tcPr>
            <w:tcW w:w="1222" w:type="pct"/>
            <w:tcBorders>
              <w:top w:val="single" w:sz="4" w:space="0" w:color="auto"/>
            </w:tcBorders>
            <w:shd w:val="clear" w:color="auto" w:fill="auto"/>
            <w:noWrap/>
            <w:hideMark/>
          </w:tcPr>
          <w:p w:rsidR="007A0E16" w:rsidRPr="0011286A" w:rsidRDefault="005E6710" w:rsidP="002A5048">
            <w:pPr>
              <w:jc w:val="center"/>
              <w:rPr>
                <w:rFonts w:ascii="Garamond" w:eastAsia="Book Antiqua" w:hAnsi="Garamond" w:cs="Book Antiqua"/>
                <w:b/>
                <w:bCs/>
                <w:sz w:val="18"/>
                <w:szCs w:val="18"/>
              </w:rPr>
            </w:pPr>
            <w:r w:rsidRPr="0011286A">
              <w:rPr>
                <w:rFonts w:ascii="Garamond" w:eastAsia="Book Antiqua" w:hAnsi="Garamond" w:cs="Book Antiqua"/>
                <w:b/>
                <w:bCs/>
                <w:sz w:val="18"/>
                <w:szCs w:val="18"/>
              </w:rPr>
              <w:t>1</w:t>
            </w:r>
            <w:r w:rsidRPr="0011286A">
              <w:rPr>
                <w:rFonts w:ascii="Garamond" w:eastAsia="Book Antiqua" w:hAnsi="Garamond" w:cs="Book Antiqua"/>
                <w:b/>
                <w:bCs/>
                <w:sz w:val="18"/>
                <w:szCs w:val="18"/>
                <w:vertAlign w:val="superscript"/>
              </w:rPr>
              <w:t>er</w:t>
            </w:r>
            <w:r w:rsidR="007A0E16" w:rsidRPr="0011286A">
              <w:rPr>
                <w:rFonts w:ascii="Garamond" w:eastAsia="Book Antiqua" w:hAnsi="Garamond" w:cs="Book Antiqua"/>
                <w:b/>
                <w:bCs/>
                <w:sz w:val="18"/>
                <w:szCs w:val="18"/>
              </w:rPr>
              <w:t xml:space="preserve"> trimestre de 202</w:t>
            </w:r>
            <w:r w:rsidR="00AC7186" w:rsidRPr="0011286A">
              <w:rPr>
                <w:rFonts w:ascii="Garamond" w:eastAsia="Book Antiqua" w:hAnsi="Garamond" w:cs="Book Antiqua"/>
                <w:b/>
                <w:bCs/>
                <w:sz w:val="18"/>
                <w:szCs w:val="18"/>
              </w:rPr>
              <w:t>1</w:t>
            </w:r>
          </w:p>
        </w:tc>
      </w:tr>
      <w:tr w:rsidR="007A0E16" w:rsidRPr="002900EE" w:rsidTr="003839A4">
        <w:trPr>
          <w:trHeight w:val="315"/>
        </w:trPr>
        <w:tc>
          <w:tcPr>
            <w:tcW w:w="5000" w:type="pct"/>
            <w:gridSpan w:val="3"/>
            <w:noWrap/>
            <w:hideMark/>
          </w:tcPr>
          <w:p w:rsidR="007A0E16" w:rsidRPr="007A0E16" w:rsidRDefault="007A0E16" w:rsidP="002A5048">
            <w:pPr>
              <w:rPr>
                <w:rFonts w:ascii="Garamond" w:eastAsia="Book Antiqua" w:hAnsi="Garamond" w:cs="Book Antiqua"/>
                <w:b/>
                <w:bCs/>
                <w:color w:val="0070C0"/>
                <w:sz w:val="18"/>
                <w:szCs w:val="18"/>
              </w:rPr>
            </w:pPr>
            <w:r w:rsidRPr="007A0E16">
              <w:rPr>
                <w:rFonts w:ascii="Garamond" w:hAnsi="Garamond"/>
                <w:b/>
                <w:bCs/>
                <w:color w:val="0070C0"/>
                <w:sz w:val="18"/>
                <w:szCs w:val="18"/>
              </w:rPr>
              <w:t>Taux d'activité (des 15 ans ou plus)</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Tanger-Tétouan-Al Hoceïma</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48,6</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48,1</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Oriental</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42,8</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41,6</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Fès-Meknès</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42,7</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42,5</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Rabat-Salé-Kénitra</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44,9</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44,4</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Béni Mellal-Khénifra</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43,8</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44,9</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Casablanca-Settat</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49,7</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48,6</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Marrakech-Safi</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47,8</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46,8</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Drâa-Tafilalet</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44,8</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46,4</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Souss-Massa</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43,0</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42,3</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Régions du Sud</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44,6</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45,3</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b/>
                <w:bCs/>
                <w:sz w:val="18"/>
                <w:szCs w:val="18"/>
              </w:rPr>
            </w:pPr>
            <w:r w:rsidRPr="00D14168">
              <w:rPr>
                <w:rFonts w:ascii="Garamond" w:eastAsia="Book Antiqua" w:hAnsi="Garamond" w:cs="Book Antiqua"/>
                <w:b/>
                <w:bCs/>
                <w:sz w:val="18"/>
                <w:szCs w:val="18"/>
              </w:rPr>
              <w:t>Ensemble</w:t>
            </w:r>
          </w:p>
        </w:tc>
        <w:tc>
          <w:tcPr>
            <w:tcW w:w="1258" w:type="pct"/>
            <w:noWrap/>
            <w:vAlign w:val="bottom"/>
            <w:hideMark/>
          </w:tcPr>
          <w:p w:rsidR="003839A4" w:rsidRDefault="003839A4" w:rsidP="003839A4">
            <w:pPr>
              <w:ind w:firstLineChars="300" w:firstLine="663"/>
              <w:jc w:val="center"/>
              <w:rPr>
                <w:rFonts w:ascii="Garamond" w:hAnsi="Garamond" w:cs="Calibri"/>
                <w:b/>
                <w:bCs/>
                <w:color w:val="000000"/>
                <w:sz w:val="24"/>
                <w:szCs w:val="24"/>
              </w:rPr>
            </w:pPr>
            <w:r>
              <w:rPr>
                <w:rFonts w:ascii="Garamond" w:hAnsi="Garamond" w:cs="Calibri"/>
                <w:b/>
                <w:bCs/>
                <w:color w:val="000000"/>
              </w:rPr>
              <w:t>46,0</w:t>
            </w:r>
          </w:p>
        </w:tc>
        <w:tc>
          <w:tcPr>
            <w:tcW w:w="1222" w:type="pct"/>
            <w:noWrap/>
            <w:vAlign w:val="bottom"/>
            <w:hideMark/>
          </w:tcPr>
          <w:p w:rsidR="003839A4" w:rsidRDefault="003839A4" w:rsidP="003839A4">
            <w:pPr>
              <w:ind w:firstLineChars="300" w:firstLine="663"/>
              <w:jc w:val="center"/>
              <w:rPr>
                <w:rFonts w:ascii="Garamond" w:hAnsi="Garamond" w:cs="Calibri"/>
                <w:b/>
                <w:bCs/>
                <w:color w:val="000000"/>
                <w:sz w:val="24"/>
                <w:szCs w:val="24"/>
              </w:rPr>
            </w:pPr>
            <w:r>
              <w:rPr>
                <w:rFonts w:ascii="Garamond" w:hAnsi="Garamond" w:cs="Calibri"/>
                <w:b/>
                <w:bCs/>
                <w:color w:val="000000"/>
              </w:rPr>
              <w:t>45,5</w:t>
            </w:r>
          </w:p>
        </w:tc>
      </w:tr>
      <w:tr w:rsidR="007A0E16" w:rsidRPr="002900EE" w:rsidTr="003839A4">
        <w:trPr>
          <w:trHeight w:val="315"/>
        </w:trPr>
        <w:tc>
          <w:tcPr>
            <w:tcW w:w="5000" w:type="pct"/>
            <w:gridSpan w:val="3"/>
            <w:noWrap/>
            <w:hideMark/>
          </w:tcPr>
          <w:p w:rsidR="007A0E16" w:rsidRPr="007A0E16" w:rsidRDefault="007A0E16" w:rsidP="002A5048">
            <w:pPr>
              <w:rPr>
                <w:rFonts w:ascii="Garamond" w:eastAsia="Book Antiqua" w:hAnsi="Garamond" w:cs="Book Antiqua"/>
                <w:b/>
                <w:bCs/>
                <w:color w:val="0070C0"/>
                <w:sz w:val="18"/>
                <w:szCs w:val="18"/>
              </w:rPr>
            </w:pPr>
            <w:r w:rsidRPr="007A0E16">
              <w:rPr>
                <w:rFonts w:ascii="Garamond" w:hAnsi="Garamond"/>
                <w:b/>
                <w:bCs/>
                <w:color w:val="0070C0"/>
                <w:sz w:val="18"/>
                <w:szCs w:val="18"/>
              </w:rPr>
              <w:t>Taux d'emploi (des 15 ans ou plus)</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Tanger-Tétouan-Al Hoceïma</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44,3</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42,4</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Oriental</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34,8</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33,9</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Fès-Meknès</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37,7</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36,7</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Rabat-Salé-Kénitra</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39,6</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38,9</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Béni Mellal-Khénifra</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41,2</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41,0</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Casablanca-Settat</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43,6</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41,2</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Marrakech-Safi</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45,2</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43,0</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Drâa-Tafilalet</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41,8</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42,8</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Souss-Massa</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38,9</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38,1</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Régions du Sud</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37,2</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36,4</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b/>
                <w:bCs/>
                <w:sz w:val="18"/>
                <w:szCs w:val="18"/>
              </w:rPr>
            </w:pPr>
            <w:r w:rsidRPr="00D14168">
              <w:rPr>
                <w:rFonts w:ascii="Garamond" w:eastAsia="Book Antiqua" w:hAnsi="Garamond" w:cs="Book Antiqua"/>
                <w:b/>
                <w:bCs/>
                <w:sz w:val="18"/>
                <w:szCs w:val="18"/>
              </w:rPr>
              <w:t>Ensemble</w:t>
            </w:r>
          </w:p>
        </w:tc>
        <w:tc>
          <w:tcPr>
            <w:tcW w:w="1258" w:type="pct"/>
            <w:noWrap/>
            <w:vAlign w:val="bottom"/>
            <w:hideMark/>
          </w:tcPr>
          <w:p w:rsidR="003839A4" w:rsidRDefault="003839A4" w:rsidP="003839A4">
            <w:pPr>
              <w:ind w:firstLineChars="300" w:firstLine="663"/>
              <w:jc w:val="center"/>
              <w:rPr>
                <w:rFonts w:ascii="Garamond" w:hAnsi="Garamond" w:cs="Calibri"/>
                <w:b/>
                <w:bCs/>
                <w:color w:val="000000"/>
                <w:sz w:val="24"/>
                <w:szCs w:val="24"/>
              </w:rPr>
            </w:pPr>
            <w:r>
              <w:rPr>
                <w:rFonts w:ascii="Garamond" w:hAnsi="Garamond" w:cs="Calibri"/>
                <w:b/>
                <w:bCs/>
                <w:color w:val="000000"/>
              </w:rPr>
              <w:t>41,2</w:t>
            </w:r>
          </w:p>
        </w:tc>
        <w:tc>
          <w:tcPr>
            <w:tcW w:w="1222" w:type="pct"/>
            <w:noWrap/>
            <w:vAlign w:val="bottom"/>
            <w:hideMark/>
          </w:tcPr>
          <w:p w:rsidR="003839A4" w:rsidRDefault="003839A4" w:rsidP="003839A4">
            <w:pPr>
              <w:ind w:firstLineChars="300" w:firstLine="663"/>
              <w:jc w:val="center"/>
              <w:rPr>
                <w:rFonts w:ascii="Garamond" w:hAnsi="Garamond" w:cs="Calibri"/>
                <w:b/>
                <w:bCs/>
                <w:color w:val="000000"/>
                <w:sz w:val="24"/>
                <w:szCs w:val="24"/>
              </w:rPr>
            </w:pPr>
            <w:r>
              <w:rPr>
                <w:rFonts w:ascii="Garamond" w:hAnsi="Garamond" w:cs="Calibri"/>
                <w:b/>
                <w:bCs/>
                <w:color w:val="000000"/>
              </w:rPr>
              <w:t>39,9</w:t>
            </w:r>
          </w:p>
        </w:tc>
      </w:tr>
      <w:tr w:rsidR="007A0E16" w:rsidRPr="002900EE" w:rsidTr="003839A4">
        <w:trPr>
          <w:trHeight w:val="315"/>
        </w:trPr>
        <w:tc>
          <w:tcPr>
            <w:tcW w:w="5000" w:type="pct"/>
            <w:gridSpan w:val="3"/>
            <w:noWrap/>
            <w:hideMark/>
          </w:tcPr>
          <w:p w:rsidR="007A0E16" w:rsidRPr="00D14168" w:rsidRDefault="007A0E16" w:rsidP="002A5048">
            <w:pPr>
              <w:rPr>
                <w:rFonts w:ascii="Garamond" w:eastAsia="Book Antiqua" w:hAnsi="Garamond" w:cs="Book Antiqua"/>
                <w:b/>
                <w:bCs/>
                <w:sz w:val="18"/>
                <w:szCs w:val="18"/>
              </w:rPr>
            </w:pPr>
            <w:r w:rsidRPr="007A0E16">
              <w:rPr>
                <w:rFonts w:ascii="Garamond" w:hAnsi="Garamond"/>
                <w:b/>
                <w:bCs/>
                <w:color w:val="0070C0"/>
                <w:sz w:val="18"/>
                <w:szCs w:val="18"/>
              </w:rPr>
              <w:t>Taux de chômage</w:t>
            </w:r>
          </w:p>
        </w:tc>
      </w:tr>
      <w:tr w:rsidR="003839A4" w:rsidRPr="002900EE" w:rsidTr="003839A4">
        <w:trPr>
          <w:trHeight w:val="315"/>
        </w:trPr>
        <w:tc>
          <w:tcPr>
            <w:tcW w:w="2520" w:type="pct"/>
            <w:noWrap/>
            <w:hideMark/>
          </w:tcPr>
          <w:p w:rsidR="003839A4" w:rsidRPr="00D14168" w:rsidRDefault="003839A4" w:rsidP="00C33BDF">
            <w:pPr>
              <w:tabs>
                <w:tab w:val="left" w:pos="2505"/>
              </w:tabs>
              <w:rPr>
                <w:rFonts w:ascii="Garamond" w:eastAsia="Book Antiqua" w:hAnsi="Garamond" w:cs="Book Antiqua"/>
                <w:sz w:val="18"/>
                <w:szCs w:val="18"/>
              </w:rPr>
            </w:pPr>
            <w:r w:rsidRPr="00D14168">
              <w:rPr>
                <w:rFonts w:ascii="Garamond" w:eastAsia="Book Antiqua" w:hAnsi="Garamond" w:cs="Book Antiqua"/>
                <w:sz w:val="18"/>
                <w:szCs w:val="18"/>
              </w:rPr>
              <w:t>Tanger-Tétouan-Al Hoceïma</w:t>
            </w:r>
            <w:r w:rsidR="00C33BDF">
              <w:rPr>
                <w:rFonts w:ascii="Garamond" w:eastAsia="Book Antiqua" w:hAnsi="Garamond" w:cs="Book Antiqua"/>
                <w:sz w:val="18"/>
                <w:szCs w:val="18"/>
              </w:rPr>
              <w:tab/>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8,9</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11,9</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Oriental</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18,8</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18,7</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Fès-Meknès</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11,8</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13,6</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Rabat-Salé-Kénitra</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11,8</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12,3</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Béni Mellal-Khénifra</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6,0</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8,8</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Casablanca-Settat</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12,4</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15,3</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Marrakech-Safi</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5,4</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7,9</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Drâa-Tafilalet</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6,5</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7,8</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Souss-Massa</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9,5</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10,0</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sz w:val="18"/>
                <w:szCs w:val="18"/>
              </w:rPr>
            </w:pPr>
            <w:r w:rsidRPr="00D14168">
              <w:rPr>
                <w:rFonts w:ascii="Garamond" w:eastAsia="Book Antiqua" w:hAnsi="Garamond" w:cs="Book Antiqua"/>
                <w:sz w:val="18"/>
                <w:szCs w:val="18"/>
              </w:rPr>
              <w:t>Régions du Sud</w:t>
            </w:r>
          </w:p>
        </w:tc>
        <w:tc>
          <w:tcPr>
            <w:tcW w:w="1258"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16,7</w:t>
            </w:r>
          </w:p>
        </w:tc>
        <w:tc>
          <w:tcPr>
            <w:tcW w:w="1222" w:type="pct"/>
            <w:noWrap/>
            <w:vAlign w:val="bottom"/>
            <w:hideMark/>
          </w:tcPr>
          <w:p w:rsidR="003839A4" w:rsidRDefault="003839A4" w:rsidP="003839A4">
            <w:pPr>
              <w:ind w:firstLineChars="300" w:firstLine="660"/>
              <w:jc w:val="center"/>
              <w:rPr>
                <w:rFonts w:ascii="Garamond" w:hAnsi="Garamond" w:cs="Calibri"/>
                <w:color w:val="000000"/>
                <w:sz w:val="24"/>
                <w:szCs w:val="24"/>
              </w:rPr>
            </w:pPr>
            <w:r>
              <w:rPr>
                <w:rFonts w:ascii="Garamond" w:hAnsi="Garamond" w:cs="Calibri"/>
                <w:color w:val="000000"/>
              </w:rPr>
              <w:t>19,6</w:t>
            </w:r>
          </w:p>
        </w:tc>
      </w:tr>
      <w:tr w:rsidR="003839A4" w:rsidRPr="002900EE" w:rsidTr="003839A4">
        <w:trPr>
          <w:trHeight w:val="315"/>
        </w:trPr>
        <w:tc>
          <w:tcPr>
            <w:tcW w:w="2520" w:type="pct"/>
            <w:noWrap/>
            <w:hideMark/>
          </w:tcPr>
          <w:p w:rsidR="003839A4" w:rsidRPr="00D14168" w:rsidRDefault="003839A4" w:rsidP="002A5048">
            <w:pPr>
              <w:rPr>
                <w:rFonts w:ascii="Garamond" w:eastAsia="Book Antiqua" w:hAnsi="Garamond" w:cs="Book Antiqua"/>
                <w:b/>
                <w:bCs/>
                <w:sz w:val="18"/>
                <w:szCs w:val="18"/>
              </w:rPr>
            </w:pPr>
            <w:r w:rsidRPr="00D14168">
              <w:rPr>
                <w:rFonts w:ascii="Garamond" w:eastAsia="Book Antiqua" w:hAnsi="Garamond" w:cs="Book Antiqua"/>
                <w:b/>
                <w:bCs/>
                <w:sz w:val="18"/>
                <w:szCs w:val="18"/>
              </w:rPr>
              <w:t>Ensemble</w:t>
            </w:r>
          </w:p>
        </w:tc>
        <w:tc>
          <w:tcPr>
            <w:tcW w:w="1258" w:type="pct"/>
            <w:noWrap/>
            <w:vAlign w:val="bottom"/>
            <w:hideMark/>
          </w:tcPr>
          <w:p w:rsidR="003839A4" w:rsidRDefault="003839A4" w:rsidP="003839A4">
            <w:pPr>
              <w:ind w:firstLineChars="300" w:firstLine="663"/>
              <w:jc w:val="center"/>
              <w:rPr>
                <w:rFonts w:ascii="Garamond" w:hAnsi="Garamond" w:cs="Calibri"/>
                <w:b/>
                <w:bCs/>
                <w:color w:val="000000"/>
                <w:sz w:val="24"/>
                <w:szCs w:val="24"/>
              </w:rPr>
            </w:pPr>
            <w:r>
              <w:rPr>
                <w:rFonts w:ascii="Garamond" w:hAnsi="Garamond" w:cs="Calibri"/>
                <w:b/>
                <w:bCs/>
                <w:color w:val="000000"/>
              </w:rPr>
              <w:t>10,5</w:t>
            </w:r>
          </w:p>
        </w:tc>
        <w:tc>
          <w:tcPr>
            <w:tcW w:w="1222" w:type="pct"/>
            <w:noWrap/>
            <w:vAlign w:val="bottom"/>
            <w:hideMark/>
          </w:tcPr>
          <w:p w:rsidR="003839A4" w:rsidRDefault="003839A4" w:rsidP="003839A4">
            <w:pPr>
              <w:ind w:firstLineChars="300" w:firstLine="663"/>
              <w:jc w:val="center"/>
              <w:rPr>
                <w:rFonts w:ascii="Garamond" w:hAnsi="Garamond" w:cs="Calibri"/>
                <w:b/>
                <w:bCs/>
                <w:color w:val="000000"/>
                <w:sz w:val="24"/>
                <w:szCs w:val="24"/>
              </w:rPr>
            </w:pPr>
            <w:r>
              <w:rPr>
                <w:rFonts w:ascii="Garamond" w:hAnsi="Garamond" w:cs="Calibri"/>
                <w:b/>
                <w:bCs/>
                <w:color w:val="000000"/>
              </w:rPr>
              <w:t>12,5</w:t>
            </w:r>
          </w:p>
        </w:tc>
      </w:tr>
    </w:tbl>
    <w:p w:rsidR="00102DA0" w:rsidRPr="00D14168" w:rsidRDefault="00102DA0" w:rsidP="00102DA0">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r w:rsidRPr="00D14168">
        <w:rPr>
          <w:rFonts w:ascii="Times New Roman" w:eastAsia="Calibri" w:hAnsi="Times New Roman" w:cs="Times New Roman"/>
          <w:color w:val="222222"/>
          <w:sz w:val="20"/>
          <w:szCs w:val="20"/>
          <w:shd w:val="clear" w:color="auto" w:fill="FFFFFF"/>
          <w:lang w:eastAsia="en-US"/>
        </w:rPr>
        <w:t xml:space="preserve">Source : Enquête nationale sur l'emploi, Haut-Commissariat au Plan </w:t>
      </w:r>
    </w:p>
    <w:p w:rsidR="007A0E16" w:rsidRDefault="007A0E16" w:rsidP="007A0E16">
      <w:pPr>
        <w:tabs>
          <w:tab w:val="left" w:pos="-720"/>
        </w:tabs>
        <w:suppressAutoHyphens/>
        <w:spacing w:after="160" w:line="259" w:lineRule="auto"/>
        <w:contextualSpacing/>
        <w:jc w:val="both"/>
        <w:rPr>
          <w:rFonts w:ascii="Times New Roman" w:eastAsia="Calibri" w:hAnsi="Times New Roman" w:cs="Times New Roman"/>
          <w:color w:val="222222"/>
          <w:sz w:val="20"/>
          <w:szCs w:val="20"/>
          <w:shd w:val="clear" w:color="auto" w:fill="FFFFFF"/>
          <w:lang w:eastAsia="en-US"/>
        </w:rPr>
      </w:pPr>
    </w:p>
    <w:sectPr w:rsidR="007A0E16" w:rsidSect="004B724C">
      <w:footerReference w:type="default" r:id="rId15"/>
      <w:pgSz w:w="11909" w:h="16834"/>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970" w:rsidRDefault="00A20970">
      <w:pPr>
        <w:spacing w:line="240" w:lineRule="auto"/>
      </w:pPr>
      <w:r>
        <w:separator/>
      </w:r>
    </w:p>
  </w:endnote>
  <w:endnote w:type="continuationSeparator" w:id="0">
    <w:p w:rsidR="00A20970" w:rsidRDefault="00A209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Browallia New">
    <w:altName w:val="Arial Unicode MS"/>
    <w:panose1 w:val="020B0604020202020204"/>
    <w:charset w:val="DE"/>
    <w:family w:val="swiss"/>
    <w:pitch w:val="variable"/>
    <w:sig w:usb0="00000000"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1622249"/>
      <w:docPartObj>
        <w:docPartGallery w:val="Page Numbers (Bottom of Page)"/>
        <w:docPartUnique/>
      </w:docPartObj>
    </w:sdtPr>
    <w:sdtEndPr>
      <w:rPr>
        <w:noProof/>
      </w:rPr>
    </w:sdtEndPr>
    <w:sdtContent>
      <w:p w:rsidR="00EF5D73" w:rsidRDefault="00591530">
        <w:pPr>
          <w:pStyle w:val="Pieddepage"/>
          <w:jc w:val="center"/>
        </w:pPr>
        <w:r>
          <w:fldChar w:fldCharType="begin"/>
        </w:r>
        <w:r w:rsidR="00913AA3">
          <w:instrText xml:space="preserve"> PAGE   \* MERGEFORMAT </w:instrText>
        </w:r>
        <w:r>
          <w:fldChar w:fldCharType="separate"/>
        </w:r>
        <w:r w:rsidR="00E625C9">
          <w:rPr>
            <w:noProof/>
          </w:rPr>
          <w:t>1</w:t>
        </w:r>
        <w:r>
          <w:rPr>
            <w:noProof/>
          </w:rPr>
          <w:fldChar w:fldCharType="end"/>
        </w:r>
      </w:p>
    </w:sdtContent>
  </w:sdt>
  <w:p w:rsidR="00EF5D73" w:rsidRDefault="00EF5D73">
    <w:pPr>
      <w:spacing w:before="240" w:after="24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970" w:rsidRDefault="00A20970">
      <w:pPr>
        <w:spacing w:line="240" w:lineRule="auto"/>
      </w:pPr>
      <w:r>
        <w:separator/>
      </w:r>
    </w:p>
  </w:footnote>
  <w:footnote w:type="continuationSeparator" w:id="0">
    <w:p w:rsidR="00A20970" w:rsidRDefault="00A20970">
      <w:pPr>
        <w:spacing w:line="240" w:lineRule="auto"/>
      </w:pPr>
      <w:r>
        <w:continuationSeparator/>
      </w:r>
    </w:p>
  </w:footnote>
  <w:footnote w:id="1">
    <w:p w:rsidR="00A04035" w:rsidRPr="00A66731" w:rsidRDefault="00A04035" w:rsidP="00A04035">
      <w:pPr>
        <w:spacing w:before="240" w:after="240" w:line="312" w:lineRule="auto"/>
        <w:jc w:val="both"/>
        <w:rPr>
          <w:sz w:val="14"/>
          <w:szCs w:val="14"/>
        </w:rPr>
      </w:pPr>
      <w:r w:rsidRPr="00B365DC">
        <w:rPr>
          <w:rStyle w:val="Appelnotedebasdep"/>
        </w:rPr>
        <w:footnoteRef/>
      </w:r>
      <w:r w:rsidRPr="00B365DC">
        <w:t xml:space="preserve"> </w:t>
      </w:r>
      <w:r w:rsidRPr="00B365DC">
        <w:rPr>
          <w:sz w:val="14"/>
          <w:szCs w:val="14"/>
        </w:rPr>
        <w:t>Estimation basée sur l’auto-définition des déclarants.</w:t>
      </w:r>
    </w:p>
  </w:footnote>
  <w:footnote w:id="2">
    <w:p w:rsidR="00EF5D73" w:rsidRDefault="00EF5D73">
      <w:pPr>
        <w:pStyle w:val="Notedebasdepage"/>
      </w:pPr>
      <w:r>
        <w:rPr>
          <w:rStyle w:val="Appelnotedebasdep"/>
        </w:rPr>
        <w:footnoteRef/>
      </w:r>
      <w:r>
        <w:rPr>
          <w:sz w:val="14"/>
          <w:szCs w:val="14"/>
        </w:rPr>
        <w:t xml:space="preserve">  </w:t>
      </w:r>
      <w:r w:rsidRPr="00B84F3C">
        <w:rPr>
          <w:sz w:val="14"/>
          <w:szCs w:val="14"/>
        </w:rPr>
        <w:t>L’écart entre la baisse d’emploi au niveau global et par secteurs concerne les activités mal ou non désignées</w:t>
      </w:r>
      <w:r>
        <w:rPr>
          <w:sz w:val="14"/>
          <w:szCs w:val="14"/>
        </w:rPr>
        <w:t>.</w:t>
      </w:r>
    </w:p>
  </w:footnote>
  <w:footnote w:id="3">
    <w:p w:rsidR="00EF5D73" w:rsidRPr="00A821C8" w:rsidRDefault="00EF5D73" w:rsidP="00316D51">
      <w:pPr>
        <w:spacing w:before="240" w:after="240"/>
        <w:jc w:val="both"/>
        <w:rPr>
          <w:rFonts w:ascii="Book Antiqua" w:eastAsia="Book Antiqua" w:hAnsi="Book Antiqua" w:cs="Book Antiqua"/>
          <w:sz w:val="16"/>
          <w:szCs w:val="16"/>
        </w:rPr>
      </w:pPr>
      <w:r>
        <w:rPr>
          <w:rStyle w:val="Appelnotedebasdep"/>
        </w:rPr>
        <w:footnoteRef/>
      </w:r>
      <w:r w:rsidRPr="00A821C8">
        <w:rPr>
          <w:rFonts w:ascii="Book Antiqua" w:eastAsia="Book Antiqua" w:hAnsi="Book Antiqua" w:cs="Book Antiqua"/>
          <w:sz w:val="16"/>
          <w:szCs w:val="16"/>
        </w:rPr>
        <w:t>Conformément aux recommandations du BIT, le sous-emploi est constitué, selon l’approche de l’Enquête nationale sur l’emploi, de deux composantes, la première liée au nombre d’heures travaillées et la deuxième à l’insuffisance du revenu ou à l’inadéquation entre la formation et l’emploi exercé.</w:t>
      </w:r>
    </w:p>
    <w:p w:rsidR="00EF5D73" w:rsidRDefault="00EF5D73" w:rsidP="00316D51">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B32F5"/>
    <w:multiLevelType w:val="hybridMultilevel"/>
    <w:tmpl w:val="BEE4AB88"/>
    <w:lvl w:ilvl="0" w:tplc="F6E07AF0">
      <w:start w:val="1"/>
      <w:numFmt w:val="upperRoman"/>
      <w:lvlText w:val="%1."/>
      <w:lvlJc w:val="left"/>
      <w:pPr>
        <w:ind w:left="1080" w:hanging="720"/>
      </w:pPr>
      <w:rPr>
        <w:rFonts w:hint="default"/>
        <w:color w:val="1F386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1D10B73"/>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567B4F"/>
    <w:multiLevelType w:val="hybridMultilevel"/>
    <w:tmpl w:val="0B02A664"/>
    <w:lvl w:ilvl="0" w:tplc="1A1C14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C642A6"/>
    <w:multiLevelType w:val="multilevel"/>
    <w:tmpl w:val="CDAE4488"/>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CC05D92"/>
    <w:multiLevelType w:val="hybridMultilevel"/>
    <w:tmpl w:val="ADBCB5E0"/>
    <w:lvl w:ilvl="0" w:tplc="DDF0E0AA">
      <w:start w:val="1"/>
      <w:numFmt w:val="upperRoman"/>
      <w:lvlText w:val="%1."/>
      <w:lvlJc w:val="left"/>
      <w:pPr>
        <w:ind w:left="720" w:hanging="720"/>
      </w:pPr>
      <w:rPr>
        <w:rFonts w:hint="default"/>
        <w:i w:val="0"/>
        <w:iCs w:val="0"/>
        <w:color w:val="0070C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3EA73EFC"/>
    <w:multiLevelType w:val="hybridMultilevel"/>
    <w:tmpl w:val="D9C62258"/>
    <w:lvl w:ilvl="0" w:tplc="8BACE8C8">
      <w:start w:val="2"/>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609175B9"/>
    <w:multiLevelType w:val="hybridMultilevel"/>
    <w:tmpl w:val="3348DD78"/>
    <w:lvl w:ilvl="0" w:tplc="C0BEF51E">
      <w:start w:val="3"/>
      <w:numFmt w:val="upperRoman"/>
      <w:lvlText w:val="%1."/>
      <w:lvlJc w:val="left"/>
      <w:pPr>
        <w:ind w:left="1080" w:hanging="720"/>
      </w:pPr>
      <w:rPr>
        <w:rFonts w:eastAsia="Book Antiqua" w:cs="Book Antiqua" w:hint="default"/>
        <w:i w:val="0"/>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E003AE9"/>
    <w:multiLevelType w:val="hybridMultilevel"/>
    <w:tmpl w:val="5AE69128"/>
    <w:lvl w:ilvl="0" w:tplc="DB90BE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4"/>
  </w:num>
  <w:num w:numId="7">
    <w:abstractNumId w:val="3"/>
  </w:num>
  <w:num w:numId="8">
    <w:abstractNumId w:val="1"/>
  </w:num>
  <w:num w:numId="9">
    <w:abstractNumId w:val="5"/>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characterSpacingControl w:val="doNotCompress"/>
  <w:footnotePr>
    <w:footnote w:id="-1"/>
    <w:footnote w:id="0"/>
  </w:footnotePr>
  <w:endnotePr>
    <w:endnote w:id="-1"/>
    <w:endnote w:id="0"/>
  </w:endnotePr>
  <w:compat/>
  <w:rsids>
    <w:rsidRoot w:val="00AD230E"/>
    <w:rsid w:val="00004631"/>
    <w:rsid w:val="00004A90"/>
    <w:rsid w:val="00021850"/>
    <w:rsid w:val="00034A6E"/>
    <w:rsid w:val="00043275"/>
    <w:rsid w:val="000471F6"/>
    <w:rsid w:val="00062590"/>
    <w:rsid w:val="000667D9"/>
    <w:rsid w:val="00067D07"/>
    <w:rsid w:val="00071D6E"/>
    <w:rsid w:val="00077996"/>
    <w:rsid w:val="000904EA"/>
    <w:rsid w:val="00091AF6"/>
    <w:rsid w:val="00097E88"/>
    <w:rsid w:val="000B69AD"/>
    <w:rsid w:val="000D5059"/>
    <w:rsid w:val="000E2D52"/>
    <w:rsid w:val="00102DA0"/>
    <w:rsid w:val="0011286A"/>
    <w:rsid w:val="0015280F"/>
    <w:rsid w:val="00156B42"/>
    <w:rsid w:val="00165788"/>
    <w:rsid w:val="001726BC"/>
    <w:rsid w:val="00174E1E"/>
    <w:rsid w:val="0018223C"/>
    <w:rsid w:val="001A300F"/>
    <w:rsid w:val="001B4F8B"/>
    <w:rsid w:val="001E3D7A"/>
    <w:rsid w:val="001E688C"/>
    <w:rsid w:val="001F5039"/>
    <w:rsid w:val="001F764D"/>
    <w:rsid w:val="00216708"/>
    <w:rsid w:val="002234FC"/>
    <w:rsid w:val="002261E8"/>
    <w:rsid w:val="00233EC0"/>
    <w:rsid w:val="00234375"/>
    <w:rsid w:val="00262399"/>
    <w:rsid w:val="00265B9D"/>
    <w:rsid w:val="00273F99"/>
    <w:rsid w:val="002900EE"/>
    <w:rsid w:val="00291CC7"/>
    <w:rsid w:val="00293055"/>
    <w:rsid w:val="002A28D6"/>
    <w:rsid w:val="002A5048"/>
    <w:rsid w:val="002D065D"/>
    <w:rsid w:val="002D113D"/>
    <w:rsid w:val="00311D7D"/>
    <w:rsid w:val="00316D51"/>
    <w:rsid w:val="00322D6D"/>
    <w:rsid w:val="0032671A"/>
    <w:rsid w:val="00337DFF"/>
    <w:rsid w:val="003533F1"/>
    <w:rsid w:val="00353C4E"/>
    <w:rsid w:val="00362716"/>
    <w:rsid w:val="003839A4"/>
    <w:rsid w:val="003848CA"/>
    <w:rsid w:val="0038495E"/>
    <w:rsid w:val="00394322"/>
    <w:rsid w:val="00395053"/>
    <w:rsid w:val="003A6F65"/>
    <w:rsid w:val="003B0CC2"/>
    <w:rsid w:val="003C56CF"/>
    <w:rsid w:val="003D03B0"/>
    <w:rsid w:val="003D1D48"/>
    <w:rsid w:val="003D6A78"/>
    <w:rsid w:val="003D6BC2"/>
    <w:rsid w:val="00405CC3"/>
    <w:rsid w:val="0041574F"/>
    <w:rsid w:val="0041763C"/>
    <w:rsid w:val="00421AE0"/>
    <w:rsid w:val="00427434"/>
    <w:rsid w:val="00442D13"/>
    <w:rsid w:val="00444563"/>
    <w:rsid w:val="00445590"/>
    <w:rsid w:val="004602A5"/>
    <w:rsid w:val="00462A31"/>
    <w:rsid w:val="00483427"/>
    <w:rsid w:val="00483939"/>
    <w:rsid w:val="00490D10"/>
    <w:rsid w:val="004A64D4"/>
    <w:rsid w:val="004B724C"/>
    <w:rsid w:val="004F43F8"/>
    <w:rsid w:val="00501444"/>
    <w:rsid w:val="00505315"/>
    <w:rsid w:val="0054373C"/>
    <w:rsid w:val="005524FF"/>
    <w:rsid w:val="00580597"/>
    <w:rsid w:val="005826CA"/>
    <w:rsid w:val="00591530"/>
    <w:rsid w:val="005C72EA"/>
    <w:rsid w:val="005D6831"/>
    <w:rsid w:val="005E0837"/>
    <w:rsid w:val="005E1071"/>
    <w:rsid w:val="005E6710"/>
    <w:rsid w:val="00656751"/>
    <w:rsid w:val="00673F2C"/>
    <w:rsid w:val="0067610A"/>
    <w:rsid w:val="00687B34"/>
    <w:rsid w:val="00693025"/>
    <w:rsid w:val="00695586"/>
    <w:rsid w:val="006A06D5"/>
    <w:rsid w:val="006B36B2"/>
    <w:rsid w:val="006B3FE2"/>
    <w:rsid w:val="006B6D64"/>
    <w:rsid w:val="006C30C5"/>
    <w:rsid w:val="006D72D4"/>
    <w:rsid w:val="006F4738"/>
    <w:rsid w:val="007078D8"/>
    <w:rsid w:val="0070793C"/>
    <w:rsid w:val="007233C1"/>
    <w:rsid w:val="00726C0D"/>
    <w:rsid w:val="0072708B"/>
    <w:rsid w:val="00750998"/>
    <w:rsid w:val="00766FBB"/>
    <w:rsid w:val="007839D4"/>
    <w:rsid w:val="00785357"/>
    <w:rsid w:val="00793064"/>
    <w:rsid w:val="007A0E16"/>
    <w:rsid w:val="007A1E65"/>
    <w:rsid w:val="007B1936"/>
    <w:rsid w:val="007C54E7"/>
    <w:rsid w:val="007D1987"/>
    <w:rsid w:val="007D7D10"/>
    <w:rsid w:val="007E563F"/>
    <w:rsid w:val="007E5C62"/>
    <w:rsid w:val="007F1A60"/>
    <w:rsid w:val="00850669"/>
    <w:rsid w:val="0086407B"/>
    <w:rsid w:val="00873E0F"/>
    <w:rsid w:val="00876E17"/>
    <w:rsid w:val="008815E5"/>
    <w:rsid w:val="00882371"/>
    <w:rsid w:val="008E6931"/>
    <w:rsid w:val="00903A97"/>
    <w:rsid w:val="00904609"/>
    <w:rsid w:val="00904E9B"/>
    <w:rsid w:val="00907851"/>
    <w:rsid w:val="009126FC"/>
    <w:rsid w:val="00913AA3"/>
    <w:rsid w:val="009167A6"/>
    <w:rsid w:val="00923F1D"/>
    <w:rsid w:val="0093185A"/>
    <w:rsid w:val="00946B87"/>
    <w:rsid w:val="009472B6"/>
    <w:rsid w:val="00961E34"/>
    <w:rsid w:val="00970947"/>
    <w:rsid w:val="00975FF2"/>
    <w:rsid w:val="009A518D"/>
    <w:rsid w:val="009B678A"/>
    <w:rsid w:val="009D1207"/>
    <w:rsid w:val="009D3A84"/>
    <w:rsid w:val="00A0085A"/>
    <w:rsid w:val="00A04035"/>
    <w:rsid w:val="00A04892"/>
    <w:rsid w:val="00A112B1"/>
    <w:rsid w:val="00A20970"/>
    <w:rsid w:val="00A24C74"/>
    <w:rsid w:val="00A422B1"/>
    <w:rsid w:val="00A5269F"/>
    <w:rsid w:val="00A55A79"/>
    <w:rsid w:val="00A73B5E"/>
    <w:rsid w:val="00A821C8"/>
    <w:rsid w:val="00A93F70"/>
    <w:rsid w:val="00A97616"/>
    <w:rsid w:val="00AA186B"/>
    <w:rsid w:val="00AA7A86"/>
    <w:rsid w:val="00AB3511"/>
    <w:rsid w:val="00AB4E05"/>
    <w:rsid w:val="00AC7186"/>
    <w:rsid w:val="00AC7CCC"/>
    <w:rsid w:val="00AD230E"/>
    <w:rsid w:val="00AE18B5"/>
    <w:rsid w:val="00AF1E90"/>
    <w:rsid w:val="00B365DC"/>
    <w:rsid w:val="00B40191"/>
    <w:rsid w:val="00B5619E"/>
    <w:rsid w:val="00B9565B"/>
    <w:rsid w:val="00BA18D5"/>
    <w:rsid w:val="00BC5A28"/>
    <w:rsid w:val="00BD3FBF"/>
    <w:rsid w:val="00BD5FDC"/>
    <w:rsid w:val="00BE14B6"/>
    <w:rsid w:val="00BE6DCB"/>
    <w:rsid w:val="00BF4A7E"/>
    <w:rsid w:val="00C0270B"/>
    <w:rsid w:val="00C337D7"/>
    <w:rsid w:val="00C33BDF"/>
    <w:rsid w:val="00C71365"/>
    <w:rsid w:val="00CF55C7"/>
    <w:rsid w:val="00CF600A"/>
    <w:rsid w:val="00D04F4B"/>
    <w:rsid w:val="00D054FB"/>
    <w:rsid w:val="00D068C0"/>
    <w:rsid w:val="00D14168"/>
    <w:rsid w:val="00D225EC"/>
    <w:rsid w:val="00D35E94"/>
    <w:rsid w:val="00D4257D"/>
    <w:rsid w:val="00D56E96"/>
    <w:rsid w:val="00D80257"/>
    <w:rsid w:val="00DA2A9E"/>
    <w:rsid w:val="00DB3BCC"/>
    <w:rsid w:val="00DB6741"/>
    <w:rsid w:val="00DC3749"/>
    <w:rsid w:val="00DD6F1F"/>
    <w:rsid w:val="00E017C9"/>
    <w:rsid w:val="00E1454F"/>
    <w:rsid w:val="00E250EF"/>
    <w:rsid w:val="00E276F1"/>
    <w:rsid w:val="00E537B1"/>
    <w:rsid w:val="00E61199"/>
    <w:rsid w:val="00E625C9"/>
    <w:rsid w:val="00E70765"/>
    <w:rsid w:val="00E92875"/>
    <w:rsid w:val="00EA3D9C"/>
    <w:rsid w:val="00EB69A3"/>
    <w:rsid w:val="00EC3B70"/>
    <w:rsid w:val="00EF27A3"/>
    <w:rsid w:val="00EF5D73"/>
    <w:rsid w:val="00F04F64"/>
    <w:rsid w:val="00F20B03"/>
    <w:rsid w:val="00F23F88"/>
    <w:rsid w:val="00F278A0"/>
    <w:rsid w:val="00F27B5B"/>
    <w:rsid w:val="00F33414"/>
    <w:rsid w:val="00F36718"/>
    <w:rsid w:val="00F37782"/>
    <w:rsid w:val="00F60B2E"/>
    <w:rsid w:val="00F7064B"/>
    <w:rsid w:val="00F775EC"/>
    <w:rsid w:val="00FB7025"/>
    <w:rsid w:val="00FC2459"/>
    <w:rsid w:val="00FC50CA"/>
    <w:rsid w:val="00FE24B5"/>
    <w:rsid w:val="00FF13D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24C"/>
  </w:style>
  <w:style w:type="paragraph" w:styleId="Titre1">
    <w:name w:val="heading 1"/>
    <w:basedOn w:val="Normal"/>
    <w:next w:val="Normal"/>
    <w:link w:val="Titre1Car"/>
    <w:uiPriority w:val="9"/>
    <w:qFormat/>
    <w:rsid w:val="004B724C"/>
    <w:pPr>
      <w:keepNext/>
      <w:keepLines/>
      <w:spacing w:before="400" w:after="120"/>
      <w:outlineLvl w:val="0"/>
    </w:pPr>
    <w:rPr>
      <w:sz w:val="40"/>
      <w:szCs w:val="40"/>
    </w:rPr>
  </w:style>
  <w:style w:type="paragraph" w:styleId="Titre2">
    <w:name w:val="heading 2"/>
    <w:basedOn w:val="Normal"/>
    <w:next w:val="Normal"/>
    <w:uiPriority w:val="9"/>
    <w:semiHidden/>
    <w:unhideWhenUsed/>
    <w:qFormat/>
    <w:rsid w:val="004B724C"/>
    <w:pPr>
      <w:keepNext/>
      <w:keepLines/>
      <w:spacing w:before="360" w:after="120"/>
      <w:outlineLvl w:val="1"/>
    </w:pPr>
    <w:rPr>
      <w:sz w:val="32"/>
      <w:szCs w:val="32"/>
    </w:rPr>
  </w:style>
  <w:style w:type="paragraph" w:styleId="Titre3">
    <w:name w:val="heading 3"/>
    <w:basedOn w:val="Normal"/>
    <w:next w:val="Normal"/>
    <w:uiPriority w:val="9"/>
    <w:semiHidden/>
    <w:unhideWhenUsed/>
    <w:qFormat/>
    <w:rsid w:val="004B724C"/>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rsid w:val="004B724C"/>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rsid w:val="004B724C"/>
    <w:pPr>
      <w:keepNext/>
      <w:keepLines/>
      <w:spacing w:before="240" w:after="80"/>
      <w:outlineLvl w:val="4"/>
    </w:pPr>
    <w:rPr>
      <w:color w:val="666666"/>
    </w:rPr>
  </w:style>
  <w:style w:type="paragraph" w:styleId="Titre6">
    <w:name w:val="heading 6"/>
    <w:basedOn w:val="Normal"/>
    <w:next w:val="Normal"/>
    <w:uiPriority w:val="9"/>
    <w:semiHidden/>
    <w:unhideWhenUsed/>
    <w:qFormat/>
    <w:rsid w:val="004B724C"/>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uiPriority w:val="10"/>
    <w:qFormat/>
    <w:rsid w:val="004B724C"/>
    <w:pPr>
      <w:keepNext/>
      <w:keepLines/>
      <w:spacing w:after="60"/>
    </w:pPr>
    <w:rPr>
      <w:sz w:val="52"/>
      <w:szCs w:val="52"/>
    </w:rPr>
  </w:style>
  <w:style w:type="paragraph" w:styleId="Sous-titre">
    <w:name w:val="Subtitle"/>
    <w:basedOn w:val="Normal"/>
    <w:next w:val="Normal"/>
    <w:uiPriority w:val="11"/>
    <w:qFormat/>
    <w:rsid w:val="004B724C"/>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1B4F8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B4F8B"/>
    <w:rPr>
      <w:rFonts w:ascii="Tahoma" w:hAnsi="Tahoma" w:cs="Tahoma"/>
      <w:sz w:val="16"/>
      <w:szCs w:val="16"/>
    </w:rPr>
  </w:style>
  <w:style w:type="paragraph" w:styleId="Paragraphedeliste">
    <w:name w:val="List Paragraph"/>
    <w:basedOn w:val="Normal"/>
    <w:uiPriority w:val="34"/>
    <w:qFormat/>
    <w:rsid w:val="009D3A84"/>
    <w:pPr>
      <w:ind w:left="720"/>
      <w:contextualSpacing/>
    </w:pPr>
  </w:style>
  <w:style w:type="paragraph" w:customStyle="1" w:styleId="MMTopic1">
    <w:name w:val="MM Topic 1"/>
    <w:basedOn w:val="Titre1"/>
    <w:rsid w:val="00873E0F"/>
    <w:pPr>
      <w:numPr>
        <w:numId w:val="2"/>
      </w:numPr>
      <w:spacing w:before="240" w:after="0" w:line="259" w:lineRule="auto"/>
    </w:pPr>
    <w:rPr>
      <w:rFonts w:asciiTheme="majorHAnsi" w:eastAsiaTheme="majorEastAsia" w:hAnsiTheme="majorHAnsi" w:cstheme="majorBidi"/>
      <w:color w:val="365F91" w:themeColor="accent1" w:themeShade="BF"/>
      <w:sz w:val="32"/>
      <w:szCs w:val="32"/>
      <w:lang w:eastAsia="en-US"/>
    </w:rPr>
  </w:style>
  <w:style w:type="paragraph" w:customStyle="1" w:styleId="MMTopic2">
    <w:name w:val="MM Topic 2"/>
    <w:basedOn w:val="Titre2"/>
    <w:link w:val="MMTopic2Car"/>
    <w:rsid w:val="00873E0F"/>
    <w:pPr>
      <w:numPr>
        <w:ilvl w:val="1"/>
        <w:numId w:val="2"/>
      </w:numPr>
      <w:spacing w:before="40" w:after="0" w:line="259" w:lineRule="auto"/>
    </w:pPr>
    <w:rPr>
      <w:rFonts w:asciiTheme="majorHAnsi" w:eastAsiaTheme="majorEastAsia" w:hAnsiTheme="majorHAnsi" w:cstheme="majorBidi"/>
      <w:color w:val="365F91" w:themeColor="accent1" w:themeShade="BF"/>
      <w:sz w:val="26"/>
      <w:szCs w:val="26"/>
      <w:lang w:eastAsia="en-US"/>
    </w:rPr>
  </w:style>
  <w:style w:type="character" w:customStyle="1" w:styleId="MMTopic2Car">
    <w:name w:val="MM Topic 2 Car"/>
    <w:basedOn w:val="Policepardfaut"/>
    <w:link w:val="MMTopic2"/>
    <w:rsid w:val="00873E0F"/>
    <w:rPr>
      <w:rFonts w:asciiTheme="majorHAnsi" w:eastAsiaTheme="majorEastAsia" w:hAnsiTheme="majorHAnsi" w:cstheme="majorBidi"/>
      <w:color w:val="365F91" w:themeColor="accent1" w:themeShade="BF"/>
      <w:sz w:val="26"/>
      <w:szCs w:val="26"/>
      <w:lang w:eastAsia="en-US"/>
    </w:rPr>
  </w:style>
  <w:style w:type="paragraph" w:customStyle="1" w:styleId="MMTopic3">
    <w:name w:val="MM Topic 3"/>
    <w:basedOn w:val="Titre3"/>
    <w:rsid w:val="00873E0F"/>
    <w:pPr>
      <w:numPr>
        <w:ilvl w:val="2"/>
        <w:numId w:val="2"/>
      </w:numPr>
      <w:spacing w:before="40" w:after="0" w:line="259" w:lineRule="auto"/>
      <w:ind w:left="360"/>
    </w:pPr>
    <w:rPr>
      <w:rFonts w:asciiTheme="majorHAnsi" w:eastAsiaTheme="majorEastAsia" w:hAnsiTheme="majorHAnsi" w:cstheme="majorBidi"/>
      <w:color w:val="243F60" w:themeColor="accent1" w:themeShade="7F"/>
      <w:sz w:val="24"/>
      <w:szCs w:val="24"/>
      <w:lang w:eastAsia="en-US"/>
    </w:rPr>
  </w:style>
  <w:style w:type="paragraph" w:customStyle="1" w:styleId="MMTopic4">
    <w:name w:val="MM Topic 4"/>
    <w:basedOn w:val="Titre4"/>
    <w:rsid w:val="00873E0F"/>
    <w:pPr>
      <w:numPr>
        <w:ilvl w:val="3"/>
        <w:numId w:val="2"/>
      </w:numPr>
      <w:spacing w:before="40" w:after="0" w:line="259" w:lineRule="auto"/>
      <w:ind w:left="540"/>
    </w:pPr>
    <w:rPr>
      <w:rFonts w:asciiTheme="majorHAnsi" w:eastAsiaTheme="majorEastAsia" w:hAnsiTheme="majorHAnsi" w:cstheme="majorBidi"/>
      <w:i/>
      <w:iCs/>
      <w:color w:val="365F91" w:themeColor="accent1" w:themeShade="BF"/>
      <w:sz w:val="28"/>
      <w:szCs w:val="28"/>
      <w:lang w:eastAsia="en-US"/>
    </w:rPr>
  </w:style>
  <w:style w:type="paragraph" w:customStyle="1" w:styleId="MMTopic5">
    <w:name w:val="MM Topic 5"/>
    <w:basedOn w:val="Titre5"/>
    <w:rsid w:val="00873E0F"/>
    <w:pPr>
      <w:numPr>
        <w:ilvl w:val="4"/>
        <w:numId w:val="2"/>
      </w:numPr>
      <w:spacing w:before="40" w:after="0" w:line="259" w:lineRule="auto"/>
      <w:ind w:left="720"/>
    </w:pPr>
    <w:rPr>
      <w:rFonts w:asciiTheme="majorHAnsi" w:eastAsiaTheme="majorEastAsia" w:hAnsiTheme="majorHAnsi" w:cstheme="majorBidi"/>
      <w:color w:val="365F91" w:themeColor="accent1" w:themeShade="BF"/>
      <w:sz w:val="28"/>
      <w:szCs w:val="28"/>
      <w:lang w:eastAsia="en-US"/>
    </w:rPr>
  </w:style>
  <w:style w:type="character" w:customStyle="1" w:styleId="Titre1Car">
    <w:name w:val="Titre 1 Car"/>
    <w:basedOn w:val="Policepardfaut"/>
    <w:link w:val="Titre1"/>
    <w:uiPriority w:val="9"/>
    <w:rsid w:val="00DB3BCC"/>
    <w:rPr>
      <w:sz w:val="40"/>
      <w:szCs w:val="40"/>
    </w:rPr>
  </w:style>
  <w:style w:type="paragraph" w:styleId="En-tte">
    <w:name w:val="header"/>
    <w:basedOn w:val="Normal"/>
    <w:link w:val="En-tteCar"/>
    <w:uiPriority w:val="99"/>
    <w:unhideWhenUsed/>
    <w:rsid w:val="00D4257D"/>
    <w:pPr>
      <w:tabs>
        <w:tab w:val="center" w:pos="4536"/>
        <w:tab w:val="right" w:pos="9072"/>
      </w:tabs>
      <w:spacing w:line="240" w:lineRule="auto"/>
    </w:pPr>
  </w:style>
  <w:style w:type="character" w:customStyle="1" w:styleId="En-tteCar">
    <w:name w:val="En-tête Car"/>
    <w:basedOn w:val="Policepardfaut"/>
    <w:link w:val="En-tte"/>
    <w:uiPriority w:val="99"/>
    <w:rsid w:val="00D4257D"/>
  </w:style>
  <w:style w:type="paragraph" w:styleId="Pieddepage">
    <w:name w:val="footer"/>
    <w:basedOn w:val="Normal"/>
    <w:link w:val="PieddepageCar"/>
    <w:uiPriority w:val="99"/>
    <w:unhideWhenUsed/>
    <w:rsid w:val="00D4257D"/>
    <w:pPr>
      <w:tabs>
        <w:tab w:val="center" w:pos="4536"/>
        <w:tab w:val="right" w:pos="9072"/>
      </w:tabs>
      <w:spacing w:line="240" w:lineRule="auto"/>
    </w:pPr>
  </w:style>
  <w:style w:type="character" w:customStyle="1" w:styleId="PieddepageCar">
    <w:name w:val="Pied de page Car"/>
    <w:basedOn w:val="Policepardfaut"/>
    <w:link w:val="Pieddepage"/>
    <w:uiPriority w:val="99"/>
    <w:rsid w:val="00D4257D"/>
  </w:style>
  <w:style w:type="table" w:styleId="Grilledutableau">
    <w:name w:val="Table Grid"/>
    <w:basedOn w:val="TableauNormal"/>
    <w:uiPriority w:val="39"/>
    <w:unhideWhenUsed/>
    <w:rsid w:val="002900EE"/>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EA3D9C"/>
    <w:pPr>
      <w:spacing w:line="240" w:lineRule="auto"/>
    </w:pPr>
    <w:rPr>
      <w:sz w:val="20"/>
      <w:szCs w:val="20"/>
    </w:rPr>
  </w:style>
  <w:style w:type="character" w:customStyle="1" w:styleId="NotedebasdepageCar">
    <w:name w:val="Note de bas de page Car"/>
    <w:basedOn w:val="Policepardfaut"/>
    <w:link w:val="Notedebasdepage"/>
    <w:uiPriority w:val="99"/>
    <w:semiHidden/>
    <w:rsid w:val="00EA3D9C"/>
    <w:rPr>
      <w:sz w:val="20"/>
      <w:szCs w:val="20"/>
    </w:rPr>
  </w:style>
  <w:style w:type="character" w:styleId="Appelnotedebasdep">
    <w:name w:val="footnote reference"/>
    <w:basedOn w:val="Policepardfaut"/>
    <w:uiPriority w:val="99"/>
    <w:semiHidden/>
    <w:unhideWhenUsed/>
    <w:rsid w:val="00EA3D9C"/>
    <w:rPr>
      <w:vertAlign w:val="superscript"/>
    </w:rPr>
  </w:style>
</w:styles>
</file>

<file path=word/webSettings.xml><?xml version="1.0" encoding="utf-8"?>
<w:webSettings xmlns:r="http://schemas.openxmlformats.org/officeDocument/2006/relationships" xmlns:w="http://schemas.openxmlformats.org/wordprocessingml/2006/main">
  <w:divs>
    <w:div w:id="1520128">
      <w:bodyDiv w:val="1"/>
      <w:marLeft w:val="0"/>
      <w:marRight w:val="0"/>
      <w:marTop w:val="0"/>
      <w:marBottom w:val="0"/>
      <w:divBdr>
        <w:top w:val="none" w:sz="0" w:space="0" w:color="auto"/>
        <w:left w:val="none" w:sz="0" w:space="0" w:color="auto"/>
        <w:bottom w:val="none" w:sz="0" w:space="0" w:color="auto"/>
        <w:right w:val="none" w:sz="0" w:space="0" w:color="auto"/>
      </w:divBdr>
    </w:div>
    <w:div w:id="63380221">
      <w:bodyDiv w:val="1"/>
      <w:marLeft w:val="0"/>
      <w:marRight w:val="0"/>
      <w:marTop w:val="0"/>
      <w:marBottom w:val="0"/>
      <w:divBdr>
        <w:top w:val="none" w:sz="0" w:space="0" w:color="auto"/>
        <w:left w:val="none" w:sz="0" w:space="0" w:color="auto"/>
        <w:bottom w:val="none" w:sz="0" w:space="0" w:color="auto"/>
        <w:right w:val="none" w:sz="0" w:space="0" w:color="auto"/>
      </w:divBdr>
    </w:div>
    <w:div w:id="287056442">
      <w:bodyDiv w:val="1"/>
      <w:marLeft w:val="0"/>
      <w:marRight w:val="0"/>
      <w:marTop w:val="0"/>
      <w:marBottom w:val="0"/>
      <w:divBdr>
        <w:top w:val="none" w:sz="0" w:space="0" w:color="auto"/>
        <w:left w:val="none" w:sz="0" w:space="0" w:color="auto"/>
        <w:bottom w:val="none" w:sz="0" w:space="0" w:color="auto"/>
        <w:right w:val="none" w:sz="0" w:space="0" w:color="auto"/>
      </w:divBdr>
    </w:div>
    <w:div w:id="305596746">
      <w:bodyDiv w:val="1"/>
      <w:marLeft w:val="0"/>
      <w:marRight w:val="0"/>
      <w:marTop w:val="0"/>
      <w:marBottom w:val="0"/>
      <w:divBdr>
        <w:top w:val="none" w:sz="0" w:space="0" w:color="auto"/>
        <w:left w:val="none" w:sz="0" w:space="0" w:color="auto"/>
        <w:bottom w:val="none" w:sz="0" w:space="0" w:color="auto"/>
        <w:right w:val="none" w:sz="0" w:space="0" w:color="auto"/>
      </w:divBdr>
    </w:div>
    <w:div w:id="639574541">
      <w:bodyDiv w:val="1"/>
      <w:marLeft w:val="0"/>
      <w:marRight w:val="0"/>
      <w:marTop w:val="0"/>
      <w:marBottom w:val="0"/>
      <w:divBdr>
        <w:top w:val="none" w:sz="0" w:space="0" w:color="auto"/>
        <w:left w:val="none" w:sz="0" w:space="0" w:color="auto"/>
        <w:bottom w:val="none" w:sz="0" w:space="0" w:color="auto"/>
        <w:right w:val="none" w:sz="0" w:space="0" w:color="auto"/>
      </w:divBdr>
    </w:div>
    <w:div w:id="677656918">
      <w:bodyDiv w:val="1"/>
      <w:marLeft w:val="0"/>
      <w:marRight w:val="0"/>
      <w:marTop w:val="0"/>
      <w:marBottom w:val="0"/>
      <w:divBdr>
        <w:top w:val="none" w:sz="0" w:space="0" w:color="auto"/>
        <w:left w:val="none" w:sz="0" w:space="0" w:color="auto"/>
        <w:bottom w:val="none" w:sz="0" w:space="0" w:color="auto"/>
        <w:right w:val="none" w:sz="0" w:space="0" w:color="auto"/>
      </w:divBdr>
    </w:div>
    <w:div w:id="791945032">
      <w:bodyDiv w:val="1"/>
      <w:marLeft w:val="0"/>
      <w:marRight w:val="0"/>
      <w:marTop w:val="0"/>
      <w:marBottom w:val="0"/>
      <w:divBdr>
        <w:top w:val="none" w:sz="0" w:space="0" w:color="auto"/>
        <w:left w:val="none" w:sz="0" w:space="0" w:color="auto"/>
        <w:bottom w:val="none" w:sz="0" w:space="0" w:color="auto"/>
        <w:right w:val="none" w:sz="0" w:space="0" w:color="auto"/>
      </w:divBdr>
    </w:div>
    <w:div w:id="896624294">
      <w:bodyDiv w:val="1"/>
      <w:marLeft w:val="0"/>
      <w:marRight w:val="0"/>
      <w:marTop w:val="0"/>
      <w:marBottom w:val="0"/>
      <w:divBdr>
        <w:top w:val="none" w:sz="0" w:space="0" w:color="auto"/>
        <w:left w:val="none" w:sz="0" w:space="0" w:color="auto"/>
        <w:bottom w:val="none" w:sz="0" w:space="0" w:color="auto"/>
        <w:right w:val="none" w:sz="0" w:space="0" w:color="auto"/>
      </w:divBdr>
    </w:div>
    <w:div w:id="897134008">
      <w:bodyDiv w:val="1"/>
      <w:marLeft w:val="0"/>
      <w:marRight w:val="0"/>
      <w:marTop w:val="0"/>
      <w:marBottom w:val="0"/>
      <w:divBdr>
        <w:top w:val="none" w:sz="0" w:space="0" w:color="auto"/>
        <w:left w:val="none" w:sz="0" w:space="0" w:color="auto"/>
        <w:bottom w:val="none" w:sz="0" w:space="0" w:color="auto"/>
        <w:right w:val="none" w:sz="0" w:space="0" w:color="auto"/>
      </w:divBdr>
    </w:div>
    <w:div w:id="904611739">
      <w:bodyDiv w:val="1"/>
      <w:marLeft w:val="0"/>
      <w:marRight w:val="0"/>
      <w:marTop w:val="0"/>
      <w:marBottom w:val="0"/>
      <w:divBdr>
        <w:top w:val="none" w:sz="0" w:space="0" w:color="auto"/>
        <w:left w:val="none" w:sz="0" w:space="0" w:color="auto"/>
        <w:bottom w:val="none" w:sz="0" w:space="0" w:color="auto"/>
        <w:right w:val="none" w:sz="0" w:space="0" w:color="auto"/>
      </w:divBdr>
    </w:div>
    <w:div w:id="1136798618">
      <w:bodyDiv w:val="1"/>
      <w:marLeft w:val="0"/>
      <w:marRight w:val="0"/>
      <w:marTop w:val="0"/>
      <w:marBottom w:val="0"/>
      <w:divBdr>
        <w:top w:val="none" w:sz="0" w:space="0" w:color="auto"/>
        <w:left w:val="none" w:sz="0" w:space="0" w:color="auto"/>
        <w:bottom w:val="none" w:sz="0" w:space="0" w:color="auto"/>
        <w:right w:val="none" w:sz="0" w:space="0" w:color="auto"/>
      </w:divBdr>
    </w:div>
    <w:div w:id="1155876980">
      <w:bodyDiv w:val="1"/>
      <w:marLeft w:val="0"/>
      <w:marRight w:val="0"/>
      <w:marTop w:val="0"/>
      <w:marBottom w:val="0"/>
      <w:divBdr>
        <w:top w:val="none" w:sz="0" w:space="0" w:color="auto"/>
        <w:left w:val="none" w:sz="0" w:space="0" w:color="auto"/>
        <w:bottom w:val="none" w:sz="0" w:space="0" w:color="auto"/>
        <w:right w:val="none" w:sz="0" w:space="0" w:color="auto"/>
      </w:divBdr>
    </w:div>
    <w:div w:id="1253004278">
      <w:bodyDiv w:val="1"/>
      <w:marLeft w:val="0"/>
      <w:marRight w:val="0"/>
      <w:marTop w:val="0"/>
      <w:marBottom w:val="0"/>
      <w:divBdr>
        <w:top w:val="none" w:sz="0" w:space="0" w:color="auto"/>
        <w:left w:val="none" w:sz="0" w:space="0" w:color="auto"/>
        <w:bottom w:val="none" w:sz="0" w:space="0" w:color="auto"/>
        <w:right w:val="none" w:sz="0" w:space="0" w:color="auto"/>
      </w:divBdr>
    </w:div>
    <w:div w:id="1445231684">
      <w:bodyDiv w:val="1"/>
      <w:marLeft w:val="0"/>
      <w:marRight w:val="0"/>
      <w:marTop w:val="0"/>
      <w:marBottom w:val="0"/>
      <w:divBdr>
        <w:top w:val="none" w:sz="0" w:space="0" w:color="auto"/>
        <w:left w:val="none" w:sz="0" w:space="0" w:color="auto"/>
        <w:bottom w:val="none" w:sz="0" w:space="0" w:color="auto"/>
        <w:right w:val="none" w:sz="0" w:space="0" w:color="auto"/>
      </w:divBdr>
    </w:div>
    <w:div w:id="1527868522">
      <w:bodyDiv w:val="1"/>
      <w:marLeft w:val="0"/>
      <w:marRight w:val="0"/>
      <w:marTop w:val="0"/>
      <w:marBottom w:val="0"/>
      <w:divBdr>
        <w:top w:val="none" w:sz="0" w:space="0" w:color="auto"/>
        <w:left w:val="none" w:sz="0" w:space="0" w:color="auto"/>
        <w:bottom w:val="none" w:sz="0" w:space="0" w:color="auto"/>
        <w:right w:val="none" w:sz="0" w:space="0" w:color="auto"/>
      </w:divBdr>
    </w:div>
    <w:div w:id="1549874704">
      <w:bodyDiv w:val="1"/>
      <w:marLeft w:val="0"/>
      <w:marRight w:val="0"/>
      <w:marTop w:val="0"/>
      <w:marBottom w:val="0"/>
      <w:divBdr>
        <w:top w:val="none" w:sz="0" w:space="0" w:color="auto"/>
        <w:left w:val="none" w:sz="0" w:space="0" w:color="auto"/>
        <w:bottom w:val="none" w:sz="0" w:space="0" w:color="auto"/>
        <w:right w:val="none" w:sz="0" w:space="0" w:color="auto"/>
      </w:divBdr>
    </w:div>
    <w:div w:id="1575429099">
      <w:bodyDiv w:val="1"/>
      <w:marLeft w:val="0"/>
      <w:marRight w:val="0"/>
      <w:marTop w:val="0"/>
      <w:marBottom w:val="0"/>
      <w:divBdr>
        <w:top w:val="none" w:sz="0" w:space="0" w:color="auto"/>
        <w:left w:val="none" w:sz="0" w:space="0" w:color="auto"/>
        <w:bottom w:val="none" w:sz="0" w:space="0" w:color="auto"/>
        <w:right w:val="none" w:sz="0" w:space="0" w:color="auto"/>
      </w:divBdr>
    </w:div>
    <w:div w:id="1582760790">
      <w:bodyDiv w:val="1"/>
      <w:marLeft w:val="0"/>
      <w:marRight w:val="0"/>
      <w:marTop w:val="0"/>
      <w:marBottom w:val="0"/>
      <w:divBdr>
        <w:top w:val="none" w:sz="0" w:space="0" w:color="auto"/>
        <w:left w:val="none" w:sz="0" w:space="0" w:color="auto"/>
        <w:bottom w:val="none" w:sz="0" w:space="0" w:color="auto"/>
        <w:right w:val="none" w:sz="0" w:space="0" w:color="auto"/>
      </w:divBdr>
    </w:div>
    <w:div w:id="1621496308">
      <w:bodyDiv w:val="1"/>
      <w:marLeft w:val="0"/>
      <w:marRight w:val="0"/>
      <w:marTop w:val="0"/>
      <w:marBottom w:val="0"/>
      <w:divBdr>
        <w:top w:val="none" w:sz="0" w:space="0" w:color="auto"/>
        <w:left w:val="none" w:sz="0" w:space="0" w:color="auto"/>
        <w:bottom w:val="none" w:sz="0" w:space="0" w:color="auto"/>
        <w:right w:val="none" w:sz="0" w:space="0" w:color="auto"/>
      </w:divBdr>
    </w:div>
    <w:div w:id="1794782980">
      <w:bodyDiv w:val="1"/>
      <w:marLeft w:val="0"/>
      <w:marRight w:val="0"/>
      <w:marTop w:val="0"/>
      <w:marBottom w:val="0"/>
      <w:divBdr>
        <w:top w:val="none" w:sz="0" w:space="0" w:color="auto"/>
        <w:left w:val="none" w:sz="0" w:space="0" w:color="auto"/>
        <w:bottom w:val="none" w:sz="0" w:space="0" w:color="auto"/>
        <w:right w:val="none" w:sz="0" w:space="0" w:color="auto"/>
      </w:divBdr>
    </w:div>
    <w:div w:id="1871261162">
      <w:bodyDiv w:val="1"/>
      <w:marLeft w:val="0"/>
      <w:marRight w:val="0"/>
      <w:marTop w:val="0"/>
      <w:marBottom w:val="0"/>
      <w:divBdr>
        <w:top w:val="none" w:sz="0" w:space="0" w:color="auto"/>
        <w:left w:val="none" w:sz="0" w:space="0" w:color="auto"/>
        <w:bottom w:val="none" w:sz="0" w:space="0" w:color="auto"/>
        <w:right w:val="none" w:sz="0" w:space="0" w:color="auto"/>
      </w:divBdr>
    </w:div>
    <w:div w:id="1883445657">
      <w:bodyDiv w:val="1"/>
      <w:marLeft w:val="0"/>
      <w:marRight w:val="0"/>
      <w:marTop w:val="0"/>
      <w:marBottom w:val="0"/>
      <w:divBdr>
        <w:top w:val="none" w:sz="0" w:space="0" w:color="auto"/>
        <w:left w:val="none" w:sz="0" w:space="0" w:color="auto"/>
        <w:bottom w:val="none" w:sz="0" w:space="0" w:color="auto"/>
        <w:right w:val="none" w:sz="0" w:space="0" w:color="auto"/>
      </w:divBdr>
    </w:div>
    <w:div w:id="1950703284">
      <w:bodyDiv w:val="1"/>
      <w:marLeft w:val="0"/>
      <w:marRight w:val="0"/>
      <w:marTop w:val="0"/>
      <w:marBottom w:val="0"/>
      <w:divBdr>
        <w:top w:val="none" w:sz="0" w:space="0" w:color="auto"/>
        <w:left w:val="none" w:sz="0" w:space="0" w:color="auto"/>
        <w:bottom w:val="none" w:sz="0" w:space="0" w:color="auto"/>
        <w:right w:val="none" w:sz="0" w:space="0" w:color="auto"/>
      </w:divBdr>
    </w:div>
    <w:div w:id="2043432970">
      <w:bodyDiv w:val="1"/>
      <w:marLeft w:val="0"/>
      <w:marRight w:val="0"/>
      <w:marTop w:val="0"/>
      <w:marBottom w:val="0"/>
      <w:divBdr>
        <w:top w:val="none" w:sz="0" w:space="0" w:color="auto"/>
        <w:left w:val="none" w:sz="0" w:space="0" w:color="auto"/>
        <w:bottom w:val="none" w:sz="0" w:space="0" w:color="auto"/>
        <w:right w:val="none" w:sz="0" w:space="0" w:color="auto"/>
      </w:divBdr>
    </w:div>
    <w:div w:id="21315823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hcp.m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aaib\Downloads\2020T1-2021T1%20-%20Note%20sur%20les%20chiffres%20cl&#233;s%20-%20Tabulation%20%231%20-Ali23042021%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aib\Downloads\2020T1-2021T1%20-%20Note%20sur%20les%20chiffres%20cl&#233;s%20-%20Tabulation%20%231%20-Ali23042021%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aib\Downloads\2020T1-2021T1%20-%20Note%20sur%20les%20chiffres%20cl&#233;s%20-%20Tabulation%20%231%20-Ali23042021%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aib\Downloads\2020T1-2021T1%20-%20Note%20sur%20les%20chiffres%20cl&#233;s%20-%20Tabulation%20%231%20-Ali23042021%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autoTitleDeleted val="1"/>
    <c:plotArea>
      <c:layout/>
      <c:barChart>
        <c:barDir val="col"/>
        <c:grouping val="clustered"/>
        <c:ser>
          <c:idx val="0"/>
          <c:order val="0"/>
          <c:tx>
            <c:strRef>
              <c:f>Feuil1!$B$14</c:f>
              <c:strCache>
                <c:ptCount val="1"/>
                <c:pt idx="0">
                  <c:v>Emploi rémunéré</c:v>
                </c:pt>
              </c:strCache>
            </c:strRef>
          </c:tx>
          <c:spPr>
            <a:solidFill>
              <a:srgbClr val="002060"/>
            </a:solidFill>
          </c:spPr>
          <c:dLbls>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Feuil1!$C$13:$E$13</c:f>
              <c:strCache>
                <c:ptCount val="3"/>
                <c:pt idx="0">
                  <c:v>Urbain</c:v>
                </c:pt>
                <c:pt idx="1">
                  <c:v>Rural</c:v>
                </c:pt>
                <c:pt idx="2">
                  <c:v>National</c:v>
                </c:pt>
              </c:strCache>
            </c:strRef>
          </c:cat>
          <c:val>
            <c:numRef>
              <c:f>Feuil1!$C$14:$E$14</c:f>
              <c:numCache>
                <c:formatCode>_-* #,##0\ _€_-;\-* #,##0\ _€_-;_-* "-"??\ _€_-;_-@_-</c:formatCode>
                <c:ptCount val="3"/>
                <c:pt idx="0">
                  <c:v>64000</c:v>
                </c:pt>
                <c:pt idx="1">
                  <c:v>-80000</c:v>
                </c:pt>
                <c:pt idx="2">
                  <c:v>-16000</c:v>
                </c:pt>
              </c:numCache>
            </c:numRef>
          </c:val>
          <c:extLst xmlns:c16r2="http://schemas.microsoft.com/office/drawing/2015/06/chart">
            <c:ext xmlns:c16="http://schemas.microsoft.com/office/drawing/2014/chart" uri="{C3380CC4-5D6E-409C-BE32-E72D297353CC}">
              <c16:uniqueId val="{00000000-7E0C-43EE-B869-8B070C39D251}"/>
            </c:ext>
          </c:extLst>
        </c:ser>
        <c:ser>
          <c:idx val="1"/>
          <c:order val="1"/>
          <c:tx>
            <c:strRef>
              <c:f>Feuil1!$B$15</c:f>
              <c:strCache>
                <c:ptCount val="1"/>
                <c:pt idx="0">
                  <c:v>Emploi non rémunéré</c:v>
                </c:pt>
              </c:strCache>
            </c:strRef>
          </c:tx>
          <c:spPr>
            <a:solidFill>
              <a:schemeClr val="bg1">
                <a:lumMod val="75000"/>
              </a:schemeClr>
            </a:solidFill>
          </c:spPr>
          <c:dLbls>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Feuil1!$C$13:$E$13</c:f>
              <c:strCache>
                <c:ptCount val="3"/>
                <c:pt idx="0">
                  <c:v>Urbain</c:v>
                </c:pt>
                <c:pt idx="1">
                  <c:v>Rural</c:v>
                </c:pt>
                <c:pt idx="2">
                  <c:v>National</c:v>
                </c:pt>
              </c:strCache>
            </c:strRef>
          </c:cat>
          <c:val>
            <c:numRef>
              <c:f>Feuil1!$C$15:$E$15</c:f>
              <c:numCache>
                <c:formatCode>_-* #,##0\ _€_-;\-* #,##0\ _€_-;_-* "-"??\ _€_-;_-@_-</c:formatCode>
                <c:ptCount val="3"/>
                <c:pt idx="0">
                  <c:v>-7000</c:v>
                </c:pt>
                <c:pt idx="1">
                  <c:v>-178000</c:v>
                </c:pt>
                <c:pt idx="2">
                  <c:v>-185000</c:v>
                </c:pt>
              </c:numCache>
            </c:numRef>
          </c:val>
          <c:extLst xmlns:c16r2="http://schemas.microsoft.com/office/drawing/2015/06/chart">
            <c:ext xmlns:c16="http://schemas.microsoft.com/office/drawing/2014/chart" uri="{C3380CC4-5D6E-409C-BE32-E72D297353CC}">
              <c16:uniqueId val="{00000001-7E0C-43EE-B869-8B070C39D251}"/>
            </c:ext>
          </c:extLst>
        </c:ser>
        <c:ser>
          <c:idx val="2"/>
          <c:order val="2"/>
          <c:tx>
            <c:strRef>
              <c:f>Feuil1!$B$16</c:f>
              <c:strCache>
                <c:ptCount val="1"/>
                <c:pt idx="0">
                  <c:v>Ensemble</c:v>
                </c:pt>
              </c:strCache>
            </c:strRef>
          </c:tx>
          <c:spPr>
            <a:solidFill>
              <a:srgbClr val="FFC000"/>
            </a:solidFill>
          </c:spPr>
          <c:dLbls>
            <c:dLbl>
              <c:idx val="0"/>
              <c:tx>
                <c:rich>
                  <a:bodyPr/>
                  <a:lstStyle/>
                  <a:p>
                    <a:pPr>
                      <a:defRPr sz="900"/>
                    </a:pPr>
                    <a:r>
                      <a:rPr lang="en-US"/>
                      <a:t>56 000   </a:t>
                    </a:r>
                  </a:p>
                </c:rich>
              </c:tx>
              <c:spPr>
                <a:noFill/>
              </c:spP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E0C-43EE-B869-8B070C39D251}"/>
                </c:ext>
              </c:extLst>
            </c:dLbl>
            <c:dLbl>
              <c:idx val="1"/>
              <c:spPr>
                <a:noFill/>
              </c:spPr>
              <c:txPr>
                <a:bodyPr/>
                <a:lstStyle/>
                <a:p>
                  <a:pPr>
                    <a:defRPr sz="900"/>
                  </a:pPr>
                  <a:endParaRPr lang="fr-FR"/>
                </a:p>
              </c:txPr>
            </c:dLbl>
            <c:dLbl>
              <c:idx val="2"/>
              <c:spPr>
                <a:noFill/>
              </c:spPr>
              <c:txPr>
                <a:bodyPr/>
                <a:lstStyle/>
                <a:p>
                  <a:pPr>
                    <a:defRPr sz="900"/>
                  </a:pPr>
                  <a:endParaRPr lang="fr-FR"/>
                </a:p>
              </c:txPr>
            </c:dLbl>
            <c:spPr>
              <a:solidFill>
                <a:srgbClr val="FFFF00"/>
              </a:solidFill>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Feuil1!$C$13:$E$13</c:f>
              <c:strCache>
                <c:ptCount val="3"/>
                <c:pt idx="0">
                  <c:v>Urbain</c:v>
                </c:pt>
                <c:pt idx="1">
                  <c:v>Rural</c:v>
                </c:pt>
                <c:pt idx="2">
                  <c:v>National</c:v>
                </c:pt>
              </c:strCache>
            </c:strRef>
          </c:cat>
          <c:val>
            <c:numRef>
              <c:f>Feuil1!$C$16:$E$16</c:f>
              <c:numCache>
                <c:formatCode>_-* #,##0\ _€_-;\-* #,##0\ _€_-;_-* "-"??\ _€_-;_-@_-</c:formatCode>
                <c:ptCount val="3"/>
                <c:pt idx="0">
                  <c:v>57000</c:v>
                </c:pt>
                <c:pt idx="1">
                  <c:v>-258000</c:v>
                </c:pt>
                <c:pt idx="2">
                  <c:v>-202000</c:v>
                </c:pt>
              </c:numCache>
            </c:numRef>
          </c:val>
          <c:extLst xmlns:c16r2="http://schemas.microsoft.com/office/drawing/2015/06/chart">
            <c:ext xmlns:c16="http://schemas.microsoft.com/office/drawing/2014/chart" uri="{C3380CC4-5D6E-409C-BE32-E72D297353CC}">
              <c16:uniqueId val="{00000005-7E0C-43EE-B869-8B070C39D251}"/>
            </c:ext>
          </c:extLst>
        </c:ser>
        <c:gapWidth val="75"/>
        <c:overlap val="-25"/>
        <c:axId val="49509888"/>
        <c:axId val="49511424"/>
      </c:barChart>
      <c:catAx>
        <c:axId val="49509888"/>
        <c:scaling>
          <c:orientation val="minMax"/>
        </c:scaling>
        <c:axPos val="b"/>
        <c:numFmt formatCode="General" sourceLinked="0"/>
        <c:majorTickMark val="none"/>
        <c:tickLblPos val="low"/>
        <c:crossAx val="49511424"/>
        <c:crosses val="autoZero"/>
        <c:auto val="1"/>
        <c:lblAlgn val="ctr"/>
        <c:lblOffset val="100"/>
      </c:catAx>
      <c:valAx>
        <c:axId val="49511424"/>
        <c:scaling>
          <c:orientation val="minMax"/>
        </c:scaling>
        <c:delete val="1"/>
        <c:axPos val="l"/>
        <c:numFmt formatCode="_-* #,##0\ _€_-;\-* #,##0\ _€_-;_-* &quot;-&quot;??\ _€_-;_-@_-" sourceLinked="1"/>
        <c:majorTickMark val="none"/>
        <c:tickLblPos val="none"/>
        <c:crossAx val="49509888"/>
        <c:crosses val="autoZero"/>
        <c:crossBetween val="between"/>
      </c:valAx>
    </c:plotArea>
    <c:legend>
      <c:legendPos val="b"/>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Feuil1!$C$26</c:f>
              <c:strCache>
                <c:ptCount val="1"/>
                <c:pt idx="0">
                  <c:v>Urbain</c:v>
                </c:pt>
              </c:strCache>
            </c:strRef>
          </c:tx>
          <c:spPr>
            <a:solidFill>
              <a:srgbClr val="FFC000"/>
            </a:solidFill>
          </c:spPr>
          <c:dLbls>
            <c:dLbl>
              <c:idx val="1"/>
              <c:layout>
                <c:manualLayout>
                  <c:x val="-6.5270192901686714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C83-4EB5-81BC-E3AFE32E8F89}"/>
                </c:ext>
              </c:extLst>
            </c:dLbl>
            <c:dLbl>
              <c:idx val="3"/>
              <c:layout>
                <c:manualLayout>
                  <c:x val="7.9773758659907969E-17"/>
                  <c:y val="-9.2592592592593906E-3"/>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C83-4EB5-81BC-E3AFE32E8F89}"/>
                </c:ext>
              </c:extLst>
            </c:dLbl>
            <c:dLbl>
              <c:idx val="4"/>
              <c:tx>
                <c:rich>
                  <a:bodyPr/>
                  <a:lstStyle/>
                  <a:p>
                    <a:pPr>
                      <a:defRPr sz="900"/>
                    </a:pPr>
                    <a:r>
                      <a:rPr lang="en-US"/>
                      <a:t> 56 000   </a:t>
                    </a:r>
                  </a:p>
                </c:rich>
              </c:tx>
              <c:spPr>
                <a:noFill/>
              </c:spPr>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7C83-4EB5-81BC-E3AFE32E8F89}"/>
                </c:ext>
              </c:extLst>
            </c:dLbl>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Feuil1!$B$27:$B$31</c:f>
              <c:strCache>
                <c:ptCount val="5"/>
                <c:pt idx="0">
                  <c:v>Agriculture, forêt et pêche</c:v>
                </c:pt>
                <c:pt idx="1">
                  <c:v>Industrie (y compris l'artisanat)</c:v>
                </c:pt>
                <c:pt idx="2">
                  <c:v>BTP</c:v>
                </c:pt>
                <c:pt idx="3">
                  <c:v>Services</c:v>
                </c:pt>
                <c:pt idx="4">
                  <c:v>Ensemble</c:v>
                </c:pt>
              </c:strCache>
            </c:strRef>
          </c:cat>
          <c:val>
            <c:numRef>
              <c:f>Feuil1!$C$27:$C$31</c:f>
              <c:numCache>
                <c:formatCode>_-* #,##0\ _€_-;\-* #,##0\ _€_-;_-* "-"??\ _€_-;_-@_-</c:formatCode>
                <c:ptCount val="5"/>
                <c:pt idx="0">
                  <c:v>23000</c:v>
                </c:pt>
                <c:pt idx="1">
                  <c:v>-25000</c:v>
                </c:pt>
                <c:pt idx="2">
                  <c:v>38000</c:v>
                </c:pt>
                <c:pt idx="3">
                  <c:v>24000</c:v>
                </c:pt>
                <c:pt idx="4">
                  <c:v>57000</c:v>
                </c:pt>
              </c:numCache>
            </c:numRef>
          </c:val>
          <c:extLst xmlns:c16r2="http://schemas.microsoft.com/office/drawing/2015/06/chart">
            <c:ext xmlns:c16="http://schemas.microsoft.com/office/drawing/2014/chart" uri="{C3380CC4-5D6E-409C-BE32-E72D297353CC}">
              <c16:uniqueId val="{00000003-7C83-4EB5-81BC-E3AFE32E8F89}"/>
            </c:ext>
          </c:extLst>
        </c:ser>
        <c:ser>
          <c:idx val="1"/>
          <c:order val="1"/>
          <c:tx>
            <c:strRef>
              <c:f>Feuil1!$D$26</c:f>
              <c:strCache>
                <c:ptCount val="1"/>
                <c:pt idx="0">
                  <c:v>Rural</c:v>
                </c:pt>
              </c:strCache>
            </c:strRef>
          </c:tx>
          <c:spPr>
            <a:solidFill>
              <a:schemeClr val="bg1">
                <a:lumMod val="85000"/>
              </a:schemeClr>
            </a:solidFill>
          </c:spPr>
          <c:dLbls>
            <c:spPr>
              <a:noFill/>
              <a:ln>
                <a:noFill/>
              </a:ln>
              <a:effectLst/>
            </c:spPr>
            <c:txPr>
              <a:bodyPr/>
              <a:lstStyle/>
              <a:p>
                <a:pPr>
                  <a:defRPr sz="800"/>
                </a:pPr>
                <a:endParaRPr lang="fr-FR"/>
              </a:p>
            </c:txPr>
            <c:showVal val="1"/>
            <c:extLst xmlns:c16r2="http://schemas.microsoft.com/office/drawing/2015/06/chart">
              <c:ext xmlns:c15="http://schemas.microsoft.com/office/drawing/2012/chart" uri="{CE6537A1-D6FC-4f65-9D91-7224C49458BB}">
                <c15:showLeaderLines val="0"/>
              </c:ext>
            </c:extLst>
          </c:dLbls>
          <c:cat>
            <c:strRef>
              <c:f>Feuil1!$B$27:$B$31</c:f>
              <c:strCache>
                <c:ptCount val="5"/>
                <c:pt idx="0">
                  <c:v>Agriculture, forêt et pêche</c:v>
                </c:pt>
                <c:pt idx="1">
                  <c:v>Industrie (y compris l'artisanat)</c:v>
                </c:pt>
                <c:pt idx="2">
                  <c:v>BTP</c:v>
                </c:pt>
                <c:pt idx="3">
                  <c:v>Services</c:v>
                </c:pt>
                <c:pt idx="4">
                  <c:v>Ensemble</c:v>
                </c:pt>
              </c:strCache>
            </c:strRef>
          </c:cat>
          <c:val>
            <c:numRef>
              <c:f>Feuil1!$D$27:$D$31</c:f>
              <c:numCache>
                <c:formatCode>_-* #,##0\ _€_-;\-* #,##0\ _€_-;_-* "-"??\ _€_-;_-@_-</c:formatCode>
                <c:ptCount val="5"/>
                <c:pt idx="0">
                  <c:v>-254000</c:v>
                </c:pt>
                <c:pt idx="1">
                  <c:v>-23000</c:v>
                </c:pt>
                <c:pt idx="2">
                  <c:v>1000</c:v>
                </c:pt>
                <c:pt idx="3">
                  <c:v>18000</c:v>
                </c:pt>
                <c:pt idx="4">
                  <c:v>-258000</c:v>
                </c:pt>
              </c:numCache>
            </c:numRef>
          </c:val>
          <c:extLst xmlns:c16r2="http://schemas.microsoft.com/office/drawing/2015/06/chart">
            <c:ext xmlns:c16="http://schemas.microsoft.com/office/drawing/2014/chart" uri="{C3380CC4-5D6E-409C-BE32-E72D297353CC}">
              <c16:uniqueId val="{00000004-7C83-4EB5-81BC-E3AFE32E8F89}"/>
            </c:ext>
          </c:extLst>
        </c:ser>
        <c:ser>
          <c:idx val="2"/>
          <c:order val="2"/>
          <c:tx>
            <c:strRef>
              <c:f>Feuil1!$E$26</c:f>
              <c:strCache>
                <c:ptCount val="1"/>
                <c:pt idx="0">
                  <c:v>National</c:v>
                </c:pt>
              </c:strCache>
            </c:strRef>
          </c:tx>
          <c:spPr>
            <a:solidFill>
              <a:srgbClr val="002060"/>
            </a:solidFill>
          </c:spPr>
          <c:dLbls>
            <c:spPr>
              <a:noFill/>
              <a:ln>
                <a:noFill/>
              </a:ln>
              <a:effectLst/>
            </c:spPr>
            <c:txPr>
              <a:bodyPr/>
              <a:lstStyle/>
              <a:p>
                <a:pPr>
                  <a:defRPr sz="900"/>
                </a:pPr>
                <a:endParaRPr lang="fr-FR"/>
              </a:p>
            </c:txPr>
            <c:showVal val="1"/>
            <c:extLst xmlns:c16r2="http://schemas.microsoft.com/office/drawing/2015/06/chart">
              <c:ext xmlns:c15="http://schemas.microsoft.com/office/drawing/2012/chart" uri="{CE6537A1-D6FC-4f65-9D91-7224C49458BB}">
                <c15:showLeaderLines val="0"/>
              </c:ext>
            </c:extLst>
          </c:dLbls>
          <c:cat>
            <c:strRef>
              <c:f>Feuil1!$B$27:$B$31</c:f>
              <c:strCache>
                <c:ptCount val="5"/>
                <c:pt idx="0">
                  <c:v>Agriculture, forêt et pêche</c:v>
                </c:pt>
                <c:pt idx="1">
                  <c:v>Industrie (y compris l'artisanat)</c:v>
                </c:pt>
                <c:pt idx="2">
                  <c:v>BTP</c:v>
                </c:pt>
                <c:pt idx="3">
                  <c:v>Services</c:v>
                </c:pt>
                <c:pt idx="4">
                  <c:v>Ensemble</c:v>
                </c:pt>
              </c:strCache>
            </c:strRef>
          </c:cat>
          <c:val>
            <c:numRef>
              <c:f>Feuil1!$E$27:$E$31</c:f>
              <c:numCache>
                <c:formatCode>_-* #,##0\ _€_-;\-* #,##0\ _€_-;_-* "-"??\ _€_-;_-@_-</c:formatCode>
                <c:ptCount val="5"/>
                <c:pt idx="0">
                  <c:v>-231000</c:v>
                </c:pt>
                <c:pt idx="1">
                  <c:v>-48000</c:v>
                </c:pt>
                <c:pt idx="2">
                  <c:v>39000</c:v>
                </c:pt>
                <c:pt idx="3">
                  <c:v>42000</c:v>
                </c:pt>
                <c:pt idx="4">
                  <c:v>-202000</c:v>
                </c:pt>
              </c:numCache>
            </c:numRef>
          </c:val>
          <c:extLst xmlns:c16r2="http://schemas.microsoft.com/office/drawing/2015/06/chart">
            <c:ext xmlns:c16="http://schemas.microsoft.com/office/drawing/2014/chart" uri="{C3380CC4-5D6E-409C-BE32-E72D297353CC}">
              <c16:uniqueId val="{00000005-7C83-4EB5-81BC-E3AFE32E8F89}"/>
            </c:ext>
          </c:extLst>
        </c:ser>
        <c:gapWidth val="75"/>
        <c:overlap val="-25"/>
        <c:axId val="90988544"/>
        <c:axId val="90990080"/>
      </c:barChart>
      <c:catAx>
        <c:axId val="90988544"/>
        <c:scaling>
          <c:orientation val="minMax"/>
        </c:scaling>
        <c:axPos val="b"/>
        <c:numFmt formatCode="General" sourceLinked="0"/>
        <c:majorTickMark val="none"/>
        <c:tickLblPos val="low"/>
        <c:crossAx val="90990080"/>
        <c:crosses val="autoZero"/>
        <c:auto val="1"/>
        <c:lblAlgn val="ctr"/>
        <c:lblOffset val="100"/>
      </c:catAx>
      <c:valAx>
        <c:axId val="90990080"/>
        <c:scaling>
          <c:orientation val="minMax"/>
        </c:scaling>
        <c:delete val="1"/>
        <c:axPos val="l"/>
        <c:numFmt formatCode="_-* #,##0\ _€_-;\-* #,##0\ _€_-;_-* &quot;-&quot;??\ _€_-;_-@_-" sourceLinked="1"/>
        <c:majorTickMark val="none"/>
        <c:tickLblPos val="none"/>
        <c:crossAx val="90988544"/>
        <c:crosses val="autoZero"/>
        <c:crossBetween val="between"/>
      </c:valAx>
    </c:plotArea>
    <c:legend>
      <c:legendPos val="b"/>
      <c:layout>
        <c:manualLayout>
          <c:xMode val="edge"/>
          <c:yMode val="edge"/>
          <c:x val="0.35796236738013737"/>
          <c:y val="0.91628280839894949"/>
          <c:w val="0.32734797234853003"/>
          <c:h val="8.3717191601050026E-2"/>
        </c:manualLayout>
      </c:layout>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Feuil1!$C$47</c:f>
              <c:strCache>
                <c:ptCount val="1"/>
                <c:pt idx="0">
                  <c:v>2020</c:v>
                </c:pt>
              </c:strCache>
            </c:strRef>
          </c:tx>
          <c:spPr>
            <a:solidFill>
              <a:srgbClr val="FFC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Feuil1!$B$48:$B$55</c:f>
              <c:strCache>
                <c:ptCount val="8"/>
                <c:pt idx="0">
                  <c:v>Urbain</c:v>
                </c:pt>
                <c:pt idx="1">
                  <c:v>Rural</c:v>
                </c:pt>
                <c:pt idx="2">
                  <c:v>Masculin</c:v>
                </c:pt>
                <c:pt idx="3">
                  <c:v>Féminin</c:v>
                </c:pt>
                <c:pt idx="4">
                  <c:v>15-24 ans</c:v>
                </c:pt>
                <c:pt idx="5">
                  <c:v>Aucun diplôme</c:v>
                </c:pt>
                <c:pt idx="6">
                  <c:v>Ayant un diplôme</c:v>
                </c:pt>
                <c:pt idx="7">
                  <c:v>National</c:v>
                </c:pt>
              </c:strCache>
            </c:strRef>
          </c:cat>
          <c:val>
            <c:numRef>
              <c:f>Feuil1!$C$48:$C$55</c:f>
              <c:numCache>
                <c:formatCode>0.0</c:formatCode>
                <c:ptCount val="8"/>
                <c:pt idx="0">
                  <c:v>15.1</c:v>
                </c:pt>
                <c:pt idx="1">
                  <c:v>3.9</c:v>
                </c:pt>
                <c:pt idx="2">
                  <c:v>9.3000000000000007</c:v>
                </c:pt>
                <c:pt idx="3">
                  <c:v>14.3</c:v>
                </c:pt>
                <c:pt idx="4">
                  <c:v>26.765560982819238</c:v>
                </c:pt>
                <c:pt idx="5">
                  <c:v>3.6238694324644287</c:v>
                </c:pt>
                <c:pt idx="6">
                  <c:v>17.835875251430895</c:v>
                </c:pt>
                <c:pt idx="7">
                  <c:v>10.5</c:v>
                </c:pt>
              </c:numCache>
            </c:numRef>
          </c:val>
          <c:extLst xmlns:c16r2="http://schemas.microsoft.com/office/drawing/2015/06/chart">
            <c:ext xmlns:c16="http://schemas.microsoft.com/office/drawing/2014/chart" uri="{C3380CC4-5D6E-409C-BE32-E72D297353CC}">
              <c16:uniqueId val="{00000000-552C-497A-A80A-AE9987173728}"/>
            </c:ext>
          </c:extLst>
        </c:ser>
        <c:ser>
          <c:idx val="1"/>
          <c:order val="1"/>
          <c:tx>
            <c:strRef>
              <c:f>Feuil1!$D$47</c:f>
              <c:strCache>
                <c:ptCount val="1"/>
                <c:pt idx="0">
                  <c:v>2021</c:v>
                </c:pt>
              </c:strCache>
            </c:strRef>
          </c:tx>
          <c:spPr>
            <a:solidFill>
              <a:srgbClr val="00206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Feuil1!$B$48:$B$55</c:f>
              <c:strCache>
                <c:ptCount val="8"/>
                <c:pt idx="0">
                  <c:v>Urbain</c:v>
                </c:pt>
                <c:pt idx="1">
                  <c:v>Rural</c:v>
                </c:pt>
                <c:pt idx="2">
                  <c:v>Masculin</c:v>
                </c:pt>
                <c:pt idx="3">
                  <c:v>Féminin</c:v>
                </c:pt>
                <c:pt idx="4">
                  <c:v>15-24 ans</c:v>
                </c:pt>
                <c:pt idx="5">
                  <c:v>Aucun diplôme</c:v>
                </c:pt>
                <c:pt idx="6">
                  <c:v>Ayant un diplôme</c:v>
                </c:pt>
                <c:pt idx="7">
                  <c:v>National</c:v>
                </c:pt>
              </c:strCache>
            </c:strRef>
          </c:cat>
          <c:val>
            <c:numRef>
              <c:f>Feuil1!$D$48:$D$55</c:f>
              <c:numCache>
                <c:formatCode>0.0</c:formatCode>
                <c:ptCount val="8"/>
                <c:pt idx="0">
                  <c:v>17.100000000000001</c:v>
                </c:pt>
                <c:pt idx="1">
                  <c:v>5.3</c:v>
                </c:pt>
                <c:pt idx="2">
                  <c:v>10.9</c:v>
                </c:pt>
                <c:pt idx="3">
                  <c:v>17.5</c:v>
                </c:pt>
                <c:pt idx="4">
                  <c:v>32.522253519958511</c:v>
                </c:pt>
                <c:pt idx="5">
                  <c:v>5.0434933717994541</c:v>
                </c:pt>
                <c:pt idx="6">
                  <c:v>19.758688129027309</c:v>
                </c:pt>
                <c:pt idx="7">
                  <c:v>12.5</c:v>
                </c:pt>
              </c:numCache>
            </c:numRef>
          </c:val>
          <c:extLst xmlns:c16r2="http://schemas.microsoft.com/office/drawing/2015/06/chart">
            <c:ext xmlns:c16="http://schemas.microsoft.com/office/drawing/2014/chart" uri="{C3380CC4-5D6E-409C-BE32-E72D297353CC}">
              <c16:uniqueId val="{00000001-552C-497A-A80A-AE9987173728}"/>
            </c:ext>
          </c:extLst>
        </c:ser>
        <c:dLbls>
          <c:showVal val="1"/>
        </c:dLbls>
        <c:overlap val="-25"/>
        <c:axId val="91006848"/>
        <c:axId val="91008384"/>
      </c:barChart>
      <c:catAx>
        <c:axId val="91006848"/>
        <c:scaling>
          <c:orientation val="minMax"/>
        </c:scaling>
        <c:axPos val="b"/>
        <c:numFmt formatCode="General" sourceLinked="0"/>
        <c:majorTickMark val="none"/>
        <c:tickLblPos val="nextTo"/>
        <c:crossAx val="91008384"/>
        <c:crosses val="autoZero"/>
        <c:auto val="1"/>
        <c:lblAlgn val="ctr"/>
        <c:lblOffset val="100"/>
      </c:catAx>
      <c:valAx>
        <c:axId val="91008384"/>
        <c:scaling>
          <c:orientation val="minMax"/>
        </c:scaling>
        <c:delete val="1"/>
        <c:axPos val="l"/>
        <c:numFmt formatCode="0.0" sourceLinked="1"/>
        <c:tickLblPos val="none"/>
        <c:crossAx val="91006848"/>
        <c:crosses val="autoZero"/>
        <c:crossBetween val="between"/>
      </c:valAx>
    </c:plotArea>
    <c:legend>
      <c:legendPos val="t"/>
      <c:layout>
        <c:manualLayout>
          <c:xMode val="edge"/>
          <c:yMode val="edge"/>
          <c:x val="3.1896106736657895E-2"/>
          <c:y val="3.7037037037037056E-2"/>
          <c:w val="0.20842979002624798"/>
          <c:h val="8.3717191601050026E-2"/>
        </c:manualLayout>
      </c:layout>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col"/>
        <c:grouping val="clustered"/>
        <c:ser>
          <c:idx val="0"/>
          <c:order val="0"/>
          <c:tx>
            <c:strRef>
              <c:f>Feuil1!$C$58</c:f>
              <c:strCache>
                <c:ptCount val="1"/>
                <c:pt idx="0">
                  <c:v>2020</c:v>
                </c:pt>
              </c:strCache>
            </c:strRef>
          </c:tx>
          <c:spPr>
            <a:solidFill>
              <a:srgbClr val="FFC000"/>
            </a:solidFill>
          </c:spPr>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Feuil1!$B$59:$B$65</c:f>
              <c:strCache>
                <c:ptCount val="7"/>
                <c:pt idx="0">
                  <c:v>Urbain</c:v>
                </c:pt>
                <c:pt idx="1">
                  <c:v>Rural</c:v>
                </c:pt>
                <c:pt idx="2">
                  <c:v>Masculin</c:v>
                </c:pt>
                <c:pt idx="3">
                  <c:v>Féminin</c:v>
                </c:pt>
                <c:pt idx="4">
                  <c:v>15-24 ans</c:v>
                </c:pt>
                <c:pt idx="5">
                  <c:v>Ayant un diplôme</c:v>
                </c:pt>
                <c:pt idx="6">
                  <c:v>National</c:v>
                </c:pt>
              </c:strCache>
            </c:strRef>
          </c:cat>
          <c:val>
            <c:numRef>
              <c:f>Feuil1!$C$59:$C$65</c:f>
              <c:numCache>
                <c:formatCode>0.0</c:formatCode>
                <c:ptCount val="7"/>
                <c:pt idx="0">
                  <c:v>8.6831539360432206</c:v>
                </c:pt>
                <c:pt idx="1">
                  <c:v>8.8754386969579606</c:v>
                </c:pt>
                <c:pt idx="2" formatCode="###0.0">
                  <c:v>9.9154792972944268</c:v>
                </c:pt>
                <c:pt idx="3" formatCode="###0.0">
                  <c:v>5.1080906304460685</c:v>
                </c:pt>
                <c:pt idx="4" formatCode="###0.0">
                  <c:v>13.222118445286901</c:v>
                </c:pt>
                <c:pt idx="5" formatCode="###0.0">
                  <c:v>9.2741290629487789</c:v>
                </c:pt>
                <c:pt idx="6">
                  <c:v>8.7672800905414299</c:v>
                </c:pt>
              </c:numCache>
            </c:numRef>
          </c:val>
          <c:extLst xmlns:c16r2="http://schemas.microsoft.com/office/drawing/2015/06/chart">
            <c:ext xmlns:c16="http://schemas.microsoft.com/office/drawing/2014/chart" uri="{C3380CC4-5D6E-409C-BE32-E72D297353CC}">
              <c16:uniqueId val="{00000000-41A8-43F5-AA66-AEAFEC0D2ADA}"/>
            </c:ext>
          </c:extLst>
        </c:ser>
        <c:ser>
          <c:idx val="1"/>
          <c:order val="1"/>
          <c:tx>
            <c:strRef>
              <c:f>Feuil1!$D$58</c:f>
              <c:strCache>
                <c:ptCount val="1"/>
                <c:pt idx="0">
                  <c:v>2021</c:v>
                </c:pt>
              </c:strCache>
            </c:strRef>
          </c:tx>
          <c:spPr>
            <a:solidFill>
              <a:srgbClr val="002060"/>
            </a:solidFill>
          </c:spPr>
          <c:dLbls>
            <c:dLbl>
              <c:idx val="4"/>
              <c:layout>
                <c:manualLayout>
                  <c:x val="-1.7634254539442881E-3"/>
                  <c:y val="0"/>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1A8-43F5-AA66-AEAFEC0D2ADA}"/>
                </c:ext>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Feuil1!$B$59:$B$65</c:f>
              <c:strCache>
                <c:ptCount val="7"/>
                <c:pt idx="0">
                  <c:v>Urbain</c:v>
                </c:pt>
                <c:pt idx="1">
                  <c:v>Rural</c:v>
                </c:pt>
                <c:pt idx="2">
                  <c:v>Masculin</c:v>
                </c:pt>
                <c:pt idx="3">
                  <c:v>Féminin</c:v>
                </c:pt>
                <c:pt idx="4">
                  <c:v>15-24 ans</c:v>
                </c:pt>
                <c:pt idx="5">
                  <c:v>Ayant un diplôme</c:v>
                </c:pt>
                <c:pt idx="6">
                  <c:v>National</c:v>
                </c:pt>
              </c:strCache>
            </c:strRef>
          </c:cat>
          <c:val>
            <c:numRef>
              <c:f>Feuil1!$D$59:$D$65</c:f>
              <c:numCache>
                <c:formatCode>0.0</c:formatCode>
                <c:ptCount val="7"/>
                <c:pt idx="0">
                  <c:v>8.8782881007966239</c:v>
                </c:pt>
                <c:pt idx="1">
                  <c:v>9.6028741657755479</c:v>
                </c:pt>
                <c:pt idx="2" formatCode="###0.0">
                  <c:v>10.21693213923905</c:v>
                </c:pt>
                <c:pt idx="3" formatCode="###0.0">
                  <c:v>5.5789282046214499</c:v>
                </c:pt>
                <c:pt idx="4" formatCode="###0.0">
                  <c:v>13.599542247226115</c:v>
                </c:pt>
                <c:pt idx="5" formatCode="###0.0">
                  <c:v>9.7224980557124709</c:v>
                </c:pt>
                <c:pt idx="6">
                  <c:v>9.1836283557983034</c:v>
                </c:pt>
              </c:numCache>
            </c:numRef>
          </c:val>
          <c:extLst xmlns:c16r2="http://schemas.microsoft.com/office/drawing/2015/06/chart">
            <c:ext xmlns:c16="http://schemas.microsoft.com/office/drawing/2014/chart" uri="{C3380CC4-5D6E-409C-BE32-E72D297353CC}">
              <c16:uniqueId val="{00000002-41A8-43F5-AA66-AEAFEC0D2ADA}"/>
            </c:ext>
          </c:extLst>
        </c:ser>
        <c:dLbls>
          <c:showVal val="1"/>
        </c:dLbls>
        <c:overlap val="-25"/>
        <c:axId val="94332032"/>
        <c:axId val="94333568"/>
      </c:barChart>
      <c:catAx>
        <c:axId val="94332032"/>
        <c:scaling>
          <c:orientation val="minMax"/>
        </c:scaling>
        <c:axPos val="b"/>
        <c:numFmt formatCode="General" sourceLinked="0"/>
        <c:majorTickMark val="none"/>
        <c:tickLblPos val="nextTo"/>
        <c:crossAx val="94333568"/>
        <c:crosses val="autoZero"/>
        <c:auto val="1"/>
        <c:lblAlgn val="ctr"/>
        <c:lblOffset val="100"/>
      </c:catAx>
      <c:valAx>
        <c:axId val="94333568"/>
        <c:scaling>
          <c:orientation val="minMax"/>
        </c:scaling>
        <c:delete val="1"/>
        <c:axPos val="l"/>
        <c:numFmt formatCode="0.0" sourceLinked="1"/>
        <c:tickLblPos val="none"/>
        <c:crossAx val="94332032"/>
        <c:crosses val="autoZero"/>
        <c:crossBetween val="between"/>
      </c:valAx>
    </c:plotArea>
    <c:legend>
      <c:legendPos val="t"/>
      <c:layout>
        <c:manualLayout>
          <c:xMode val="edge"/>
          <c:yMode val="edge"/>
          <c:x val="4.5784995625547123E-2"/>
          <c:y val="3.7037037037037056E-2"/>
          <c:w val="0.20842979002624798"/>
          <c:h val="8.3717191601050026E-2"/>
        </c:manualLayout>
      </c:layout>
    </c:legend>
    <c:plotVisOnly val="1"/>
    <c:dispBlanksAs val="gap"/>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fr-FR"/>
  <c:chart>
    <c:autoTitleDeleted val="1"/>
    <c:plotArea>
      <c:layout/>
      <c:barChart>
        <c:barDir val="bar"/>
        <c:grouping val="clustered"/>
        <c:ser>
          <c:idx val="0"/>
          <c:order val="0"/>
          <c:dPt>
            <c:idx val="4"/>
            <c:spPr>
              <a:solidFill>
                <a:schemeClr val="accent2"/>
              </a:solidFill>
            </c:spPr>
            <c:extLst xmlns:c16r2="http://schemas.microsoft.com/office/drawing/2015/06/chart">
              <c:ext xmlns:c16="http://schemas.microsoft.com/office/drawing/2014/chart" uri="{C3380CC4-5D6E-409C-BE32-E72D297353CC}">
                <c16:uniqueId val="{00000000-8382-4DE0-90D8-F22B7A6ADB98}"/>
              </c:ext>
            </c:extLst>
          </c:dPt>
          <c:dLbls>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Feuil2!$C$4:$C$14</c:f>
              <c:strCache>
                <c:ptCount val="11"/>
                <c:pt idx="0">
                  <c:v>Casablanca-Settat</c:v>
                </c:pt>
                <c:pt idx="1">
                  <c:v>Tanger-Tétouan-Al Hoceïma</c:v>
                </c:pt>
                <c:pt idx="2">
                  <c:v>Marrakech-Safi</c:v>
                </c:pt>
                <c:pt idx="3">
                  <c:v>Drâa-Tafilalet</c:v>
                </c:pt>
                <c:pt idx="4">
                  <c:v>National</c:v>
                </c:pt>
                <c:pt idx="5">
                  <c:v>Régions du Sud</c:v>
                </c:pt>
                <c:pt idx="6">
                  <c:v>Béni Mellal-Khénifra</c:v>
                </c:pt>
                <c:pt idx="7">
                  <c:v>Rabat-Salé-Kénitra</c:v>
                </c:pt>
                <c:pt idx="8">
                  <c:v>Fès-Meknès</c:v>
                </c:pt>
                <c:pt idx="9">
                  <c:v>Souss-Massa</c:v>
                </c:pt>
                <c:pt idx="10">
                  <c:v>Oriental</c:v>
                </c:pt>
              </c:strCache>
            </c:strRef>
          </c:cat>
          <c:val>
            <c:numRef>
              <c:f>Feuil2!$D$4:$D$14</c:f>
              <c:numCache>
                <c:formatCode>General</c:formatCode>
                <c:ptCount val="11"/>
                <c:pt idx="0">
                  <c:v>48.6</c:v>
                </c:pt>
                <c:pt idx="1">
                  <c:v>48.1</c:v>
                </c:pt>
                <c:pt idx="2">
                  <c:v>46.8</c:v>
                </c:pt>
                <c:pt idx="3">
                  <c:v>46.4</c:v>
                </c:pt>
                <c:pt idx="4">
                  <c:v>45.5</c:v>
                </c:pt>
                <c:pt idx="5">
                  <c:v>45.3</c:v>
                </c:pt>
                <c:pt idx="6">
                  <c:v>44.9</c:v>
                </c:pt>
                <c:pt idx="7">
                  <c:v>44.4</c:v>
                </c:pt>
                <c:pt idx="8">
                  <c:v>42.5</c:v>
                </c:pt>
                <c:pt idx="9">
                  <c:v>42.3</c:v>
                </c:pt>
                <c:pt idx="10">
                  <c:v>41.6</c:v>
                </c:pt>
              </c:numCache>
            </c:numRef>
          </c:val>
          <c:extLst xmlns:c16r2="http://schemas.microsoft.com/office/drawing/2015/06/chart">
            <c:ext xmlns:c16="http://schemas.microsoft.com/office/drawing/2014/chart" uri="{C3380CC4-5D6E-409C-BE32-E72D297353CC}">
              <c16:uniqueId val="{00000001-8382-4DE0-90D8-F22B7A6ADB98}"/>
            </c:ext>
          </c:extLst>
        </c:ser>
        <c:gapWidth val="75"/>
        <c:axId val="94358912"/>
        <c:axId val="93717632"/>
      </c:barChart>
      <c:catAx>
        <c:axId val="94358912"/>
        <c:scaling>
          <c:orientation val="maxMin"/>
        </c:scaling>
        <c:axPos val="l"/>
        <c:numFmt formatCode="General" sourceLinked="0"/>
        <c:majorTickMark val="none"/>
        <c:tickLblPos val="nextTo"/>
        <c:crossAx val="93717632"/>
        <c:crosses val="autoZero"/>
        <c:auto val="1"/>
        <c:lblAlgn val="ctr"/>
        <c:lblOffset val="100"/>
      </c:catAx>
      <c:valAx>
        <c:axId val="93717632"/>
        <c:scaling>
          <c:orientation val="minMax"/>
        </c:scaling>
        <c:delete val="1"/>
        <c:axPos val="t"/>
        <c:numFmt formatCode="General" sourceLinked="1"/>
        <c:majorTickMark val="none"/>
        <c:tickLblPos val="none"/>
        <c:crossAx val="94358912"/>
        <c:crosses val="autoZero"/>
        <c:crossBetween val="between"/>
      </c:valAx>
    </c:plotArea>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fr-FR"/>
  <c:chart>
    <c:plotArea>
      <c:layout/>
      <c:barChart>
        <c:barDir val="bar"/>
        <c:grouping val="clustered"/>
        <c:ser>
          <c:idx val="0"/>
          <c:order val="0"/>
          <c:dPt>
            <c:idx val="4"/>
            <c:spPr>
              <a:solidFill>
                <a:schemeClr val="accent2"/>
              </a:solidFill>
            </c:spPr>
            <c:extLst xmlns:c16r2="http://schemas.microsoft.com/office/drawing/2015/06/chart">
              <c:ext xmlns:c16="http://schemas.microsoft.com/office/drawing/2014/chart" uri="{C3380CC4-5D6E-409C-BE32-E72D297353CC}">
                <c16:uniqueId val="{00000000-C01F-4388-AFF5-216311600213}"/>
              </c:ext>
            </c:extLst>
          </c:dPt>
          <c:dLbls>
            <c:dLbl>
              <c:idx val="4"/>
              <c:spPr/>
              <c:txPr>
                <a:bodyPr/>
                <a:lstStyle/>
                <a:p>
                  <a:pPr>
                    <a:defRPr b="1"/>
                  </a:pPr>
                  <a:endParaRPr lang="fr-FR"/>
                </a:p>
              </c:txPr>
            </c:dLbl>
            <c:spPr>
              <a:noFill/>
              <a:ln>
                <a:noFill/>
              </a:ln>
              <a:effectLst/>
            </c:spPr>
            <c:showVal val="1"/>
            <c:extLst xmlns:c16r2="http://schemas.microsoft.com/office/drawing/2015/06/chart">
              <c:ext xmlns:c15="http://schemas.microsoft.com/office/drawing/2012/chart" uri="{CE6537A1-D6FC-4f65-9D91-7224C49458BB}">
                <c15:showLeaderLines val="0"/>
              </c:ext>
            </c:extLst>
          </c:dLbls>
          <c:cat>
            <c:strRef>
              <c:f>Feuil2!$C$22:$C$32</c:f>
              <c:strCache>
                <c:ptCount val="11"/>
                <c:pt idx="0">
                  <c:v>Régions du Sud</c:v>
                </c:pt>
                <c:pt idx="1">
                  <c:v>Oriental</c:v>
                </c:pt>
                <c:pt idx="2">
                  <c:v>Casablanca-Settat</c:v>
                </c:pt>
                <c:pt idx="3">
                  <c:v>Fès-Meknès</c:v>
                </c:pt>
                <c:pt idx="4">
                  <c:v>National</c:v>
                </c:pt>
                <c:pt idx="5">
                  <c:v>Rabat-Salé-Kénitra</c:v>
                </c:pt>
                <c:pt idx="6">
                  <c:v>Tanger-Tétouan-Al Hoceïma </c:v>
                </c:pt>
                <c:pt idx="7">
                  <c:v>Souss-Massa</c:v>
                </c:pt>
                <c:pt idx="8">
                  <c:v>Béni Mellal-Khénifra</c:v>
                </c:pt>
                <c:pt idx="9">
                  <c:v>Marrakech-Safi</c:v>
                </c:pt>
                <c:pt idx="10">
                  <c:v>Drâa-Tafilalet</c:v>
                </c:pt>
              </c:strCache>
            </c:strRef>
          </c:cat>
          <c:val>
            <c:numRef>
              <c:f>Feuil2!$D$22:$D$32</c:f>
              <c:numCache>
                <c:formatCode>General</c:formatCode>
                <c:ptCount val="11"/>
                <c:pt idx="0">
                  <c:v>19.600000000000001</c:v>
                </c:pt>
                <c:pt idx="1">
                  <c:v>18.7</c:v>
                </c:pt>
                <c:pt idx="2">
                  <c:v>15.3</c:v>
                </c:pt>
                <c:pt idx="3">
                  <c:v>13.6</c:v>
                </c:pt>
                <c:pt idx="4">
                  <c:v>12.5</c:v>
                </c:pt>
                <c:pt idx="5">
                  <c:v>12.3</c:v>
                </c:pt>
                <c:pt idx="6">
                  <c:v>11.9</c:v>
                </c:pt>
                <c:pt idx="7">
                  <c:v>10</c:v>
                </c:pt>
                <c:pt idx="8">
                  <c:v>8.8000000000000007</c:v>
                </c:pt>
                <c:pt idx="9">
                  <c:v>7.9</c:v>
                </c:pt>
                <c:pt idx="10">
                  <c:v>7.8</c:v>
                </c:pt>
              </c:numCache>
            </c:numRef>
          </c:val>
          <c:extLst xmlns:c16r2="http://schemas.microsoft.com/office/drawing/2015/06/chart">
            <c:ext xmlns:c16="http://schemas.microsoft.com/office/drawing/2014/chart" uri="{C3380CC4-5D6E-409C-BE32-E72D297353CC}">
              <c16:uniqueId val="{00000001-C01F-4388-AFF5-216311600213}"/>
            </c:ext>
          </c:extLst>
        </c:ser>
        <c:axId val="93744128"/>
        <c:axId val="93758208"/>
      </c:barChart>
      <c:catAx>
        <c:axId val="93744128"/>
        <c:scaling>
          <c:orientation val="maxMin"/>
        </c:scaling>
        <c:axPos val="l"/>
        <c:numFmt formatCode="General" sourceLinked="0"/>
        <c:tickLblPos val="nextTo"/>
        <c:crossAx val="93758208"/>
        <c:crosses val="autoZero"/>
        <c:auto val="1"/>
        <c:lblAlgn val="ctr"/>
        <c:lblOffset val="100"/>
      </c:catAx>
      <c:valAx>
        <c:axId val="93758208"/>
        <c:scaling>
          <c:orientation val="minMax"/>
        </c:scaling>
        <c:delete val="1"/>
        <c:axPos val="t"/>
        <c:numFmt formatCode="General" sourceLinked="1"/>
        <c:tickLblPos val="none"/>
        <c:crossAx val="93744128"/>
        <c:crosses val="autoZero"/>
        <c:crossBetween val="between"/>
      </c:valAx>
    </c:plotArea>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2CF65-4751-4B2C-9FC4-4FEEF28C1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1837</Words>
  <Characters>10109</Characters>
  <Application>Microsoft Office Word</Application>
  <DocSecurity>0</DocSecurity>
  <Lines>84</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HCP</cp:lastModifiedBy>
  <cp:revision>7</cp:revision>
  <cp:lastPrinted>2021-04-26T09:36:00Z</cp:lastPrinted>
  <dcterms:created xsi:type="dcterms:W3CDTF">2021-04-30T14:09:00Z</dcterms:created>
  <dcterms:modified xsi:type="dcterms:W3CDTF">2021-05-03T10:17:00Z</dcterms:modified>
</cp:coreProperties>
</file>