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B" w:rsidRDefault="0041779B" w:rsidP="00243C83"/>
    <w:p w:rsidR="0098132C" w:rsidRDefault="009813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2E3CF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3D25F5" w:rsidRDefault="00F0338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</w:t>
      </w:r>
    </w:p>
    <w:p w:rsidR="002E3CF2" w:rsidRDefault="002E3CF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F04852" w:rsidP="006A6B2C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Deuxième</w:t>
      </w:r>
      <w:r w:rsidR="00E22192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trimestre de</w:t>
      </w:r>
      <w:r w:rsidR="00546559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l’année</w:t>
      </w:r>
      <w:r w:rsidR="00DA1780">
        <w:rPr>
          <w:rFonts w:ascii="Book Antiqua" w:hAnsi="Book Antiqua" w:cs="Times New Roman"/>
          <w:b/>
          <w:bCs/>
          <w:color w:val="660033"/>
          <w:sz w:val="26"/>
          <w:szCs w:val="26"/>
        </w:rPr>
        <w:t>20</w:t>
      </w:r>
      <w:r w:rsidR="00E22192">
        <w:rPr>
          <w:rFonts w:ascii="Book Antiqua" w:hAnsi="Book Antiqua" w:cs="Times New Roman"/>
          <w:b/>
          <w:bCs/>
          <w:color w:val="660033"/>
          <w:sz w:val="26"/>
          <w:szCs w:val="26"/>
        </w:rPr>
        <w:t>2</w:t>
      </w:r>
      <w:r w:rsidR="006A6B2C">
        <w:rPr>
          <w:rFonts w:ascii="Book Antiqua" w:hAnsi="Book Antiqua" w:cs="Times New Roman"/>
          <w:b/>
          <w:bCs/>
          <w:color w:val="660033"/>
          <w:sz w:val="26"/>
          <w:szCs w:val="26"/>
        </w:rPr>
        <w:t>1</w:t>
      </w:r>
    </w:p>
    <w:p w:rsidR="004105E0" w:rsidRDefault="003B5704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  <w:r>
        <w:rPr>
          <w:rFonts w:ascii="Book Antiqua" w:hAnsi="Book Antiqua" w:cs="Times New Roman"/>
          <w:color w:val="000000" w:themeColor="text1"/>
          <w:sz w:val="36"/>
          <w:szCs w:val="36"/>
        </w:rPr>
        <w:t xml:space="preserve">           </w:t>
      </w:r>
    </w:p>
    <w:p w:rsidR="004537B8" w:rsidRPr="00DD2A77" w:rsidRDefault="004537B8" w:rsidP="004537B8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>Les résultats de l’enquête permanente de conjoncture auprès des ménages, menée par le HCP, montrent</w:t>
      </w:r>
      <w:r>
        <w:rPr>
          <w:rFonts w:ascii="Times New Roman" w:hAnsi="Times New Roman" w:cs="Times New Roman"/>
          <w:b/>
          <w:color w:val="000000" w:themeColor="text1"/>
        </w:rPr>
        <w:t>, globalement, que la confiance des ménages s’est dégradée au deuxième trimestre de 2021.</w:t>
      </w:r>
    </w:p>
    <w:p w:rsidR="001930B7" w:rsidRPr="00C706A5" w:rsidRDefault="001930B7" w:rsidP="001930B7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0838BF" w:rsidRDefault="00580123" w:rsidP="00564076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8B5BDE">
        <w:rPr>
          <w:rFonts w:ascii="Times New Roman" w:hAnsi="Times New Roman" w:cs="Times New Roman"/>
          <w:color w:val="000000" w:themeColor="text1"/>
        </w:rPr>
        <w:t>L'indice</w:t>
      </w:r>
      <w:r w:rsidR="0044099F" w:rsidRPr="008B5BDE">
        <w:rPr>
          <w:rFonts w:ascii="Times New Roman" w:hAnsi="Times New Roman" w:cs="Times New Roman"/>
          <w:color w:val="000000" w:themeColor="text1"/>
        </w:rPr>
        <w:t xml:space="preserve"> de confiance des ménages (ICM) s’</w:t>
      </w:r>
      <w:r w:rsidR="00564076">
        <w:rPr>
          <w:rFonts w:ascii="Times New Roman" w:hAnsi="Times New Roman" w:cs="Times New Roman"/>
          <w:color w:val="000000" w:themeColor="text1"/>
        </w:rPr>
        <w:t xml:space="preserve">est ainsi </w:t>
      </w:r>
      <w:r w:rsidR="0044099F" w:rsidRPr="008B5BDE">
        <w:rPr>
          <w:rFonts w:ascii="Times New Roman" w:hAnsi="Times New Roman" w:cs="Times New Roman"/>
          <w:color w:val="000000" w:themeColor="text1"/>
        </w:rPr>
        <w:t xml:space="preserve">établi à </w:t>
      </w:r>
      <w:r w:rsidR="00F87851" w:rsidRPr="008B5BDE">
        <w:rPr>
          <w:rFonts w:ascii="Times New Roman" w:hAnsi="Times New Roman" w:cs="Times New Roman"/>
          <w:color w:val="000000" w:themeColor="text1"/>
        </w:rPr>
        <w:t>6</w:t>
      </w:r>
      <w:r w:rsidR="00C24F25" w:rsidRPr="008B5BDE">
        <w:rPr>
          <w:rFonts w:ascii="Times New Roman" w:hAnsi="Times New Roman" w:cs="Times New Roman"/>
          <w:color w:val="000000" w:themeColor="text1"/>
        </w:rPr>
        <w:t>3</w:t>
      </w:r>
      <w:r w:rsidR="000838BF" w:rsidRPr="008B5BDE">
        <w:rPr>
          <w:rFonts w:ascii="Times New Roman" w:hAnsi="Times New Roman" w:cs="Times New Roman"/>
          <w:color w:val="000000" w:themeColor="text1"/>
        </w:rPr>
        <w:t>,</w:t>
      </w:r>
      <w:r w:rsidR="00C24F25" w:rsidRPr="008B5BDE">
        <w:rPr>
          <w:rFonts w:ascii="Times New Roman" w:hAnsi="Times New Roman" w:cs="Times New Roman"/>
          <w:color w:val="000000" w:themeColor="text1"/>
        </w:rPr>
        <w:t>0</w:t>
      </w:r>
      <w:r w:rsidR="00F04852" w:rsidRPr="008B5BDE">
        <w:rPr>
          <w:rFonts w:ascii="Times New Roman" w:hAnsi="Times New Roman" w:cs="Times New Roman"/>
          <w:color w:val="000000" w:themeColor="text1"/>
        </w:rPr>
        <w:t xml:space="preserve"> points, </w:t>
      </w:r>
      <w:r w:rsidR="00564076">
        <w:rPr>
          <w:rFonts w:ascii="Times New Roman" w:hAnsi="Times New Roman" w:cs="Times New Roman"/>
          <w:color w:val="000000" w:themeColor="text1"/>
        </w:rPr>
        <w:t>au lieu de</w:t>
      </w:r>
      <w:r w:rsidR="006C2604">
        <w:rPr>
          <w:rFonts w:ascii="Times New Roman" w:hAnsi="Times New Roman" w:cs="Times New Roman"/>
          <w:color w:val="000000" w:themeColor="text1"/>
        </w:rPr>
        <w:t xml:space="preserve"> </w:t>
      </w:r>
      <w:r w:rsidR="004728D6" w:rsidRPr="008B5BDE">
        <w:rPr>
          <w:rFonts w:ascii="Times New Roman" w:hAnsi="Times New Roman" w:cs="Times New Roman"/>
          <w:color w:val="000000" w:themeColor="text1"/>
        </w:rPr>
        <w:t>6</w:t>
      </w:r>
      <w:r w:rsidR="00C24F25" w:rsidRPr="008B5BDE">
        <w:rPr>
          <w:rFonts w:ascii="Times New Roman" w:hAnsi="Times New Roman" w:cs="Times New Roman"/>
          <w:color w:val="000000" w:themeColor="text1"/>
        </w:rPr>
        <w:t>8</w:t>
      </w:r>
      <w:r w:rsidRPr="008B5BDE">
        <w:rPr>
          <w:rFonts w:ascii="Times New Roman" w:hAnsi="Times New Roman" w:cs="Times New Roman"/>
          <w:color w:val="000000" w:themeColor="text1"/>
        </w:rPr>
        <w:t>,</w:t>
      </w:r>
      <w:r w:rsidR="00C24F25" w:rsidRPr="008B5BDE">
        <w:rPr>
          <w:rFonts w:ascii="Times New Roman" w:hAnsi="Times New Roman" w:cs="Times New Roman"/>
          <w:color w:val="000000" w:themeColor="text1"/>
        </w:rPr>
        <w:t>3</w:t>
      </w:r>
      <w:r w:rsidRPr="008B5BDE">
        <w:rPr>
          <w:rFonts w:ascii="Times New Roman" w:hAnsi="Times New Roman" w:cs="Times New Roman"/>
          <w:color w:val="000000" w:themeColor="text1"/>
        </w:rPr>
        <w:t xml:space="preserve"> points enregistrés le trimestre </w:t>
      </w:r>
      <w:r w:rsidR="000838BF" w:rsidRPr="008B5BDE">
        <w:rPr>
          <w:rFonts w:ascii="Times New Roman" w:hAnsi="Times New Roman" w:cs="Times New Roman"/>
          <w:color w:val="000000" w:themeColor="text1"/>
        </w:rPr>
        <w:t>précédent</w:t>
      </w:r>
      <w:r w:rsidRPr="008B5BDE">
        <w:rPr>
          <w:rFonts w:ascii="Times New Roman" w:hAnsi="Times New Roman" w:cs="Times New Roman"/>
          <w:color w:val="000000" w:themeColor="text1"/>
        </w:rPr>
        <w:t xml:space="preserve"> et </w:t>
      </w:r>
      <w:r w:rsidR="00C24F25" w:rsidRPr="008B5BDE">
        <w:rPr>
          <w:rFonts w:ascii="Times New Roman" w:hAnsi="Times New Roman" w:cs="Times New Roman"/>
          <w:color w:val="000000" w:themeColor="text1"/>
        </w:rPr>
        <w:t>6</w:t>
      </w:r>
      <w:r w:rsidR="004728D6" w:rsidRPr="008B5BDE">
        <w:rPr>
          <w:rFonts w:ascii="Times New Roman" w:hAnsi="Times New Roman" w:cs="Times New Roman"/>
          <w:color w:val="000000" w:themeColor="text1"/>
        </w:rPr>
        <w:t>5</w:t>
      </w:r>
      <w:r w:rsidRPr="008B5BDE">
        <w:rPr>
          <w:rFonts w:ascii="Times New Roman" w:hAnsi="Times New Roman" w:cs="Times New Roman"/>
          <w:color w:val="000000" w:themeColor="text1"/>
        </w:rPr>
        <w:t>,</w:t>
      </w:r>
      <w:r w:rsidR="00C24F25" w:rsidRPr="008B5BDE">
        <w:rPr>
          <w:rFonts w:ascii="Times New Roman" w:hAnsi="Times New Roman" w:cs="Times New Roman"/>
          <w:color w:val="000000" w:themeColor="text1"/>
        </w:rPr>
        <w:t>6</w:t>
      </w:r>
      <w:r w:rsidRPr="008B5BDE">
        <w:rPr>
          <w:rFonts w:ascii="Times New Roman" w:hAnsi="Times New Roman" w:cs="Times New Roman"/>
          <w:color w:val="000000" w:themeColor="text1"/>
        </w:rPr>
        <w:t xml:space="preserve"> points une année auparavant.</w:t>
      </w:r>
    </w:p>
    <w:p w:rsidR="00686CA3" w:rsidRDefault="00686CA3" w:rsidP="003827AF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830E2" w:rsidRPr="00BA7EA7" w:rsidRDefault="002830E2" w:rsidP="002830E2">
      <w:pPr>
        <w:tabs>
          <w:tab w:val="left" w:pos="709"/>
        </w:tabs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Graphique 1 : Evolution de l'indice de confiance des ménages </w:t>
      </w:r>
    </w:p>
    <w:p w:rsidR="009B0DDF" w:rsidRDefault="006B314F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6453963" cy="3030279"/>
            <wp:effectExtent l="19050" t="0" r="23037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25D5" w:rsidRPr="00C706A5" w:rsidRDefault="002125D5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E4509" w:rsidRDefault="00DE450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8D3806" w:rsidRDefault="006F1D72" w:rsidP="00A71494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C07FB5" w:rsidRDefault="00722F6F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es composantes </w:t>
      </w:r>
      <w:r>
        <w:rPr>
          <w:rFonts w:ascii="Times New Roman" w:hAnsi="Times New Roman" w:cs="Times New Roman"/>
          <w:color w:val="000000" w:themeColor="text1"/>
        </w:rPr>
        <w:t xml:space="preserve">de l’ICM </w:t>
      </w:r>
      <w:r w:rsidR="00560ED1" w:rsidRPr="00560ED1">
        <w:rPr>
          <w:rFonts w:ascii="Times New Roman" w:hAnsi="Times New Roman" w:cs="Times New Roman"/>
          <w:color w:val="000000" w:themeColor="text1"/>
        </w:rPr>
        <w:t>portent sur la perception par les ménages de l’évolution du niveau de vie</w:t>
      </w:r>
      <w:r w:rsidR="005C2EDD">
        <w:rPr>
          <w:rFonts w:ascii="Times New Roman" w:hAnsi="Times New Roman" w:cs="Times New Roman"/>
          <w:color w:val="000000" w:themeColor="text1"/>
        </w:rPr>
        <w:t>,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du chômage, de </w:t>
      </w:r>
      <w:r w:rsidR="008F33D5">
        <w:rPr>
          <w:rFonts w:ascii="Times New Roman" w:hAnsi="Times New Roman" w:cs="Times New Roman"/>
          <w:color w:val="000000" w:themeColor="text1"/>
        </w:rPr>
        <w:t>l’opportunité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à </w:t>
      </w:r>
      <w:r w:rsidR="008F33D5">
        <w:rPr>
          <w:rFonts w:ascii="Times New Roman" w:hAnsi="Times New Roman" w:cs="Times New Roman"/>
          <w:color w:val="000000" w:themeColor="text1"/>
        </w:rPr>
        <w:t>effectuer des achats de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bien</w:t>
      </w:r>
      <w:r w:rsidR="00560ED1">
        <w:rPr>
          <w:rFonts w:ascii="Times New Roman" w:hAnsi="Times New Roman" w:cs="Times New Roman"/>
          <w:color w:val="000000" w:themeColor="text1"/>
        </w:rPr>
        <w:t>s</w:t>
      </w:r>
      <w:r w:rsidR="00C07FB5">
        <w:rPr>
          <w:rFonts w:ascii="Times New Roman" w:hAnsi="Times New Roman" w:cs="Times New Roman"/>
          <w:color w:val="000000" w:themeColor="text1"/>
        </w:rPr>
        <w:t xml:space="preserve"> durables et de </w:t>
      </w:r>
      <w:r w:rsidR="00560ED1" w:rsidRPr="00560ED1">
        <w:rPr>
          <w:rFonts w:ascii="Times New Roman" w:hAnsi="Times New Roman" w:cs="Times New Roman"/>
          <w:color w:val="000000" w:themeColor="text1"/>
        </w:rPr>
        <w:t>leur situation financière.</w:t>
      </w:r>
    </w:p>
    <w:p w:rsidR="00BF2091" w:rsidRDefault="00BF2091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BF2091" w:rsidRDefault="00BF2091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BF2091" w:rsidRDefault="00BF2091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7B1D47" w:rsidRDefault="007B1D47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rtl/>
        </w:rPr>
      </w:pPr>
    </w:p>
    <w:p w:rsidR="00BA6FF3" w:rsidRDefault="00BA6FF3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bookmarkStart w:id="1" w:name="_GoBack"/>
      <w:bookmarkEnd w:id="1"/>
    </w:p>
    <w:p w:rsidR="00A71494" w:rsidRPr="00A71494" w:rsidRDefault="00564076" w:rsidP="008217DB">
      <w:pPr>
        <w:pStyle w:val="Paragraphedeliste"/>
        <w:numPr>
          <w:ilvl w:val="0"/>
          <w:numId w:val="8"/>
        </w:numPr>
        <w:spacing w:before="240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</w:t>
      </w:r>
      <w:r w:rsidR="008217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erspective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6C26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100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d’une </w:t>
      </w:r>
      <w:r w:rsidR="005802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amélioration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des niveaux de vie des ménages</w:t>
      </w:r>
    </w:p>
    <w:p w:rsidR="00A71494" w:rsidRDefault="00A71494" w:rsidP="00A71494">
      <w:pPr>
        <w:pStyle w:val="Paragraphedeliste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eastAsia="fr-FR"/>
        </w:rPr>
      </w:pPr>
    </w:p>
    <w:p w:rsidR="00164979" w:rsidRPr="0044099F" w:rsidRDefault="00580123" w:rsidP="00350036">
      <w:pPr>
        <w:pStyle w:val="Paragraphedeliste"/>
        <w:spacing w:before="24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F04852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>deuxième</w:t>
      </w:r>
      <w:r w:rsidR="00D55501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trimestre</w:t>
      </w:r>
      <w:r w:rsidR="006C2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360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A1780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E061AE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802BF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A955DC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65,6%</w:t>
      </w:r>
      <w:r w:rsidR="0092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des ménages déclarent une dégradation du niveau de vie au cours des 12 derniers mois, </w:t>
      </w:r>
      <w:r w:rsidR="00A955DC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19,6%</w:t>
      </w:r>
      <w:r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un maintien au même niveau et </w:t>
      </w:r>
      <w:r w:rsidR="00252BB9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14</w:t>
      </w:r>
      <w:r w:rsidR="00DA786A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A955DC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8</w:t>
      </w:r>
      <w:r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une amélioration. Le solde d’opinion sur l’évolution passée du niveau de vie </w:t>
      </w:r>
      <w:r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resté négatif, à moins </w:t>
      </w:r>
      <w:r w:rsidR="007A24BB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CD5F53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50036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</w:t>
      </w:r>
      <w:r w:rsidR="00CD5F53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contre moins </w:t>
      </w:r>
      <w:r w:rsidR="00350036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0E0128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50036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D5F53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</w:t>
      </w:r>
      <w:r w:rsidR="0062044E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>au trimestre</w:t>
      </w:r>
      <w:r w:rsidR="006C2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1AE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>précédent</w:t>
      </w:r>
      <w:r w:rsidR="006C2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44E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>et moins</w:t>
      </w:r>
      <w:r w:rsidR="00925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0036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CD5F53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E0128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D5F53"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au même trimestre de l’année passée</w:t>
      </w:r>
      <w:r w:rsidRPr="004409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0123" w:rsidRPr="0044099F" w:rsidRDefault="00580123" w:rsidP="00A71494">
      <w:pPr>
        <w:pStyle w:val="Paragraphedeliste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164979" w:rsidRPr="00E13405" w:rsidRDefault="00580123" w:rsidP="0044099F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cours des 12 prochains mois, </w:t>
      </w:r>
      <w:r w:rsidR="00F1666B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29,6%</w:t>
      </w:r>
      <w:r w:rsidR="0092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des ménages s’attendent à une dégradation du niveau de vie, </w:t>
      </w:r>
      <w:r w:rsidR="00F1666B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40,6%</w:t>
      </w:r>
      <w:r w:rsidR="0092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0F2E6E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à un maintien au même nive</w:t>
      </w:r>
      <w:r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et </w:t>
      </w:r>
      <w:r w:rsidR="00F1666B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29,8%</w:t>
      </w:r>
      <w:r w:rsidR="0092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à une amélioration. Le solde d’opinion relatif à cet indicateur</w:t>
      </w:r>
      <w:r w:rsidR="00EE43E3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s’établit à</w:t>
      </w:r>
      <w:r w:rsidR="006C2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C43D6B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0,2</w:t>
      </w:r>
      <w:r w:rsidR="006C2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EE43E3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points</w:t>
      </w:r>
      <w:r w:rsidR="006C2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EE43E3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enregistrant ainsi</w:t>
      </w:r>
      <w:r w:rsidR="00313C10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une </w:t>
      </w:r>
      <w:r w:rsidR="00C43D6B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dégradation</w:t>
      </w:r>
      <w:r w:rsidR="006C2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164979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par rapport au trimestre </w:t>
      </w:r>
      <w:r w:rsidR="000F2E6E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précédent</w:t>
      </w:r>
      <w:r w:rsidR="006C2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C43D6B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et une amélioration</w:t>
      </w:r>
      <w:r w:rsidR="00164979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par rapport </w:t>
      </w:r>
      <w:r w:rsidR="0082003B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au même trimestre de l’année précédente</w:t>
      </w:r>
      <w:r w:rsidR="00164979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où il </w:t>
      </w:r>
      <w:r w:rsidR="00427977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était à</w:t>
      </w:r>
      <w:r w:rsidR="006C2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313C10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</w:t>
      </w:r>
      <w:r w:rsidR="00C43D6B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</w:t>
      </w:r>
      <w:r w:rsidR="00901E11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C43D6B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points et </w:t>
      </w:r>
      <w:r w:rsidR="00427977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à</w:t>
      </w:r>
      <w:r w:rsidR="00313C10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moins</w:t>
      </w:r>
      <w:r w:rsidR="006C2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E56C35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11</w:t>
      </w:r>
      <w:r w:rsidR="00313C10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E56C35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points </w:t>
      </w:r>
      <w:r w:rsidR="00164979" w:rsidRPr="00440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respectivement.</w:t>
      </w:r>
    </w:p>
    <w:p w:rsidR="002830E2" w:rsidRPr="00BA7EA7" w:rsidRDefault="002830E2" w:rsidP="002830E2">
      <w:pPr>
        <w:spacing w:before="240"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Graphique 2 : Perception par les ménages de l'évolution passée et future du niveau de vie (soldes d'opinions) </w:t>
      </w:r>
    </w:p>
    <w:p w:rsidR="00FE6357" w:rsidRDefault="009D393E" w:rsidP="00F65948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MA"/>
        </w:rPr>
      </w:pPr>
      <w:r>
        <w:rPr>
          <w:noProof/>
        </w:rPr>
        <w:drawing>
          <wp:inline distT="0" distB="0" distL="0" distR="0">
            <wp:extent cx="6313373" cy="3545404"/>
            <wp:effectExtent l="19050" t="0" r="11227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30E2" w:rsidRPr="00BA7EA7" w:rsidRDefault="002830E2" w:rsidP="002830E2">
      <w:pPr>
        <w:widowControl/>
        <w:tabs>
          <w:tab w:val="left" w:pos="709"/>
        </w:tabs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Source : HCP, Enquête permanente de conjoncture auprès des ménages</w:t>
      </w:r>
    </w:p>
    <w:p w:rsidR="002830E2" w:rsidRPr="00F80338" w:rsidRDefault="002830E2" w:rsidP="00F65948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  <w:rtl/>
          <w:lang w:bidi="ar-MA"/>
        </w:rPr>
      </w:pPr>
    </w:p>
    <w:p w:rsidR="00EC2700" w:rsidRPr="00417308" w:rsidRDefault="00A33336" w:rsidP="00564076">
      <w:pPr>
        <w:pStyle w:val="Paragraphedeliste"/>
        <w:numPr>
          <w:ilvl w:val="0"/>
          <w:numId w:val="8"/>
        </w:numPr>
        <w:spacing w:before="240" w:line="240" w:lineRule="auto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du chômage : </w:t>
      </w:r>
      <w:r w:rsidR="005640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opinions toujours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pessimis</w:t>
      </w:r>
      <w:r w:rsidR="005640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</w:t>
      </w:r>
    </w:p>
    <w:p w:rsidR="00172005" w:rsidRDefault="00580123" w:rsidP="00C53244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AE721E">
        <w:rPr>
          <w:rFonts w:ascii="Times New Roman" w:hAnsi="Times New Roman" w:cs="Times New Roman"/>
          <w:color w:val="000000" w:themeColor="text1"/>
        </w:rPr>
        <w:t xml:space="preserve">Au </w:t>
      </w:r>
      <w:r w:rsidR="00F04852" w:rsidRPr="00AE721E">
        <w:rPr>
          <w:rFonts w:ascii="Times New Roman" w:hAnsi="Times New Roman" w:cs="Times New Roman"/>
          <w:color w:val="000000" w:themeColor="text1"/>
        </w:rPr>
        <w:t>deuxième</w:t>
      </w:r>
      <w:r w:rsidR="00D55501" w:rsidRPr="00AE721E">
        <w:rPr>
          <w:rFonts w:ascii="Times New Roman" w:hAnsi="Times New Roman" w:cs="Times New Roman"/>
          <w:color w:val="000000" w:themeColor="text1"/>
        </w:rPr>
        <w:t xml:space="preserve"> trimestre</w:t>
      </w:r>
      <w:r w:rsidR="006C2604">
        <w:rPr>
          <w:rFonts w:ascii="Times New Roman" w:hAnsi="Times New Roman" w:cs="Times New Roman"/>
          <w:color w:val="000000" w:themeColor="text1"/>
        </w:rPr>
        <w:t xml:space="preserve"> </w:t>
      </w:r>
      <w:r w:rsidR="00707360" w:rsidRPr="00AE721E">
        <w:rPr>
          <w:rFonts w:ascii="Times New Roman" w:hAnsi="Times New Roman" w:cs="Times New Roman"/>
          <w:color w:val="000000" w:themeColor="text1"/>
        </w:rPr>
        <w:t>de</w:t>
      </w:r>
      <w:r w:rsidR="00DA1780" w:rsidRPr="00AE721E">
        <w:rPr>
          <w:rFonts w:ascii="Times New Roman" w:hAnsi="Times New Roman" w:cs="Times New Roman"/>
          <w:color w:val="000000" w:themeColor="text1"/>
        </w:rPr>
        <w:t xml:space="preserve"> 20</w:t>
      </w:r>
      <w:r w:rsidR="00357B74" w:rsidRPr="00AE721E">
        <w:rPr>
          <w:rFonts w:ascii="Times New Roman" w:hAnsi="Times New Roman" w:cs="Times New Roman"/>
          <w:color w:val="000000" w:themeColor="text1"/>
        </w:rPr>
        <w:t>2</w:t>
      </w:r>
      <w:r w:rsidR="000B2067" w:rsidRPr="00AE721E">
        <w:rPr>
          <w:rFonts w:ascii="Times New Roman" w:hAnsi="Times New Roman" w:cs="Times New Roman"/>
          <w:color w:val="000000" w:themeColor="text1"/>
        </w:rPr>
        <w:t>1</w:t>
      </w:r>
      <w:r w:rsidRPr="00AE721E">
        <w:rPr>
          <w:rFonts w:ascii="Times New Roman" w:hAnsi="Times New Roman" w:cs="Times New Roman"/>
          <w:color w:val="000000" w:themeColor="text1"/>
        </w:rPr>
        <w:t>,</w:t>
      </w:r>
      <w:r w:rsidR="0044099F" w:rsidRPr="00AE721E">
        <w:rPr>
          <w:rFonts w:ascii="Times New Roman" w:hAnsi="Times New Roman" w:cs="Times New Roman"/>
          <w:color w:val="000000" w:themeColor="text1"/>
        </w:rPr>
        <w:t xml:space="preserve"> 80,0% </w:t>
      </w:r>
      <w:r w:rsidR="0044099F" w:rsidRPr="00AE721E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contre </w:t>
      </w:r>
      <w:r w:rsidR="0044099F" w:rsidRPr="00AE721E">
        <w:rPr>
          <w:rFonts w:ascii="Times New Roman" w:hAnsi="Times New Roman" w:cs="Times New Roman"/>
          <w:color w:val="000000" w:themeColor="text1"/>
        </w:rPr>
        <w:t>10,2%</w:t>
      </w:r>
      <w:r w:rsidR="0044099F" w:rsidRPr="00AE721E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des ménages s’attendent à une hausse du chômage au cours des 12 prochains mois</w:t>
      </w:r>
      <w:r w:rsidR="00AE721E" w:rsidRPr="00AE721E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</w:t>
      </w:r>
      <w:r w:rsidRPr="00AE721E">
        <w:rPr>
          <w:rFonts w:ascii="Times New Roman" w:hAnsi="Times New Roman" w:cs="Times New Roman"/>
          <w:color w:val="000000" w:themeColor="text1"/>
        </w:rPr>
        <w:t xml:space="preserve">Le solde d’opinion est resté ainsi négatif à moins </w:t>
      </w:r>
      <w:r w:rsidR="00050460" w:rsidRPr="00AE721E">
        <w:rPr>
          <w:rFonts w:ascii="Times New Roman" w:hAnsi="Times New Roman" w:cs="Times New Roman"/>
          <w:color w:val="000000" w:themeColor="text1"/>
        </w:rPr>
        <w:t>6</w:t>
      </w:r>
      <w:r w:rsidR="00850EFB" w:rsidRPr="00AE721E">
        <w:rPr>
          <w:rFonts w:ascii="Times New Roman" w:hAnsi="Times New Roman" w:cs="Times New Roman"/>
          <w:color w:val="000000" w:themeColor="text1"/>
        </w:rPr>
        <w:t>9</w:t>
      </w:r>
      <w:r w:rsidR="00E13405" w:rsidRPr="00AE721E">
        <w:rPr>
          <w:rFonts w:ascii="Times New Roman" w:hAnsi="Times New Roman" w:cs="Times New Roman"/>
          <w:color w:val="000000" w:themeColor="text1"/>
        </w:rPr>
        <w:t>,</w:t>
      </w:r>
      <w:r w:rsidR="00850EFB" w:rsidRPr="00AE721E">
        <w:rPr>
          <w:rFonts w:ascii="Times New Roman" w:hAnsi="Times New Roman" w:cs="Times New Roman"/>
          <w:color w:val="000000" w:themeColor="text1"/>
        </w:rPr>
        <w:t>8</w:t>
      </w:r>
      <w:r w:rsidRPr="00AE721E">
        <w:rPr>
          <w:rFonts w:ascii="Times New Roman" w:hAnsi="Times New Roman" w:cs="Times New Roman"/>
          <w:color w:val="000000" w:themeColor="text1"/>
        </w:rPr>
        <w:t xml:space="preserve"> points</w:t>
      </w:r>
      <w:r w:rsidR="00C142AB" w:rsidRPr="00AE721E">
        <w:rPr>
          <w:rFonts w:ascii="Times New Roman" w:hAnsi="Times New Roman" w:cs="Times New Roman"/>
          <w:color w:val="000000" w:themeColor="text1"/>
        </w:rPr>
        <w:t xml:space="preserve"> contre</w:t>
      </w:r>
      <w:r w:rsidRPr="00AE721E">
        <w:rPr>
          <w:rFonts w:ascii="Times New Roman" w:hAnsi="Times New Roman" w:cs="Times New Roman"/>
          <w:color w:val="000000" w:themeColor="text1"/>
        </w:rPr>
        <w:t xml:space="preserve"> moins </w:t>
      </w:r>
      <w:r w:rsidR="00204F32" w:rsidRPr="00AE721E">
        <w:rPr>
          <w:rFonts w:ascii="Times New Roman" w:hAnsi="Times New Roman" w:cs="Times New Roman"/>
          <w:color w:val="000000" w:themeColor="text1"/>
        </w:rPr>
        <w:t>62</w:t>
      </w:r>
      <w:r w:rsidR="00E13405" w:rsidRPr="00AE721E">
        <w:rPr>
          <w:rFonts w:ascii="Times New Roman" w:hAnsi="Times New Roman" w:cs="Times New Roman"/>
          <w:color w:val="000000" w:themeColor="text1"/>
        </w:rPr>
        <w:t>,</w:t>
      </w:r>
      <w:r w:rsidR="00204F32" w:rsidRPr="00AE721E">
        <w:rPr>
          <w:rFonts w:ascii="Times New Roman" w:hAnsi="Times New Roman" w:cs="Times New Roman"/>
          <w:color w:val="000000" w:themeColor="text1"/>
        </w:rPr>
        <w:t>2</w:t>
      </w:r>
      <w:r w:rsidRPr="00AE721E">
        <w:rPr>
          <w:rFonts w:ascii="Times New Roman" w:hAnsi="Times New Roman" w:cs="Times New Roman"/>
          <w:color w:val="000000" w:themeColor="text1"/>
        </w:rPr>
        <w:t xml:space="preserve"> points </w:t>
      </w:r>
      <w:r w:rsidR="00C142AB" w:rsidRPr="00AE721E">
        <w:rPr>
          <w:rFonts w:ascii="Times New Roman" w:hAnsi="Times New Roman" w:cs="Times New Roman"/>
          <w:color w:val="000000" w:themeColor="text1"/>
        </w:rPr>
        <w:t xml:space="preserve">un trimestre auparavant et moins </w:t>
      </w:r>
      <w:r w:rsidR="00464102" w:rsidRPr="00AE721E">
        <w:rPr>
          <w:rFonts w:ascii="Times New Roman" w:hAnsi="Times New Roman" w:cs="Times New Roman"/>
          <w:color w:val="000000" w:themeColor="text1"/>
        </w:rPr>
        <w:t>7</w:t>
      </w:r>
      <w:r w:rsidR="00204F32" w:rsidRPr="00AE721E">
        <w:rPr>
          <w:rFonts w:ascii="Times New Roman" w:hAnsi="Times New Roman" w:cs="Times New Roman"/>
          <w:color w:val="000000" w:themeColor="text1"/>
        </w:rPr>
        <w:t>5</w:t>
      </w:r>
      <w:r w:rsidRPr="00AE721E">
        <w:rPr>
          <w:rFonts w:ascii="Times New Roman" w:hAnsi="Times New Roman" w:cs="Times New Roman"/>
          <w:color w:val="000000" w:themeColor="text1"/>
        </w:rPr>
        <w:t>,</w:t>
      </w:r>
      <w:r w:rsidR="00204F32" w:rsidRPr="00AE721E">
        <w:rPr>
          <w:rFonts w:ascii="Times New Roman" w:hAnsi="Times New Roman" w:cs="Times New Roman"/>
          <w:color w:val="000000" w:themeColor="text1"/>
        </w:rPr>
        <w:t>2</w:t>
      </w:r>
      <w:r w:rsidRPr="00AE721E">
        <w:rPr>
          <w:rFonts w:ascii="Times New Roman" w:hAnsi="Times New Roman" w:cs="Times New Roman"/>
          <w:color w:val="000000" w:themeColor="text1"/>
        </w:rPr>
        <w:t xml:space="preserve"> points</w:t>
      </w:r>
      <w:r w:rsidR="00C142AB" w:rsidRPr="00AE721E">
        <w:rPr>
          <w:rFonts w:ascii="Times New Roman" w:hAnsi="Times New Roman" w:cs="Times New Roman"/>
          <w:color w:val="000000" w:themeColor="text1"/>
        </w:rPr>
        <w:t xml:space="preserve"> un an auparavant</w:t>
      </w:r>
      <w:r w:rsidRPr="00AE721E">
        <w:rPr>
          <w:rFonts w:ascii="Times New Roman" w:hAnsi="Times New Roman" w:cs="Times New Roman"/>
          <w:color w:val="000000" w:themeColor="text1"/>
        </w:rPr>
        <w:t>.</w:t>
      </w:r>
    </w:p>
    <w:p w:rsidR="002830E2" w:rsidRDefault="002830E2" w:rsidP="0044099F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2830E2" w:rsidRDefault="002830E2" w:rsidP="0044099F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2830E2" w:rsidRDefault="002830E2" w:rsidP="0044099F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AE721E" w:rsidRDefault="00AE721E" w:rsidP="0044099F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AE721E" w:rsidRDefault="00AE721E" w:rsidP="0044099F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AE721E" w:rsidRDefault="00AE721E" w:rsidP="0044099F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AE721E" w:rsidRDefault="00AE721E" w:rsidP="0044099F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2830E2" w:rsidRDefault="002830E2" w:rsidP="0062044E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lastRenderedPageBreak/>
        <w:t xml:space="preserve">Graphique 3 : Perception par les ménages de l'évolution du nombre de </w:t>
      </w:r>
      <w:r w:rsidR="000A496F"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chômeurs </w:t>
      </w:r>
      <w:r w:rsidR="000A496F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(</w:t>
      </w:r>
      <w:r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soldes d'opinions)</w:t>
      </w:r>
    </w:p>
    <w:p w:rsidR="00184134" w:rsidRDefault="008B772C" w:rsidP="00182B28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6570921" cy="2413590"/>
            <wp:effectExtent l="0" t="0" r="1905" b="635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30E2" w:rsidRPr="00BA7EA7" w:rsidRDefault="002830E2" w:rsidP="002830E2">
      <w:pPr>
        <w:widowControl/>
        <w:tabs>
          <w:tab w:val="left" w:pos="709"/>
        </w:tabs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Source : HCP, Enquête permanente de conjoncture auprès des ménages</w:t>
      </w:r>
    </w:p>
    <w:p w:rsidR="002830E2" w:rsidRDefault="002830E2" w:rsidP="00182B28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E01FA1" w:rsidRPr="00D41CA0" w:rsidRDefault="00A33336" w:rsidP="00A71494">
      <w:pPr>
        <w:pStyle w:val="Paragraphedeliste"/>
        <w:numPr>
          <w:ilvl w:val="0"/>
          <w:numId w:val="8"/>
        </w:numPr>
        <w:tabs>
          <w:tab w:val="left" w:pos="709"/>
        </w:tabs>
        <w:spacing w:before="24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Une c</w:t>
      </w:r>
      <w:r w:rsidR="003541C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onjoncture </w:t>
      </w:r>
      <w:r w:rsidR="00051A0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perçue comme peu favorable à </w:t>
      </w:r>
      <w:r w:rsidR="00051A04">
        <w:rPr>
          <w:rFonts w:asciiTheme="majorBidi" w:hAnsiTheme="majorBidi" w:cstheme="majorBidi"/>
          <w:b/>
          <w:bCs/>
          <w:color w:val="000000"/>
          <w:sz w:val="24"/>
          <w:szCs w:val="24"/>
        </w:rPr>
        <w:t>l</w:t>
      </w:r>
      <w:r w:rsidR="00051A04" w:rsidRPr="00EF2C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’achat des biens durables </w:t>
      </w:r>
    </w:p>
    <w:p w:rsidR="002125D5" w:rsidRDefault="00580123" w:rsidP="00925D31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E16632">
        <w:rPr>
          <w:rFonts w:ascii="Times New Roman" w:hAnsi="Times New Roman" w:cs="Times New Roman"/>
          <w:color w:val="000000" w:themeColor="text1"/>
        </w:rPr>
        <w:t xml:space="preserve">Au </w:t>
      </w:r>
      <w:r w:rsidR="00F04852" w:rsidRPr="00E16632">
        <w:rPr>
          <w:rFonts w:ascii="Times New Roman" w:hAnsi="Times New Roman" w:cs="Times New Roman"/>
          <w:color w:val="000000" w:themeColor="text1"/>
        </w:rPr>
        <w:t>deuxième</w:t>
      </w:r>
      <w:r w:rsidR="00D55501" w:rsidRPr="00E16632">
        <w:rPr>
          <w:rFonts w:ascii="Times New Roman" w:hAnsi="Times New Roman" w:cs="Times New Roman"/>
          <w:color w:val="000000" w:themeColor="text1"/>
        </w:rPr>
        <w:t xml:space="preserve"> trimestre</w:t>
      </w:r>
      <w:r w:rsidR="006C2604">
        <w:rPr>
          <w:rFonts w:ascii="Times New Roman" w:hAnsi="Times New Roman" w:cs="Times New Roman"/>
          <w:color w:val="000000" w:themeColor="text1"/>
        </w:rPr>
        <w:t xml:space="preserve"> </w:t>
      </w:r>
      <w:r w:rsidR="00707360" w:rsidRPr="00E16632">
        <w:rPr>
          <w:rFonts w:ascii="Times New Roman" w:hAnsi="Times New Roman" w:cs="Times New Roman"/>
          <w:color w:val="000000" w:themeColor="text1"/>
        </w:rPr>
        <w:t>de</w:t>
      </w:r>
      <w:r w:rsidR="00DA1780" w:rsidRPr="00E16632">
        <w:rPr>
          <w:rFonts w:ascii="Times New Roman" w:hAnsi="Times New Roman" w:cs="Times New Roman"/>
          <w:color w:val="000000" w:themeColor="text1"/>
        </w:rPr>
        <w:t xml:space="preserve"> 20</w:t>
      </w:r>
      <w:r w:rsidR="00357B74" w:rsidRPr="00E16632">
        <w:rPr>
          <w:rFonts w:ascii="Times New Roman" w:hAnsi="Times New Roman" w:cs="Times New Roman"/>
          <w:color w:val="000000" w:themeColor="text1"/>
        </w:rPr>
        <w:t>2</w:t>
      </w:r>
      <w:r w:rsidR="00172005" w:rsidRPr="00E16632">
        <w:rPr>
          <w:rFonts w:ascii="Times New Roman" w:hAnsi="Times New Roman" w:cs="Times New Roman"/>
          <w:color w:val="000000" w:themeColor="text1"/>
        </w:rPr>
        <w:t>1</w:t>
      </w:r>
      <w:r w:rsidRPr="00E16632">
        <w:rPr>
          <w:rFonts w:ascii="Times New Roman" w:hAnsi="Times New Roman" w:cs="Times New Roman"/>
          <w:color w:val="000000" w:themeColor="text1"/>
        </w:rPr>
        <w:t xml:space="preserve">, </w:t>
      </w:r>
      <w:r w:rsidR="00172005" w:rsidRPr="00E16632">
        <w:rPr>
          <w:rFonts w:ascii="Times New Roman" w:hAnsi="Times New Roman" w:cs="Times New Roman"/>
          <w:color w:val="000000" w:themeColor="text1"/>
        </w:rPr>
        <w:t>7</w:t>
      </w:r>
      <w:r w:rsidR="002D235E" w:rsidRPr="00E16632">
        <w:rPr>
          <w:rFonts w:ascii="Times New Roman" w:hAnsi="Times New Roman" w:cs="Times New Roman"/>
          <w:color w:val="000000" w:themeColor="text1"/>
        </w:rPr>
        <w:t>4</w:t>
      </w:r>
      <w:r w:rsidRPr="00E16632">
        <w:rPr>
          <w:rFonts w:ascii="Times New Roman" w:hAnsi="Times New Roman" w:cs="Times New Roman"/>
          <w:color w:val="000000" w:themeColor="text1"/>
        </w:rPr>
        <w:t>,</w:t>
      </w:r>
      <w:r w:rsidR="002D235E" w:rsidRPr="00E16632">
        <w:rPr>
          <w:rFonts w:ascii="Times New Roman" w:hAnsi="Times New Roman" w:cs="Times New Roman"/>
          <w:color w:val="000000" w:themeColor="text1"/>
        </w:rPr>
        <w:t>6</w:t>
      </w:r>
      <w:r w:rsidRPr="00E16632">
        <w:rPr>
          <w:rFonts w:ascii="Times New Roman" w:hAnsi="Times New Roman" w:cs="Times New Roman"/>
          <w:color w:val="000000" w:themeColor="text1"/>
        </w:rPr>
        <w:t xml:space="preserve">% contre </w:t>
      </w:r>
      <w:r w:rsidR="00211ECD" w:rsidRPr="00E16632">
        <w:rPr>
          <w:rFonts w:ascii="Times New Roman" w:hAnsi="Times New Roman" w:cs="Times New Roman"/>
          <w:color w:val="000000" w:themeColor="text1"/>
        </w:rPr>
        <w:t>9</w:t>
      </w:r>
      <w:r w:rsidRPr="00E16632">
        <w:rPr>
          <w:rFonts w:ascii="Times New Roman" w:hAnsi="Times New Roman" w:cs="Times New Roman"/>
          <w:color w:val="000000" w:themeColor="text1"/>
        </w:rPr>
        <w:t>,</w:t>
      </w:r>
      <w:r w:rsidR="00211ECD" w:rsidRPr="00E16632">
        <w:rPr>
          <w:rFonts w:ascii="Times New Roman" w:hAnsi="Times New Roman" w:cs="Times New Roman"/>
          <w:color w:val="000000" w:themeColor="text1"/>
        </w:rPr>
        <w:t>0</w:t>
      </w:r>
      <w:r w:rsidRPr="00E16632">
        <w:rPr>
          <w:rFonts w:ascii="Times New Roman" w:hAnsi="Times New Roman" w:cs="Times New Roman"/>
          <w:color w:val="000000" w:themeColor="text1"/>
        </w:rPr>
        <w:t xml:space="preserve">% des ménages considèrent que le moment n’est pas opportun pour effectuer des achats de biens durables. </w:t>
      </w:r>
      <w:r w:rsidR="00AF3E95" w:rsidRPr="00E16632">
        <w:rPr>
          <w:rFonts w:ascii="Times New Roman" w:hAnsi="Times New Roman" w:cs="Times New Roman"/>
          <w:color w:val="000000" w:themeColor="text1"/>
        </w:rPr>
        <w:t>L</w:t>
      </w:r>
      <w:r w:rsidR="007933DD" w:rsidRPr="00E16632">
        <w:rPr>
          <w:rFonts w:ascii="Times New Roman" w:hAnsi="Times New Roman" w:cs="Times New Roman"/>
          <w:color w:val="000000" w:themeColor="text1"/>
        </w:rPr>
        <w:t>e</w:t>
      </w:r>
      <w:r w:rsidRPr="00E16632">
        <w:rPr>
          <w:rFonts w:ascii="Times New Roman" w:hAnsi="Times New Roman" w:cs="Times New Roman"/>
          <w:color w:val="000000" w:themeColor="text1"/>
        </w:rPr>
        <w:t xml:space="preserve"> solde d’opinion </w:t>
      </w:r>
      <w:r w:rsidR="00AF3E95" w:rsidRPr="00E16632">
        <w:rPr>
          <w:rFonts w:ascii="Times New Roman" w:hAnsi="Times New Roman" w:cs="Times New Roman"/>
          <w:color w:val="000000" w:themeColor="text1"/>
        </w:rPr>
        <w:t xml:space="preserve">de </w:t>
      </w:r>
      <w:r w:rsidRPr="00E16632">
        <w:rPr>
          <w:rFonts w:ascii="Times New Roman" w:hAnsi="Times New Roman" w:cs="Times New Roman"/>
          <w:color w:val="000000" w:themeColor="text1"/>
        </w:rPr>
        <w:t>cet indicateur est resté négatif</w:t>
      </w:r>
      <w:r w:rsidR="001E5372" w:rsidRPr="00E16632">
        <w:rPr>
          <w:rFonts w:ascii="Times New Roman" w:hAnsi="Times New Roman" w:cs="Times New Roman"/>
          <w:color w:val="000000" w:themeColor="text1"/>
        </w:rPr>
        <w:t xml:space="preserve"> avec moins 6</w:t>
      </w:r>
      <w:r w:rsidR="00C54DD2" w:rsidRPr="00E16632">
        <w:rPr>
          <w:rFonts w:ascii="Times New Roman" w:hAnsi="Times New Roman" w:cs="Times New Roman"/>
          <w:color w:val="000000" w:themeColor="text1"/>
        </w:rPr>
        <w:t>5</w:t>
      </w:r>
      <w:r w:rsidR="001E5372" w:rsidRPr="00E16632">
        <w:rPr>
          <w:rFonts w:ascii="Times New Roman" w:hAnsi="Times New Roman" w:cs="Times New Roman"/>
          <w:color w:val="000000" w:themeColor="text1"/>
        </w:rPr>
        <w:t>,6</w:t>
      </w:r>
      <w:r w:rsidR="0067434D">
        <w:rPr>
          <w:rFonts w:ascii="Times New Roman" w:hAnsi="Times New Roman" w:cs="Times New Roman"/>
          <w:color w:val="000000" w:themeColor="text1"/>
        </w:rPr>
        <w:t xml:space="preserve"> </w:t>
      </w:r>
      <w:r w:rsidR="00DA60E1" w:rsidRPr="00E16632">
        <w:rPr>
          <w:rFonts w:ascii="Times New Roman" w:hAnsi="Times New Roman" w:cs="Times New Roman"/>
          <w:color w:val="000000" w:themeColor="text1"/>
        </w:rPr>
        <w:t>enregistrant une</w:t>
      </w:r>
      <w:r w:rsidR="006C2604">
        <w:rPr>
          <w:rFonts w:ascii="Times New Roman" w:hAnsi="Times New Roman" w:cs="Times New Roman"/>
          <w:color w:val="000000" w:themeColor="text1"/>
        </w:rPr>
        <w:t xml:space="preserve"> </w:t>
      </w:r>
      <w:r w:rsidR="00C54DD2" w:rsidRPr="00E16632">
        <w:rPr>
          <w:rFonts w:ascii="Times New Roman" w:hAnsi="Times New Roman" w:cs="Times New Roman"/>
          <w:color w:val="000000" w:themeColor="text1"/>
        </w:rPr>
        <w:t>dégradation</w:t>
      </w:r>
      <w:r w:rsidR="001E5372" w:rsidRPr="00E16632">
        <w:rPr>
          <w:rFonts w:ascii="Times New Roman" w:hAnsi="Times New Roman" w:cs="Times New Roman"/>
          <w:color w:val="000000" w:themeColor="text1"/>
        </w:rPr>
        <w:t xml:space="preserve"> par rapport au trimestre précédent o</w:t>
      </w:r>
      <w:r w:rsidR="00925D31">
        <w:rPr>
          <w:rFonts w:ascii="Times New Roman" w:hAnsi="Times New Roman" w:cs="Times New Roman"/>
          <w:color w:val="000000" w:themeColor="text1"/>
        </w:rPr>
        <w:t>ù</w:t>
      </w:r>
      <w:r w:rsidR="001E5372" w:rsidRPr="00E16632">
        <w:rPr>
          <w:rFonts w:ascii="Times New Roman" w:hAnsi="Times New Roman" w:cs="Times New Roman"/>
          <w:color w:val="000000" w:themeColor="text1"/>
        </w:rPr>
        <w:t xml:space="preserve"> il s’est établit à moins 61,</w:t>
      </w:r>
      <w:r w:rsidR="00C54DD2" w:rsidRPr="00E16632">
        <w:rPr>
          <w:rFonts w:ascii="Times New Roman" w:hAnsi="Times New Roman" w:cs="Times New Roman"/>
          <w:color w:val="000000" w:themeColor="text1"/>
        </w:rPr>
        <w:t>6</w:t>
      </w:r>
      <w:r w:rsidR="0067434D">
        <w:rPr>
          <w:rFonts w:ascii="Times New Roman" w:hAnsi="Times New Roman" w:cs="Times New Roman"/>
          <w:color w:val="000000" w:themeColor="text1"/>
        </w:rPr>
        <w:t xml:space="preserve"> </w:t>
      </w:r>
      <w:r w:rsidR="001E5372" w:rsidRPr="00E16632">
        <w:rPr>
          <w:rFonts w:ascii="Times New Roman" w:hAnsi="Times New Roman" w:cs="Times New Roman"/>
          <w:color w:val="000000" w:themeColor="text1"/>
        </w:rPr>
        <w:t xml:space="preserve">et une </w:t>
      </w:r>
      <w:r w:rsidR="00C54DD2" w:rsidRPr="00E16632">
        <w:rPr>
          <w:rFonts w:ascii="Times New Roman" w:hAnsi="Times New Roman" w:cs="Times New Roman"/>
          <w:color w:val="000000" w:themeColor="text1"/>
        </w:rPr>
        <w:t>amélioration</w:t>
      </w:r>
      <w:r w:rsidR="001E5372" w:rsidRPr="00E16632">
        <w:rPr>
          <w:rFonts w:ascii="Times New Roman" w:hAnsi="Times New Roman" w:cs="Times New Roman"/>
          <w:color w:val="000000" w:themeColor="text1"/>
        </w:rPr>
        <w:t xml:space="preserve"> par rapport au même trimestre de l’année précédente</w:t>
      </w:r>
      <w:r w:rsidR="006C2604">
        <w:rPr>
          <w:rFonts w:ascii="Times New Roman" w:hAnsi="Times New Roman" w:cs="Times New Roman"/>
          <w:color w:val="000000" w:themeColor="text1"/>
        </w:rPr>
        <w:t xml:space="preserve"> </w:t>
      </w:r>
      <w:r w:rsidR="00DA60E1" w:rsidRPr="00E16632">
        <w:rPr>
          <w:rFonts w:ascii="Times New Roman" w:hAnsi="Times New Roman" w:cs="Times New Roman"/>
          <w:color w:val="000000" w:themeColor="text1"/>
        </w:rPr>
        <w:t xml:space="preserve">se situant à </w:t>
      </w:r>
      <w:r w:rsidR="001E5372" w:rsidRPr="00E16632">
        <w:rPr>
          <w:rFonts w:ascii="Times New Roman" w:hAnsi="Times New Roman" w:cs="Times New Roman"/>
          <w:color w:val="000000" w:themeColor="text1"/>
        </w:rPr>
        <w:t xml:space="preserve">moins </w:t>
      </w:r>
      <w:r w:rsidR="00C54DD2" w:rsidRPr="00E16632">
        <w:rPr>
          <w:rFonts w:ascii="Times New Roman" w:hAnsi="Times New Roman" w:cs="Times New Roman"/>
          <w:color w:val="000000" w:themeColor="text1"/>
        </w:rPr>
        <w:t>68</w:t>
      </w:r>
      <w:r w:rsidR="001E5372" w:rsidRPr="00E16632">
        <w:rPr>
          <w:rFonts w:ascii="Times New Roman" w:hAnsi="Times New Roman" w:cs="Times New Roman"/>
          <w:color w:val="000000" w:themeColor="text1"/>
        </w:rPr>
        <w:t>,</w:t>
      </w:r>
      <w:r w:rsidR="00C54DD2" w:rsidRPr="00E16632">
        <w:rPr>
          <w:rFonts w:ascii="Times New Roman" w:hAnsi="Times New Roman" w:cs="Times New Roman"/>
          <w:color w:val="000000" w:themeColor="text1"/>
        </w:rPr>
        <w:t>0</w:t>
      </w:r>
      <w:r w:rsidR="001E5372" w:rsidRPr="00E16632">
        <w:rPr>
          <w:rFonts w:ascii="Times New Roman" w:hAnsi="Times New Roman" w:cs="Times New Roman"/>
          <w:color w:val="000000" w:themeColor="text1"/>
        </w:rPr>
        <w:t>.</w:t>
      </w:r>
    </w:p>
    <w:p w:rsidR="00357B74" w:rsidRDefault="00357B74" w:rsidP="00357B74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</w:p>
    <w:p w:rsidR="002830E2" w:rsidRPr="00BA7EA7" w:rsidRDefault="002830E2" w:rsidP="002830E2">
      <w:pPr>
        <w:tabs>
          <w:tab w:val="left" w:pos="709"/>
        </w:tabs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Graphique 4 : Perception par les ménages de l'opportunité d'achat des biens </w:t>
      </w:r>
      <w:r w:rsidR="00564076"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durables (</w:t>
      </w:r>
      <w:r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soldes d'opinions)</w:t>
      </w:r>
    </w:p>
    <w:p w:rsidR="002830E2" w:rsidRDefault="002830E2" w:rsidP="00357B74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</w:p>
    <w:p w:rsidR="00D326DA" w:rsidRDefault="002D235E" w:rsidP="00357B74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noProof/>
        </w:rPr>
        <w:drawing>
          <wp:inline distT="0" distB="0" distL="0" distR="0">
            <wp:extent cx="6400800" cy="2775098"/>
            <wp:effectExtent l="19050" t="0" r="19050" b="6202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830E2" w:rsidRPr="00BA7EA7" w:rsidRDefault="002830E2" w:rsidP="002830E2">
      <w:pPr>
        <w:widowControl/>
        <w:tabs>
          <w:tab w:val="left" w:pos="709"/>
        </w:tabs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Source : HCP, Enquête permanente de conjoncture auprès des ménages</w:t>
      </w:r>
    </w:p>
    <w:p w:rsidR="002830E2" w:rsidRDefault="002830E2" w:rsidP="00357B74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</w:p>
    <w:p w:rsidR="005F3BED" w:rsidRDefault="005F3BED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632" w:rsidRDefault="00E16632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4076" w:rsidRDefault="00564076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632" w:rsidRDefault="00E16632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FA1" w:rsidRPr="002C4A48" w:rsidRDefault="00A10B2D" w:rsidP="002C4A48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EC2700" w:rsidRPr="00A71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ituation financière </w:t>
      </w:r>
      <w:r w:rsidRPr="00A71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des ménages : </w:t>
      </w:r>
      <w:r w:rsidR="002C4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sentiment d’une détérioration </w:t>
      </w:r>
      <w:r w:rsidR="002C4A48" w:rsidRPr="002C4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 attente d’une amélioration</w:t>
      </w:r>
      <w:r w:rsidR="009B3682" w:rsidRPr="002C4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9B3682" w:rsidRPr="00D41CA0" w:rsidRDefault="009B3682" w:rsidP="00A71494">
      <w:pPr>
        <w:pStyle w:val="Paragraphedeliste"/>
        <w:tabs>
          <w:tab w:val="left" w:pos="709"/>
        </w:tabs>
        <w:spacing w:before="24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8C7E44" w:rsidRPr="00981B57" w:rsidRDefault="00516548" w:rsidP="00E16632">
      <w:pPr>
        <w:pStyle w:val="Paragraphedeliste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F04852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deuxième</w:t>
      </w:r>
      <w:r w:rsidR="00D55501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trimestre</w:t>
      </w:r>
      <w:r w:rsidR="006C2604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707360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de</w:t>
      </w:r>
      <w:r w:rsidR="00DA1780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20</w:t>
      </w:r>
      <w:r w:rsidR="0005351F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4B3E3D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</w:t>
      </w:r>
      <w:r w:rsidR="00E03B67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DC249C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54,</w:t>
      </w:r>
      <w:r w:rsidR="00E16632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</w:t>
      </w:r>
      <w:r w:rsidR="00DC249C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</w:t>
      </w:r>
      <w:r w:rsidR="006C2604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E03B67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des ménages</w:t>
      </w:r>
      <w:r w:rsidR="006C2604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E03B67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estiment que leurs revenus couvrent leurs dépenses, </w:t>
      </w:r>
      <w:r w:rsidR="00DC249C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41,7%</w:t>
      </w:r>
      <w:r w:rsidR="00E03B67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déclarent s’endetter ou puiser dans leur épargne et </w:t>
      </w:r>
      <w:r w:rsidR="00DC249C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3,7%</w:t>
      </w:r>
      <w:r w:rsidR="00E03B67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affirment épargner une partie de leur revenu.</w:t>
      </w:r>
      <w:r w:rsidR="006C2604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E03B67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Le solde d’opinion </w:t>
      </w:r>
      <w:r w:rsidR="007A29D4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relatif à</w:t>
      </w:r>
      <w:r w:rsidR="00E03B67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la situation financière actuelle des ménages est resté ainsi négatif, à moins </w:t>
      </w:r>
      <w:r w:rsidR="004B3E3D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</w:t>
      </w:r>
      <w:r w:rsidR="00DC249C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8</w:t>
      </w:r>
      <w:r w:rsidR="008A2B76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DC249C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0</w:t>
      </w:r>
      <w:r w:rsidR="00E03B67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points</w:t>
      </w:r>
      <w:r w:rsidR="006C2604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D90C0D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contre </w:t>
      </w:r>
      <w:r w:rsidR="00A54254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moins </w:t>
      </w:r>
      <w:r w:rsidR="00103010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34</w:t>
      </w:r>
      <w:r w:rsidR="008A2B76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103010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="005C0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5B09C4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points</w:t>
      </w:r>
      <w:r w:rsidR="005C0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A54254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le trimestre </w:t>
      </w:r>
      <w:r w:rsidR="0005351F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précédent</w:t>
      </w:r>
      <w:r w:rsidR="00A54254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et moins </w:t>
      </w:r>
      <w:r w:rsidR="00103010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30</w:t>
      </w:r>
      <w:r w:rsidR="00A54254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103010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0</w:t>
      </w:r>
      <w:r w:rsidR="005B09C4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points</w:t>
      </w:r>
      <w:r w:rsidR="006C2604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A54254" w:rsidRPr="0098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une année auparavant.</w:t>
      </w:r>
    </w:p>
    <w:p w:rsidR="005D3956" w:rsidRPr="00981B57" w:rsidRDefault="00035053" w:rsidP="00F537E7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981B57">
        <w:rPr>
          <w:rFonts w:ascii="Times New Roman" w:hAnsi="Times New Roman" w:cs="Times New Roman"/>
          <w:color w:val="000000" w:themeColor="text1"/>
        </w:rPr>
        <w:t>Quant à</w:t>
      </w:r>
      <w:r w:rsidR="002B7C12" w:rsidRPr="00981B57">
        <w:rPr>
          <w:rFonts w:ascii="Times New Roman" w:hAnsi="Times New Roman" w:cs="Times New Roman"/>
          <w:color w:val="000000" w:themeColor="text1"/>
        </w:rPr>
        <w:t xml:space="preserve"> l’évolution de</w:t>
      </w:r>
      <w:r w:rsidR="00F45C72" w:rsidRPr="00981B57">
        <w:rPr>
          <w:rFonts w:ascii="Times New Roman" w:hAnsi="Times New Roman" w:cs="Times New Roman"/>
          <w:color w:val="000000" w:themeColor="text1"/>
        </w:rPr>
        <w:t xml:space="preserve"> leur </w:t>
      </w:r>
      <w:r w:rsidR="0016780D" w:rsidRPr="00981B57">
        <w:rPr>
          <w:rFonts w:ascii="Times New Roman" w:hAnsi="Times New Roman" w:cs="Times New Roman"/>
          <w:color w:val="000000" w:themeColor="text1"/>
        </w:rPr>
        <w:t>situation financière</w:t>
      </w:r>
      <w:r w:rsidR="00F45C72" w:rsidRPr="00981B57">
        <w:rPr>
          <w:rFonts w:ascii="Times New Roman" w:hAnsi="Times New Roman" w:cs="Times New Roman"/>
          <w:color w:val="000000" w:themeColor="text1"/>
        </w:rPr>
        <w:t xml:space="preserve"> au cours des 12 derniers mois</w:t>
      </w:r>
      <w:r w:rsidR="0016780D" w:rsidRPr="00981B57">
        <w:rPr>
          <w:rFonts w:ascii="Times New Roman" w:hAnsi="Times New Roman" w:cs="Times New Roman"/>
          <w:color w:val="000000" w:themeColor="text1"/>
        </w:rPr>
        <w:t xml:space="preserve">, </w:t>
      </w:r>
      <w:r w:rsidR="005B77E3" w:rsidRPr="00981B57">
        <w:rPr>
          <w:rFonts w:ascii="Times New Roman" w:hAnsi="Times New Roman" w:cs="Times New Roman"/>
          <w:color w:val="000000" w:themeColor="text1"/>
        </w:rPr>
        <w:t>55,5%</w:t>
      </w:r>
      <w:r w:rsidR="005D3956" w:rsidRPr="00981B57">
        <w:rPr>
          <w:rFonts w:ascii="Times New Roman" w:hAnsi="Times New Roman" w:cs="Times New Roman"/>
          <w:color w:val="000000" w:themeColor="text1"/>
        </w:rPr>
        <w:t xml:space="preserve"> contre </w:t>
      </w:r>
      <w:r w:rsidR="005B77E3" w:rsidRPr="00981B57">
        <w:rPr>
          <w:rFonts w:ascii="Times New Roman" w:hAnsi="Times New Roman" w:cs="Times New Roman"/>
          <w:color w:val="000000" w:themeColor="text1"/>
        </w:rPr>
        <w:t>5,5%</w:t>
      </w:r>
      <w:r w:rsidR="00455A6D">
        <w:rPr>
          <w:rFonts w:ascii="Times New Roman" w:hAnsi="Times New Roman" w:cs="Times New Roman"/>
          <w:color w:val="000000" w:themeColor="text1"/>
        </w:rPr>
        <w:t xml:space="preserve"> </w:t>
      </w:r>
      <w:r w:rsidR="0016780D" w:rsidRPr="00981B57">
        <w:rPr>
          <w:rFonts w:ascii="Times New Roman" w:hAnsi="Times New Roman" w:cs="Times New Roman"/>
          <w:color w:val="000000" w:themeColor="text1"/>
        </w:rPr>
        <w:t xml:space="preserve">des ménages considèrent qu’elle </w:t>
      </w:r>
      <w:r w:rsidR="00540BE7" w:rsidRPr="00981B57">
        <w:rPr>
          <w:rFonts w:ascii="Times New Roman" w:hAnsi="Times New Roman" w:cs="Times New Roman"/>
          <w:color w:val="000000" w:themeColor="text1"/>
        </w:rPr>
        <w:t>s’est dégradée</w:t>
      </w:r>
      <w:r w:rsidR="0016780D" w:rsidRPr="00981B57">
        <w:rPr>
          <w:rFonts w:ascii="Times New Roman" w:hAnsi="Times New Roman" w:cs="Times New Roman"/>
          <w:color w:val="000000" w:themeColor="text1"/>
        </w:rPr>
        <w:t xml:space="preserve">. Cette perception reste </w:t>
      </w:r>
      <w:r w:rsidR="00F45C72" w:rsidRPr="00981B57">
        <w:rPr>
          <w:rFonts w:ascii="Times New Roman" w:hAnsi="Times New Roman" w:cs="Times New Roman"/>
          <w:color w:val="000000" w:themeColor="text1"/>
        </w:rPr>
        <w:t xml:space="preserve">ainsi </w:t>
      </w:r>
      <w:r w:rsidR="0016780D" w:rsidRPr="00981B57">
        <w:rPr>
          <w:rFonts w:ascii="Times New Roman" w:hAnsi="Times New Roman" w:cs="Times New Roman"/>
          <w:color w:val="000000" w:themeColor="text1"/>
        </w:rPr>
        <w:t xml:space="preserve">négative, </w:t>
      </w:r>
      <w:r w:rsidR="00F45C72" w:rsidRPr="00981B57">
        <w:rPr>
          <w:rFonts w:ascii="Times New Roman" w:hAnsi="Times New Roman" w:cs="Times New Roman"/>
          <w:color w:val="000000" w:themeColor="text1"/>
        </w:rPr>
        <w:t>avec</w:t>
      </w:r>
      <w:r w:rsidR="006C2604" w:rsidRPr="00981B57">
        <w:rPr>
          <w:rFonts w:ascii="Times New Roman" w:hAnsi="Times New Roman" w:cs="Times New Roman"/>
          <w:color w:val="000000" w:themeColor="text1"/>
        </w:rPr>
        <w:t xml:space="preserve"> </w:t>
      </w:r>
      <w:r w:rsidR="00F45C72" w:rsidRPr="00981B57">
        <w:rPr>
          <w:rFonts w:ascii="Times New Roman" w:hAnsi="Times New Roman" w:cs="Times New Roman"/>
          <w:color w:val="000000" w:themeColor="text1"/>
        </w:rPr>
        <w:t xml:space="preserve">un solde d’opinion de </w:t>
      </w:r>
      <w:r w:rsidR="006617C3" w:rsidRPr="00981B57">
        <w:rPr>
          <w:rFonts w:ascii="Times New Roman" w:hAnsi="Times New Roman" w:cs="Times New Roman"/>
          <w:color w:val="000000" w:themeColor="text1"/>
        </w:rPr>
        <w:t>moins</w:t>
      </w:r>
      <w:r w:rsidR="005C0FDA">
        <w:rPr>
          <w:rFonts w:ascii="Times New Roman" w:hAnsi="Times New Roman" w:cs="Times New Roman"/>
          <w:color w:val="000000" w:themeColor="text1"/>
        </w:rPr>
        <w:t xml:space="preserve"> </w:t>
      </w:r>
      <w:r w:rsidR="00F537E7" w:rsidRPr="00981B57">
        <w:rPr>
          <w:rFonts w:ascii="Times New Roman" w:hAnsi="Times New Roman" w:cs="Times New Roman"/>
          <w:color w:val="000000" w:themeColor="text1"/>
        </w:rPr>
        <w:t>50</w:t>
      </w:r>
      <w:r w:rsidR="008A2B76" w:rsidRPr="00981B57">
        <w:rPr>
          <w:rFonts w:ascii="Times New Roman" w:hAnsi="Times New Roman" w:cs="Times New Roman"/>
          <w:color w:val="000000" w:themeColor="text1"/>
        </w:rPr>
        <w:t>,</w:t>
      </w:r>
      <w:r w:rsidR="00F537E7" w:rsidRPr="00981B57">
        <w:rPr>
          <w:rFonts w:ascii="Times New Roman" w:hAnsi="Times New Roman" w:cs="Times New Roman"/>
          <w:color w:val="000000" w:themeColor="text1"/>
        </w:rPr>
        <w:t>0</w:t>
      </w:r>
      <w:r w:rsidR="006617C3" w:rsidRPr="00981B57">
        <w:rPr>
          <w:rFonts w:ascii="Times New Roman" w:hAnsi="Times New Roman" w:cs="Times New Roman"/>
          <w:color w:val="000000" w:themeColor="text1"/>
        </w:rPr>
        <w:t xml:space="preserve"> points</w:t>
      </w:r>
      <w:r w:rsidR="006C2604" w:rsidRPr="00981B57">
        <w:rPr>
          <w:rFonts w:ascii="Times New Roman" w:hAnsi="Times New Roman" w:cs="Times New Roman"/>
          <w:color w:val="000000" w:themeColor="text1"/>
        </w:rPr>
        <w:t xml:space="preserve"> </w:t>
      </w:r>
      <w:r w:rsidR="00BE624F" w:rsidRPr="00981B57">
        <w:rPr>
          <w:rFonts w:ascii="Times New Roman" w:hAnsi="Times New Roman" w:cs="Times New Roman"/>
          <w:color w:val="000000" w:themeColor="text1"/>
        </w:rPr>
        <w:t xml:space="preserve">contre </w:t>
      </w:r>
      <w:r w:rsidR="005B09C4" w:rsidRPr="00981B57">
        <w:rPr>
          <w:rFonts w:ascii="Times New Roman" w:hAnsi="Times New Roman" w:cs="Times New Roman"/>
          <w:color w:val="000000" w:themeColor="text1"/>
        </w:rPr>
        <w:t xml:space="preserve">moins </w:t>
      </w:r>
      <w:r w:rsidR="00F537E7" w:rsidRPr="00981B57">
        <w:rPr>
          <w:rFonts w:ascii="Times New Roman" w:hAnsi="Times New Roman" w:cs="Times New Roman"/>
          <w:color w:val="000000" w:themeColor="text1"/>
        </w:rPr>
        <w:t>47</w:t>
      </w:r>
      <w:r w:rsidR="00BE624F" w:rsidRPr="00981B57">
        <w:rPr>
          <w:rFonts w:ascii="Times New Roman" w:hAnsi="Times New Roman" w:cs="Times New Roman"/>
          <w:color w:val="000000" w:themeColor="text1"/>
        </w:rPr>
        <w:t>,</w:t>
      </w:r>
      <w:r w:rsidR="00F537E7" w:rsidRPr="00981B57">
        <w:rPr>
          <w:rFonts w:ascii="Times New Roman" w:hAnsi="Times New Roman" w:cs="Times New Roman"/>
          <w:color w:val="000000" w:themeColor="text1"/>
        </w:rPr>
        <w:t>4</w:t>
      </w:r>
      <w:r w:rsidR="005B09C4" w:rsidRPr="00981B57">
        <w:rPr>
          <w:rFonts w:ascii="Times New Roman" w:hAnsi="Times New Roman" w:cs="Times New Roman"/>
          <w:color w:val="000000" w:themeColor="text1"/>
        </w:rPr>
        <w:t xml:space="preserve"> points </w:t>
      </w:r>
      <w:r w:rsidR="001143FE" w:rsidRPr="00981B57">
        <w:rPr>
          <w:rFonts w:ascii="Times New Roman" w:hAnsi="Times New Roman" w:cs="Times New Roman"/>
          <w:color w:val="000000" w:themeColor="text1"/>
        </w:rPr>
        <w:t xml:space="preserve">au </w:t>
      </w:r>
      <w:r w:rsidR="00BE624F" w:rsidRPr="00981B57">
        <w:rPr>
          <w:rFonts w:ascii="Times New Roman" w:hAnsi="Times New Roman" w:cs="Times New Roman"/>
          <w:color w:val="000000" w:themeColor="text1"/>
        </w:rPr>
        <w:t>trimestre précèdent et moins 2</w:t>
      </w:r>
      <w:r w:rsidR="00F537E7" w:rsidRPr="00981B57">
        <w:rPr>
          <w:rFonts w:ascii="Times New Roman" w:hAnsi="Times New Roman" w:cs="Times New Roman"/>
          <w:color w:val="000000" w:themeColor="text1"/>
        </w:rPr>
        <w:t>7</w:t>
      </w:r>
      <w:r w:rsidR="00BE624F" w:rsidRPr="00981B57">
        <w:rPr>
          <w:rFonts w:ascii="Times New Roman" w:hAnsi="Times New Roman" w:cs="Times New Roman"/>
          <w:color w:val="000000" w:themeColor="text1"/>
        </w:rPr>
        <w:t>,</w:t>
      </w:r>
      <w:r w:rsidR="00F537E7" w:rsidRPr="00981B57">
        <w:rPr>
          <w:rFonts w:ascii="Times New Roman" w:hAnsi="Times New Roman" w:cs="Times New Roman"/>
          <w:color w:val="000000" w:themeColor="text1"/>
        </w:rPr>
        <w:t>0</w:t>
      </w:r>
      <w:r w:rsidR="00BE624F" w:rsidRPr="00981B57">
        <w:rPr>
          <w:rFonts w:ascii="Times New Roman" w:hAnsi="Times New Roman" w:cs="Times New Roman"/>
          <w:color w:val="000000" w:themeColor="text1"/>
        </w:rPr>
        <w:t xml:space="preserve"> points au </w:t>
      </w:r>
      <w:r w:rsidR="001143FE" w:rsidRPr="00981B57">
        <w:rPr>
          <w:rFonts w:ascii="Times New Roman" w:hAnsi="Times New Roman" w:cs="Times New Roman"/>
          <w:color w:val="000000" w:themeColor="text1"/>
        </w:rPr>
        <w:t>même trimestre de l’année précédente</w:t>
      </w:r>
      <w:r w:rsidR="00BE624F" w:rsidRPr="00981B57">
        <w:rPr>
          <w:rFonts w:ascii="Times New Roman" w:hAnsi="Times New Roman" w:cs="Times New Roman"/>
          <w:color w:val="000000" w:themeColor="text1"/>
        </w:rPr>
        <w:t xml:space="preserve">. </w:t>
      </w:r>
    </w:p>
    <w:p w:rsidR="00527651" w:rsidRPr="004E7B02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</w:pPr>
    </w:p>
    <w:p w:rsidR="002125D5" w:rsidRPr="00981B57" w:rsidRDefault="00491FB6" w:rsidP="00455A6D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981B57">
        <w:rPr>
          <w:rFonts w:ascii="Times New Roman" w:hAnsi="Times New Roman" w:cs="Times New Roman"/>
          <w:color w:val="000000" w:themeColor="text1"/>
        </w:rPr>
        <w:t xml:space="preserve">S’agissant </w:t>
      </w:r>
      <w:r w:rsidR="00B56764" w:rsidRPr="00981B57">
        <w:rPr>
          <w:rFonts w:ascii="Times New Roman" w:hAnsi="Times New Roman" w:cs="Times New Roman"/>
          <w:color w:val="000000" w:themeColor="text1"/>
        </w:rPr>
        <w:t xml:space="preserve">de l’évolution </w:t>
      </w:r>
      <w:r w:rsidR="00D41CA0" w:rsidRPr="00981B57">
        <w:rPr>
          <w:rFonts w:ascii="Times New Roman" w:hAnsi="Times New Roman" w:cs="Times New Roman"/>
          <w:color w:val="000000" w:themeColor="text1"/>
        </w:rPr>
        <w:t>de leur situation financière</w:t>
      </w:r>
      <w:r w:rsidR="006C2604" w:rsidRPr="00981B57">
        <w:rPr>
          <w:rFonts w:ascii="Times New Roman" w:hAnsi="Times New Roman" w:cs="Times New Roman"/>
          <w:color w:val="000000" w:themeColor="text1"/>
        </w:rPr>
        <w:t xml:space="preserve"> </w:t>
      </w:r>
      <w:r w:rsidR="00B56764" w:rsidRPr="00981B57">
        <w:rPr>
          <w:rFonts w:ascii="Times New Roman" w:hAnsi="Times New Roman" w:cs="Times New Roman"/>
          <w:color w:val="000000" w:themeColor="text1"/>
        </w:rPr>
        <w:t>au cours des 12 prochains mois,</w:t>
      </w:r>
      <w:r w:rsidR="00344329" w:rsidRPr="00981B57">
        <w:rPr>
          <w:rFonts w:ascii="Times New Roman" w:hAnsi="Times New Roman" w:cs="Times New Roman"/>
          <w:color w:val="000000" w:themeColor="text1"/>
        </w:rPr>
        <w:t xml:space="preserve"> </w:t>
      </w:r>
      <w:r w:rsidR="009F6F38" w:rsidRPr="00981B57">
        <w:rPr>
          <w:rFonts w:ascii="Times New Roman" w:hAnsi="Times New Roman" w:cs="Times New Roman"/>
          <w:color w:val="000000" w:themeColor="text1"/>
        </w:rPr>
        <w:t>30,3%</w:t>
      </w:r>
      <w:r w:rsidR="00344329" w:rsidRPr="00981B57">
        <w:rPr>
          <w:rFonts w:ascii="Times New Roman" w:hAnsi="Times New Roman" w:cs="Times New Roman"/>
          <w:color w:val="000000" w:themeColor="text1"/>
        </w:rPr>
        <w:t xml:space="preserve"> </w:t>
      </w:r>
      <w:r w:rsidR="005D3956" w:rsidRPr="00981B57">
        <w:rPr>
          <w:rFonts w:ascii="Times New Roman" w:hAnsi="Times New Roman" w:cs="Times New Roman"/>
          <w:color w:val="000000" w:themeColor="text1"/>
        </w:rPr>
        <w:t>contre</w:t>
      </w:r>
      <w:r w:rsidR="00344329" w:rsidRPr="00981B57">
        <w:rPr>
          <w:rFonts w:ascii="Times New Roman" w:hAnsi="Times New Roman" w:cs="Times New Roman"/>
          <w:color w:val="000000" w:themeColor="text1"/>
        </w:rPr>
        <w:t xml:space="preserve"> </w:t>
      </w:r>
      <w:r w:rsidR="009F6F38" w:rsidRPr="00981B57">
        <w:rPr>
          <w:rFonts w:ascii="Times New Roman" w:hAnsi="Times New Roman" w:cs="Times New Roman"/>
          <w:color w:val="000000" w:themeColor="text1"/>
        </w:rPr>
        <w:t>15,5%</w:t>
      </w:r>
      <w:r w:rsidR="00344329" w:rsidRPr="00981B57">
        <w:rPr>
          <w:rFonts w:ascii="Times New Roman" w:hAnsi="Times New Roman" w:cs="Times New Roman"/>
          <w:color w:val="000000" w:themeColor="text1"/>
        </w:rPr>
        <w:t xml:space="preserve"> </w:t>
      </w:r>
      <w:r w:rsidR="00F45C72" w:rsidRPr="00981B57">
        <w:rPr>
          <w:rFonts w:ascii="Times New Roman" w:hAnsi="Times New Roman" w:cs="Times New Roman"/>
          <w:color w:val="000000" w:themeColor="text1"/>
        </w:rPr>
        <w:t>des ménages s’attendent à une amélioration</w:t>
      </w:r>
      <w:r w:rsidR="00C25F02" w:rsidRPr="00981B57">
        <w:rPr>
          <w:rFonts w:ascii="Times New Roman" w:hAnsi="Times New Roman" w:cs="Times New Roman"/>
          <w:color w:val="000000" w:themeColor="text1"/>
        </w:rPr>
        <w:t xml:space="preserve"> de leur situation financière</w:t>
      </w:r>
      <w:r w:rsidR="00F45C72" w:rsidRPr="00981B57">
        <w:rPr>
          <w:rFonts w:ascii="Times New Roman" w:hAnsi="Times New Roman" w:cs="Times New Roman"/>
          <w:color w:val="000000" w:themeColor="text1"/>
        </w:rPr>
        <w:t>. Le solde d’opinion</w:t>
      </w:r>
      <w:r w:rsidR="006C2604" w:rsidRPr="00981B57">
        <w:rPr>
          <w:rFonts w:ascii="Times New Roman" w:hAnsi="Times New Roman" w:cs="Times New Roman"/>
          <w:color w:val="000000" w:themeColor="text1"/>
        </w:rPr>
        <w:t xml:space="preserve"> </w:t>
      </w:r>
      <w:r w:rsidR="00A01E00" w:rsidRPr="00981B57">
        <w:rPr>
          <w:rFonts w:ascii="Times New Roman" w:hAnsi="Times New Roman" w:cs="Times New Roman"/>
          <w:color w:val="000000" w:themeColor="text1"/>
        </w:rPr>
        <w:t xml:space="preserve">de cet indicateur </w:t>
      </w:r>
      <w:r w:rsidR="004C21FA" w:rsidRPr="00981B57">
        <w:rPr>
          <w:rFonts w:ascii="Times New Roman" w:hAnsi="Times New Roman" w:cs="Times New Roman"/>
          <w:color w:val="000000" w:themeColor="text1"/>
        </w:rPr>
        <w:t>s’est ainsi établit à 14,8 points</w:t>
      </w:r>
      <w:r w:rsidR="006C2604" w:rsidRPr="00981B57">
        <w:rPr>
          <w:rFonts w:ascii="Times New Roman" w:hAnsi="Times New Roman" w:cs="Times New Roman"/>
          <w:color w:val="000000" w:themeColor="text1"/>
        </w:rPr>
        <w:t xml:space="preserve"> </w:t>
      </w:r>
      <w:r w:rsidR="004C21FA" w:rsidRPr="00981B57">
        <w:rPr>
          <w:rFonts w:ascii="Times New Roman" w:hAnsi="Times New Roman" w:cs="Times New Roman"/>
          <w:color w:val="000000" w:themeColor="text1"/>
        </w:rPr>
        <w:t xml:space="preserve">contre 21,2 points </w:t>
      </w:r>
      <w:r w:rsidR="004E7B02" w:rsidRPr="00981B57">
        <w:rPr>
          <w:rFonts w:ascii="Times New Roman" w:hAnsi="Times New Roman" w:cs="Times New Roman"/>
          <w:color w:val="000000" w:themeColor="text1"/>
        </w:rPr>
        <w:t xml:space="preserve">un trimestre auparavant </w:t>
      </w:r>
      <w:r w:rsidR="00960870" w:rsidRPr="00981B57">
        <w:rPr>
          <w:rFonts w:ascii="Times New Roman" w:hAnsi="Times New Roman" w:cs="Times New Roman"/>
          <w:color w:val="000000" w:themeColor="text1"/>
        </w:rPr>
        <w:t xml:space="preserve">et moins 4,6 points </w:t>
      </w:r>
      <w:r w:rsidR="004E7B02" w:rsidRPr="00981B57">
        <w:rPr>
          <w:rFonts w:ascii="Times New Roman" w:hAnsi="Times New Roman" w:cs="Times New Roman"/>
          <w:color w:val="000000" w:themeColor="text1"/>
        </w:rPr>
        <w:t>un an auparavant</w:t>
      </w:r>
      <w:r w:rsidR="00960870" w:rsidRPr="00981B57">
        <w:rPr>
          <w:rFonts w:ascii="Times New Roman" w:hAnsi="Times New Roman" w:cs="Times New Roman"/>
          <w:color w:val="000000" w:themeColor="text1"/>
        </w:rPr>
        <w:t>.</w:t>
      </w:r>
    </w:p>
    <w:p w:rsidR="002830E2" w:rsidRDefault="002830E2" w:rsidP="004C21FA">
      <w:pPr>
        <w:widowControl/>
        <w:tabs>
          <w:tab w:val="left" w:pos="709"/>
        </w:tabs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</w:pPr>
    </w:p>
    <w:p w:rsidR="002830E2" w:rsidRPr="00BA7EA7" w:rsidRDefault="002830E2" w:rsidP="0062044E">
      <w:pPr>
        <w:tabs>
          <w:tab w:val="left" w:pos="709"/>
        </w:tabs>
        <w:spacing w:line="276" w:lineRule="auto"/>
        <w:jc w:val="both"/>
        <w:rPr>
          <w:rFonts w:asciiTheme="majorBidi" w:eastAsia="Calibri" w:hAnsiTheme="majorBidi" w:cstheme="majorBidi"/>
          <w:color w:val="000000" w:themeColor="text1"/>
          <w:sz w:val="26"/>
          <w:szCs w:val="26"/>
          <w:lang w:eastAsia="en-US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Graphique 5 : Perception par les ménages de leurs situations financières (soldes d'opinions) </w:t>
      </w:r>
    </w:p>
    <w:p w:rsidR="002125D5" w:rsidRDefault="0021759B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  <w:r>
        <w:rPr>
          <w:noProof/>
        </w:rPr>
        <w:drawing>
          <wp:inline distT="0" distB="0" distL="0" distR="0">
            <wp:extent cx="6417528" cy="3651990"/>
            <wp:effectExtent l="0" t="0" r="2540" b="5715"/>
            <wp:docPr id="12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830E2" w:rsidRPr="00BA7EA7" w:rsidRDefault="002830E2" w:rsidP="002830E2">
      <w:pPr>
        <w:widowControl/>
        <w:tabs>
          <w:tab w:val="left" w:pos="709"/>
        </w:tabs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Source : HCP, Enquête permanente de conjoncture auprès des ménages</w:t>
      </w:r>
    </w:p>
    <w:p w:rsidR="002830E2" w:rsidRDefault="002830E2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</w:p>
    <w:p w:rsidR="000E21A1" w:rsidRPr="003A3FCF" w:rsidRDefault="000E21A1" w:rsidP="00F80338">
      <w:pPr>
        <w:pStyle w:val="Paragraphedeliste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</w:p>
    <w:p w:rsidR="00345EE0" w:rsidRDefault="00D52D57" w:rsidP="00F80338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L’enquête fournit également des données trimestrielles sur l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perception des ménages relatives à d’autres aspects des conditions de vie. Il s’agit en particulier de la </w:t>
      </w:r>
      <w:r w:rsidR="001F7D34" w:rsidRPr="00C706A5">
        <w:rPr>
          <w:rFonts w:ascii="Times New Roman" w:hAnsi="Times New Roman" w:cs="Times New Roman"/>
          <w:color w:val="000000" w:themeColor="text1"/>
        </w:rPr>
        <w:t>capacité d</w:t>
      </w:r>
      <w:r w:rsidR="001F7D34">
        <w:rPr>
          <w:rFonts w:ascii="Times New Roman" w:hAnsi="Times New Roman" w:cs="Times New Roman"/>
          <w:color w:val="000000" w:themeColor="text1"/>
        </w:rPr>
        <w:t xml:space="preserve">es ménages à épargner </w:t>
      </w:r>
      <w:r w:rsidR="001F7D34" w:rsidRPr="00C706A5">
        <w:rPr>
          <w:rFonts w:ascii="Times New Roman" w:hAnsi="Times New Roman" w:cs="Times New Roman"/>
          <w:color w:val="000000" w:themeColor="text1"/>
        </w:rPr>
        <w:t>et</w:t>
      </w:r>
      <w:r w:rsidR="006C2604">
        <w:rPr>
          <w:rFonts w:ascii="Times New Roman" w:hAnsi="Times New Roman" w:cs="Times New Roman"/>
          <w:color w:val="000000" w:themeColor="text1"/>
        </w:rPr>
        <w:t xml:space="preserve"> </w:t>
      </w:r>
      <w:r w:rsidR="00564076">
        <w:rPr>
          <w:rFonts w:ascii="Times New Roman" w:hAnsi="Times New Roman" w:cs="Times New Roman"/>
          <w:color w:val="000000" w:themeColor="text1"/>
        </w:rPr>
        <w:t xml:space="preserve">de </w:t>
      </w:r>
      <w:r w:rsidR="00564076" w:rsidRPr="00C706A5">
        <w:rPr>
          <w:rFonts w:ascii="Times New Roman" w:hAnsi="Times New Roman" w:cs="Times New Roman"/>
          <w:color w:val="000000" w:themeColor="text1"/>
        </w:rPr>
        <w:t>l’évolution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 des prix des produits alimentaires</w:t>
      </w:r>
      <w:r w:rsidR="0071373B">
        <w:rPr>
          <w:rFonts w:ascii="Times New Roman" w:hAnsi="Times New Roman" w:cs="Times New Roman"/>
          <w:color w:val="000000" w:themeColor="text1"/>
        </w:rPr>
        <w:t xml:space="preserve">. </w:t>
      </w:r>
    </w:p>
    <w:p w:rsidR="004E7B02" w:rsidRDefault="004E7B02" w:rsidP="00F80338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EC2700" w:rsidRPr="00C25F02" w:rsidRDefault="00564076" w:rsidP="00564076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P</w:t>
      </w:r>
      <w:r w:rsidR="004517FC">
        <w:rPr>
          <w:rFonts w:asciiTheme="majorBidi" w:hAnsiTheme="majorBidi" w:cstheme="majorBidi"/>
          <w:b/>
          <w:bCs/>
          <w:color w:val="000000"/>
          <w:sz w:val="24"/>
          <w:szCs w:val="24"/>
        </w:rPr>
        <w:t>erception</w:t>
      </w:r>
      <w:r w:rsidR="00FD45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1E3868">
        <w:rPr>
          <w:rFonts w:asciiTheme="majorBidi" w:hAnsiTheme="majorBidi" w:cstheme="majorBidi"/>
          <w:b/>
          <w:bCs/>
          <w:color w:val="000000"/>
          <w:sz w:val="24"/>
          <w:szCs w:val="24"/>
        </w:rPr>
        <w:t>moins</w:t>
      </w:r>
      <w:r w:rsidR="00FD45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pessimiste de la capacité future des m</w:t>
      </w:r>
      <w:r w:rsidR="00A8068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énages </w:t>
      </w:r>
      <w:r w:rsidR="00261ED7">
        <w:rPr>
          <w:rFonts w:asciiTheme="majorBidi" w:hAnsiTheme="majorBidi" w:cstheme="majorBidi"/>
          <w:b/>
          <w:bCs/>
          <w:color w:val="000000"/>
          <w:sz w:val="24"/>
          <w:szCs w:val="24"/>
        </w:rPr>
        <w:t>à épargner</w:t>
      </w:r>
      <w:r w:rsidR="00EC2700" w:rsidRPr="00EF2C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 </w:t>
      </w:r>
    </w:p>
    <w:p w:rsidR="006821CC" w:rsidRPr="00E53FA3" w:rsidRDefault="00AE5641" w:rsidP="00187C8D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rtl/>
          <w:lang w:bidi="ar-MA"/>
        </w:rPr>
      </w:pPr>
      <w:r w:rsidRPr="00E53FA3">
        <w:rPr>
          <w:rFonts w:ascii="Times New Roman" w:hAnsi="Times New Roman" w:cs="Times New Roman"/>
          <w:color w:val="000000" w:themeColor="text1"/>
        </w:rPr>
        <w:t xml:space="preserve">Au </w:t>
      </w:r>
      <w:r w:rsidR="00F04852" w:rsidRPr="00E53FA3">
        <w:rPr>
          <w:rFonts w:ascii="Times New Roman" w:hAnsi="Times New Roman" w:cs="Times New Roman"/>
          <w:color w:val="000000" w:themeColor="text1"/>
        </w:rPr>
        <w:t>deuxième</w:t>
      </w:r>
      <w:r w:rsidR="00D55501" w:rsidRPr="00E53FA3">
        <w:rPr>
          <w:rFonts w:ascii="Times New Roman" w:hAnsi="Times New Roman" w:cs="Times New Roman"/>
          <w:color w:val="000000" w:themeColor="text1"/>
        </w:rPr>
        <w:t xml:space="preserve"> trimestre</w:t>
      </w:r>
      <w:r w:rsidR="00FD4512">
        <w:rPr>
          <w:rFonts w:ascii="Times New Roman" w:hAnsi="Times New Roman" w:cs="Times New Roman"/>
          <w:color w:val="000000" w:themeColor="text1"/>
        </w:rPr>
        <w:t xml:space="preserve"> </w:t>
      </w:r>
      <w:r w:rsidR="00707360" w:rsidRPr="00E53FA3">
        <w:rPr>
          <w:rFonts w:ascii="Times New Roman" w:hAnsi="Times New Roman" w:cs="Times New Roman"/>
          <w:color w:val="000000" w:themeColor="text1"/>
        </w:rPr>
        <w:t>de</w:t>
      </w:r>
      <w:r w:rsidR="00DA1780" w:rsidRPr="00E53FA3">
        <w:rPr>
          <w:rFonts w:ascii="Times New Roman" w:hAnsi="Times New Roman" w:cs="Times New Roman"/>
          <w:color w:val="000000" w:themeColor="text1"/>
        </w:rPr>
        <w:t xml:space="preserve"> 20</w:t>
      </w:r>
      <w:r w:rsidR="00C96AEA" w:rsidRPr="00E53FA3">
        <w:rPr>
          <w:rFonts w:ascii="Times New Roman" w:hAnsi="Times New Roman" w:cs="Times New Roman"/>
          <w:color w:val="000000" w:themeColor="text1"/>
        </w:rPr>
        <w:t>2</w:t>
      </w:r>
      <w:r w:rsidR="002B7F41" w:rsidRPr="00E53FA3">
        <w:rPr>
          <w:rFonts w:ascii="Times New Roman" w:hAnsi="Times New Roman" w:cs="Times New Roman"/>
          <w:color w:val="000000" w:themeColor="text1"/>
        </w:rPr>
        <w:t>1</w:t>
      </w:r>
      <w:r w:rsidR="00D72CF7" w:rsidRPr="00E53FA3">
        <w:rPr>
          <w:rFonts w:ascii="Times New Roman" w:hAnsi="Times New Roman" w:cs="Times New Roman"/>
          <w:color w:val="000000" w:themeColor="text1"/>
        </w:rPr>
        <w:t>,</w:t>
      </w:r>
      <w:r w:rsidR="00FD4512">
        <w:rPr>
          <w:rFonts w:ascii="Times New Roman" w:hAnsi="Times New Roman" w:cs="Times New Roman"/>
          <w:color w:val="000000" w:themeColor="text1"/>
        </w:rPr>
        <w:t xml:space="preserve"> </w:t>
      </w:r>
      <w:r w:rsidR="00172EE9" w:rsidRPr="00E53FA3">
        <w:rPr>
          <w:rFonts w:ascii="Times New Roman" w:hAnsi="Times New Roman" w:cs="Times New Roman"/>
          <w:color w:val="000000" w:themeColor="text1"/>
        </w:rPr>
        <w:t>16,4%</w:t>
      </w:r>
      <w:r w:rsidR="00F073F5">
        <w:rPr>
          <w:rFonts w:ascii="Times New Roman" w:hAnsi="Times New Roman" w:cs="Times New Roman"/>
          <w:color w:val="000000" w:themeColor="text1"/>
        </w:rPr>
        <w:t xml:space="preserve"> </w:t>
      </w:r>
      <w:r w:rsidR="00256C03" w:rsidRPr="00E53FA3">
        <w:rPr>
          <w:rFonts w:ascii="Times New Roman" w:hAnsi="Times New Roman" w:cs="Times New Roman"/>
          <w:color w:val="000000" w:themeColor="text1"/>
        </w:rPr>
        <w:t xml:space="preserve">contre </w:t>
      </w:r>
      <w:r w:rsidR="00172EE9" w:rsidRPr="00E53FA3">
        <w:rPr>
          <w:rFonts w:ascii="Times New Roman" w:hAnsi="Times New Roman" w:cs="Times New Roman"/>
          <w:color w:val="000000" w:themeColor="text1"/>
        </w:rPr>
        <w:t>83,6%</w:t>
      </w:r>
      <w:r w:rsidR="00F073F5">
        <w:rPr>
          <w:rFonts w:ascii="Times New Roman" w:hAnsi="Times New Roman" w:cs="Times New Roman"/>
          <w:color w:val="000000" w:themeColor="text1"/>
        </w:rPr>
        <w:t xml:space="preserve"> </w:t>
      </w:r>
      <w:r w:rsidR="00DE048F" w:rsidRPr="00E53FA3">
        <w:rPr>
          <w:rFonts w:ascii="Times New Roman" w:hAnsi="Times New Roman" w:cs="Times New Roman"/>
          <w:color w:val="000000" w:themeColor="text1"/>
        </w:rPr>
        <w:t>des ménages</w:t>
      </w:r>
      <w:r w:rsidR="00FD4512">
        <w:rPr>
          <w:rFonts w:ascii="Times New Roman" w:hAnsi="Times New Roman" w:cs="Times New Roman"/>
          <w:color w:val="000000" w:themeColor="text1"/>
        </w:rPr>
        <w:t xml:space="preserve"> </w:t>
      </w:r>
      <w:r w:rsidR="004153FC" w:rsidRPr="00E53FA3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511C57" w:rsidRPr="00E53FA3">
        <w:rPr>
          <w:rFonts w:ascii="Times New Roman" w:hAnsi="Times New Roman" w:cs="Times New Roman"/>
          <w:color w:val="000000" w:themeColor="text1"/>
        </w:rPr>
        <w:t xml:space="preserve">épargner au cours des 12 prochains </w:t>
      </w:r>
      <w:r w:rsidR="0005706F" w:rsidRPr="00E53FA3">
        <w:rPr>
          <w:rFonts w:ascii="Times New Roman" w:hAnsi="Times New Roman" w:cs="Times New Roman"/>
          <w:color w:val="000000" w:themeColor="text1"/>
        </w:rPr>
        <w:t>mois</w:t>
      </w:r>
      <w:r w:rsidR="00507FF6" w:rsidRPr="00E53FA3">
        <w:rPr>
          <w:rFonts w:ascii="Times New Roman" w:hAnsi="Times New Roman" w:cs="Times New Roman"/>
          <w:color w:val="000000" w:themeColor="text1"/>
        </w:rPr>
        <w:t>.</w:t>
      </w:r>
      <w:r w:rsidR="004153FC" w:rsidRPr="00E53FA3">
        <w:rPr>
          <w:rFonts w:ascii="Times New Roman" w:hAnsi="Times New Roman" w:cs="Times New Roman"/>
          <w:color w:val="000000" w:themeColor="text1"/>
        </w:rPr>
        <w:t xml:space="preserve"> Le </w:t>
      </w:r>
      <w:r w:rsidR="00EA79FB" w:rsidRPr="00E53FA3">
        <w:rPr>
          <w:rFonts w:ascii="Times New Roman" w:hAnsi="Times New Roman" w:cs="Times New Roman"/>
          <w:color w:val="000000" w:themeColor="text1"/>
        </w:rPr>
        <w:t>solde d’opinion</w:t>
      </w:r>
      <w:r w:rsidR="00B14A37" w:rsidRPr="00E53FA3">
        <w:rPr>
          <w:rFonts w:ascii="Times New Roman" w:hAnsi="Times New Roman" w:cs="Times New Roman"/>
          <w:color w:val="000000" w:themeColor="text1"/>
        </w:rPr>
        <w:t xml:space="preserve"> relatif à cet indicateur </w:t>
      </w:r>
      <w:r w:rsidR="00626FDF" w:rsidRPr="00E53FA3">
        <w:rPr>
          <w:rFonts w:ascii="Times New Roman" w:hAnsi="Times New Roman" w:cs="Times New Roman"/>
          <w:color w:val="000000" w:themeColor="text1"/>
        </w:rPr>
        <w:t>est resté négatif, à moins 6</w:t>
      </w:r>
      <w:r w:rsidR="00172EE9" w:rsidRPr="00E53FA3">
        <w:rPr>
          <w:rFonts w:ascii="Times New Roman" w:hAnsi="Times New Roman" w:cs="Times New Roman"/>
          <w:color w:val="000000" w:themeColor="text1"/>
        </w:rPr>
        <w:t>7</w:t>
      </w:r>
      <w:r w:rsidR="00626FDF" w:rsidRPr="00E53FA3">
        <w:rPr>
          <w:rFonts w:ascii="Times New Roman" w:hAnsi="Times New Roman" w:cs="Times New Roman"/>
          <w:color w:val="000000" w:themeColor="text1"/>
        </w:rPr>
        <w:t>,</w:t>
      </w:r>
      <w:r w:rsidR="00172EE9" w:rsidRPr="00E53FA3">
        <w:rPr>
          <w:rFonts w:ascii="Times New Roman" w:hAnsi="Times New Roman" w:cs="Times New Roman"/>
          <w:color w:val="000000" w:themeColor="text1"/>
        </w:rPr>
        <w:t>2</w:t>
      </w:r>
      <w:r w:rsidR="00626FDF" w:rsidRPr="00E53FA3">
        <w:rPr>
          <w:rFonts w:ascii="Times New Roman" w:hAnsi="Times New Roman" w:cs="Times New Roman"/>
          <w:color w:val="000000" w:themeColor="text1"/>
        </w:rPr>
        <w:t xml:space="preserve"> points</w:t>
      </w:r>
      <w:r w:rsidR="00A01B7C" w:rsidRPr="00E53FA3">
        <w:rPr>
          <w:rFonts w:ascii="Times New Roman" w:hAnsi="Times New Roman" w:cs="Times New Roman"/>
          <w:color w:val="000000" w:themeColor="text1"/>
        </w:rPr>
        <w:t xml:space="preserve"> au lieu de</w:t>
      </w:r>
      <w:r w:rsidR="00FD4512">
        <w:rPr>
          <w:rFonts w:ascii="Times New Roman" w:hAnsi="Times New Roman" w:cs="Times New Roman"/>
          <w:color w:val="000000" w:themeColor="text1"/>
        </w:rPr>
        <w:t xml:space="preserve"> </w:t>
      </w:r>
      <w:r w:rsidR="00A01B7C" w:rsidRPr="00E53FA3">
        <w:rPr>
          <w:rFonts w:ascii="Times New Roman" w:hAnsi="Times New Roman" w:cs="Times New Roman"/>
          <w:color w:val="000000" w:themeColor="text1"/>
        </w:rPr>
        <w:t>moins 6</w:t>
      </w:r>
      <w:r w:rsidR="00187C8D" w:rsidRPr="00E53FA3">
        <w:rPr>
          <w:rFonts w:ascii="Times New Roman" w:hAnsi="Times New Roman" w:cs="Times New Roman"/>
          <w:color w:val="000000" w:themeColor="text1"/>
        </w:rPr>
        <w:t>0</w:t>
      </w:r>
      <w:r w:rsidR="005F3BED" w:rsidRPr="00E53FA3">
        <w:rPr>
          <w:rFonts w:ascii="Times New Roman" w:hAnsi="Times New Roman" w:cs="Times New Roman"/>
          <w:color w:val="000000" w:themeColor="text1"/>
        </w:rPr>
        <w:t>,</w:t>
      </w:r>
      <w:r w:rsidR="002B7F41" w:rsidRPr="00E53FA3">
        <w:rPr>
          <w:rFonts w:ascii="Times New Roman" w:hAnsi="Times New Roman" w:cs="Times New Roman"/>
          <w:color w:val="000000" w:themeColor="text1"/>
        </w:rPr>
        <w:t>8</w:t>
      </w:r>
      <w:r w:rsidR="00A01B7C" w:rsidRPr="00E53FA3">
        <w:rPr>
          <w:rFonts w:ascii="Times New Roman" w:hAnsi="Times New Roman" w:cs="Times New Roman"/>
          <w:color w:val="000000" w:themeColor="text1"/>
        </w:rPr>
        <w:t xml:space="preserve"> points au trimestre </w:t>
      </w:r>
      <w:r w:rsidR="00B36B99" w:rsidRPr="00E53FA3">
        <w:rPr>
          <w:rFonts w:ascii="Times New Roman" w:hAnsi="Times New Roman" w:cs="Times New Roman"/>
          <w:color w:val="000000" w:themeColor="text1"/>
        </w:rPr>
        <w:t>précédent</w:t>
      </w:r>
      <w:r w:rsidR="00A01B7C" w:rsidRPr="00E53FA3">
        <w:rPr>
          <w:rFonts w:ascii="Times New Roman" w:hAnsi="Times New Roman" w:cs="Times New Roman"/>
          <w:color w:val="000000" w:themeColor="text1"/>
        </w:rPr>
        <w:t xml:space="preserve"> et </w:t>
      </w:r>
      <w:r w:rsidR="00187C8D" w:rsidRPr="00E53FA3">
        <w:rPr>
          <w:rFonts w:ascii="Times New Roman" w:hAnsi="Times New Roman" w:cs="Times New Roman"/>
          <w:color w:val="000000" w:themeColor="text1"/>
        </w:rPr>
        <w:t>moins 70,4</w:t>
      </w:r>
      <w:r w:rsidR="00F42F8E">
        <w:rPr>
          <w:rFonts w:ascii="Times New Roman" w:hAnsi="Times New Roman" w:cs="Times New Roman"/>
          <w:color w:val="000000" w:themeColor="text1"/>
        </w:rPr>
        <w:t xml:space="preserve"> </w:t>
      </w:r>
      <w:r w:rsidR="00EC4A64" w:rsidRPr="00E53FA3">
        <w:rPr>
          <w:rFonts w:ascii="Times New Roman" w:hAnsi="Times New Roman" w:cs="Times New Roman"/>
          <w:color w:val="000000" w:themeColor="text1"/>
        </w:rPr>
        <w:t xml:space="preserve">le </w:t>
      </w:r>
      <w:r w:rsidR="00A01B7C" w:rsidRPr="00E53FA3">
        <w:rPr>
          <w:rFonts w:ascii="Times New Roman" w:hAnsi="Times New Roman" w:cs="Times New Roman"/>
          <w:color w:val="000000" w:themeColor="text1"/>
        </w:rPr>
        <w:t>même trimestre de l’année passée</w:t>
      </w:r>
      <w:r w:rsidR="00626FDF" w:rsidRPr="00E53FA3">
        <w:rPr>
          <w:rFonts w:ascii="Times New Roman" w:hAnsi="Times New Roman" w:cs="Times New Roman"/>
          <w:color w:val="000000" w:themeColor="text1"/>
        </w:rPr>
        <w:t>.</w:t>
      </w:r>
    </w:p>
    <w:p w:rsidR="00837999" w:rsidRPr="00F80338" w:rsidRDefault="006821CC" w:rsidP="00261ED7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03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Augmentation attendue des </w:t>
      </w:r>
      <w:r w:rsidR="00261ED7" w:rsidRPr="00F803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prix des produits alimentaires </w:t>
      </w:r>
    </w:p>
    <w:p w:rsidR="00EA79FB" w:rsidRPr="00A35DA0" w:rsidRDefault="00CE443B" w:rsidP="009C1A52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A35DA0">
        <w:rPr>
          <w:rFonts w:ascii="Times New Roman" w:hAnsi="Times New Roman" w:cs="Times New Roman"/>
          <w:color w:val="000000" w:themeColor="text1"/>
        </w:rPr>
        <w:t xml:space="preserve">Au </w:t>
      </w:r>
      <w:r w:rsidR="00F04852" w:rsidRPr="00A35DA0">
        <w:rPr>
          <w:rFonts w:ascii="Times New Roman" w:hAnsi="Times New Roman" w:cs="Times New Roman"/>
          <w:color w:val="000000" w:themeColor="text1"/>
        </w:rPr>
        <w:t>deuxième</w:t>
      </w:r>
      <w:r w:rsidR="00D55501" w:rsidRPr="00A35DA0">
        <w:rPr>
          <w:rFonts w:ascii="Times New Roman" w:hAnsi="Times New Roman" w:cs="Times New Roman"/>
          <w:color w:val="000000" w:themeColor="text1"/>
        </w:rPr>
        <w:t xml:space="preserve"> trimestre</w:t>
      </w:r>
      <w:r w:rsidR="00FD4512">
        <w:rPr>
          <w:rFonts w:ascii="Times New Roman" w:hAnsi="Times New Roman" w:cs="Times New Roman"/>
          <w:color w:val="000000" w:themeColor="text1"/>
        </w:rPr>
        <w:t xml:space="preserve"> </w:t>
      </w:r>
      <w:r w:rsidR="00707360" w:rsidRPr="00A35DA0">
        <w:rPr>
          <w:rFonts w:ascii="Times New Roman" w:hAnsi="Times New Roman" w:cs="Times New Roman"/>
          <w:color w:val="000000" w:themeColor="text1"/>
        </w:rPr>
        <w:t>de</w:t>
      </w:r>
      <w:r w:rsidR="00DA1780" w:rsidRPr="00A35DA0">
        <w:rPr>
          <w:rFonts w:ascii="Times New Roman" w:hAnsi="Times New Roman" w:cs="Times New Roman"/>
          <w:color w:val="000000" w:themeColor="text1"/>
        </w:rPr>
        <w:t xml:space="preserve"> 20</w:t>
      </w:r>
      <w:r w:rsidR="00C96AEA" w:rsidRPr="00A35DA0">
        <w:rPr>
          <w:rFonts w:ascii="Times New Roman" w:hAnsi="Times New Roman" w:cs="Times New Roman"/>
          <w:color w:val="000000" w:themeColor="text1"/>
        </w:rPr>
        <w:t>2</w:t>
      </w:r>
      <w:r w:rsidR="00EC4A64" w:rsidRPr="00A35DA0">
        <w:rPr>
          <w:rFonts w:ascii="Times New Roman" w:hAnsi="Times New Roman" w:cs="Times New Roman"/>
          <w:color w:val="000000" w:themeColor="text1"/>
        </w:rPr>
        <w:t>1</w:t>
      </w:r>
      <w:r w:rsidR="00985AB3" w:rsidRPr="00A35DA0">
        <w:rPr>
          <w:rFonts w:ascii="Times New Roman" w:hAnsi="Times New Roman" w:cs="Times New Roman"/>
          <w:color w:val="000000" w:themeColor="text1"/>
        </w:rPr>
        <w:t xml:space="preserve">, </w:t>
      </w:r>
      <w:r w:rsidR="00601474" w:rsidRPr="00A35DA0">
        <w:rPr>
          <w:rFonts w:ascii="Times New Roman" w:hAnsi="Times New Roman" w:cs="Times New Roman"/>
          <w:color w:val="000000" w:themeColor="text1"/>
        </w:rPr>
        <w:t>87,1%</w:t>
      </w:r>
      <w:r w:rsidR="00F073F5">
        <w:rPr>
          <w:rFonts w:ascii="Times New Roman" w:hAnsi="Times New Roman" w:cs="Times New Roman"/>
          <w:color w:val="000000" w:themeColor="text1"/>
        </w:rPr>
        <w:t xml:space="preserve"> </w:t>
      </w:r>
      <w:r w:rsidR="00742AC3" w:rsidRPr="00A35DA0">
        <w:rPr>
          <w:rFonts w:ascii="Times New Roman" w:hAnsi="Times New Roman" w:cs="Times New Roman"/>
          <w:color w:val="000000" w:themeColor="text1"/>
        </w:rPr>
        <w:t>des ménages</w:t>
      </w:r>
      <w:r w:rsidR="00FD4512">
        <w:rPr>
          <w:rFonts w:ascii="Times New Roman" w:hAnsi="Times New Roman" w:cs="Times New Roman"/>
          <w:color w:val="000000" w:themeColor="text1"/>
        </w:rPr>
        <w:t xml:space="preserve"> </w:t>
      </w:r>
      <w:r w:rsidR="005F72D8" w:rsidRPr="00A35DA0">
        <w:rPr>
          <w:rFonts w:ascii="Times New Roman" w:hAnsi="Times New Roman" w:cs="Times New Roman"/>
          <w:color w:val="000000" w:themeColor="text1"/>
        </w:rPr>
        <w:t>déclarent</w:t>
      </w:r>
      <w:r w:rsidR="00FD4512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A35DA0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FD4512">
        <w:rPr>
          <w:rFonts w:ascii="Times New Roman" w:hAnsi="Times New Roman" w:cs="Times New Roman"/>
          <w:color w:val="000000" w:themeColor="text1"/>
        </w:rPr>
        <w:t xml:space="preserve"> </w:t>
      </w:r>
      <w:r w:rsidR="00EA0137" w:rsidRPr="00A35DA0">
        <w:rPr>
          <w:rFonts w:ascii="Times New Roman" w:hAnsi="Times New Roman" w:cs="Times New Roman"/>
          <w:color w:val="000000" w:themeColor="text1"/>
        </w:rPr>
        <w:t xml:space="preserve">au cours des </w:t>
      </w:r>
      <w:r w:rsidR="00E009EE" w:rsidRPr="00A35DA0">
        <w:rPr>
          <w:rFonts w:ascii="Times New Roman" w:hAnsi="Times New Roman" w:cs="Times New Roman"/>
          <w:color w:val="000000" w:themeColor="text1"/>
        </w:rPr>
        <w:t>12 derniers mois</w:t>
      </w:r>
      <w:r w:rsidR="00FD4512">
        <w:rPr>
          <w:rFonts w:ascii="Times New Roman" w:hAnsi="Times New Roman" w:cs="Times New Roman"/>
          <w:color w:val="000000" w:themeColor="text1"/>
        </w:rPr>
        <w:t xml:space="preserve"> </w:t>
      </w:r>
      <w:r w:rsidR="00727BBA" w:rsidRPr="00A35DA0">
        <w:rPr>
          <w:rFonts w:ascii="Times New Roman" w:hAnsi="Times New Roman" w:cs="Times New Roman"/>
          <w:color w:val="000000" w:themeColor="text1"/>
        </w:rPr>
        <w:t>contre une proportion minime des ménages (</w:t>
      </w:r>
      <w:r w:rsidR="00601474" w:rsidRPr="00A35DA0">
        <w:rPr>
          <w:rFonts w:ascii="Times New Roman" w:hAnsi="Times New Roman" w:cs="Times New Roman"/>
          <w:color w:val="000000" w:themeColor="text1"/>
        </w:rPr>
        <w:t>0,3%)</w:t>
      </w:r>
      <w:r w:rsidR="00FD4512">
        <w:rPr>
          <w:rFonts w:ascii="Times New Roman" w:hAnsi="Times New Roman" w:cs="Times New Roman"/>
          <w:color w:val="000000" w:themeColor="text1"/>
        </w:rPr>
        <w:t xml:space="preserve"> </w:t>
      </w:r>
      <w:r w:rsidR="00727BBA" w:rsidRPr="00A35DA0">
        <w:rPr>
          <w:rFonts w:ascii="Times New Roman" w:hAnsi="Times New Roman" w:cs="Times New Roman"/>
          <w:color w:val="000000" w:themeColor="text1"/>
        </w:rPr>
        <w:t>qui</w:t>
      </w:r>
      <w:r w:rsidR="00FD4512">
        <w:rPr>
          <w:rFonts w:ascii="Times New Roman" w:hAnsi="Times New Roman" w:cs="Times New Roman"/>
          <w:color w:val="000000" w:themeColor="text1"/>
        </w:rPr>
        <w:t xml:space="preserve"> </w:t>
      </w:r>
      <w:r w:rsidR="005F72D8" w:rsidRPr="00A35DA0">
        <w:rPr>
          <w:rFonts w:ascii="Times New Roman" w:hAnsi="Times New Roman" w:cs="Times New Roman"/>
          <w:color w:val="000000" w:themeColor="text1"/>
        </w:rPr>
        <w:t>ressentent leur</w:t>
      </w:r>
      <w:r w:rsidR="00932455" w:rsidRPr="00A35DA0">
        <w:rPr>
          <w:rFonts w:ascii="Times New Roman" w:hAnsi="Times New Roman" w:cs="Times New Roman"/>
          <w:color w:val="000000" w:themeColor="text1"/>
        </w:rPr>
        <w:t xml:space="preserve"> diminution</w:t>
      </w:r>
      <w:r w:rsidR="00D77F27" w:rsidRPr="00A35DA0">
        <w:rPr>
          <w:rFonts w:ascii="Times New Roman" w:hAnsi="Times New Roman" w:cs="Times New Roman"/>
          <w:color w:val="000000" w:themeColor="text1"/>
        </w:rPr>
        <w:t xml:space="preserve">. </w:t>
      </w:r>
      <w:r w:rsidR="00EA79FB" w:rsidRPr="00A35DA0">
        <w:rPr>
          <w:rFonts w:ascii="Times New Roman" w:hAnsi="Times New Roman" w:cs="Times New Roman"/>
          <w:color w:val="000000" w:themeColor="text1"/>
        </w:rPr>
        <w:t>Le solde d’opinion</w:t>
      </w:r>
      <w:r w:rsidR="00FD4512">
        <w:rPr>
          <w:rFonts w:ascii="Times New Roman" w:hAnsi="Times New Roman" w:cs="Times New Roman"/>
          <w:color w:val="000000" w:themeColor="text1"/>
        </w:rPr>
        <w:t xml:space="preserve"> </w:t>
      </w:r>
      <w:r w:rsidR="009C1A52" w:rsidRPr="00A35DA0">
        <w:rPr>
          <w:rFonts w:ascii="Times New Roman" w:hAnsi="Times New Roman" w:cs="Times New Roman"/>
          <w:color w:val="000000" w:themeColor="text1"/>
        </w:rPr>
        <w:t xml:space="preserve">de cet indicateur continue sa tendance baissière avec </w:t>
      </w:r>
      <w:r w:rsidR="00EA79FB" w:rsidRPr="00A35DA0">
        <w:rPr>
          <w:rFonts w:ascii="Times New Roman" w:hAnsi="Times New Roman" w:cs="Times New Roman"/>
          <w:color w:val="000000" w:themeColor="text1"/>
        </w:rPr>
        <w:t xml:space="preserve">moins </w:t>
      </w:r>
      <w:r w:rsidR="00601474" w:rsidRPr="00A35DA0">
        <w:rPr>
          <w:rFonts w:ascii="Times New Roman" w:hAnsi="Times New Roman" w:cs="Times New Roman"/>
          <w:color w:val="000000" w:themeColor="text1"/>
        </w:rPr>
        <w:t>86</w:t>
      </w:r>
      <w:r w:rsidR="00C96AEA" w:rsidRPr="00A35DA0">
        <w:rPr>
          <w:rFonts w:ascii="Times New Roman" w:hAnsi="Times New Roman" w:cs="Times New Roman"/>
          <w:color w:val="000000" w:themeColor="text1"/>
        </w:rPr>
        <w:t>,</w:t>
      </w:r>
      <w:r w:rsidR="00601474" w:rsidRPr="00A35DA0">
        <w:rPr>
          <w:rFonts w:ascii="Times New Roman" w:hAnsi="Times New Roman" w:cs="Times New Roman"/>
          <w:color w:val="000000" w:themeColor="text1"/>
        </w:rPr>
        <w:t>8</w:t>
      </w:r>
      <w:r w:rsidR="00EA79FB" w:rsidRPr="00A35DA0">
        <w:rPr>
          <w:rFonts w:ascii="Times New Roman" w:hAnsi="Times New Roman" w:cs="Times New Roman"/>
          <w:color w:val="000000" w:themeColor="text1"/>
        </w:rPr>
        <w:t xml:space="preserve"> points, après avoir été </w:t>
      </w:r>
      <w:r w:rsidR="00B633E3" w:rsidRPr="00A35DA0">
        <w:rPr>
          <w:rFonts w:ascii="Times New Roman" w:hAnsi="Times New Roman" w:cs="Times New Roman"/>
          <w:color w:val="000000" w:themeColor="text1"/>
        </w:rPr>
        <w:t>de</w:t>
      </w:r>
      <w:r w:rsidR="00EA79FB" w:rsidRPr="00A35DA0">
        <w:rPr>
          <w:rFonts w:ascii="Times New Roman" w:hAnsi="Times New Roman" w:cs="Times New Roman"/>
          <w:color w:val="000000" w:themeColor="text1"/>
        </w:rPr>
        <w:t xml:space="preserve"> moins </w:t>
      </w:r>
      <w:r w:rsidR="001052EC" w:rsidRPr="00A35DA0">
        <w:rPr>
          <w:rFonts w:ascii="Times New Roman" w:hAnsi="Times New Roman" w:cs="Times New Roman"/>
          <w:color w:val="000000" w:themeColor="text1"/>
        </w:rPr>
        <w:t>74</w:t>
      </w:r>
      <w:r w:rsidR="00727BBA" w:rsidRPr="00A35DA0">
        <w:rPr>
          <w:rFonts w:ascii="Times New Roman" w:hAnsi="Times New Roman" w:cs="Times New Roman"/>
          <w:color w:val="000000" w:themeColor="text1"/>
        </w:rPr>
        <w:t>,</w:t>
      </w:r>
      <w:r w:rsidR="00601474" w:rsidRPr="00A35DA0">
        <w:rPr>
          <w:rFonts w:ascii="Times New Roman" w:hAnsi="Times New Roman" w:cs="Times New Roman"/>
          <w:color w:val="000000" w:themeColor="text1"/>
        </w:rPr>
        <w:t>0</w:t>
      </w:r>
      <w:r w:rsidR="00F073F5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A35DA0">
        <w:rPr>
          <w:rFonts w:ascii="Times New Roman" w:hAnsi="Times New Roman" w:cs="Times New Roman"/>
          <w:color w:val="000000" w:themeColor="text1"/>
        </w:rPr>
        <w:t xml:space="preserve">points le trimestre précédent et </w:t>
      </w:r>
      <w:r w:rsidR="00B633E3" w:rsidRPr="00A35DA0">
        <w:rPr>
          <w:rFonts w:ascii="Times New Roman" w:hAnsi="Times New Roman" w:cs="Times New Roman"/>
          <w:color w:val="000000" w:themeColor="text1"/>
        </w:rPr>
        <w:t>de</w:t>
      </w:r>
      <w:r w:rsidR="00146EDA" w:rsidRPr="00A35DA0">
        <w:rPr>
          <w:rFonts w:ascii="Times New Roman" w:hAnsi="Times New Roman" w:cs="Times New Roman"/>
          <w:color w:val="000000" w:themeColor="text1"/>
        </w:rPr>
        <w:t xml:space="preserve"> moins </w:t>
      </w:r>
      <w:r w:rsidR="007D1D08" w:rsidRPr="00A35DA0">
        <w:rPr>
          <w:rFonts w:ascii="Times New Roman" w:hAnsi="Times New Roman" w:cs="Times New Roman"/>
          <w:color w:val="000000" w:themeColor="text1"/>
        </w:rPr>
        <w:t>67</w:t>
      </w:r>
      <w:r w:rsidR="00C96AEA" w:rsidRPr="00A35DA0">
        <w:rPr>
          <w:rFonts w:ascii="Times New Roman" w:hAnsi="Times New Roman" w:cs="Times New Roman"/>
          <w:color w:val="000000" w:themeColor="text1"/>
        </w:rPr>
        <w:t>,</w:t>
      </w:r>
      <w:r w:rsidR="007D1D08" w:rsidRPr="00A35DA0">
        <w:rPr>
          <w:rFonts w:ascii="Times New Roman" w:hAnsi="Times New Roman" w:cs="Times New Roman"/>
          <w:color w:val="000000" w:themeColor="text1"/>
        </w:rPr>
        <w:t>6</w:t>
      </w:r>
      <w:r w:rsidR="006F7CFB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A35DA0">
        <w:rPr>
          <w:rFonts w:ascii="Times New Roman" w:hAnsi="Times New Roman" w:cs="Times New Roman"/>
          <w:color w:val="000000" w:themeColor="text1"/>
        </w:rPr>
        <w:t>points une année auparavant.</w:t>
      </w:r>
    </w:p>
    <w:p w:rsidR="00DF62C2" w:rsidRPr="00A35DA0" w:rsidRDefault="004153FC" w:rsidP="00E022C5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A35DA0"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B633E3" w:rsidRPr="00A35DA0">
        <w:rPr>
          <w:rFonts w:ascii="Times New Roman" w:hAnsi="Times New Roman" w:cs="Times New Roman"/>
          <w:color w:val="000000" w:themeColor="text1"/>
        </w:rPr>
        <w:t>l</w:t>
      </w:r>
      <w:r w:rsidRPr="00A35DA0">
        <w:rPr>
          <w:rFonts w:ascii="Times New Roman" w:hAnsi="Times New Roman" w:cs="Times New Roman"/>
          <w:color w:val="000000" w:themeColor="text1"/>
        </w:rPr>
        <w:t xml:space="preserve">es prix </w:t>
      </w:r>
      <w:r w:rsidR="00B633E3" w:rsidRPr="00A35DA0">
        <w:rPr>
          <w:rFonts w:ascii="Times New Roman" w:hAnsi="Times New Roman" w:cs="Times New Roman"/>
          <w:color w:val="000000" w:themeColor="text1"/>
        </w:rPr>
        <w:t xml:space="preserve">des produits alimentaires </w:t>
      </w:r>
      <w:r w:rsidRPr="00A35DA0">
        <w:rPr>
          <w:rFonts w:ascii="Times New Roman" w:hAnsi="Times New Roman" w:cs="Times New Roman"/>
          <w:color w:val="000000" w:themeColor="text1"/>
        </w:rPr>
        <w:t xml:space="preserve">devraient continuer à augmenter selon </w:t>
      </w:r>
      <w:r w:rsidR="00A33CC7" w:rsidRPr="00A35DA0">
        <w:rPr>
          <w:rFonts w:ascii="Times New Roman" w:hAnsi="Times New Roman" w:cs="Times New Roman"/>
          <w:color w:val="000000" w:themeColor="text1"/>
        </w:rPr>
        <w:t>70,6%</w:t>
      </w:r>
      <w:r w:rsidR="00C221C2">
        <w:rPr>
          <w:rFonts w:ascii="Times New Roman" w:hAnsi="Times New Roman" w:cs="Times New Roman"/>
          <w:color w:val="000000" w:themeColor="text1"/>
        </w:rPr>
        <w:t xml:space="preserve"> </w:t>
      </w:r>
      <w:r w:rsidR="002A7E5D" w:rsidRPr="00A35DA0">
        <w:rPr>
          <w:rFonts w:ascii="Times New Roman" w:hAnsi="Times New Roman" w:cs="Times New Roman"/>
          <w:color w:val="000000" w:themeColor="text1"/>
        </w:rPr>
        <w:t>des ménages</w:t>
      </w:r>
      <w:r w:rsidR="00C221C2">
        <w:rPr>
          <w:rFonts w:ascii="Times New Roman" w:hAnsi="Times New Roman" w:cs="Times New Roman"/>
          <w:color w:val="000000" w:themeColor="text1"/>
        </w:rPr>
        <w:t xml:space="preserve"> </w:t>
      </w:r>
      <w:r w:rsidR="000A6135" w:rsidRPr="00A35DA0">
        <w:rPr>
          <w:rFonts w:ascii="Times New Roman" w:hAnsi="Times New Roman" w:cs="Times New Roman"/>
          <w:color w:val="000000" w:themeColor="text1"/>
          <w:lang w:bidi="ar-DZ"/>
        </w:rPr>
        <w:t>contre</w:t>
      </w:r>
      <w:r w:rsidR="00C221C2">
        <w:rPr>
          <w:rFonts w:ascii="Times New Roman" w:hAnsi="Times New Roman" w:cs="Times New Roman"/>
          <w:color w:val="000000" w:themeColor="text1"/>
          <w:lang w:bidi="ar-DZ"/>
        </w:rPr>
        <w:t xml:space="preserve"> </w:t>
      </w:r>
      <w:r w:rsidR="00A33CC7" w:rsidRPr="00A35DA0">
        <w:rPr>
          <w:rFonts w:ascii="Times New Roman" w:hAnsi="Times New Roman" w:cs="Times New Roman"/>
          <w:color w:val="000000" w:themeColor="text1"/>
        </w:rPr>
        <w:t>2,9%</w:t>
      </w:r>
      <w:r w:rsidR="00F073F5">
        <w:rPr>
          <w:rFonts w:ascii="Times New Roman" w:hAnsi="Times New Roman" w:cs="Times New Roman"/>
          <w:color w:val="000000" w:themeColor="text1"/>
        </w:rPr>
        <w:t xml:space="preserve"> </w:t>
      </w:r>
      <w:r w:rsidR="000A6135" w:rsidRPr="00A35DA0">
        <w:rPr>
          <w:rFonts w:ascii="Times New Roman" w:hAnsi="Times New Roman" w:cs="Times New Roman"/>
          <w:color w:val="000000" w:themeColor="text1"/>
        </w:rPr>
        <w:t xml:space="preserve">seulement qui </w:t>
      </w:r>
      <w:r w:rsidR="006E2B29" w:rsidRPr="00A35DA0">
        <w:rPr>
          <w:rFonts w:ascii="Times New Roman" w:hAnsi="Times New Roman" w:cs="Times New Roman"/>
          <w:color w:val="000000" w:themeColor="text1"/>
        </w:rPr>
        <w:t xml:space="preserve">s’attendent à leur baisse. </w:t>
      </w:r>
      <w:r w:rsidR="00540BE7" w:rsidRPr="00A35DA0">
        <w:rPr>
          <w:rFonts w:ascii="Times New Roman" w:hAnsi="Times New Roman" w:cs="Times New Roman"/>
          <w:color w:val="000000" w:themeColor="text1"/>
        </w:rPr>
        <w:t>L</w:t>
      </w:r>
      <w:r w:rsidR="00376AC0" w:rsidRPr="00A35DA0">
        <w:rPr>
          <w:rFonts w:ascii="Times New Roman" w:hAnsi="Times New Roman" w:cs="Times New Roman"/>
          <w:color w:val="000000" w:themeColor="text1"/>
        </w:rPr>
        <w:t xml:space="preserve">e </w:t>
      </w:r>
      <w:r w:rsidR="00EA0137" w:rsidRPr="00A35DA0">
        <w:rPr>
          <w:rFonts w:ascii="Times New Roman" w:hAnsi="Times New Roman" w:cs="Times New Roman"/>
          <w:color w:val="000000" w:themeColor="text1"/>
        </w:rPr>
        <w:t>solde d’opinion</w:t>
      </w:r>
      <w:r w:rsidR="00FD4512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A35DA0">
        <w:rPr>
          <w:rFonts w:ascii="Times New Roman" w:hAnsi="Times New Roman" w:cs="Times New Roman"/>
          <w:color w:val="000000" w:themeColor="text1"/>
        </w:rPr>
        <w:t xml:space="preserve">est </w:t>
      </w:r>
      <w:r w:rsidR="00807B58" w:rsidRPr="00A35DA0">
        <w:rPr>
          <w:rFonts w:ascii="Times New Roman" w:hAnsi="Times New Roman" w:cs="Times New Roman"/>
          <w:color w:val="000000" w:themeColor="text1"/>
        </w:rPr>
        <w:t xml:space="preserve">ainsi </w:t>
      </w:r>
      <w:r w:rsidR="002A1529" w:rsidRPr="00A35DA0">
        <w:rPr>
          <w:rFonts w:ascii="Times New Roman" w:hAnsi="Times New Roman" w:cs="Times New Roman"/>
          <w:color w:val="000000" w:themeColor="text1"/>
        </w:rPr>
        <w:t>resté</w:t>
      </w:r>
      <w:r w:rsidR="00FD4512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A35DA0">
        <w:rPr>
          <w:rFonts w:ascii="Times New Roman" w:hAnsi="Times New Roman" w:cs="Times New Roman"/>
          <w:color w:val="000000" w:themeColor="text1"/>
        </w:rPr>
        <w:t xml:space="preserve">négatif, </w:t>
      </w:r>
      <w:r w:rsidR="00580F2D" w:rsidRPr="00A35DA0">
        <w:rPr>
          <w:rFonts w:ascii="Times New Roman" w:hAnsi="Times New Roman" w:cs="Times New Roman"/>
          <w:color w:val="000000" w:themeColor="text1"/>
        </w:rPr>
        <w:t xml:space="preserve">se situant </w:t>
      </w:r>
      <w:r w:rsidR="002A1529" w:rsidRPr="00A35DA0">
        <w:rPr>
          <w:rFonts w:ascii="Times New Roman" w:hAnsi="Times New Roman" w:cs="Times New Roman"/>
          <w:color w:val="000000" w:themeColor="text1"/>
        </w:rPr>
        <w:t>à</w:t>
      </w:r>
      <w:r w:rsidR="00EA79FB" w:rsidRPr="00A35DA0">
        <w:rPr>
          <w:rFonts w:ascii="Times New Roman" w:hAnsi="Times New Roman" w:cs="Times New Roman"/>
          <w:color w:val="000000" w:themeColor="text1"/>
        </w:rPr>
        <w:t xml:space="preserve"> moins </w:t>
      </w:r>
      <w:r w:rsidR="00EC1BE7" w:rsidRPr="00A35DA0">
        <w:rPr>
          <w:rFonts w:ascii="Times New Roman" w:hAnsi="Times New Roman" w:cs="Times New Roman"/>
          <w:color w:val="000000" w:themeColor="text1"/>
        </w:rPr>
        <w:t>6</w:t>
      </w:r>
      <w:r w:rsidR="004E08BE" w:rsidRPr="00A35DA0">
        <w:rPr>
          <w:rFonts w:ascii="Times New Roman" w:hAnsi="Times New Roman" w:cs="Times New Roman"/>
          <w:color w:val="000000" w:themeColor="text1"/>
        </w:rPr>
        <w:t>7</w:t>
      </w:r>
      <w:r w:rsidR="008A1F00" w:rsidRPr="00A35DA0">
        <w:rPr>
          <w:rFonts w:ascii="Times New Roman" w:hAnsi="Times New Roman" w:cs="Times New Roman"/>
          <w:color w:val="000000" w:themeColor="text1"/>
        </w:rPr>
        <w:t>,</w:t>
      </w:r>
      <w:r w:rsidR="004E08BE" w:rsidRPr="00A35DA0">
        <w:rPr>
          <w:rFonts w:ascii="Times New Roman" w:hAnsi="Times New Roman" w:cs="Times New Roman"/>
          <w:color w:val="000000" w:themeColor="text1"/>
        </w:rPr>
        <w:t>6</w:t>
      </w:r>
      <w:r w:rsidR="00511BC9" w:rsidRPr="00A35DA0">
        <w:rPr>
          <w:rFonts w:ascii="Times New Roman" w:hAnsi="Times New Roman" w:cs="Times New Roman"/>
          <w:color w:val="000000" w:themeColor="text1"/>
        </w:rPr>
        <w:t xml:space="preserve"> points</w:t>
      </w:r>
      <w:r w:rsidR="00F933F4" w:rsidRPr="00A35DA0">
        <w:rPr>
          <w:rFonts w:ascii="Times New Roman" w:hAnsi="Times New Roman" w:cs="Times New Roman"/>
          <w:color w:val="000000" w:themeColor="text1"/>
        </w:rPr>
        <w:t xml:space="preserve">, </w:t>
      </w:r>
      <w:r w:rsidR="00E1790A" w:rsidRPr="00A35DA0">
        <w:rPr>
          <w:rFonts w:ascii="Times New Roman" w:hAnsi="Times New Roman" w:cs="Times New Roman"/>
          <w:color w:val="000000" w:themeColor="text1"/>
        </w:rPr>
        <w:t>au lieu de</w:t>
      </w:r>
      <w:r w:rsidR="00540BE7" w:rsidRPr="00A35DA0">
        <w:rPr>
          <w:rFonts w:ascii="Times New Roman" w:hAnsi="Times New Roman" w:cs="Times New Roman"/>
          <w:color w:val="000000" w:themeColor="text1"/>
        </w:rPr>
        <w:t xml:space="preserve"> moins </w:t>
      </w:r>
      <w:r w:rsidR="00EC1BE7" w:rsidRPr="00A35DA0">
        <w:rPr>
          <w:rFonts w:ascii="Times New Roman" w:hAnsi="Times New Roman" w:cs="Times New Roman"/>
          <w:color w:val="000000" w:themeColor="text1"/>
        </w:rPr>
        <w:t>6</w:t>
      </w:r>
      <w:r w:rsidR="00E022C5" w:rsidRPr="00A35DA0">
        <w:rPr>
          <w:rFonts w:ascii="Times New Roman" w:hAnsi="Times New Roman" w:cs="Times New Roman"/>
          <w:color w:val="000000" w:themeColor="text1"/>
        </w:rPr>
        <w:t>0</w:t>
      </w:r>
      <w:r w:rsidR="008A1F00" w:rsidRPr="00A35DA0">
        <w:rPr>
          <w:rFonts w:ascii="Times New Roman" w:hAnsi="Times New Roman" w:cs="Times New Roman"/>
          <w:color w:val="000000" w:themeColor="text1"/>
        </w:rPr>
        <w:t>,</w:t>
      </w:r>
      <w:r w:rsidR="00E022C5" w:rsidRPr="00A35DA0">
        <w:rPr>
          <w:rFonts w:ascii="Times New Roman" w:hAnsi="Times New Roman" w:cs="Times New Roman"/>
          <w:color w:val="000000" w:themeColor="text1"/>
        </w:rPr>
        <w:t>2</w:t>
      </w:r>
      <w:r w:rsidR="00501CE3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A35DA0">
        <w:rPr>
          <w:rFonts w:ascii="Times New Roman" w:hAnsi="Times New Roman" w:cs="Times New Roman"/>
          <w:color w:val="000000" w:themeColor="text1"/>
        </w:rPr>
        <w:t>points enregistré</w:t>
      </w:r>
      <w:r w:rsidRPr="00A35DA0">
        <w:rPr>
          <w:rFonts w:ascii="Times New Roman" w:hAnsi="Times New Roman" w:cs="Times New Roman"/>
          <w:color w:val="000000" w:themeColor="text1"/>
        </w:rPr>
        <w:t>s</w:t>
      </w:r>
      <w:r w:rsidR="00FD4512">
        <w:rPr>
          <w:rFonts w:ascii="Times New Roman" w:hAnsi="Times New Roman" w:cs="Times New Roman"/>
          <w:color w:val="000000" w:themeColor="text1"/>
        </w:rPr>
        <w:t xml:space="preserve"> </w:t>
      </w:r>
      <w:r w:rsidR="00E1790A" w:rsidRPr="00A35DA0">
        <w:rPr>
          <w:rFonts w:ascii="Times New Roman" w:hAnsi="Times New Roman" w:cs="Times New Roman"/>
          <w:color w:val="000000" w:themeColor="text1"/>
        </w:rPr>
        <w:t>un trimestre</w:t>
      </w:r>
      <w:r w:rsidR="00FD4512">
        <w:rPr>
          <w:rFonts w:ascii="Times New Roman" w:hAnsi="Times New Roman" w:cs="Times New Roman"/>
          <w:color w:val="000000" w:themeColor="text1"/>
        </w:rPr>
        <w:t xml:space="preserve"> </w:t>
      </w:r>
      <w:r w:rsidR="00FA52FF" w:rsidRPr="00A35DA0">
        <w:rPr>
          <w:rFonts w:ascii="Times New Roman" w:hAnsi="Times New Roman" w:cs="Times New Roman"/>
          <w:color w:val="000000" w:themeColor="text1"/>
        </w:rPr>
        <w:t>auparavant</w:t>
      </w:r>
      <w:r w:rsidR="00CB5DC1" w:rsidRPr="00A35DA0">
        <w:rPr>
          <w:rFonts w:ascii="Times New Roman" w:hAnsi="Times New Roman" w:cs="Times New Roman"/>
          <w:color w:val="000000" w:themeColor="text1"/>
        </w:rPr>
        <w:t xml:space="preserve"> et moins </w:t>
      </w:r>
      <w:r w:rsidR="00601474" w:rsidRPr="00A35DA0">
        <w:rPr>
          <w:rFonts w:ascii="Times New Roman" w:hAnsi="Times New Roman" w:cs="Times New Roman"/>
          <w:color w:val="000000" w:themeColor="text1"/>
        </w:rPr>
        <w:t>6</w:t>
      </w:r>
      <w:r w:rsidR="00E022C5" w:rsidRPr="00A35DA0">
        <w:rPr>
          <w:rFonts w:ascii="Times New Roman" w:hAnsi="Times New Roman" w:cs="Times New Roman"/>
          <w:color w:val="000000" w:themeColor="text1"/>
        </w:rPr>
        <w:t>9</w:t>
      </w:r>
      <w:r w:rsidR="008A1F00" w:rsidRPr="00A35DA0">
        <w:rPr>
          <w:rFonts w:ascii="Times New Roman" w:hAnsi="Times New Roman" w:cs="Times New Roman"/>
          <w:color w:val="000000" w:themeColor="text1"/>
        </w:rPr>
        <w:t>,</w:t>
      </w:r>
      <w:r w:rsidR="00E022C5" w:rsidRPr="00A35DA0">
        <w:rPr>
          <w:rFonts w:ascii="Times New Roman" w:hAnsi="Times New Roman" w:cs="Times New Roman"/>
          <w:color w:val="000000" w:themeColor="text1"/>
        </w:rPr>
        <w:t>0</w:t>
      </w:r>
      <w:r w:rsidR="00CB5DC1" w:rsidRPr="00A35DA0">
        <w:rPr>
          <w:rFonts w:ascii="Times New Roman" w:hAnsi="Times New Roman" w:cs="Times New Roman"/>
          <w:color w:val="000000" w:themeColor="text1"/>
        </w:rPr>
        <w:t xml:space="preserve"> points une année passée</w:t>
      </w:r>
      <w:r w:rsidR="00540BE7" w:rsidRPr="00A35DA0">
        <w:rPr>
          <w:rFonts w:ascii="Times New Roman" w:hAnsi="Times New Roman" w:cs="Times New Roman"/>
          <w:color w:val="000000" w:themeColor="text1"/>
        </w:rPr>
        <w:t>.</w:t>
      </w:r>
    </w:p>
    <w:p w:rsidR="00527651" w:rsidRDefault="002830E2" w:rsidP="002830E2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35DA0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Graphique 6 :</w:t>
      </w:r>
      <w:r w:rsidR="00FD4512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r w:rsidRPr="00A35DA0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Perception par les ménages</w:t>
      </w:r>
      <w:r w:rsidRPr="00912930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des évolutions passée</w:t>
      </w:r>
      <w:r w:rsidR="00F073F5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s</w:t>
      </w:r>
      <w:r w:rsidRPr="00912930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et future</w:t>
      </w:r>
      <w:r w:rsidR="00F073F5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s</w:t>
      </w:r>
      <w:r w:rsidRPr="00912930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des prix des produits </w:t>
      </w:r>
      <w:r w:rsidR="000A496F" w:rsidRPr="00912930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alimentaires (</w:t>
      </w:r>
      <w:r w:rsidRPr="00912930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soldes d'opinions) </w:t>
      </w:r>
    </w:p>
    <w:p w:rsidR="00394384" w:rsidRDefault="00A840B1" w:rsidP="00374E6D">
      <w:pPr>
        <w:widowControl/>
        <w:autoSpaceDE/>
        <w:autoSpaceDN/>
        <w:adjustRightInd/>
        <w:spacing w:before="100" w:after="24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>
            <wp:extent cx="5971429" cy="3061252"/>
            <wp:effectExtent l="19050" t="0" r="10271" b="5798"/>
            <wp:docPr id="13" name="Graphique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830E2" w:rsidRPr="00BA7EA7" w:rsidRDefault="002830E2" w:rsidP="002830E2">
      <w:pPr>
        <w:widowControl/>
        <w:tabs>
          <w:tab w:val="left" w:pos="709"/>
        </w:tabs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Source : HCP, Enquête permanente de conjoncture auprès des ménages</w:t>
      </w:r>
    </w:p>
    <w:p w:rsidR="002830E2" w:rsidRPr="00A374B1" w:rsidRDefault="002830E2" w:rsidP="00374E6D">
      <w:pPr>
        <w:widowControl/>
        <w:autoSpaceDE/>
        <w:autoSpaceDN/>
        <w:adjustRightInd/>
        <w:spacing w:before="100" w:after="240" w:line="276" w:lineRule="auto"/>
        <w:jc w:val="center"/>
        <w:rPr>
          <w:rFonts w:ascii="Times New Roman" w:hAnsi="Times New Roman" w:cs="Times New Roman"/>
          <w:b/>
          <w:bCs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80338" w:rsidRDefault="00F8033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0725" w:rsidRPr="00C706A5" w:rsidRDefault="00C7231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lastRenderedPageBreak/>
        <w:t>Ci-</w:t>
      </w:r>
      <w:r w:rsidR="007F7B60" w:rsidRPr="00C706A5">
        <w:rPr>
          <w:rFonts w:ascii="Times New Roman" w:hAnsi="Times New Roman" w:cs="Times New Roman"/>
          <w:color w:val="000000" w:themeColor="text1"/>
        </w:rPr>
        <w:t>joint les</w:t>
      </w:r>
      <w:r w:rsidRPr="00C706A5">
        <w:rPr>
          <w:rFonts w:ascii="Times New Roman" w:hAnsi="Times New Roman" w:cs="Times New Roman"/>
          <w:color w:val="000000" w:themeColor="text1"/>
        </w:rPr>
        <w:t xml:space="preserve"> détails des différents indicateurs et un rappel des principaux concepts.</w:t>
      </w:r>
    </w:p>
    <w:tbl>
      <w:tblPr>
        <w:tblpPr w:leftFromText="141" w:rightFromText="141" w:vertAnchor="text" w:horzAnchor="margin" w:tblpY="289"/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0"/>
      </w:tblGrid>
      <w:tr w:rsidR="003A0725" w:rsidRPr="00C706A5" w:rsidTr="00287AFB">
        <w:trPr>
          <w:trHeight w:val="8046"/>
        </w:trPr>
        <w:tc>
          <w:tcPr>
            <w:tcW w:w="9910" w:type="dxa"/>
          </w:tcPr>
          <w:p w:rsid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</w:p>
          <w:p w:rsidR="00C51B7C" w:rsidRDefault="00C51B7C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  <w:r w:rsidRPr="000013E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</w:t>
            </w:r>
            <w:r w:rsid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par ailleurs</w:t>
            </w:r>
            <w:r w:rsidR="007F7B60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7F7B60"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que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questions abordées sont qualitatives à 3 modalités (amélioratio</w:t>
            </w:r>
            <w:r w:rsidR="00D72CF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n, stagnation et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détérioration). </w:t>
            </w:r>
            <w:r w:rsidR="007F7B60"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se réfèrent à une période de 12 mois. Les résultats sont présentés sous </w:t>
            </w:r>
            <w:r w:rsidR="007F7B60"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forme de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soldes (différence entre les pourcentages des réponses « amélioration » </w:t>
            </w:r>
            <w:r w:rsidR="007F7B60"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et des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réponses «détérioration»). Le niveau des soldes n’est pas directement interprétable, c’est leur évolution qui est analysée. 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7F7B60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passée</w:t>
            </w:r>
            <w:r w:rsidR="003A0725"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opportunité d'achat de biens </w:t>
            </w:r>
            <w:r w:rsidR="007F7B60"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durables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7F7B60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passée</w:t>
            </w:r>
            <w:r w:rsidR="003A0725"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de la situation financière des ménages ;</w:t>
            </w:r>
          </w:p>
          <w:p w:rsidR="003A0725" w:rsidRPr="00C706A5" w:rsidRDefault="007F7B60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future</w:t>
            </w:r>
            <w:r w:rsidR="003A0725"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de la situation financière des ménages.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L’ICM est </w:t>
            </w:r>
            <w:r w:rsidR="007F7B60"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la moyenne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arithmétique simple </w:t>
            </w:r>
            <w:r w:rsidR="007F7B60"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des soldes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des 7 indicateurs, augmentée de 100, sa valeur varie ainsi de 0 à 200.</w:t>
            </w:r>
          </w:p>
          <w:p w:rsidR="003A0725" w:rsidRDefault="003A0725" w:rsidP="00B67B3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8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</w:p>
          <w:p w:rsidR="003A0725" w:rsidRPr="00C51B7C" w:rsidRDefault="003A0725" w:rsidP="00C51B7C">
            <w:pPr>
              <w:ind w:left="36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4" w:history="1">
              <w:r w:rsidRPr="00C51B7C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</w:p>
        </w:tc>
      </w:tr>
    </w:tbl>
    <w:p w:rsidR="001F5970" w:rsidRDefault="001F5970" w:rsidP="003A60E0"/>
    <w:p w:rsidR="001F5970" w:rsidRPr="00C706A5" w:rsidRDefault="001F5970" w:rsidP="00A71494">
      <w:pPr>
        <w:spacing w:line="360" w:lineRule="auto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FD508C" w:rsidRDefault="00F80338" w:rsidP="00F8033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Evolution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de l’I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ndice de 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onfiance des </w:t>
      </w:r>
      <w:r w:rsidR="000A496F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Ménages (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ICM) 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et de ses composantes</w:t>
      </w:r>
    </w:p>
    <w:p w:rsidR="00AC4978" w:rsidRDefault="00AC4978" w:rsidP="00F8033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W w:w="16161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69"/>
        <w:gridCol w:w="567"/>
        <w:gridCol w:w="567"/>
        <w:gridCol w:w="567"/>
        <w:gridCol w:w="567"/>
        <w:gridCol w:w="567"/>
        <w:gridCol w:w="556"/>
        <w:gridCol w:w="556"/>
        <w:gridCol w:w="564"/>
        <w:gridCol w:w="567"/>
        <w:gridCol w:w="567"/>
        <w:gridCol w:w="567"/>
        <w:gridCol w:w="567"/>
        <w:gridCol w:w="567"/>
        <w:gridCol w:w="567"/>
        <w:gridCol w:w="556"/>
        <w:gridCol w:w="556"/>
        <w:gridCol w:w="5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65100" w:rsidRPr="005C3832" w:rsidTr="00965100">
        <w:trPr>
          <w:trHeight w:val="15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2" w:name="OLE_LINK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T4/18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100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100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100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100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100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100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T2/21</w:t>
            </w:r>
          </w:p>
        </w:tc>
      </w:tr>
      <w:tr w:rsidR="00965100" w:rsidRPr="005C3832" w:rsidTr="00965100">
        <w:trPr>
          <w:trHeight w:val="364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Indice de Confiance des Ménages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2C1479" w:rsidRDefault="00965100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2C1479" w:rsidRDefault="00965100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2C1479" w:rsidRDefault="00965100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2C1479" w:rsidRDefault="00965100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2C1479" w:rsidRDefault="00965100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2C1479" w:rsidRDefault="00965100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2C1479" w:rsidRDefault="00965100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2C1479" w:rsidRDefault="00965100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2C1479" w:rsidRDefault="00965100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2C1479" w:rsidRDefault="00965100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2C1479" w:rsidRDefault="00965100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2C1479" w:rsidRDefault="00965100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85,9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2C1479" w:rsidRDefault="00965100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2C1479" w:rsidRDefault="00965100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2C1479" w:rsidRDefault="00965100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00" w:rsidRPr="002C1479" w:rsidRDefault="00965100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00" w:rsidRPr="002C1479" w:rsidRDefault="00965100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00" w:rsidRPr="002C1479" w:rsidRDefault="00965100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2C1479" w:rsidRDefault="00965100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2C1479" w:rsidRDefault="00965100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60 ,6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55396" w:rsidRDefault="00965100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53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55396" w:rsidRDefault="00965100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53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55396" w:rsidRDefault="00965100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51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63,0</w:t>
            </w:r>
          </w:p>
        </w:tc>
      </w:tr>
      <w:tr w:rsidR="00965100" w:rsidRPr="005C3832" w:rsidTr="00965100">
        <w:trPr>
          <w:trHeight w:val="514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492E8A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Perspective d'évolution du nombre de chômeur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-69,0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-70,6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-61,7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-65,2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-70,0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5C3832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-75,6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E4386C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-76,9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1D55A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-71,8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1D55A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-71,6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04574" w:rsidRDefault="00965100" w:rsidP="00965100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-70,8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-75,2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</w:p>
          <w:p w:rsidR="00965100" w:rsidRPr="0088183A" w:rsidRDefault="00965100" w:rsidP="00965100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8183A">
              <w:rPr>
                <w:rFonts w:ascii="Calibri" w:hAnsi="Calibri"/>
                <w:sz w:val="17"/>
                <w:szCs w:val="17"/>
              </w:rPr>
              <w:t>-82,0</w:t>
            </w:r>
          </w:p>
          <w:p w:rsidR="00965100" w:rsidRPr="0088183A" w:rsidRDefault="00965100" w:rsidP="00965100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-78,3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-62,2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65100">
              <w:rPr>
                <w:rFonts w:ascii="Calibri" w:hAnsi="Calibri" w:cs="Calibri"/>
                <w:color w:val="000000"/>
                <w:sz w:val="17"/>
                <w:szCs w:val="17"/>
              </w:rPr>
              <w:t>-69,8</w:t>
            </w:r>
          </w:p>
        </w:tc>
      </w:tr>
      <w:tr w:rsidR="00965100" w:rsidRPr="005C3832" w:rsidTr="00965100">
        <w:trPr>
          <w:trHeight w:val="387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492E8A" w:rsidP="00492E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passée</w:t>
            </w:r>
            <w:r w:rsidR="00965100"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du niveau de vie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-9,5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-13,3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5C3832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E4386C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-25,4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1D55A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1D55A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04574" w:rsidRDefault="00965100" w:rsidP="00965100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-19,8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-24,8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8183A">
              <w:rPr>
                <w:rFonts w:ascii="Calibri" w:hAnsi="Calibri"/>
                <w:color w:val="000000"/>
                <w:sz w:val="17"/>
                <w:szCs w:val="17"/>
              </w:rPr>
              <w:t>-35,6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-46,6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-50,5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65100">
              <w:rPr>
                <w:rFonts w:ascii="Calibri" w:hAnsi="Calibri" w:cs="Calibri"/>
                <w:color w:val="000000"/>
                <w:sz w:val="17"/>
                <w:szCs w:val="17"/>
              </w:rPr>
              <w:t>-50,8</w:t>
            </w:r>
          </w:p>
        </w:tc>
      </w:tr>
      <w:tr w:rsidR="00965100" w:rsidRPr="005C3832" w:rsidTr="00965100">
        <w:trPr>
          <w:trHeight w:val="514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492E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Perspective d'évolution du niveau de vie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15,0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11,9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9,0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5C3832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E4386C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1D55A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1D55A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04574" w:rsidRDefault="00965100" w:rsidP="00965100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13,2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65100">
              <w:rPr>
                <w:rFonts w:ascii="Calibri" w:hAnsi="Calibri" w:cs="Calibri"/>
                <w:color w:val="000000"/>
                <w:sz w:val="17"/>
                <w:szCs w:val="17"/>
              </w:rPr>
              <w:t>0,2</w:t>
            </w:r>
          </w:p>
        </w:tc>
      </w:tr>
      <w:tr w:rsidR="00965100" w:rsidRPr="005C3832" w:rsidTr="00965100">
        <w:trPr>
          <w:trHeight w:val="259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492E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Opportunité d'achat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-34,8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-30,2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-36,7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5C3832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-36,3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E4386C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-41,4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1D55A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-37,7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1D55A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04574" w:rsidRDefault="00965100" w:rsidP="00965100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-32,6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-68,0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-63,5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-61,2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-61,6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65100">
              <w:rPr>
                <w:rFonts w:ascii="Calibri" w:hAnsi="Calibri" w:cs="Calibri"/>
                <w:color w:val="000000"/>
                <w:sz w:val="17"/>
                <w:szCs w:val="17"/>
              </w:rPr>
              <w:t>-65,6</w:t>
            </w:r>
          </w:p>
        </w:tc>
      </w:tr>
      <w:tr w:rsidR="00965100" w:rsidRPr="005C3832" w:rsidTr="00965100">
        <w:trPr>
          <w:trHeight w:val="514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492E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Situation financière actuelle des ménages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-23,0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-24,1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-29,7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-28,4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5C3832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-28,9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E4386C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-30,8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1D55A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1D55A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04574" w:rsidRDefault="00965100" w:rsidP="00965100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-27,7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-31,5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-29,1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-34,4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65100">
              <w:rPr>
                <w:rFonts w:ascii="Calibri" w:hAnsi="Calibri" w:cs="Calibri"/>
                <w:color w:val="000000"/>
                <w:sz w:val="17"/>
                <w:szCs w:val="17"/>
              </w:rPr>
              <w:t>-38,0</w:t>
            </w:r>
          </w:p>
        </w:tc>
      </w:tr>
      <w:tr w:rsidR="00965100" w:rsidRPr="005C3832" w:rsidTr="00965100">
        <w:trPr>
          <w:trHeight w:val="644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492E8A" w:rsidP="00492E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passée</w:t>
            </w:r>
            <w:r w:rsidR="00965100"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de la situation financière des ménages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-18,2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-20,7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5C3832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E4386C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1D55A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1D55A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04574" w:rsidRDefault="00965100" w:rsidP="00965100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-39,9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-47,4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65100">
              <w:rPr>
                <w:rFonts w:ascii="Calibri" w:hAnsi="Calibri" w:cs="Calibri"/>
                <w:color w:val="000000"/>
                <w:sz w:val="17"/>
                <w:szCs w:val="17"/>
              </w:rPr>
              <w:t>-50,0</w:t>
            </w:r>
          </w:p>
        </w:tc>
      </w:tr>
      <w:tr w:rsidR="00965100" w:rsidRPr="005C3832" w:rsidTr="00965100">
        <w:trPr>
          <w:trHeight w:val="644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492E8A" w:rsidP="00492E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future</w:t>
            </w:r>
            <w:r w:rsidR="00965100"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de la situation financière des ménages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25,9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28,1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18,2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19,1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5C3832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20,7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E4386C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1D55A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12,8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BE5DA1" w:rsidRDefault="00965100" w:rsidP="00965100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BE5DA1">
              <w:rPr>
                <w:rFonts w:ascii="Calibri" w:hAnsi="Calibri"/>
                <w:bCs/>
                <w:color w:val="000000"/>
                <w:sz w:val="17"/>
                <w:szCs w:val="17"/>
              </w:rPr>
              <w:t>15,9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04574" w:rsidRDefault="00965100" w:rsidP="00965100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-11,9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65100">
              <w:rPr>
                <w:rFonts w:ascii="Calibri" w:hAnsi="Calibri" w:cs="Calibri"/>
                <w:color w:val="000000"/>
                <w:sz w:val="17"/>
                <w:szCs w:val="17"/>
              </w:rPr>
              <w:t>14,8</w:t>
            </w:r>
          </w:p>
        </w:tc>
      </w:tr>
      <w:tr w:rsidR="00965100" w:rsidRPr="005C3832" w:rsidTr="00965100">
        <w:trPr>
          <w:trHeight w:val="152"/>
        </w:trPr>
        <w:tc>
          <w:tcPr>
            <w:tcW w:w="144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492E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Autres soldes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965100" w:rsidRPr="005C3832" w:rsidRDefault="00965100" w:rsidP="009651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965100" w:rsidRPr="005C3832" w:rsidRDefault="00965100" w:rsidP="009651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965100" w:rsidRPr="005C3832" w:rsidRDefault="00965100" w:rsidP="009651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65100" w:rsidRPr="005C3832" w:rsidTr="00965100">
        <w:trPr>
          <w:trHeight w:val="644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492E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future des prix des produits alimentaires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-79,3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-82,9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-84,0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-82,1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-86,6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5C3832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-87,5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E4386C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-86,5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362325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color w:val="000000"/>
                <w:sz w:val="17"/>
                <w:szCs w:val="17"/>
              </w:rPr>
              <w:t>-83,3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5A6F1D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color w:val="000000"/>
                <w:sz w:val="17"/>
                <w:szCs w:val="17"/>
              </w:rPr>
              <w:t>-82,2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04574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color w:val="000000"/>
                <w:sz w:val="17"/>
                <w:szCs w:val="17"/>
              </w:rPr>
              <w:t>-82,6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-69,0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-68,1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-64,6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-60,2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65100">
              <w:rPr>
                <w:rFonts w:ascii="Calibri" w:hAnsi="Calibri" w:cs="Calibri"/>
                <w:color w:val="000000"/>
                <w:sz w:val="17"/>
                <w:szCs w:val="17"/>
              </w:rPr>
              <w:t>-67,6</w:t>
            </w:r>
          </w:p>
        </w:tc>
      </w:tr>
      <w:tr w:rsidR="00965100" w:rsidRPr="005C3832" w:rsidTr="00965100">
        <w:trPr>
          <w:trHeight w:val="644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492E8A" w:rsidP="00492E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passée</w:t>
            </w:r>
            <w:r w:rsidR="00965100"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des prix des produits alimentaires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-88,2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-88,1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5C3832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-90,3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5C3832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-88,1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E4386C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-88,9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362325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color w:val="000000"/>
                <w:sz w:val="17"/>
                <w:szCs w:val="17"/>
              </w:rPr>
              <w:t>-83,7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5A6F1D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color w:val="000000"/>
                <w:sz w:val="17"/>
                <w:szCs w:val="17"/>
              </w:rPr>
              <w:t>-85,1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04574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color w:val="000000"/>
                <w:sz w:val="17"/>
                <w:szCs w:val="17"/>
              </w:rPr>
              <w:t>-82,8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-67,6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-75,1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-74,7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65100">
              <w:rPr>
                <w:rFonts w:ascii="Calibri" w:hAnsi="Calibri" w:cs="Calibri"/>
                <w:color w:val="000000"/>
                <w:sz w:val="17"/>
                <w:szCs w:val="17"/>
              </w:rPr>
              <w:t>-86,8</w:t>
            </w:r>
          </w:p>
        </w:tc>
      </w:tr>
      <w:tr w:rsidR="00965100" w:rsidRPr="005C3832" w:rsidTr="00965100">
        <w:trPr>
          <w:trHeight w:val="644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822DD6" w:rsidRDefault="00965100" w:rsidP="00492E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Capacité à épargner des ménages dans les mois à venir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822DD6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822DD6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822DD6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822DD6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822DD6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822DD6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-66,5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822DD6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822DD6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822DD6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822DD6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822DD6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822DD6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822DD6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822DD6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-57,9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822DD6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100" w:rsidRPr="00822DD6" w:rsidRDefault="00965100" w:rsidP="0096510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-63,0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822DD6" w:rsidRDefault="00965100" w:rsidP="0096510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00" w:rsidRPr="00822DD6" w:rsidRDefault="00965100" w:rsidP="0096510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822DD6" w:rsidRDefault="00965100" w:rsidP="0096510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0" w:rsidRPr="005A6F1D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color w:val="000000"/>
                <w:sz w:val="17"/>
                <w:szCs w:val="17"/>
              </w:rPr>
              <w:t>-64,</w:t>
            </w:r>
            <w:r>
              <w:rPr>
                <w:rFonts w:ascii="Calibri" w:hAnsi="Calibr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04574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color w:val="000000"/>
                <w:sz w:val="17"/>
                <w:szCs w:val="17"/>
              </w:rPr>
              <w:t>-65,8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-70,4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Pr="002C1479" w:rsidRDefault="00965100" w:rsidP="00965100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-75,1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-65,8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-60,8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00" w:rsidRDefault="00965100" w:rsidP="00965100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65100">
              <w:rPr>
                <w:rFonts w:ascii="Calibri" w:hAnsi="Calibri" w:cs="Calibri"/>
                <w:color w:val="000000"/>
                <w:sz w:val="17"/>
                <w:szCs w:val="17"/>
              </w:rPr>
              <w:t>-67,2</w:t>
            </w:r>
          </w:p>
        </w:tc>
      </w:tr>
      <w:bookmarkEnd w:id="2"/>
    </w:tbl>
    <w:p w:rsidR="00FD508C" w:rsidRPr="00FD508C" w:rsidRDefault="00FD508C" w:rsidP="00AC497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FD508C" w:rsidRPr="00FD508C" w:rsidSect="00A7149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46C" w:rsidRDefault="003E046C" w:rsidP="00460705">
      <w:r>
        <w:separator/>
      </w:r>
    </w:p>
  </w:endnote>
  <w:endnote w:type="continuationSeparator" w:id="1">
    <w:p w:rsidR="003E046C" w:rsidRDefault="003E046C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E53FA3" w:rsidRDefault="00D67AB1">
        <w:pPr>
          <w:pStyle w:val="Pieddepage"/>
          <w:jc w:val="center"/>
        </w:pPr>
        <w:r>
          <w:fldChar w:fldCharType="begin"/>
        </w:r>
        <w:r w:rsidR="007B7926">
          <w:instrText xml:space="preserve"> PAGE   \* MERGEFORMAT </w:instrText>
        </w:r>
        <w:r>
          <w:fldChar w:fldCharType="separate"/>
        </w:r>
        <w:r w:rsidR="00F033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3FA3" w:rsidRDefault="00E53FA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46C" w:rsidRDefault="003E046C" w:rsidP="00460705">
      <w:r>
        <w:separator/>
      </w:r>
    </w:p>
  </w:footnote>
  <w:footnote w:type="continuationSeparator" w:id="1">
    <w:p w:rsidR="003E046C" w:rsidRDefault="003E046C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932AC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3212"/>
    <w:multiLevelType w:val="hybridMultilevel"/>
    <w:tmpl w:val="0EB82B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9"/>
  </w:num>
  <w:num w:numId="9">
    <w:abstractNumId w:val="18"/>
  </w:num>
  <w:num w:numId="10">
    <w:abstractNumId w:val="8"/>
  </w:num>
  <w:num w:numId="11">
    <w:abstractNumId w:val="20"/>
  </w:num>
  <w:num w:numId="12">
    <w:abstractNumId w:val="1"/>
  </w:num>
  <w:num w:numId="13">
    <w:abstractNumId w:val="19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16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704"/>
    <w:rsid w:val="000013E4"/>
    <w:rsid w:val="00001624"/>
    <w:rsid w:val="000016A1"/>
    <w:rsid w:val="000023E0"/>
    <w:rsid w:val="00002F9B"/>
    <w:rsid w:val="00003F54"/>
    <w:rsid w:val="00004B1E"/>
    <w:rsid w:val="00005381"/>
    <w:rsid w:val="000060F8"/>
    <w:rsid w:val="000069AE"/>
    <w:rsid w:val="0000713A"/>
    <w:rsid w:val="000100F3"/>
    <w:rsid w:val="00011A0E"/>
    <w:rsid w:val="00011BC4"/>
    <w:rsid w:val="00011F4E"/>
    <w:rsid w:val="00012F82"/>
    <w:rsid w:val="00013016"/>
    <w:rsid w:val="00013329"/>
    <w:rsid w:val="00014530"/>
    <w:rsid w:val="00014940"/>
    <w:rsid w:val="00014F59"/>
    <w:rsid w:val="00015112"/>
    <w:rsid w:val="000151DD"/>
    <w:rsid w:val="00015EF3"/>
    <w:rsid w:val="00016F90"/>
    <w:rsid w:val="0001722E"/>
    <w:rsid w:val="000174FE"/>
    <w:rsid w:val="00017526"/>
    <w:rsid w:val="0001754D"/>
    <w:rsid w:val="000213FC"/>
    <w:rsid w:val="00022644"/>
    <w:rsid w:val="00023DE5"/>
    <w:rsid w:val="00024686"/>
    <w:rsid w:val="00024B04"/>
    <w:rsid w:val="0002532B"/>
    <w:rsid w:val="00025CE4"/>
    <w:rsid w:val="00025F15"/>
    <w:rsid w:val="000265CF"/>
    <w:rsid w:val="00027300"/>
    <w:rsid w:val="000274C4"/>
    <w:rsid w:val="000315FD"/>
    <w:rsid w:val="00031CFB"/>
    <w:rsid w:val="000324B4"/>
    <w:rsid w:val="00032619"/>
    <w:rsid w:val="00032AF9"/>
    <w:rsid w:val="00032ECD"/>
    <w:rsid w:val="00034F42"/>
    <w:rsid w:val="00035053"/>
    <w:rsid w:val="000356C1"/>
    <w:rsid w:val="00035819"/>
    <w:rsid w:val="000360E1"/>
    <w:rsid w:val="000364EF"/>
    <w:rsid w:val="00036F7C"/>
    <w:rsid w:val="0003703D"/>
    <w:rsid w:val="000370B6"/>
    <w:rsid w:val="00037ABF"/>
    <w:rsid w:val="00041428"/>
    <w:rsid w:val="0004211E"/>
    <w:rsid w:val="00042157"/>
    <w:rsid w:val="00043430"/>
    <w:rsid w:val="0004437F"/>
    <w:rsid w:val="00044E75"/>
    <w:rsid w:val="000451AC"/>
    <w:rsid w:val="00045674"/>
    <w:rsid w:val="00046C56"/>
    <w:rsid w:val="00046EB3"/>
    <w:rsid w:val="00047148"/>
    <w:rsid w:val="00047B2B"/>
    <w:rsid w:val="00050145"/>
    <w:rsid w:val="00050460"/>
    <w:rsid w:val="00051534"/>
    <w:rsid w:val="000518A6"/>
    <w:rsid w:val="00051A04"/>
    <w:rsid w:val="00051B80"/>
    <w:rsid w:val="00052C8E"/>
    <w:rsid w:val="0005319E"/>
    <w:rsid w:val="0005351F"/>
    <w:rsid w:val="0005355A"/>
    <w:rsid w:val="0005413E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3B1B"/>
    <w:rsid w:val="00063B3F"/>
    <w:rsid w:val="00064021"/>
    <w:rsid w:val="000646B0"/>
    <w:rsid w:val="000656CB"/>
    <w:rsid w:val="00065DD7"/>
    <w:rsid w:val="00066ADF"/>
    <w:rsid w:val="00066E22"/>
    <w:rsid w:val="00067347"/>
    <w:rsid w:val="00067D35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3C23"/>
    <w:rsid w:val="000748D8"/>
    <w:rsid w:val="000749D1"/>
    <w:rsid w:val="000753A8"/>
    <w:rsid w:val="000756A1"/>
    <w:rsid w:val="00076938"/>
    <w:rsid w:val="00076F92"/>
    <w:rsid w:val="000779C2"/>
    <w:rsid w:val="00077CAA"/>
    <w:rsid w:val="00081434"/>
    <w:rsid w:val="00081E5A"/>
    <w:rsid w:val="0008224D"/>
    <w:rsid w:val="00082D2E"/>
    <w:rsid w:val="000836A6"/>
    <w:rsid w:val="000838BF"/>
    <w:rsid w:val="000839B9"/>
    <w:rsid w:val="0008574A"/>
    <w:rsid w:val="00086CD2"/>
    <w:rsid w:val="000877E9"/>
    <w:rsid w:val="0008783E"/>
    <w:rsid w:val="00087DA2"/>
    <w:rsid w:val="000909E5"/>
    <w:rsid w:val="00090FCF"/>
    <w:rsid w:val="00090FEC"/>
    <w:rsid w:val="00091D64"/>
    <w:rsid w:val="00091E28"/>
    <w:rsid w:val="00091FB9"/>
    <w:rsid w:val="00092DFB"/>
    <w:rsid w:val="00093A83"/>
    <w:rsid w:val="00093D84"/>
    <w:rsid w:val="00094BEF"/>
    <w:rsid w:val="00097300"/>
    <w:rsid w:val="00097799"/>
    <w:rsid w:val="0009797C"/>
    <w:rsid w:val="00097D75"/>
    <w:rsid w:val="000A0177"/>
    <w:rsid w:val="000A07A7"/>
    <w:rsid w:val="000A0881"/>
    <w:rsid w:val="000A11C5"/>
    <w:rsid w:val="000A14AD"/>
    <w:rsid w:val="000A158A"/>
    <w:rsid w:val="000A18FB"/>
    <w:rsid w:val="000A1DEA"/>
    <w:rsid w:val="000A20DC"/>
    <w:rsid w:val="000A26E7"/>
    <w:rsid w:val="000A27F7"/>
    <w:rsid w:val="000A2DA9"/>
    <w:rsid w:val="000A33DF"/>
    <w:rsid w:val="000A40C3"/>
    <w:rsid w:val="000A496F"/>
    <w:rsid w:val="000A5682"/>
    <w:rsid w:val="000A5C5F"/>
    <w:rsid w:val="000A5F4A"/>
    <w:rsid w:val="000A6135"/>
    <w:rsid w:val="000A62F9"/>
    <w:rsid w:val="000B0844"/>
    <w:rsid w:val="000B09BA"/>
    <w:rsid w:val="000B0E7A"/>
    <w:rsid w:val="000B1487"/>
    <w:rsid w:val="000B16D1"/>
    <w:rsid w:val="000B2067"/>
    <w:rsid w:val="000B2FFE"/>
    <w:rsid w:val="000B34E3"/>
    <w:rsid w:val="000B4FE0"/>
    <w:rsid w:val="000B552C"/>
    <w:rsid w:val="000B62B1"/>
    <w:rsid w:val="000C0C01"/>
    <w:rsid w:val="000C1464"/>
    <w:rsid w:val="000C2CA9"/>
    <w:rsid w:val="000C3718"/>
    <w:rsid w:val="000C39F9"/>
    <w:rsid w:val="000C439F"/>
    <w:rsid w:val="000C4C0E"/>
    <w:rsid w:val="000C56EA"/>
    <w:rsid w:val="000C689C"/>
    <w:rsid w:val="000C7F17"/>
    <w:rsid w:val="000D1CF5"/>
    <w:rsid w:val="000D24FA"/>
    <w:rsid w:val="000D2586"/>
    <w:rsid w:val="000D2E52"/>
    <w:rsid w:val="000D341B"/>
    <w:rsid w:val="000D367A"/>
    <w:rsid w:val="000D3B30"/>
    <w:rsid w:val="000D4077"/>
    <w:rsid w:val="000D4920"/>
    <w:rsid w:val="000D54E1"/>
    <w:rsid w:val="000D5638"/>
    <w:rsid w:val="000D5AB2"/>
    <w:rsid w:val="000D5B0A"/>
    <w:rsid w:val="000D5CEB"/>
    <w:rsid w:val="000E0128"/>
    <w:rsid w:val="000E030A"/>
    <w:rsid w:val="000E10E0"/>
    <w:rsid w:val="000E1534"/>
    <w:rsid w:val="000E17D9"/>
    <w:rsid w:val="000E1BEE"/>
    <w:rsid w:val="000E20BC"/>
    <w:rsid w:val="000E21A1"/>
    <w:rsid w:val="000E3747"/>
    <w:rsid w:val="000E4DC7"/>
    <w:rsid w:val="000E5EA9"/>
    <w:rsid w:val="000E6EB3"/>
    <w:rsid w:val="000E71C8"/>
    <w:rsid w:val="000F0919"/>
    <w:rsid w:val="000F0DB1"/>
    <w:rsid w:val="000F184A"/>
    <w:rsid w:val="000F2945"/>
    <w:rsid w:val="000F2B60"/>
    <w:rsid w:val="000F2E6E"/>
    <w:rsid w:val="000F5A2E"/>
    <w:rsid w:val="000F62E1"/>
    <w:rsid w:val="000F641A"/>
    <w:rsid w:val="000F6CE8"/>
    <w:rsid w:val="000F70E8"/>
    <w:rsid w:val="000F74C5"/>
    <w:rsid w:val="000F7670"/>
    <w:rsid w:val="000F7A57"/>
    <w:rsid w:val="000F7C4F"/>
    <w:rsid w:val="00100026"/>
    <w:rsid w:val="0010025C"/>
    <w:rsid w:val="00101249"/>
    <w:rsid w:val="00101DA7"/>
    <w:rsid w:val="00102B5C"/>
    <w:rsid w:val="00103010"/>
    <w:rsid w:val="001037B3"/>
    <w:rsid w:val="00104221"/>
    <w:rsid w:val="00104438"/>
    <w:rsid w:val="00104463"/>
    <w:rsid w:val="00104CAC"/>
    <w:rsid w:val="00104D05"/>
    <w:rsid w:val="001052BE"/>
    <w:rsid w:val="001052EC"/>
    <w:rsid w:val="00105320"/>
    <w:rsid w:val="00105B72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063"/>
    <w:rsid w:val="001143FE"/>
    <w:rsid w:val="0011495F"/>
    <w:rsid w:val="00115D48"/>
    <w:rsid w:val="001161C4"/>
    <w:rsid w:val="00116945"/>
    <w:rsid w:val="0011726A"/>
    <w:rsid w:val="001174FE"/>
    <w:rsid w:val="00117A2F"/>
    <w:rsid w:val="00117F82"/>
    <w:rsid w:val="00120997"/>
    <w:rsid w:val="00121180"/>
    <w:rsid w:val="00121CCC"/>
    <w:rsid w:val="001222E7"/>
    <w:rsid w:val="00122941"/>
    <w:rsid w:val="00123E79"/>
    <w:rsid w:val="00124002"/>
    <w:rsid w:val="001242C0"/>
    <w:rsid w:val="00124772"/>
    <w:rsid w:val="00124827"/>
    <w:rsid w:val="00124FE0"/>
    <w:rsid w:val="00125161"/>
    <w:rsid w:val="001254E5"/>
    <w:rsid w:val="00125543"/>
    <w:rsid w:val="00126B26"/>
    <w:rsid w:val="00126CC0"/>
    <w:rsid w:val="00126E55"/>
    <w:rsid w:val="0012794C"/>
    <w:rsid w:val="00127D67"/>
    <w:rsid w:val="00131E2D"/>
    <w:rsid w:val="001328D0"/>
    <w:rsid w:val="00133286"/>
    <w:rsid w:val="0013347C"/>
    <w:rsid w:val="001335BA"/>
    <w:rsid w:val="00133687"/>
    <w:rsid w:val="00133860"/>
    <w:rsid w:val="001347D2"/>
    <w:rsid w:val="00135445"/>
    <w:rsid w:val="00135D83"/>
    <w:rsid w:val="0013654E"/>
    <w:rsid w:val="00137D7D"/>
    <w:rsid w:val="001404A9"/>
    <w:rsid w:val="001414F3"/>
    <w:rsid w:val="001424D2"/>
    <w:rsid w:val="0014379B"/>
    <w:rsid w:val="001438AB"/>
    <w:rsid w:val="0014398F"/>
    <w:rsid w:val="00143A5A"/>
    <w:rsid w:val="00144320"/>
    <w:rsid w:val="00145956"/>
    <w:rsid w:val="001467F7"/>
    <w:rsid w:val="00146EDA"/>
    <w:rsid w:val="0014733D"/>
    <w:rsid w:val="00150681"/>
    <w:rsid w:val="00151AE6"/>
    <w:rsid w:val="00151C70"/>
    <w:rsid w:val="0015212E"/>
    <w:rsid w:val="001523D7"/>
    <w:rsid w:val="00152D59"/>
    <w:rsid w:val="00153ECF"/>
    <w:rsid w:val="00154298"/>
    <w:rsid w:val="00154339"/>
    <w:rsid w:val="001545AE"/>
    <w:rsid w:val="00154E44"/>
    <w:rsid w:val="00156587"/>
    <w:rsid w:val="0015763C"/>
    <w:rsid w:val="00157CA9"/>
    <w:rsid w:val="0016005A"/>
    <w:rsid w:val="00160141"/>
    <w:rsid w:val="0016090E"/>
    <w:rsid w:val="00160994"/>
    <w:rsid w:val="00161429"/>
    <w:rsid w:val="00161772"/>
    <w:rsid w:val="00161C4B"/>
    <w:rsid w:val="00162062"/>
    <w:rsid w:val="001638CE"/>
    <w:rsid w:val="00163D93"/>
    <w:rsid w:val="0016405E"/>
    <w:rsid w:val="001643DF"/>
    <w:rsid w:val="001648E6"/>
    <w:rsid w:val="00164979"/>
    <w:rsid w:val="00165671"/>
    <w:rsid w:val="0016596E"/>
    <w:rsid w:val="001672BD"/>
    <w:rsid w:val="0016780D"/>
    <w:rsid w:val="00172005"/>
    <w:rsid w:val="00172D27"/>
    <w:rsid w:val="00172EE9"/>
    <w:rsid w:val="00172F47"/>
    <w:rsid w:val="00173781"/>
    <w:rsid w:val="00174115"/>
    <w:rsid w:val="00174542"/>
    <w:rsid w:val="00174553"/>
    <w:rsid w:val="001748E9"/>
    <w:rsid w:val="0017495A"/>
    <w:rsid w:val="0017568F"/>
    <w:rsid w:val="001757C5"/>
    <w:rsid w:val="001760CB"/>
    <w:rsid w:val="00181B72"/>
    <w:rsid w:val="001829B0"/>
    <w:rsid w:val="00182B28"/>
    <w:rsid w:val="00182E1E"/>
    <w:rsid w:val="00184023"/>
    <w:rsid w:val="00184134"/>
    <w:rsid w:val="00184250"/>
    <w:rsid w:val="00184D27"/>
    <w:rsid w:val="00185207"/>
    <w:rsid w:val="00185ABC"/>
    <w:rsid w:val="001864E5"/>
    <w:rsid w:val="00186530"/>
    <w:rsid w:val="001871C4"/>
    <w:rsid w:val="00187A5C"/>
    <w:rsid w:val="00187C8D"/>
    <w:rsid w:val="00187EB7"/>
    <w:rsid w:val="00190672"/>
    <w:rsid w:val="00191E08"/>
    <w:rsid w:val="00191F62"/>
    <w:rsid w:val="001930B7"/>
    <w:rsid w:val="00193B35"/>
    <w:rsid w:val="00193B4D"/>
    <w:rsid w:val="00193E60"/>
    <w:rsid w:val="0019435A"/>
    <w:rsid w:val="0019492E"/>
    <w:rsid w:val="001956DC"/>
    <w:rsid w:val="00195D2E"/>
    <w:rsid w:val="001960E9"/>
    <w:rsid w:val="001968E2"/>
    <w:rsid w:val="00196B6B"/>
    <w:rsid w:val="00196D8E"/>
    <w:rsid w:val="00196DF3"/>
    <w:rsid w:val="001975D4"/>
    <w:rsid w:val="00197D9A"/>
    <w:rsid w:val="00197F64"/>
    <w:rsid w:val="001A0310"/>
    <w:rsid w:val="001A048A"/>
    <w:rsid w:val="001A0F65"/>
    <w:rsid w:val="001A2204"/>
    <w:rsid w:val="001A288D"/>
    <w:rsid w:val="001A292A"/>
    <w:rsid w:val="001A384F"/>
    <w:rsid w:val="001A4203"/>
    <w:rsid w:val="001A4BB7"/>
    <w:rsid w:val="001A55DD"/>
    <w:rsid w:val="001A6084"/>
    <w:rsid w:val="001A62A1"/>
    <w:rsid w:val="001A648B"/>
    <w:rsid w:val="001A69DD"/>
    <w:rsid w:val="001A6BB6"/>
    <w:rsid w:val="001A7746"/>
    <w:rsid w:val="001B03D3"/>
    <w:rsid w:val="001B06F9"/>
    <w:rsid w:val="001B0AB6"/>
    <w:rsid w:val="001B1130"/>
    <w:rsid w:val="001B1C9F"/>
    <w:rsid w:val="001B1E0E"/>
    <w:rsid w:val="001B20D5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65A"/>
    <w:rsid w:val="001B7854"/>
    <w:rsid w:val="001C0839"/>
    <w:rsid w:val="001C14A6"/>
    <w:rsid w:val="001C251F"/>
    <w:rsid w:val="001C4759"/>
    <w:rsid w:val="001C4D54"/>
    <w:rsid w:val="001C5656"/>
    <w:rsid w:val="001C5AA4"/>
    <w:rsid w:val="001C67D4"/>
    <w:rsid w:val="001C6846"/>
    <w:rsid w:val="001C6883"/>
    <w:rsid w:val="001D02E1"/>
    <w:rsid w:val="001D0C73"/>
    <w:rsid w:val="001D17AC"/>
    <w:rsid w:val="001D2665"/>
    <w:rsid w:val="001D28DC"/>
    <w:rsid w:val="001D2B80"/>
    <w:rsid w:val="001D2D35"/>
    <w:rsid w:val="001D2E4E"/>
    <w:rsid w:val="001D3A1D"/>
    <w:rsid w:val="001D49E8"/>
    <w:rsid w:val="001D5548"/>
    <w:rsid w:val="001D55A9"/>
    <w:rsid w:val="001D58BD"/>
    <w:rsid w:val="001D684C"/>
    <w:rsid w:val="001D709D"/>
    <w:rsid w:val="001E0A9C"/>
    <w:rsid w:val="001E0D0B"/>
    <w:rsid w:val="001E1149"/>
    <w:rsid w:val="001E1901"/>
    <w:rsid w:val="001E36D5"/>
    <w:rsid w:val="001E3868"/>
    <w:rsid w:val="001E42CC"/>
    <w:rsid w:val="001E4F55"/>
    <w:rsid w:val="001E5372"/>
    <w:rsid w:val="001E5697"/>
    <w:rsid w:val="001E6198"/>
    <w:rsid w:val="001E78BD"/>
    <w:rsid w:val="001F00F0"/>
    <w:rsid w:val="001F04DE"/>
    <w:rsid w:val="001F062E"/>
    <w:rsid w:val="001F0ABF"/>
    <w:rsid w:val="001F14B0"/>
    <w:rsid w:val="001F20AF"/>
    <w:rsid w:val="001F2626"/>
    <w:rsid w:val="001F321B"/>
    <w:rsid w:val="001F3646"/>
    <w:rsid w:val="001F3E68"/>
    <w:rsid w:val="001F4A3E"/>
    <w:rsid w:val="001F4E50"/>
    <w:rsid w:val="001F4FE4"/>
    <w:rsid w:val="001F5722"/>
    <w:rsid w:val="001F5970"/>
    <w:rsid w:val="001F59E2"/>
    <w:rsid w:val="001F5D34"/>
    <w:rsid w:val="001F626D"/>
    <w:rsid w:val="001F66E3"/>
    <w:rsid w:val="001F6A20"/>
    <w:rsid w:val="001F6A9C"/>
    <w:rsid w:val="001F70B6"/>
    <w:rsid w:val="001F739C"/>
    <w:rsid w:val="001F7711"/>
    <w:rsid w:val="001F7D34"/>
    <w:rsid w:val="00200755"/>
    <w:rsid w:val="002021DE"/>
    <w:rsid w:val="0020419A"/>
    <w:rsid w:val="002041E9"/>
    <w:rsid w:val="00204574"/>
    <w:rsid w:val="00204F32"/>
    <w:rsid w:val="0020508E"/>
    <w:rsid w:val="00206A7F"/>
    <w:rsid w:val="0020711A"/>
    <w:rsid w:val="00207730"/>
    <w:rsid w:val="0021180E"/>
    <w:rsid w:val="00211ECD"/>
    <w:rsid w:val="0021213E"/>
    <w:rsid w:val="00212223"/>
    <w:rsid w:val="002125D5"/>
    <w:rsid w:val="00212714"/>
    <w:rsid w:val="00212E56"/>
    <w:rsid w:val="00213786"/>
    <w:rsid w:val="00213EC2"/>
    <w:rsid w:val="00214439"/>
    <w:rsid w:val="00214D50"/>
    <w:rsid w:val="002163AF"/>
    <w:rsid w:val="002164DC"/>
    <w:rsid w:val="002166B3"/>
    <w:rsid w:val="00216E7C"/>
    <w:rsid w:val="00217334"/>
    <w:rsid w:val="0021759B"/>
    <w:rsid w:val="00221FC5"/>
    <w:rsid w:val="00222682"/>
    <w:rsid w:val="002226A1"/>
    <w:rsid w:val="00222815"/>
    <w:rsid w:val="00222831"/>
    <w:rsid w:val="00223178"/>
    <w:rsid w:val="0022318C"/>
    <w:rsid w:val="00223808"/>
    <w:rsid w:val="0022467F"/>
    <w:rsid w:val="00225685"/>
    <w:rsid w:val="00226A52"/>
    <w:rsid w:val="00226BE3"/>
    <w:rsid w:val="00226CEA"/>
    <w:rsid w:val="00227B1B"/>
    <w:rsid w:val="0023094A"/>
    <w:rsid w:val="00232556"/>
    <w:rsid w:val="00232AF5"/>
    <w:rsid w:val="00233531"/>
    <w:rsid w:val="00234907"/>
    <w:rsid w:val="00235C3E"/>
    <w:rsid w:val="002364B4"/>
    <w:rsid w:val="0023661B"/>
    <w:rsid w:val="00236927"/>
    <w:rsid w:val="002375C4"/>
    <w:rsid w:val="0024028E"/>
    <w:rsid w:val="00241A46"/>
    <w:rsid w:val="002431B9"/>
    <w:rsid w:val="002436BE"/>
    <w:rsid w:val="00243AE1"/>
    <w:rsid w:val="00243C83"/>
    <w:rsid w:val="00245732"/>
    <w:rsid w:val="00245913"/>
    <w:rsid w:val="00245992"/>
    <w:rsid w:val="00246518"/>
    <w:rsid w:val="002478EF"/>
    <w:rsid w:val="00247A3B"/>
    <w:rsid w:val="002502C2"/>
    <w:rsid w:val="00251ABE"/>
    <w:rsid w:val="0025208F"/>
    <w:rsid w:val="0025259C"/>
    <w:rsid w:val="00252BB9"/>
    <w:rsid w:val="0025312C"/>
    <w:rsid w:val="00253166"/>
    <w:rsid w:val="002534E9"/>
    <w:rsid w:val="00253D9F"/>
    <w:rsid w:val="00254965"/>
    <w:rsid w:val="00254CC9"/>
    <w:rsid w:val="00254D8A"/>
    <w:rsid w:val="00255396"/>
    <w:rsid w:val="00256232"/>
    <w:rsid w:val="00256A6D"/>
    <w:rsid w:val="00256C03"/>
    <w:rsid w:val="00256F31"/>
    <w:rsid w:val="00256FBC"/>
    <w:rsid w:val="00257385"/>
    <w:rsid w:val="00260173"/>
    <w:rsid w:val="00260D98"/>
    <w:rsid w:val="002613C1"/>
    <w:rsid w:val="002613F5"/>
    <w:rsid w:val="0026141F"/>
    <w:rsid w:val="00261ED7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5F28"/>
    <w:rsid w:val="00266110"/>
    <w:rsid w:val="00266330"/>
    <w:rsid w:val="00266633"/>
    <w:rsid w:val="00267202"/>
    <w:rsid w:val="00267298"/>
    <w:rsid w:val="002672A0"/>
    <w:rsid w:val="0026748C"/>
    <w:rsid w:val="00267B6E"/>
    <w:rsid w:val="00267DAE"/>
    <w:rsid w:val="00270823"/>
    <w:rsid w:val="00270AD9"/>
    <w:rsid w:val="00270B31"/>
    <w:rsid w:val="00271743"/>
    <w:rsid w:val="00271D22"/>
    <w:rsid w:val="0027263B"/>
    <w:rsid w:val="00272727"/>
    <w:rsid w:val="00272D28"/>
    <w:rsid w:val="0027471B"/>
    <w:rsid w:val="002751C2"/>
    <w:rsid w:val="00275256"/>
    <w:rsid w:val="00276077"/>
    <w:rsid w:val="002775FC"/>
    <w:rsid w:val="00280072"/>
    <w:rsid w:val="0028098C"/>
    <w:rsid w:val="00281D6D"/>
    <w:rsid w:val="002821C5"/>
    <w:rsid w:val="0028239A"/>
    <w:rsid w:val="00282A92"/>
    <w:rsid w:val="002830E2"/>
    <w:rsid w:val="002836F5"/>
    <w:rsid w:val="00283A6B"/>
    <w:rsid w:val="00283FD0"/>
    <w:rsid w:val="0028485A"/>
    <w:rsid w:val="0028651B"/>
    <w:rsid w:val="00287AFB"/>
    <w:rsid w:val="00287EC1"/>
    <w:rsid w:val="00290113"/>
    <w:rsid w:val="002904C7"/>
    <w:rsid w:val="002915B7"/>
    <w:rsid w:val="00291C4B"/>
    <w:rsid w:val="00292082"/>
    <w:rsid w:val="0029227A"/>
    <w:rsid w:val="00292381"/>
    <w:rsid w:val="00292CDC"/>
    <w:rsid w:val="00293863"/>
    <w:rsid w:val="002941A3"/>
    <w:rsid w:val="00295A6D"/>
    <w:rsid w:val="00295DF0"/>
    <w:rsid w:val="00296645"/>
    <w:rsid w:val="00296E08"/>
    <w:rsid w:val="00297250"/>
    <w:rsid w:val="00297C0B"/>
    <w:rsid w:val="002A0DFB"/>
    <w:rsid w:val="002A0E3C"/>
    <w:rsid w:val="002A1005"/>
    <w:rsid w:val="002A1529"/>
    <w:rsid w:val="002A1584"/>
    <w:rsid w:val="002A18ED"/>
    <w:rsid w:val="002A1C56"/>
    <w:rsid w:val="002A1D28"/>
    <w:rsid w:val="002A1FD6"/>
    <w:rsid w:val="002A22AF"/>
    <w:rsid w:val="002A29D2"/>
    <w:rsid w:val="002A2E36"/>
    <w:rsid w:val="002A321D"/>
    <w:rsid w:val="002A36CF"/>
    <w:rsid w:val="002A4737"/>
    <w:rsid w:val="002A53E5"/>
    <w:rsid w:val="002A5852"/>
    <w:rsid w:val="002A5928"/>
    <w:rsid w:val="002A62C3"/>
    <w:rsid w:val="002A7486"/>
    <w:rsid w:val="002A766A"/>
    <w:rsid w:val="002A7C02"/>
    <w:rsid w:val="002A7E1E"/>
    <w:rsid w:val="002A7E5D"/>
    <w:rsid w:val="002B0B7B"/>
    <w:rsid w:val="002B10FB"/>
    <w:rsid w:val="002B15A7"/>
    <w:rsid w:val="002B15E6"/>
    <w:rsid w:val="002B2652"/>
    <w:rsid w:val="002B2EC5"/>
    <w:rsid w:val="002B3D5B"/>
    <w:rsid w:val="002B43BB"/>
    <w:rsid w:val="002B4B64"/>
    <w:rsid w:val="002B51C3"/>
    <w:rsid w:val="002B7130"/>
    <w:rsid w:val="002B74FD"/>
    <w:rsid w:val="002B7509"/>
    <w:rsid w:val="002B799E"/>
    <w:rsid w:val="002B79DC"/>
    <w:rsid w:val="002B7C12"/>
    <w:rsid w:val="002B7F41"/>
    <w:rsid w:val="002C03DA"/>
    <w:rsid w:val="002C0743"/>
    <w:rsid w:val="002C0BC4"/>
    <w:rsid w:val="002C0E6A"/>
    <w:rsid w:val="002C10D7"/>
    <w:rsid w:val="002C18A0"/>
    <w:rsid w:val="002C1D2E"/>
    <w:rsid w:val="002C211A"/>
    <w:rsid w:val="002C2298"/>
    <w:rsid w:val="002C26D4"/>
    <w:rsid w:val="002C2BED"/>
    <w:rsid w:val="002C3101"/>
    <w:rsid w:val="002C366D"/>
    <w:rsid w:val="002C4A48"/>
    <w:rsid w:val="002C5954"/>
    <w:rsid w:val="002C5F58"/>
    <w:rsid w:val="002C6A1C"/>
    <w:rsid w:val="002C768B"/>
    <w:rsid w:val="002C79A8"/>
    <w:rsid w:val="002C7EF2"/>
    <w:rsid w:val="002D112B"/>
    <w:rsid w:val="002D2100"/>
    <w:rsid w:val="002D235E"/>
    <w:rsid w:val="002D260C"/>
    <w:rsid w:val="002D2970"/>
    <w:rsid w:val="002D3518"/>
    <w:rsid w:val="002D3C52"/>
    <w:rsid w:val="002D3E22"/>
    <w:rsid w:val="002D54C7"/>
    <w:rsid w:val="002D56C5"/>
    <w:rsid w:val="002D5AAA"/>
    <w:rsid w:val="002D5F99"/>
    <w:rsid w:val="002D6616"/>
    <w:rsid w:val="002D6FC3"/>
    <w:rsid w:val="002D79AA"/>
    <w:rsid w:val="002E02C4"/>
    <w:rsid w:val="002E0AD7"/>
    <w:rsid w:val="002E1871"/>
    <w:rsid w:val="002E238A"/>
    <w:rsid w:val="002E3AEC"/>
    <w:rsid w:val="002E3CF2"/>
    <w:rsid w:val="002E5787"/>
    <w:rsid w:val="002E5849"/>
    <w:rsid w:val="002E5ABF"/>
    <w:rsid w:val="002E5BEC"/>
    <w:rsid w:val="002E69E2"/>
    <w:rsid w:val="002E6F5B"/>
    <w:rsid w:val="002E710F"/>
    <w:rsid w:val="002E7320"/>
    <w:rsid w:val="002E78A3"/>
    <w:rsid w:val="002F08CD"/>
    <w:rsid w:val="002F1287"/>
    <w:rsid w:val="002F142C"/>
    <w:rsid w:val="002F1D60"/>
    <w:rsid w:val="002F3EA6"/>
    <w:rsid w:val="002F566C"/>
    <w:rsid w:val="002F56E4"/>
    <w:rsid w:val="002F5CBB"/>
    <w:rsid w:val="002F5E45"/>
    <w:rsid w:val="002F5E6A"/>
    <w:rsid w:val="002F61B2"/>
    <w:rsid w:val="002F68CD"/>
    <w:rsid w:val="002F6AEC"/>
    <w:rsid w:val="002F7AAE"/>
    <w:rsid w:val="0030061A"/>
    <w:rsid w:val="00300726"/>
    <w:rsid w:val="00301913"/>
    <w:rsid w:val="0030196C"/>
    <w:rsid w:val="00301C04"/>
    <w:rsid w:val="00302717"/>
    <w:rsid w:val="003043BE"/>
    <w:rsid w:val="00304900"/>
    <w:rsid w:val="00304BFF"/>
    <w:rsid w:val="00306F45"/>
    <w:rsid w:val="00307232"/>
    <w:rsid w:val="00307E20"/>
    <w:rsid w:val="00311292"/>
    <w:rsid w:val="0031260C"/>
    <w:rsid w:val="00312C75"/>
    <w:rsid w:val="00312DA6"/>
    <w:rsid w:val="00312EAF"/>
    <w:rsid w:val="00313590"/>
    <w:rsid w:val="00313C10"/>
    <w:rsid w:val="00313E26"/>
    <w:rsid w:val="00314363"/>
    <w:rsid w:val="00314E25"/>
    <w:rsid w:val="00315331"/>
    <w:rsid w:val="00315FDD"/>
    <w:rsid w:val="003203B5"/>
    <w:rsid w:val="00320A30"/>
    <w:rsid w:val="00321109"/>
    <w:rsid w:val="00322586"/>
    <w:rsid w:val="0032273E"/>
    <w:rsid w:val="0032393A"/>
    <w:rsid w:val="00323DD3"/>
    <w:rsid w:val="00324379"/>
    <w:rsid w:val="003243FF"/>
    <w:rsid w:val="0032457C"/>
    <w:rsid w:val="0032474D"/>
    <w:rsid w:val="003249B9"/>
    <w:rsid w:val="00325F2B"/>
    <w:rsid w:val="00326439"/>
    <w:rsid w:val="0032654E"/>
    <w:rsid w:val="00326669"/>
    <w:rsid w:val="003266B8"/>
    <w:rsid w:val="00326988"/>
    <w:rsid w:val="00326D4A"/>
    <w:rsid w:val="00326F79"/>
    <w:rsid w:val="00327D2D"/>
    <w:rsid w:val="0033159D"/>
    <w:rsid w:val="0033192D"/>
    <w:rsid w:val="003325C2"/>
    <w:rsid w:val="00333CD8"/>
    <w:rsid w:val="00335081"/>
    <w:rsid w:val="00335AA7"/>
    <w:rsid w:val="00337515"/>
    <w:rsid w:val="00337BE3"/>
    <w:rsid w:val="003407DA"/>
    <w:rsid w:val="00342196"/>
    <w:rsid w:val="003423DE"/>
    <w:rsid w:val="00343199"/>
    <w:rsid w:val="00344329"/>
    <w:rsid w:val="00344737"/>
    <w:rsid w:val="00345C8E"/>
    <w:rsid w:val="00345CF9"/>
    <w:rsid w:val="00345EE0"/>
    <w:rsid w:val="00346706"/>
    <w:rsid w:val="00346987"/>
    <w:rsid w:val="00350036"/>
    <w:rsid w:val="0035142B"/>
    <w:rsid w:val="003514ED"/>
    <w:rsid w:val="00351C1F"/>
    <w:rsid w:val="00351E1C"/>
    <w:rsid w:val="00352106"/>
    <w:rsid w:val="0035217E"/>
    <w:rsid w:val="003525DA"/>
    <w:rsid w:val="00352758"/>
    <w:rsid w:val="00352D33"/>
    <w:rsid w:val="00353CB2"/>
    <w:rsid w:val="003541C4"/>
    <w:rsid w:val="00354A18"/>
    <w:rsid w:val="00354E92"/>
    <w:rsid w:val="003550EA"/>
    <w:rsid w:val="003559FA"/>
    <w:rsid w:val="00355D56"/>
    <w:rsid w:val="00357B74"/>
    <w:rsid w:val="00360176"/>
    <w:rsid w:val="00360556"/>
    <w:rsid w:val="00360720"/>
    <w:rsid w:val="0036132C"/>
    <w:rsid w:val="00362325"/>
    <w:rsid w:val="00362A0D"/>
    <w:rsid w:val="0036400D"/>
    <w:rsid w:val="003658EF"/>
    <w:rsid w:val="00365FDC"/>
    <w:rsid w:val="003661DE"/>
    <w:rsid w:val="003670AA"/>
    <w:rsid w:val="00367BF2"/>
    <w:rsid w:val="00370A60"/>
    <w:rsid w:val="00370B08"/>
    <w:rsid w:val="003713F9"/>
    <w:rsid w:val="003719C4"/>
    <w:rsid w:val="00371D19"/>
    <w:rsid w:val="003724EE"/>
    <w:rsid w:val="00373C93"/>
    <w:rsid w:val="00374E6D"/>
    <w:rsid w:val="0037636A"/>
    <w:rsid w:val="00376AC0"/>
    <w:rsid w:val="00377971"/>
    <w:rsid w:val="003803FA"/>
    <w:rsid w:val="00380461"/>
    <w:rsid w:val="003812CC"/>
    <w:rsid w:val="00381490"/>
    <w:rsid w:val="00381936"/>
    <w:rsid w:val="003827AF"/>
    <w:rsid w:val="00384704"/>
    <w:rsid w:val="0038490E"/>
    <w:rsid w:val="003849A2"/>
    <w:rsid w:val="00385E59"/>
    <w:rsid w:val="003863F6"/>
    <w:rsid w:val="00386E22"/>
    <w:rsid w:val="00387270"/>
    <w:rsid w:val="00390465"/>
    <w:rsid w:val="0039097A"/>
    <w:rsid w:val="00391350"/>
    <w:rsid w:val="003917E1"/>
    <w:rsid w:val="00393479"/>
    <w:rsid w:val="003937BF"/>
    <w:rsid w:val="003938B0"/>
    <w:rsid w:val="00394384"/>
    <w:rsid w:val="003945C0"/>
    <w:rsid w:val="00394F5D"/>
    <w:rsid w:val="00395232"/>
    <w:rsid w:val="003953F7"/>
    <w:rsid w:val="003960C1"/>
    <w:rsid w:val="003972B5"/>
    <w:rsid w:val="003A0725"/>
    <w:rsid w:val="003A0E00"/>
    <w:rsid w:val="003A1290"/>
    <w:rsid w:val="003A18CF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0E0"/>
    <w:rsid w:val="003A6EC4"/>
    <w:rsid w:val="003A70BA"/>
    <w:rsid w:val="003A7ECC"/>
    <w:rsid w:val="003B092A"/>
    <w:rsid w:val="003B0AF2"/>
    <w:rsid w:val="003B0B34"/>
    <w:rsid w:val="003B0EDF"/>
    <w:rsid w:val="003B12AD"/>
    <w:rsid w:val="003B220F"/>
    <w:rsid w:val="003B27AF"/>
    <w:rsid w:val="003B330D"/>
    <w:rsid w:val="003B3593"/>
    <w:rsid w:val="003B3AA3"/>
    <w:rsid w:val="003B3D78"/>
    <w:rsid w:val="003B478B"/>
    <w:rsid w:val="003B5704"/>
    <w:rsid w:val="003B570F"/>
    <w:rsid w:val="003B6387"/>
    <w:rsid w:val="003B6E43"/>
    <w:rsid w:val="003B7237"/>
    <w:rsid w:val="003C096D"/>
    <w:rsid w:val="003C0E95"/>
    <w:rsid w:val="003C1028"/>
    <w:rsid w:val="003C1653"/>
    <w:rsid w:val="003C205E"/>
    <w:rsid w:val="003C210F"/>
    <w:rsid w:val="003C2158"/>
    <w:rsid w:val="003C2208"/>
    <w:rsid w:val="003C2924"/>
    <w:rsid w:val="003C2D1C"/>
    <w:rsid w:val="003C2DFE"/>
    <w:rsid w:val="003C3114"/>
    <w:rsid w:val="003C4254"/>
    <w:rsid w:val="003C4632"/>
    <w:rsid w:val="003C4945"/>
    <w:rsid w:val="003C50AE"/>
    <w:rsid w:val="003C6758"/>
    <w:rsid w:val="003C79A0"/>
    <w:rsid w:val="003D0B54"/>
    <w:rsid w:val="003D25F5"/>
    <w:rsid w:val="003D27CC"/>
    <w:rsid w:val="003D435F"/>
    <w:rsid w:val="003D554F"/>
    <w:rsid w:val="003D5D63"/>
    <w:rsid w:val="003D6A47"/>
    <w:rsid w:val="003D6DF2"/>
    <w:rsid w:val="003D703A"/>
    <w:rsid w:val="003D7146"/>
    <w:rsid w:val="003D748A"/>
    <w:rsid w:val="003D76D8"/>
    <w:rsid w:val="003D7D3E"/>
    <w:rsid w:val="003E046C"/>
    <w:rsid w:val="003E04DE"/>
    <w:rsid w:val="003E0E01"/>
    <w:rsid w:val="003E0E9C"/>
    <w:rsid w:val="003E1044"/>
    <w:rsid w:val="003E168D"/>
    <w:rsid w:val="003E1CA9"/>
    <w:rsid w:val="003E22C4"/>
    <w:rsid w:val="003E3A1D"/>
    <w:rsid w:val="003E470E"/>
    <w:rsid w:val="003E4DD3"/>
    <w:rsid w:val="003E657B"/>
    <w:rsid w:val="003E7065"/>
    <w:rsid w:val="003E7485"/>
    <w:rsid w:val="003E7507"/>
    <w:rsid w:val="003E7CE2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3F7B32"/>
    <w:rsid w:val="00400110"/>
    <w:rsid w:val="00400526"/>
    <w:rsid w:val="00400983"/>
    <w:rsid w:val="00401990"/>
    <w:rsid w:val="00403ED5"/>
    <w:rsid w:val="0040459B"/>
    <w:rsid w:val="00404C21"/>
    <w:rsid w:val="00405294"/>
    <w:rsid w:val="004054B1"/>
    <w:rsid w:val="00405940"/>
    <w:rsid w:val="00405B58"/>
    <w:rsid w:val="00406A51"/>
    <w:rsid w:val="004074DD"/>
    <w:rsid w:val="00407696"/>
    <w:rsid w:val="004105E0"/>
    <w:rsid w:val="0041160A"/>
    <w:rsid w:val="00411F68"/>
    <w:rsid w:val="00412740"/>
    <w:rsid w:val="00413F4D"/>
    <w:rsid w:val="0041457A"/>
    <w:rsid w:val="004153FC"/>
    <w:rsid w:val="004158F0"/>
    <w:rsid w:val="00416547"/>
    <w:rsid w:val="004166F7"/>
    <w:rsid w:val="00416870"/>
    <w:rsid w:val="00417308"/>
    <w:rsid w:val="0041772A"/>
    <w:rsid w:val="0041779B"/>
    <w:rsid w:val="0042017B"/>
    <w:rsid w:val="004208F0"/>
    <w:rsid w:val="00420913"/>
    <w:rsid w:val="00420B43"/>
    <w:rsid w:val="00420D3C"/>
    <w:rsid w:val="004211F6"/>
    <w:rsid w:val="00421A81"/>
    <w:rsid w:val="00422883"/>
    <w:rsid w:val="00422ACC"/>
    <w:rsid w:val="00424BD9"/>
    <w:rsid w:val="00424E25"/>
    <w:rsid w:val="0042529A"/>
    <w:rsid w:val="00425D46"/>
    <w:rsid w:val="00426845"/>
    <w:rsid w:val="00427219"/>
    <w:rsid w:val="004274C1"/>
    <w:rsid w:val="00427977"/>
    <w:rsid w:val="00427B82"/>
    <w:rsid w:val="00430234"/>
    <w:rsid w:val="00431767"/>
    <w:rsid w:val="00431E4B"/>
    <w:rsid w:val="0043207F"/>
    <w:rsid w:val="0043296A"/>
    <w:rsid w:val="00433CB2"/>
    <w:rsid w:val="00434700"/>
    <w:rsid w:val="00434E44"/>
    <w:rsid w:val="00434E64"/>
    <w:rsid w:val="00435604"/>
    <w:rsid w:val="00435631"/>
    <w:rsid w:val="00435C79"/>
    <w:rsid w:val="004367EF"/>
    <w:rsid w:val="0043688A"/>
    <w:rsid w:val="00436F71"/>
    <w:rsid w:val="0043785F"/>
    <w:rsid w:val="00437CA2"/>
    <w:rsid w:val="0044099F"/>
    <w:rsid w:val="004409C3"/>
    <w:rsid w:val="00440B2D"/>
    <w:rsid w:val="00440D16"/>
    <w:rsid w:val="004421AE"/>
    <w:rsid w:val="004421E3"/>
    <w:rsid w:val="004430BB"/>
    <w:rsid w:val="0044331B"/>
    <w:rsid w:val="00443831"/>
    <w:rsid w:val="004442BE"/>
    <w:rsid w:val="00445B5E"/>
    <w:rsid w:val="004468AE"/>
    <w:rsid w:val="00446911"/>
    <w:rsid w:val="00446EA3"/>
    <w:rsid w:val="00450343"/>
    <w:rsid w:val="00450950"/>
    <w:rsid w:val="00450EFF"/>
    <w:rsid w:val="00451043"/>
    <w:rsid w:val="00451104"/>
    <w:rsid w:val="00451534"/>
    <w:rsid w:val="004517FC"/>
    <w:rsid w:val="00452F6C"/>
    <w:rsid w:val="004535E1"/>
    <w:rsid w:val="004537B8"/>
    <w:rsid w:val="00454144"/>
    <w:rsid w:val="0045422F"/>
    <w:rsid w:val="0045433C"/>
    <w:rsid w:val="0045471C"/>
    <w:rsid w:val="0045473B"/>
    <w:rsid w:val="00455A6D"/>
    <w:rsid w:val="00457115"/>
    <w:rsid w:val="00460705"/>
    <w:rsid w:val="00460A24"/>
    <w:rsid w:val="00460BC9"/>
    <w:rsid w:val="0046151F"/>
    <w:rsid w:val="00462AA7"/>
    <w:rsid w:val="00463AB6"/>
    <w:rsid w:val="00464052"/>
    <w:rsid w:val="00464102"/>
    <w:rsid w:val="00465799"/>
    <w:rsid w:val="0046586B"/>
    <w:rsid w:val="004660F5"/>
    <w:rsid w:val="0046675F"/>
    <w:rsid w:val="004674F7"/>
    <w:rsid w:val="00470219"/>
    <w:rsid w:val="00470256"/>
    <w:rsid w:val="004704F9"/>
    <w:rsid w:val="00470847"/>
    <w:rsid w:val="004708C0"/>
    <w:rsid w:val="00471039"/>
    <w:rsid w:val="00471447"/>
    <w:rsid w:val="00471B70"/>
    <w:rsid w:val="00471D1D"/>
    <w:rsid w:val="00471D33"/>
    <w:rsid w:val="0047220A"/>
    <w:rsid w:val="004726C0"/>
    <w:rsid w:val="0047271F"/>
    <w:rsid w:val="004728D6"/>
    <w:rsid w:val="00472EDA"/>
    <w:rsid w:val="004732C6"/>
    <w:rsid w:val="00473ED5"/>
    <w:rsid w:val="004744E1"/>
    <w:rsid w:val="00474682"/>
    <w:rsid w:val="004758DE"/>
    <w:rsid w:val="00475AE3"/>
    <w:rsid w:val="00475F4B"/>
    <w:rsid w:val="004769C3"/>
    <w:rsid w:val="00477159"/>
    <w:rsid w:val="00477B88"/>
    <w:rsid w:val="00480253"/>
    <w:rsid w:val="004805D6"/>
    <w:rsid w:val="00480B8A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1FB6"/>
    <w:rsid w:val="00492E8A"/>
    <w:rsid w:val="004931A3"/>
    <w:rsid w:val="00493412"/>
    <w:rsid w:val="00493C3D"/>
    <w:rsid w:val="00495348"/>
    <w:rsid w:val="0049640D"/>
    <w:rsid w:val="00497168"/>
    <w:rsid w:val="004972DE"/>
    <w:rsid w:val="004972E4"/>
    <w:rsid w:val="00497732"/>
    <w:rsid w:val="00497984"/>
    <w:rsid w:val="00497C57"/>
    <w:rsid w:val="00497D4F"/>
    <w:rsid w:val="004A02DC"/>
    <w:rsid w:val="004A0C09"/>
    <w:rsid w:val="004A126D"/>
    <w:rsid w:val="004A2333"/>
    <w:rsid w:val="004A29E4"/>
    <w:rsid w:val="004A32F1"/>
    <w:rsid w:val="004A33E9"/>
    <w:rsid w:val="004A371F"/>
    <w:rsid w:val="004A3EA6"/>
    <w:rsid w:val="004A3ECA"/>
    <w:rsid w:val="004A4BF6"/>
    <w:rsid w:val="004A5001"/>
    <w:rsid w:val="004A590B"/>
    <w:rsid w:val="004A5D5B"/>
    <w:rsid w:val="004A69AD"/>
    <w:rsid w:val="004A6D0D"/>
    <w:rsid w:val="004B04C6"/>
    <w:rsid w:val="004B08D3"/>
    <w:rsid w:val="004B1613"/>
    <w:rsid w:val="004B2572"/>
    <w:rsid w:val="004B2685"/>
    <w:rsid w:val="004B35F7"/>
    <w:rsid w:val="004B3D4B"/>
    <w:rsid w:val="004B3E3D"/>
    <w:rsid w:val="004B4273"/>
    <w:rsid w:val="004B4E32"/>
    <w:rsid w:val="004B5321"/>
    <w:rsid w:val="004B5383"/>
    <w:rsid w:val="004B64B5"/>
    <w:rsid w:val="004B7076"/>
    <w:rsid w:val="004B74AF"/>
    <w:rsid w:val="004C049D"/>
    <w:rsid w:val="004C202B"/>
    <w:rsid w:val="004C21FA"/>
    <w:rsid w:val="004C26B8"/>
    <w:rsid w:val="004C26D2"/>
    <w:rsid w:val="004C4444"/>
    <w:rsid w:val="004C4CB2"/>
    <w:rsid w:val="004C4D5D"/>
    <w:rsid w:val="004C5F79"/>
    <w:rsid w:val="004C612A"/>
    <w:rsid w:val="004C637F"/>
    <w:rsid w:val="004C722F"/>
    <w:rsid w:val="004C7237"/>
    <w:rsid w:val="004D03FA"/>
    <w:rsid w:val="004D07E5"/>
    <w:rsid w:val="004D14A8"/>
    <w:rsid w:val="004D2992"/>
    <w:rsid w:val="004D2BAF"/>
    <w:rsid w:val="004D2C10"/>
    <w:rsid w:val="004D3202"/>
    <w:rsid w:val="004D469E"/>
    <w:rsid w:val="004D4741"/>
    <w:rsid w:val="004D48A5"/>
    <w:rsid w:val="004D4B44"/>
    <w:rsid w:val="004D4E20"/>
    <w:rsid w:val="004D7FEA"/>
    <w:rsid w:val="004E08BE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565E"/>
    <w:rsid w:val="004E67DD"/>
    <w:rsid w:val="004E7840"/>
    <w:rsid w:val="004E791A"/>
    <w:rsid w:val="004E7B02"/>
    <w:rsid w:val="004F07EF"/>
    <w:rsid w:val="004F0AE6"/>
    <w:rsid w:val="004F0C24"/>
    <w:rsid w:val="004F16D1"/>
    <w:rsid w:val="004F18F6"/>
    <w:rsid w:val="004F1AD1"/>
    <w:rsid w:val="004F344E"/>
    <w:rsid w:val="004F370D"/>
    <w:rsid w:val="004F3CFC"/>
    <w:rsid w:val="004F4A05"/>
    <w:rsid w:val="004F52B4"/>
    <w:rsid w:val="004F59BE"/>
    <w:rsid w:val="004F5D8B"/>
    <w:rsid w:val="004F63DF"/>
    <w:rsid w:val="004F6CAB"/>
    <w:rsid w:val="004F7887"/>
    <w:rsid w:val="004F79B7"/>
    <w:rsid w:val="005008CC"/>
    <w:rsid w:val="005010D2"/>
    <w:rsid w:val="005016B0"/>
    <w:rsid w:val="00501CE3"/>
    <w:rsid w:val="00501D0E"/>
    <w:rsid w:val="0050202E"/>
    <w:rsid w:val="00502774"/>
    <w:rsid w:val="00503B05"/>
    <w:rsid w:val="00503DFC"/>
    <w:rsid w:val="00503F34"/>
    <w:rsid w:val="005041F1"/>
    <w:rsid w:val="00504C1B"/>
    <w:rsid w:val="005063ED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8A3"/>
    <w:rsid w:val="00514F62"/>
    <w:rsid w:val="00515560"/>
    <w:rsid w:val="00516548"/>
    <w:rsid w:val="00517831"/>
    <w:rsid w:val="005216FD"/>
    <w:rsid w:val="00522232"/>
    <w:rsid w:val="00522383"/>
    <w:rsid w:val="005228C3"/>
    <w:rsid w:val="0052315E"/>
    <w:rsid w:val="005231BF"/>
    <w:rsid w:val="005234AF"/>
    <w:rsid w:val="00525787"/>
    <w:rsid w:val="00525DF4"/>
    <w:rsid w:val="0052705D"/>
    <w:rsid w:val="005270A5"/>
    <w:rsid w:val="005271CF"/>
    <w:rsid w:val="00527651"/>
    <w:rsid w:val="00530D42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358B4"/>
    <w:rsid w:val="0054064D"/>
    <w:rsid w:val="005406FD"/>
    <w:rsid w:val="0054089B"/>
    <w:rsid w:val="00540AC5"/>
    <w:rsid w:val="00540BE7"/>
    <w:rsid w:val="005426C2"/>
    <w:rsid w:val="005429BE"/>
    <w:rsid w:val="00542A11"/>
    <w:rsid w:val="00545A36"/>
    <w:rsid w:val="00546559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0ED1"/>
    <w:rsid w:val="00561B7D"/>
    <w:rsid w:val="00562D36"/>
    <w:rsid w:val="00562E23"/>
    <w:rsid w:val="00563170"/>
    <w:rsid w:val="00564076"/>
    <w:rsid w:val="00564F63"/>
    <w:rsid w:val="00565E32"/>
    <w:rsid w:val="005665B1"/>
    <w:rsid w:val="0056722B"/>
    <w:rsid w:val="00567C21"/>
    <w:rsid w:val="00567CDC"/>
    <w:rsid w:val="00570837"/>
    <w:rsid w:val="00570BDD"/>
    <w:rsid w:val="00572558"/>
    <w:rsid w:val="00573060"/>
    <w:rsid w:val="00573821"/>
    <w:rsid w:val="0057388C"/>
    <w:rsid w:val="0057413F"/>
    <w:rsid w:val="00574A2F"/>
    <w:rsid w:val="00575E3A"/>
    <w:rsid w:val="0057657D"/>
    <w:rsid w:val="00576614"/>
    <w:rsid w:val="005768F3"/>
    <w:rsid w:val="00576E52"/>
    <w:rsid w:val="005776D2"/>
    <w:rsid w:val="00577957"/>
    <w:rsid w:val="00577C14"/>
    <w:rsid w:val="00580123"/>
    <w:rsid w:val="005802BF"/>
    <w:rsid w:val="0058095C"/>
    <w:rsid w:val="00580F2D"/>
    <w:rsid w:val="00581039"/>
    <w:rsid w:val="005814AC"/>
    <w:rsid w:val="00581D56"/>
    <w:rsid w:val="00581E19"/>
    <w:rsid w:val="00582246"/>
    <w:rsid w:val="00582436"/>
    <w:rsid w:val="0058309C"/>
    <w:rsid w:val="00584093"/>
    <w:rsid w:val="0058425B"/>
    <w:rsid w:val="00584758"/>
    <w:rsid w:val="00585AB6"/>
    <w:rsid w:val="00585AD7"/>
    <w:rsid w:val="00585C38"/>
    <w:rsid w:val="00585D17"/>
    <w:rsid w:val="00586018"/>
    <w:rsid w:val="00586FA1"/>
    <w:rsid w:val="0058707E"/>
    <w:rsid w:val="005879B7"/>
    <w:rsid w:val="005926A9"/>
    <w:rsid w:val="005926FE"/>
    <w:rsid w:val="00593133"/>
    <w:rsid w:val="00593A64"/>
    <w:rsid w:val="00593B3D"/>
    <w:rsid w:val="00593F1C"/>
    <w:rsid w:val="00594585"/>
    <w:rsid w:val="005950FE"/>
    <w:rsid w:val="00596CE0"/>
    <w:rsid w:val="00597509"/>
    <w:rsid w:val="00597CC7"/>
    <w:rsid w:val="005A0745"/>
    <w:rsid w:val="005A23B8"/>
    <w:rsid w:val="005A27B6"/>
    <w:rsid w:val="005A2E34"/>
    <w:rsid w:val="005A3212"/>
    <w:rsid w:val="005A3289"/>
    <w:rsid w:val="005A36A6"/>
    <w:rsid w:val="005A4372"/>
    <w:rsid w:val="005A4BB0"/>
    <w:rsid w:val="005A5697"/>
    <w:rsid w:val="005A5FB6"/>
    <w:rsid w:val="005A60A1"/>
    <w:rsid w:val="005A6369"/>
    <w:rsid w:val="005A6B2B"/>
    <w:rsid w:val="005A6F1D"/>
    <w:rsid w:val="005A7C0B"/>
    <w:rsid w:val="005A7EB7"/>
    <w:rsid w:val="005B02B8"/>
    <w:rsid w:val="005B02E3"/>
    <w:rsid w:val="005B09C4"/>
    <w:rsid w:val="005B0A27"/>
    <w:rsid w:val="005B1014"/>
    <w:rsid w:val="005B1521"/>
    <w:rsid w:val="005B325E"/>
    <w:rsid w:val="005B33EC"/>
    <w:rsid w:val="005B445D"/>
    <w:rsid w:val="005B5097"/>
    <w:rsid w:val="005B6768"/>
    <w:rsid w:val="005B6912"/>
    <w:rsid w:val="005B6C42"/>
    <w:rsid w:val="005B6FD5"/>
    <w:rsid w:val="005B71BC"/>
    <w:rsid w:val="005B77A5"/>
    <w:rsid w:val="005B77E3"/>
    <w:rsid w:val="005C01F5"/>
    <w:rsid w:val="005C029D"/>
    <w:rsid w:val="005C0FDA"/>
    <w:rsid w:val="005C1110"/>
    <w:rsid w:val="005C1739"/>
    <w:rsid w:val="005C2B41"/>
    <w:rsid w:val="005C2EDD"/>
    <w:rsid w:val="005C331A"/>
    <w:rsid w:val="005C33EA"/>
    <w:rsid w:val="005C3832"/>
    <w:rsid w:val="005C41EB"/>
    <w:rsid w:val="005C473B"/>
    <w:rsid w:val="005C595F"/>
    <w:rsid w:val="005C5BF2"/>
    <w:rsid w:val="005C68C9"/>
    <w:rsid w:val="005D0118"/>
    <w:rsid w:val="005D02B0"/>
    <w:rsid w:val="005D0483"/>
    <w:rsid w:val="005D0680"/>
    <w:rsid w:val="005D07D9"/>
    <w:rsid w:val="005D0F3E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6FB7"/>
    <w:rsid w:val="005D733B"/>
    <w:rsid w:val="005D7830"/>
    <w:rsid w:val="005D7D69"/>
    <w:rsid w:val="005D7E3C"/>
    <w:rsid w:val="005E05A8"/>
    <w:rsid w:val="005E180C"/>
    <w:rsid w:val="005E1D4B"/>
    <w:rsid w:val="005E2168"/>
    <w:rsid w:val="005E22C7"/>
    <w:rsid w:val="005E2815"/>
    <w:rsid w:val="005E2EB3"/>
    <w:rsid w:val="005E3E9B"/>
    <w:rsid w:val="005E400D"/>
    <w:rsid w:val="005E4FD6"/>
    <w:rsid w:val="005E5415"/>
    <w:rsid w:val="005E59F9"/>
    <w:rsid w:val="005E5D06"/>
    <w:rsid w:val="005E5EBF"/>
    <w:rsid w:val="005E6632"/>
    <w:rsid w:val="005F01B6"/>
    <w:rsid w:val="005F0D2E"/>
    <w:rsid w:val="005F1F0E"/>
    <w:rsid w:val="005F1FC0"/>
    <w:rsid w:val="005F2467"/>
    <w:rsid w:val="005F2E1B"/>
    <w:rsid w:val="005F3BED"/>
    <w:rsid w:val="005F3E46"/>
    <w:rsid w:val="005F3E4D"/>
    <w:rsid w:val="005F4616"/>
    <w:rsid w:val="005F5357"/>
    <w:rsid w:val="005F5404"/>
    <w:rsid w:val="005F72D8"/>
    <w:rsid w:val="00600D77"/>
    <w:rsid w:val="00600D95"/>
    <w:rsid w:val="006013E0"/>
    <w:rsid w:val="00601474"/>
    <w:rsid w:val="006031AF"/>
    <w:rsid w:val="006041E2"/>
    <w:rsid w:val="006066F1"/>
    <w:rsid w:val="00606A68"/>
    <w:rsid w:val="00607796"/>
    <w:rsid w:val="006078F5"/>
    <w:rsid w:val="0061222E"/>
    <w:rsid w:val="006137C3"/>
    <w:rsid w:val="00613A81"/>
    <w:rsid w:val="00613B5D"/>
    <w:rsid w:val="00615041"/>
    <w:rsid w:val="0061649F"/>
    <w:rsid w:val="00616BA1"/>
    <w:rsid w:val="006170EF"/>
    <w:rsid w:val="00617A67"/>
    <w:rsid w:val="00617BEB"/>
    <w:rsid w:val="0062044E"/>
    <w:rsid w:val="00621856"/>
    <w:rsid w:val="00622CF0"/>
    <w:rsid w:val="00623440"/>
    <w:rsid w:val="00623925"/>
    <w:rsid w:val="006240DA"/>
    <w:rsid w:val="00624689"/>
    <w:rsid w:val="00624CE0"/>
    <w:rsid w:val="00624EBB"/>
    <w:rsid w:val="00625499"/>
    <w:rsid w:val="00626C37"/>
    <w:rsid w:val="00626FDF"/>
    <w:rsid w:val="00627948"/>
    <w:rsid w:val="006279EF"/>
    <w:rsid w:val="00627C24"/>
    <w:rsid w:val="0063078B"/>
    <w:rsid w:val="00630D99"/>
    <w:rsid w:val="0063159E"/>
    <w:rsid w:val="00631648"/>
    <w:rsid w:val="006318E1"/>
    <w:rsid w:val="00631A6E"/>
    <w:rsid w:val="006332C7"/>
    <w:rsid w:val="00633518"/>
    <w:rsid w:val="00633DBA"/>
    <w:rsid w:val="00633F5E"/>
    <w:rsid w:val="00634247"/>
    <w:rsid w:val="0063428A"/>
    <w:rsid w:val="00634856"/>
    <w:rsid w:val="00634C05"/>
    <w:rsid w:val="00635858"/>
    <w:rsid w:val="00635BAA"/>
    <w:rsid w:val="00636540"/>
    <w:rsid w:val="00636DBD"/>
    <w:rsid w:val="00637056"/>
    <w:rsid w:val="0064120B"/>
    <w:rsid w:val="00641433"/>
    <w:rsid w:val="00641937"/>
    <w:rsid w:val="00642021"/>
    <w:rsid w:val="0064218D"/>
    <w:rsid w:val="00642A99"/>
    <w:rsid w:val="00642FBC"/>
    <w:rsid w:val="0064322F"/>
    <w:rsid w:val="00644E45"/>
    <w:rsid w:val="00645377"/>
    <w:rsid w:val="0064643D"/>
    <w:rsid w:val="00646954"/>
    <w:rsid w:val="006473DB"/>
    <w:rsid w:val="0064773C"/>
    <w:rsid w:val="00647784"/>
    <w:rsid w:val="00647BE8"/>
    <w:rsid w:val="0065045C"/>
    <w:rsid w:val="00651154"/>
    <w:rsid w:val="006514F8"/>
    <w:rsid w:val="00651A47"/>
    <w:rsid w:val="00652533"/>
    <w:rsid w:val="00652BA1"/>
    <w:rsid w:val="0065300A"/>
    <w:rsid w:val="0065327D"/>
    <w:rsid w:val="00653B2B"/>
    <w:rsid w:val="00653B79"/>
    <w:rsid w:val="00654BBD"/>
    <w:rsid w:val="006550AF"/>
    <w:rsid w:val="006551E0"/>
    <w:rsid w:val="006559CC"/>
    <w:rsid w:val="00655B47"/>
    <w:rsid w:val="00655B8C"/>
    <w:rsid w:val="006575AC"/>
    <w:rsid w:val="00657C7C"/>
    <w:rsid w:val="00657DDA"/>
    <w:rsid w:val="0066023F"/>
    <w:rsid w:val="0066027B"/>
    <w:rsid w:val="00660442"/>
    <w:rsid w:val="00660A7D"/>
    <w:rsid w:val="0066108F"/>
    <w:rsid w:val="00661441"/>
    <w:rsid w:val="0066175C"/>
    <w:rsid w:val="006617C3"/>
    <w:rsid w:val="00661962"/>
    <w:rsid w:val="00661A4E"/>
    <w:rsid w:val="006620AD"/>
    <w:rsid w:val="00663397"/>
    <w:rsid w:val="00663FAD"/>
    <w:rsid w:val="006656A6"/>
    <w:rsid w:val="00665ECF"/>
    <w:rsid w:val="0066619E"/>
    <w:rsid w:val="00667089"/>
    <w:rsid w:val="00671777"/>
    <w:rsid w:val="006717A3"/>
    <w:rsid w:val="00671ECF"/>
    <w:rsid w:val="00672383"/>
    <w:rsid w:val="0067261D"/>
    <w:rsid w:val="006727AC"/>
    <w:rsid w:val="00672A2B"/>
    <w:rsid w:val="00672FEF"/>
    <w:rsid w:val="0067434D"/>
    <w:rsid w:val="0067484C"/>
    <w:rsid w:val="00675156"/>
    <w:rsid w:val="006754A3"/>
    <w:rsid w:val="0067782A"/>
    <w:rsid w:val="0068033A"/>
    <w:rsid w:val="00680AAE"/>
    <w:rsid w:val="0068173C"/>
    <w:rsid w:val="006817AF"/>
    <w:rsid w:val="006820FF"/>
    <w:rsid w:val="00682184"/>
    <w:rsid w:val="006821CC"/>
    <w:rsid w:val="0068256D"/>
    <w:rsid w:val="00682795"/>
    <w:rsid w:val="00683592"/>
    <w:rsid w:val="006836AA"/>
    <w:rsid w:val="00683796"/>
    <w:rsid w:val="00684C07"/>
    <w:rsid w:val="0068542B"/>
    <w:rsid w:val="00685467"/>
    <w:rsid w:val="00685E82"/>
    <w:rsid w:val="006864D5"/>
    <w:rsid w:val="00686596"/>
    <w:rsid w:val="00686868"/>
    <w:rsid w:val="00686CA3"/>
    <w:rsid w:val="00687097"/>
    <w:rsid w:val="00687307"/>
    <w:rsid w:val="0069013E"/>
    <w:rsid w:val="006905FD"/>
    <w:rsid w:val="00690E47"/>
    <w:rsid w:val="00691370"/>
    <w:rsid w:val="0069195E"/>
    <w:rsid w:val="00691E3B"/>
    <w:rsid w:val="00692444"/>
    <w:rsid w:val="00693383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0CA6"/>
    <w:rsid w:val="006A1512"/>
    <w:rsid w:val="006A18F3"/>
    <w:rsid w:val="006A1ECF"/>
    <w:rsid w:val="006A230B"/>
    <w:rsid w:val="006A351A"/>
    <w:rsid w:val="006A3B5A"/>
    <w:rsid w:val="006A411A"/>
    <w:rsid w:val="006A552D"/>
    <w:rsid w:val="006A5708"/>
    <w:rsid w:val="006A5A1C"/>
    <w:rsid w:val="006A6B2C"/>
    <w:rsid w:val="006A6D52"/>
    <w:rsid w:val="006A77FC"/>
    <w:rsid w:val="006A7BD0"/>
    <w:rsid w:val="006B0266"/>
    <w:rsid w:val="006B11E8"/>
    <w:rsid w:val="006B12D2"/>
    <w:rsid w:val="006B14FF"/>
    <w:rsid w:val="006B1FC1"/>
    <w:rsid w:val="006B2086"/>
    <w:rsid w:val="006B2CA2"/>
    <w:rsid w:val="006B314F"/>
    <w:rsid w:val="006B3C2A"/>
    <w:rsid w:val="006B695F"/>
    <w:rsid w:val="006B6E07"/>
    <w:rsid w:val="006B6E0B"/>
    <w:rsid w:val="006B780E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649"/>
    <w:rsid w:val="006C1ABB"/>
    <w:rsid w:val="006C2082"/>
    <w:rsid w:val="006C2604"/>
    <w:rsid w:val="006C2BF9"/>
    <w:rsid w:val="006C2CF5"/>
    <w:rsid w:val="006C31B7"/>
    <w:rsid w:val="006C39DF"/>
    <w:rsid w:val="006C3B01"/>
    <w:rsid w:val="006C434A"/>
    <w:rsid w:val="006C4C14"/>
    <w:rsid w:val="006C60A7"/>
    <w:rsid w:val="006C6BFF"/>
    <w:rsid w:val="006C7006"/>
    <w:rsid w:val="006C770A"/>
    <w:rsid w:val="006C7D09"/>
    <w:rsid w:val="006D0BD2"/>
    <w:rsid w:val="006D0C10"/>
    <w:rsid w:val="006D0E54"/>
    <w:rsid w:val="006D23F8"/>
    <w:rsid w:val="006D2675"/>
    <w:rsid w:val="006D3119"/>
    <w:rsid w:val="006D50CD"/>
    <w:rsid w:val="006D5C60"/>
    <w:rsid w:val="006D63AB"/>
    <w:rsid w:val="006D68DC"/>
    <w:rsid w:val="006D7C72"/>
    <w:rsid w:val="006E004B"/>
    <w:rsid w:val="006E1197"/>
    <w:rsid w:val="006E15E3"/>
    <w:rsid w:val="006E17ED"/>
    <w:rsid w:val="006E2B29"/>
    <w:rsid w:val="006E2BE2"/>
    <w:rsid w:val="006E2F48"/>
    <w:rsid w:val="006E3028"/>
    <w:rsid w:val="006E3061"/>
    <w:rsid w:val="006E3C78"/>
    <w:rsid w:val="006E3F95"/>
    <w:rsid w:val="006E4152"/>
    <w:rsid w:val="006E51CE"/>
    <w:rsid w:val="006E54CD"/>
    <w:rsid w:val="006E6238"/>
    <w:rsid w:val="006E738B"/>
    <w:rsid w:val="006E743A"/>
    <w:rsid w:val="006E7C49"/>
    <w:rsid w:val="006F0457"/>
    <w:rsid w:val="006F0688"/>
    <w:rsid w:val="006F0D13"/>
    <w:rsid w:val="006F0E4F"/>
    <w:rsid w:val="006F193E"/>
    <w:rsid w:val="006F1D72"/>
    <w:rsid w:val="006F2C8F"/>
    <w:rsid w:val="006F2FA8"/>
    <w:rsid w:val="006F304C"/>
    <w:rsid w:val="006F31BB"/>
    <w:rsid w:val="006F3583"/>
    <w:rsid w:val="006F3EDF"/>
    <w:rsid w:val="006F62E6"/>
    <w:rsid w:val="006F6A79"/>
    <w:rsid w:val="006F794A"/>
    <w:rsid w:val="006F7CFB"/>
    <w:rsid w:val="006F7D06"/>
    <w:rsid w:val="0070068D"/>
    <w:rsid w:val="00700954"/>
    <w:rsid w:val="007034D0"/>
    <w:rsid w:val="00705643"/>
    <w:rsid w:val="00705867"/>
    <w:rsid w:val="00705BCE"/>
    <w:rsid w:val="007067B6"/>
    <w:rsid w:val="00706F3D"/>
    <w:rsid w:val="00707120"/>
    <w:rsid w:val="00707360"/>
    <w:rsid w:val="00707602"/>
    <w:rsid w:val="007101B4"/>
    <w:rsid w:val="00710424"/>
    <w:rsid w:val="00710591"/>
    <w:rsid w:val="00710D71"/>
    <w:rsid w:val="007114B7"/>
    <w:rsid w:val="007119A5"/>
    <w:rsid w:val="00711ED0"/>
    <w:rsid w:val="007122EA"/>
    <w:rsid w:val="007125AF"/>
    <w:rsid w:val="00712B97"/>
    <w:rsid w:val="0071373B"/>
    <w:rsid w:val="007137CC"/>
    <w:rsid w:val="00714273"/>
    <w:rsid w:val="007143DA"/>
    <w:rsid w:val="00714B40"/>
    <w:rsid w:val="00714E60"/>
    <w:rsid w:val="00715DF7"/>
    <w:rsid w:val="00715FBB"/>
    <w:rsid w:val="00716AC6"/>
    <w:rsid w:val="00716E1D"/>
    <w:rsid w:val="00717305"/>
    <w:rsid w:val="00717A01"/>
    <w:rsid w:val="00720767"/>
    <w:rsid w:val="0072177C"/>
    <w:rsid w:val="00721B0F"/>
    <w:rsid w:val="00722189"/>
    <w:rsid w:val="007224D0"/>
    <w:rsid w:val="00722F6F"/>
    <w:rsid w:val="00723405"/>
    <w:rsid w:val="00723882"/>
    <w:rsid w:val="007241BC"/>
    <w:rsid w:val="00724CEF"/>
    <w:rsid w:val="00725C97"/>
    <w:rsid w:val="0072706F"/>
    <w:rsid w:val="00727137"/>
    <w:rsid w:val="00727A17"/>
    <w:rsid w:val="00727BBA"/>
    <w:rsid w:val="007325A2"/>
    <w:rsid w:val="00732857"/>
    <w:rsid w:val="007328CF"/>
    <w:rsid w:val="00732D99"/>
    <w:rsid w:val="0073492C"/>
    <w:rsid w:val="00735048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842"/>
    <w:rsid w:val="00743C10"/>
    <w:rsid w:val="00744469"/>
    <w:rsid w:val="00744E00"/>
    <w:rsid w:val="00745108"/>
    <w:rsid w:val="00745483"/>
    <w:rsid w:val="00745AD8"/>
    <w:rsid w:val="00745DC4"/>
    <w:rsid w:val="0074699A"/>
    <w:rsid w:val="00750029"/>
    <w:rsid w:val="00750300"/>
    <w:rsid w:val="007516A5"/>
    <w:rsid w:val="00751780"/>
    <w:rsid w:val="00751949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1D08"/>
    <w:rsid w:val="00762239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1DB9"/>
    <w:rsid w:val="007724D5"/>
    <w:rsid w:val="00772D6A"/>
    <w:rsid w:val="00773421"/>
    <w:rsid w:val="00773FE4"/>
    <w:rsid w:val="007745FE"/>
    <w:rsid w:val="00774BE8"/>
    <w:rsid w:val="00774E22"/>
    <w:rsid w:val="00775997"/>
    <w:rsid w:val="0077630F"/>
    <w:rsid w:val="00776ACD"/>
    <w:rsid w:val="00777AFE"/>
    <w:rsid w:val="00777F87"/>
    <w:rsid w:val="00780E61"/>
    <w:rsid w:val="00781B40"/>
    <w:rsid w:val="00781DEE"/>
    <w:rsid w:val="00782F93"/>
    <w:rsid w:val="00783280"/>
    <w:rsid w:val="0078348A"/>
    <w:rsid w:val="0078439E"/>
    <w:rsid w:val="00784FCF"/>
    <w:rsid w:val="0078567D"/>
    <w:rsid w:val="00786307"/>
    <w:rsid w:val="007909B3"/>
    <w:rsid w:val="007926D5"/>
    <w:rsid w:val="007933DD"/>
    <w:rsid w:val="007937C5"/>
    <w:rsid w:val="007942AD"/>
    <w:rsid w:val="00795F00"/>
    <w:rsid w:val="00796363"/>
    <w:rsid w:val="00796BF0"/>
    <w:rsid w:val="00797C38"/>
    <w:rsid w:val="007A00D5"/>
    <w:rsid w:val="007A02DF"/>
    <w:rsid w:val="007A0429"/>
    <w:rsid w:val="007A0E66"/>
    <w:rsid w:val="007A106F"/>
    <w:rsid w:val="007A2498"/>
    <w:rsid w:val="007A24BB"/>
    <w:rsid w:val="007A29D4"/>
    <w:rsid w:val="007A3C20"/>
    <w:rsid w:val="007A4238"/>
    <w:rsid w:val="007A430C"/>
    <w:rsid w:val="007A5BDE"/>
    <w:rsid w:val="007A7334"/>
    <w:rsid w:val="007B062B"/>
    <w:rsid w:val="007B1D47"/>
    <w:rsid w:val="007B1E4F"/>
    <w:rsid w:val="007B2E46"/>
    <w:rsid w:val="007B348B"/>
    <w:rsid w:val="007B3B43"/>
    <w:rsid w:val="007B4778"/>
    <w:rsid w:val="007B48BA"/>
    <w:rsid w:val="007B4A01"/>
    <w:rsid w:val="007B4AFC"/>
    <w:rsid w:val="007B4F7A"/>
    <w:rsid w:val="007B5150"/>
    <w:rsid w:val="007B601C"/>
    <w:rsid w:val="007B6A7F"/>
    <w:rsid w:val="007B7908"/>
    <w:rsid w:val="007B7926"/>
    <w:rsid w:val="007B7955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5C1F"/>
    <w:rsid w:val="007C5EDE"/>
    <w:rsid w:val="007C61F7"/>
    <w:rsid w:val="007C6E99"/>
    <w:rsid w:val="007C7142"/>
    <w:rsid w:val="007C7AFB"/>
    <w:rsid w:val="007D01A0"/>
    <w:rsid w:val="007D04AD"/>
    <w:rsid w:val="007D0603"/>
    <w:rsid w:val="007D0A9F"/>
    <w:rsid w:val="007D0D66"/>
    <w:rsid w:val="007D1A82"/>
    <w:rsid w:val="007D1D08"/>
    <w:rsid w:val="007D25AD"/>
    <w:rsid w:val="007D2A65"/>
    <w:rsid w:val="007D40C4"/>
    <w:rsid w:val="007D41E2"/>
    <w:rsid w:val="007D4ED5"/>
    <w:rsid w:val="007D6641"/>
    <w:rsid w:val="007D7195"/>
    <w:rsid w:val="007D7349"/>
    <w:rsid w:val="007D76C4"/>
    <w:rsid w:val="007D78F4"/>
    <w:rsid w:val="007D7EEF"/>
    <w:rsid w:val="007D7FDE"/>
    <w:rsid w:val="007E05B5"/>
    <w:rsid w:val="007E06E3"/>
    <w:rsid w:val="007E0752"/>
    <w:rsid w:val="007E08B4"/>
    <w:rsid w:val="007E0AC6"/>
    <w:rsid w:val="007E0D7B"/>
    <w:rsid w:val="007E16E6"/>
    <w:rsid w:val="007E32BD"/>
    <w:rsid w:val="007E656C"/>
    <w:rsid w:val="007E6919"/>
    <w:rsid w:val="007E79BB"/>
    <w:rsid w:val="007F09E0"/>
    <w:rsid w:val="007F0EBD"/>
    <w:rsid w:val="007F2CA7"/>
    <w:rsid w:val="007F2FA3"/>
    <w:rsid w:val="007F312E"/>
    <w:rsid w:val="007F31D9"/>
    <w:rsid w:val="007F353D"/>
    <w:rsid w:val="007F3847"/>
    <w:rsid w:val="007F3890"/>
    <w:rsid w:val="007F3975"/>
    <w:rsid w:val="007F4106"/>
    <w:rsid w:val="007F5D85"/>
    <w:rsid w:val="007F5E32"/>
    <w:rsid w:val="007F664B"/>
    <w:rsid w:val="007F722E"/>
    <w:rsid w:val="007F7693"/>
    <w:rsid w:val="007F7B60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073E6"/>
    <w:rsid w:val="00807B58"/>
    <w:rsid w:val="00811BB0"/>
    <w:rsid w:val="00811DBB"/>
    <w:rsid w:val="00812210"/>
    <w:rsid w:val="0081223B"/>
    <w:rsid w:val="00812C84"/>
    <w:rsid w:val="00813336"/>
    <w:rsid w:val="008155CC"/>
    <w:rsid w:val="00815AFF"/>
    <w:rsid w:val="00816354"/>
    <w:rsid w:val="00816666"/>
    <w:rsid w:val="0081754F"/>
    <w:rsid w:val="00817EBC"/>
    <w:rsid w:val="0082003B"/>
    <w:rsid w:val="00820C60"/>
    <w:rsid w:val="00820E63"/>
    <w:rsid w:val="00821160"/>
    <w:rsid w:val="008217DB"/>
    <w:rsid w:val="0082184D"/>
    <w:rsid w:val="00821983"/>
    <w:rsid w:val="0082199A"/>
    <w:rsid w:val="00822DD6"/>
    <w:rsid w:val="00822F6F"/>
    <w:rsid w:val="00823DE5"/>
    <w:rsid w:val="00823EFA"/>
    <w:rsid w:val="008246A6"/>
    <w:rsid w:val="00824C0F"/>
    <w:rsid w:val="00825C9C"/>
    <w:rsid w:val="00825F06"/>
    <w:rsid w:val="0082604B"/>
    <w:rsid w:val="0082614F"/>
    <w:rsid w:val="0082622E"/>
    <w:rsid w:val="0082661B"/>
    <w:rsid w:val="00826B58"/>
    <w:rsid w:val="00826D44"/>
    <w:rsid w:val="00827634"/>
    <w:rsid w:val="00827916"/>
    <w:rsid w:val="00827C0D"/>
    <w:rsid w:val="00827DC9"/>
    <w:rsid w:val="00827DE2"/>
    <w:rsid w:val="0083042C"/>
    <w:rsid w:val="0083058B"/>
    <w:rsid w:val="0083125D"/>
    <w:rsid w:val="0083186B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688"/>
    <w:rsid w:val="00835BBC"/>
    <w:rsid w:val="00837999"/>
    <w:rsid w:val="008379F4"/>
    <w:rsid w:val="008400A3"/>
    <w:rsid w:val="0084029C"/>
    <w:rsid w:val="008407EE"/>
    <w:rsid w:val="00842AB8"/>
    <w:rsid w:val="0084366E"/>
    <w:rsid w:val="0084390C"/>
    <w:rsid w:val="00843B31"/>
    <w:rsid w:val="00844D2C"/>
    <w:rsid w:val="00845B57"/>
    <w:rsid w:val="00845E27"/>
    <w:rsid w:val="00846510"/>
    <w:rsid w:val="008473C5"/>
    <w:rsid w:val="008504B5"/>
    <w:rsid w:val="00850EFB"/>
    <w:rsid w:val="00851B6E"/>
    <w:rsid w:val="00851DBD"/>
    <w:rsid w:val="00851ED1"/>
    <w:rsid w:val="00852392"/>
    <w:rsid w:val="008528CB"/>
    <w:rsid w:val="00853079"/>
    <w:rsid w:val="008533E4"/>
    <w:rsid w:val="00853CBC"/>
    <w:rsid w:val="00855149"/>
    <w:rsid w:val="008557C6"/>
    <w:rsid w:val="008577BA"/>
    <w:rsid w:val="00857F10"/>
    <w:rsid w:val="008607BD"/>
    <w:rsid w:val="00860A63"/>
    <w:rsid w:val="00860E74"/>
    <w:rsid w:val="00860E86"/>
    <w:rsid w:val="00862AF0"/>
    <w:rsid w:val="0086425D"/>
    <w:rsid w:val="00864620"/>
    <w:rsid w:val="00865A29"/>
    <w:rsid w:val="008660BF"/>
    <w:rsid w:val="00866C9F"/>
    <w:rsid w:val="008671A5"/>
    <w:rsid w:val="008674D7"/>
    <w:rsid w:val="00867752"/>
    <w:rsid w:val="008704DD"/>
    <w:rsid w:val="008735A9"/>
    <w:rsid w:val="0087389D"/>
    <w:rsid w:val="0087393D"/>
    <w:rsid w:val="00874D53"/>
    <w:rsid w:val="008750A7"/>
    <w:rsid w:val="00876C88"/>
    <w:rsid w:val="008770F6"/>
    <w:rsid w:val="008771D1"/>
    <w:rsid w:val="00877221"/>
    <w:rsid w:val="0088145B"/>
    <w:rsid w:val="00881FD0"/>
    <w:rsid w:val="008824D7"/>
    <w:rsid w:val="00882754"/>
    <w:rsid w:val="008840E8"/>
    <w:rsid w:val="00884A19"/>
    <w:rsid w:val="00884DDB"/>
    <w:rsid w:val="0088505E"/>
    <w:rsid w:val="0088514D"/>
    <w:rsid w:val="00885A0C"/>
    <w:rsid w:val="00886365"/>
    <w:rsid w:val="00886A0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3925"/>
    <w:rsid w:val="00893EDA"/>
    <w:rsid w:val="008941B1"/>
    <w:rsid w:val="00894425"/>
    <w:rsid w:val="008944F4"/>
    <w:rsid w:val="00894BC8"/>
    <w:rsid w:val="00895293"/>
    <w:rsid w:val="00895E43"/>
    <w:rsid w:val="00895FC6"/>
    <w:rsid w:val="0089607C"/>
    <w:rsid w:val="00896312"/>
    <w:rsid w:val="00896515"/>
    <w:rsid w:val="00897342"/>
    <w:rsid w:val="008A0C9C"/>
    <w:rsid w:val="008A184F"/>
    <w:rsid w:val="008A1CBA"/>
    <w:rsid w:val="008A1F00"/>
    <w:rsid w:val="008A22C8"/>
    <w:rsid w:val="008A2B76"/>
    <w:rsid w:val="008A3AF4"/>
    <w:rsid w:val="008A448E"/>
    <w:rsid w:val="008A4DF1"/>
    <w:rsid w:val="008A6651"/>
    <w:rsid w:val="008A6CD6"/>
    <w:rsid w:val="008B0864"/>
    <w:rsid w:val="008B1424"/>
    <w:rsid w:val="008B1F2A"/>
    <w:rsid w:val="008B44A6"/>
    <w:rsid w:val="008B4A63"/>
    <w:rsid w:val="008B4AC5"/>
    <w:rsid w:val="008B4BB5"/>
    <w:rsid w:val="008B4FD3"/>
    <w:rsid w:val="008B50A5"/>
    <w:rsid w:val="008B57B9"/>
    <w:rsid w:val="008B595A"/>
    <w:rsid w:val="008B5BDE"/>
    <w:rsid w:val="008B6246"/>
    <w:rsid w:val="008B629D"/>
    <w:rsid w:val="008B725E"/>
    <w:rsid w:val="008B772C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7124"/>
    <w:rsid w:val="008C7E44"/>
    <w:rsid w:val="008C7EB7"/>
    <w:rsid w:val="008D14A9"/>
    <w:rsid w:val="008D1AAF"/>
    <w:rsid w:val="008D24DB"/>
    <w:rsid w:val="008D27B7"/>
    <w:rsid w:val="008D2E6F"/>
    <w:rsid w:val="008D31F4"/>
    <w:rsid w:val="008D37EC"/>
    <w:rsid w:val="008D3806"/>
    <w:rsid w:val="008D3987"/>
    <w:rsid w:val="008D449D"/>
    <w:rsid w:val="008D44AA"/>
    <w:rsid w:val="008D45C1"/>
    <w:rsid w:val="008D4C14"/>
    <w:rsid w:val="008D51E7"/>
    <w:rsid w:val="008D56B0"/>
    <w:rsid w:val="008D72E0"/>
    <w:rsid w:val="008D7771"/>
    <w:rsid w:val="008D7E8B"/>
    <w:rsid w:val="008E0A82"/>
    <w:rsid w:val="008E1D55"/>
    <w:rsid w:val="008E2245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1B"/>
    <w:rsid w:val="008F2722"/>
    <w:rsid w:val="008F33D5"/>
    <w:rsid w:val="008F3C1D"/>
    <w:rsid w:val="008F448C"/>
    <w:rsid w:val="008F4F52"/>
    <w:rsid w:val="008F569E"/>
    <w:rsid w:val="008F617D"/>
    <w:rsid w:val="008F649D"/>
    <w:rsid w:val="008F6A9C"/>
    <w:rsid w:val="008F7AF7"/>
    <w:rsid w:val="00900152"/>
    <w:rsid w:val="009003A0"/>
    <w:rsid w:val="00901E11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253"/>
    <w:rsid w:val="0090769B"/>
    <w:rsid w:val="00907B6A"/>
    <w:rsid w:val="0091058F"/>
    <w:rsid w:val="009108B8"/>
    <w:rsid w:val="00910B8F"/>
    <w:rsid w:val="00911F1B"/>
    <w:rsid w:val="00912426"/>
    <w:rsid w:val="00912704"/>
    <w:rsid w:val="00912A95"/>
    <w:rsid w:val="009130EC"/>
    <w:rsid w:val="009137E2"/>
    <w:rsid w:val="00913D87"/>
    <w:rsid w:val="009141A8"/>
    <w:rsid w:val="00915686"/>
    <w:rsid w:val="00916F2D"/>
    <w:rsid w:val="00917757"/>
    <w:rsid w:val="00917D1F"/>
    <w:rsid w:val="00920825"/>
    <w:rsid w:val="009208FB"/>
    <w:rsid w:val="00921080"/>
    <w:rsid w:val="00921B19"/>
    <w:rsid w:val="00922514"/>
    <w:rsid w:val="009228E3"/>
    <w:rsid w:val="00922AF0"/>
    <w:rsid w:val="009251D3"/>
    <w:rsid w:val="00925A8C"/>
    <w:rsid w:val="00925C4D"/>
    <w:rsid w:val="00925D31"/>
    <w:rsid w:val="0092631F"/>
    <w:rsid w:val="009264DD"/>
    <w:rsid w:val="009264E7"/>
    <w:rsid w:val="0092695A"/>
    <w:rsid w:val="00926B60"/>
    <w:rsid w:val="0092700E"/>
    <w:rsid w:val="00927831"/>
    <w:rsid w:val="00927ECD"/>
    <w:rsid w:val="0093047E"/>
    <w:rsid w:val="00930FD8"/>
    <w:rsid w:val="009314EC"/>
    <w:rsid w:val="00932455"/>
    <w:rsid w:val="009326A8"/>
    <w:rsid w:val="009341B4"/>
    <w:rsid w:val="009342AC"/>
    <w:rsid w:val="009367D0"/>
    <w:rsid w:val="00937628"/>
    <w:rsid w:val="009407CD"/>
    <w:rsid w:val="00941491"/>
    <w:rsid w:val="00941528"/>
    <w:rsid w:val="00943520"/>
    <w:rsid w:val="0094372F"/>
    <w:rsid w:val="00943EDF"/>
    <w:rsid w:val="0094475D"/>
    <w:rsid w:val="00945AD3"/>
    <w:rsid w:val="00946866"/>
    <w:rsid w:val="00947733"/>
    <w:rsid w:val="00947A4C"/>
    <w:rsid w:val="00950395"/>
    <w:rsid w:val="0095040C"/>
    <w:rsid w:val="009508D9"/>
    <w:rsid w:val="00950B72"/>
    <w:rsid w:val="00950CC4"/>
    <w:rsid w:val="009514A1"/>
    <w:rsid w:val="00951B74"/>
    <w:rsid w:val="009526BA"/>
    <w:rsid w:val="0095365D"/>
    <w:rsid w:val="00953D66"/>
    <w:rsid w:val="00954235"/>
    <w:rsid w:val="00954470"/>
    <w:rsid w:val="00954471"/>
    <w:rsid w:val="00954845"/>
    <w:rsid w:val="009559E4"/>
    <w:rsid w:val="00955B9E"/>
    <w:rsid w:val="00955C8A"/>
    <w:rsid w:val="009563BB"/>
    <w:rsid w:val="00956640"/>
    <w:rsid w:val="00957271"/>
    <w:rsid w:val="009576E4"/>
    <w:rsid w:val="00957813"/>
    <w:rsid w:val="00957A04"/>
    <w:rsid w:val="00957E37"/>
    <w:rsid w:val="00957FC4"/>
    <w:rsid w:val="009603D0"/>
    <w:rsid w:val="00960870"/>
    <w:rsid w:val="00960BF0"/>
    <w:rsid w:val="00960F97"/>
    <w:rsid w:val="0096153B"/>
    <w:rsid w:val="00961623"/>
    <w:rsid w:val="009637A0"/>
    <w:rsid w:val="0096486F"/>
    <w:rsid w:val="00965100"/>
    <w:rsid w:val="00965AF2"/>
    <w:rsid w:val="00966D00"/>
    <w:rsid w:val="009716F2"/>
    <w:rsid w:val="00972F22"/>
    <w:rsid w:val="009734BD"/>
    <w:rsid w:val="00975C25"/>
    <w:rsid w:val="00975C85"/>
    <w:rsid w:val="009766A1"/>
    <w:rsid w:val="00976C98"/>
    <w:rsid w:val="00977552"/>
    <w:rsid w:val="00980D01"/>
    <w:rsid w:val="0098132C"/>
    <w:rsid w:val="009814DD"/>
    <w:rsid w:val="00981872"/>
    <w:rsid w:val="00981B57"/>
    <w:rsid w:val="00982402"/>
    <w:rsid w:val="00983D5F"/>
    <w:rsid w:val="00985AB3"/>
    <w:rsid w:val="00985DD2"/>
    <w:rsid w:val="0098660E"/>
    <w:rsid w:val="0098677B"/>
    <w:rsid w:val="00986BBD"/>
    <w:rsid w:val="009874E6"/>
    <w:rsid w:val="00987987"/>
    <w:rsid w:val="00991EC1"/>
    <w:rsid w:val="009921AC"/>
    <w:rsid w:val="00995616"/>
    <w:rsid w:val="00995ED3"/>
    <w:rsid w:val="00996593"/>
    <w:rsid w:val="009969D7"/>
    <w:rsid w:val="00997118"/>
    <w:rsid w:val="009974CC"/>
    <w:rsid w:val="00997739"/>
    <w:rsid w:val="009978D4"/>
    <w:rsid w:val="00997EF3"/>
    <w:rsid w:val="00997F9E"/>
    <w:rsid w:val="009A00F9"/>
    <w:rsid w:val="009A031F"/>
    <w:rsid w:val="009A19F3"/>
    <w:rsid w:val="009A1F5D"/>
    <w:rsid w:val="009A1FF0"/>
    <w:rsid w:val="009A2085"/>
    <w:rsid w:val="009A2EF1"/>
    <w:rsid w:val="009A3696"/>
    <w:rsid w:val="009A3BC1"/>
    <w:rsid w:val="009A3F75"/>
    <w:rsid w:val="009A4537"/>
    <w:rsid w:val="009A4775"/>
    <w:rsid w:val="009A47E3"/>
    <w:rsid w:val="009A55CF"/>
    <w:rsid w:val="009A586D"/>
    <w:rsid w:val="009A6208"/>
    <w:rsid w:val="009A67C9"/>
    <w:rsid w:val="009A6BC1"/>
    <w:rsid w:val="009A6D05"/>
    <w:rsid w:val="009A7820"/>
    <w:rsid w:val="009A7F14"/>
    <w:rsid w:val="009B04AF"/>
    <w:rsid w:val="009B0755"/>
    <w:rsid w:val="009B0DDF"/>
    <w:rsid w:val="009B20AD"/>
    <w:rsid w:val="009B31E6"/>
    <w:rsid w:val="009B3682"/>
    <w:rsid w:val="009B37ED"/>
    <w:rsid w:val="009B4A71"/>
    <w:rsid w:val="009B4BFB"/>
    <w:rsid w:val="009B4C6F"/>
    <w:rsid w:val="009B563C"/>
    <w:rsid w:val="009B5D6E"/>
    <w:rsid w:val="009B6791"/>
    <w:rsid w:val="009B764C"/>
    <w:rsid w:val="009B7821"/>
    <w:rsid w:val="009B7955"/>
    <w:rsid w:val="009B7B83"/>
    <w:rsid w:val="009C06CA"/>
    <w:rsid w:val="009C09FE"/>
    <w:rsid w:val="009C1A52"/>
    <w:rsid w:val="009C1AE3"/>
    <w:rsid w:val="009C2B2F"/>
    <w:rsid w:val="009C4710"/>
    <w:rsid w:val="009C4E2C"/>
    <w:rsid w:val="009C5A25"/>
    <w:rsid w:val="009C6033"/>
    <w:rsid w:val="009C6D75"/>
    <w:rsid w:val="009C76E3"/>
    <w:rsid w:val="009D0026"/>
    <w:rsid w:val="009D12BB"/>
    <w:rsid w:val="009D209A"/>
    <w:rsid w:val="009D3683"/>
    <w:rsid w:val="009D393E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1713"/>
    <w:rsid w:val="009E1838"/>
    <w:rsid w:val="009E2221"/>
    <w:rsid w:val="009E2A58"/>
    <w:rsid w:val="009E3156"/>
    <w:rsid w:val="009E4BA8"/>
    <w:rsid w:val="009E52D7"/>
    <w:rsid w:val="009E639B"/>
    <w:rsid w:val="009E682C"/>
    <w:rsid w:val="009E6A28"/>
    <w:rsid w:val="009E6EC6"/>
    <w:rsid w:val="009E7131"/>
    <w:rsid w:val="009E781A"/>
    <w:rsid w:val="009F1AFE"/>
    <w:rsid w:val="009F3324"/>
    <w:rsid w:val="009F5D22"/>
    <w:rsid w:val="009F6F38"/>
    <w:rsid w:val="009F7A1C"/>
    <w:rsid w:val="00A000CA"/>
    <w:rsid w:val="00A00639"/>
    <w:rsid w:val="00A01489"/>
    <w:rsid w:val="00A01B7C"/>
    <w:rsid w:val="00A01E00"/>
    <w:rsid w:val="00A0221A"/>
    <w:rsid w:val="00A0394D"/>
    <w:rsid w:val="00A04837"/>
    <w:rsid w:val="00A05DD2"/>
    <w:rsid w:val="00A064CC"/>
    <w:rsid w:val="00A075D5"/>
    <w:rsid w:val="00A104FC"/>
    <w:rsid w:val="00A108C3"/>
    <w:rsid w:val="00A10B2D"/>
    <w:rsid w:val="00A110F7"/>
    <w:rsid w:val="00A124D9"/>
    <w:rsid w:val="00A129F3"/>
    <w:rsid w:val="00A12E28"/>
    <w:rsid w:val="00A137F7"/>
    <w:rsid w:val="00A13982"/>
    <w:rsid w:val="00A13B42"/>
    <w:rsid w:val="00A142FF"/>
    <w:rsid w:val="00A147DB"/>
    <w:rsid w:val="00A14D09"/>
    <w:rsid w:val="00A14DE7"/>
    <w:rsid w:val="00A15A25"/>
    <w:rsid w:val="00A15B7C"/>
    <w:rsid w:val="00A160AD"/>
    <w:rsid w:val="00A161A9"/>
    <w:rsid w:val="00A1669E"/>
    <w:rsid w:val="00A16D17"/>
    <w:rsid w:val="00A16EFD"/>
    <w:rsid w:val="00A174D4"/>
    <w:rsid w:val="00A20BC5"/>
    <w:rsid w:val="00A21054"/>
    <w:rsid w:val="00A21497"/>
    <w:rsid w:val="00A2228C"/>
    <w:rsid w:val="00A22750"/>
    <w:rsid w:val="00A231DE"/>
    <w:rsid w:val="00A24DA0"/>
    <w:rsid w:val="00A24DBB"/>
    <w:rsid w:val="00A25B0F"/>
    <w:rsid w:val="00A26209"/>
    <w:rsid w:val="00A2713E"/>
    <w:rsid w:val="00A271B5"/>
    <w:rsid w:val="00A276D8"/>
    <w:rsid w:val="00A27CEB"/>
    <w:rsid w:val="00A27F1A"/>
    <w:rsid w:val="00A301EC"/>
    <w:rsid w:val="00A3041C"/>
    <w:rsid w:val="00A3172A"/>
    <w:rsid w:val="00A3172D"/>
    <w:rsid w:val="00A33336"/>
    <w:rsid w:val="00A33B5D"/>
    <w:rsid w:val="00A33CC7"/>
    <w:rsid w:val="00A34F03"/>
    <w:rsid w:val="00A35435"/>
    <w:rsid w:val="00A35DA0"/>
    <w:rsid w:val="00A374B1"/>
    <w:rsid w:val="00A400D9"/>
    <w:rsid w:val="00A413F7"/>
    <w:rsid w:val="00A41973"/>
    <w:rsid w:val="00A420CE"/>
    <w:rsid w:val="00A4271C"/>
    <w:rsid w:val="00A42774"/>
    <w:rsid w:val="00A43410"/>
    <w:rsid w:val="00A43695"/>
    <w:rsid w:val="00A43DB9"/>
    <w:rsid w:val="00A440C8"/>
    <w:rsid w:val="00A44630"/>
    <w:rsid w:val="00A44D94"/>
    <w:rsid w:val="00A44E07"/>
    <w:rsid w:val="00A45128"/>
    <w:rsid w:val="00A4517E"/>
    <w:rsid w:val="00A45357"/>
    <w:rsid w:val="00A463E7"/>
    <w:rsid w:val="00A47081"/>
    <w:rsid w:val="00A502E5"/>
    <w:rsid w:val="00A5076A"/>
    <w:rsid w:val="00A51B13"/>
    <w:rsid w:val="00A51DC1"/>
    <w:rsid w:val="00A52030"/>
    <w:rsid w:val="00A521F4"/>
    <w:rsid w:val="00A5313B"/>
    <w:rsid w:val="00A53B08"/>
    <w:rsid w:val="00A54254"/>
    <w:rsid w:val="00A544A4"/>
    <w:rsid w:val="00A54563"/>
    <w:rsid w:val="00A547C5"/>
    <w:rsid w:val="00A5547F"/>
    <w:rsid w:val="00A5727A"/>
    <w:rsid w:val="00A604A4"/>
    <w:rsid w:val="00A60894"/>
    <w:rsid w:val="00A6165A"/>
    <w:rsid w:val="00A627E3"/>
    <w:rsid w:val="00A6296B"/>
    <w:rsid w:val="00A62BF9"/>
    <w:rsid w:val="00A63363"/>
    <w:rsid w:val="00A640D3"/>
    <w:rsid w:val="00A644C5"/>
    <w:rsid w:val="00A654CA"/>
    <w:rsid w:val="00A662D6"/>
    <w:rsid w:val="00A675BA"/>
    <w:rsid w:val="00A675FC"/>
    <w:rsid w:val="00A67864"/>
    <w:rsid w:val="00A67EC1"/>
    <w:rsid w:val="00A67FF0"/>
    <w:rsid w:val="00A70962"/>
    <w:rsid w:val="00A70B4A"/>
    <w:rsid w:val="00A71494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6613"/>
    <w:rsid w:val="00A77DC2"/>
    <w:rsid w:val="00A80687"/>
    <w:rsid w:val="00A816B2"/>
    <w:rsid w:val="00A82F5A"/>
    <w:rsid w:val="00A83598"/>
    <w:rsid w:val="00A83E10"/>
    <w:rsid w:val="00A840B1"/>
    <w:rsid w:val="00A84468"/>
    <w:rsid w:val="00A845C7"/>
    <w:rsid w:val="00A854A3"/>
    <w:rsid w:val="00A85EEF"/>
    <w:rsid w:val="00A861D2"/>
    <w:rsid w:val="00A8649F"/>
    <w:rsid w:val="00A90165"/>
    <w:rsid w:val="00A90C4D"/>
    <w:rsid w:val="00A90F20"/>
    <w:rsid w:val="00A9185E"/>
    <w:rsid w:val="00A91DBE"/>
    <w:rsid w:val="00A938F3"/>
    <w:rsid w:val="00A948E9"/>
    <w:rsid w:val="00A950DB"/>
    <w:rsid w:val="00A955DC"/>
    <w:rsid w:val="00A95D14"/>
    <w:rsid w:val="00A95E94"/>
    <w:rsid w:val="00A95F76"/>
    <w:rsid w:val="00A96DD3"/>
    <w:rsid w:val="00A97476"/>
    <w:rsid w:val="00A978EA"/>
    <w:rsid w:val="00A97CE2"/>
    <w:rsid w:val="00AA04B6"/>
    <w:rsid w:val="00AA0729"/>
    <w:rsid w:val="00AA2423"/>
    <w:rsid w:val="00AA282C"/>
    <w:rsid w:val="00AA2C91"/>
    <w:rsid w:val="00AA3F50"/>
    <w:rsid w:val="00AA42D6"/>
    <w:rsid w:val="00AA42EB"/>
    <w:rsid w:val="00AA4B9B"/>
    <w:rsid w:val="00AA572E"/>
    <w:rsid w:val="00AA7979"/>
    <w:rsid w:val="00AB0687"/>
    <w:rsid w:val="00AB1B38"/>
    <w:rsid w:val="00AB1EE4"/>
    <w:rsid w:val="00AB2E25"/>
    <w:rsid w:val="00AB33B7"/>
    <w:rsid w:val="00AB3936"/>
    <w:rsid w:val="00AB3BCE"/>
    <w:rsid w:val="00AB3C59"/>
    <w:rsid w:val="00AB3FF2"/>
    <w:rsid w:val="00AB4418"/>
    <w:rsid w:val="00AB4E95"/>
    <w:rsid w:val="00AB588A"/>
    <w:rsid w:val="00AB5E04"/>
    <w:rsid w:val="00AB6D2A"/>
    <w:rsid w:val="00AB717C"/>
    <w:rsid w:val="00AB72BA"/>
    <w:rsid w:val="00AB7AC9"/>
    <w:rsid w:val="00AC0073"/>
    <w:rsid w:val="00AC0FC8"/>
    <w:rsid w:val="00AC12E6"/>
    <w:rsid w:val="00AC18C7"/>
    <w:rsid w:val="00AC22CF"/>
    <w:rsid w:val="00AC3986"/>
    <w:rsid w:val="00AC4978"/>
    <w:rsid w:val="00AC65CC"/>
    <w:rsid w:val="00AC66D2"/>
    <w:rsid w:val="00AC7072"/>
    <w:rsid w:val="00AC757D"/>
    <w:rsid w:val="00AD1582"/>
    <w:rsid w:val="00AD272E"/>
    <w:rsid w:val="00AD279E"/>
    <w:rsid w:val="00AD2999"/>
    <w:rsid w:val="00AD36F9"/>
    <w:rsid w:val="00AD370F"/>
    <w:rsid w:val="00AD3812"/>
    <w:rsid w:val="00AD4377"/>
    <w:rsid w:val="00AD4F26"/>
    <w:rsid w:val="00AD5BB6"/>
    <w:rsid w:val="00AD644D"/>
    <w:rsid w:val="00AD6880"/>
    <w:rsid w:val="00AD736B"/>
    <w:rsid w:val="00AE042C"/>
    <w:rsid w:val="00AE068C"/>
    <w:rsid w:val="00AE0AA7"/>
    <w:rsid w:val="00AE0D89"/>
    <w:rsid w:val="00AE1ADA"/>
    <w:rsid w:val="00AE1C32"/>
    <w:rsid w:val="00AE2082"/>
    <w:rsid w:val="00AE2438"/>
    <w:rsid w:val="00AE2522"/>
    <w:rsid w:val="00AE27A6"/>
    <w:rsid w:val="00AE2ABD"/>
    <w:rsid w:val="00AE2D48"/>
    <w:rsid w:val="00AE3F60"/>
    <w:rsid w:val="00AE49D4"/>
    <w:rsid w:val="00AE540D"/>
    <w:rsid w:val="00AE553B"/>
    <w:rsid w:val="00AE5641"/>
    <w:rsid w:val="00AE5E67"/>
    <w:rsid w:val="00AE67F8"/>
    <w:rsid w:val="00AE721E"/>
    <w:rsid w:val="00AE779F"/>
    <w:rsid w:val="00AF015F"/>
    <w:rsid w:val="00AF09F9"/>
    <w:rsid w:val="00AF162A"/>
    <w:rsid w:val="00AF3096"/>
    <w:rsid w:val="00AF3E95"/>
    <w:rsid w:val="00AF4665"/>
    <w:rsid w:val="00AF5E0B"/>
    <w:rsid w:val="00AF6349"/>
    <w:rsid w:val="00AF6524"/>
    <w:rsid w:val="00AF6C57"/>
    <w:rsid w:val="00AF6EFE"/>
    <w:rsid w:val="00AF73DF"/>
    <w:rsid w:val="00AF7CC6"/>
    <w:rsid w:val="00B01809"/>
    <w:rsid w:val="00B01E6B"/>
    <w:rsid w:val="00B0265D"/>
    <w:rsid w:val="00B0283E"/>
    <w:rsid w:val="00B02BDD"/>
    <w:rsid w:val="00B02DF7"/>
    <w:rsid w:val="00B03021"/>
    <w:rsid w:val="00B033F4"/>
    <w:rsid w:val="00B04FEC"/>
    <w:rsid w:val="00B0688B"/>
    <w:rsid w:val="00B068B5"/>
    <w:rsid w:val="00B06DB1"/>
    <w:rsid w:val="00B06E0C"/>
    <w:rsid w:val="00B07126"/>
    <w:rsid w:val="00B10786"/>
    <w:rsid w:val="00B10909"/>
    <w:rsid w:val="00B10F10"/>
    <w:rsid w:val="00B11331"/>
    <w:rsid w:val="00B117F6"/>
    <w:rsid w:val="00B12047"/>
    <w:rsid w:val="00B12201"/>
    <w:rsid w:val="00B133D8"/>
    <w:rsid w:val="00B13833"/>
    <w:rsid w:val="00B13D51"/>
    <w:rsid w:val="00B14433"/>
    <w:rsid w:val="00B14A37"/>
    <w:rsid w:val="00B16CE4"/>
    <w:rsid w:val="00B16D1D"/>
    <w:rsid w:val="00B16E69"/>
    <w:rsid w:val="00B20494"/>
    <w:rsid w:val="00B2066F"/>
    <w:rsid w:val="00B208CD"/>
    <w:rsid w:val="00B226CD"/>
    <w:rsid w:val="00B2336A"/>
    <w:rsid w:val="00B234AD"/>
    <w:rsid w:val="00B23CA0"/>
    <w:rsid w:val="00B2594D"/>
    <w:rsid w:val="00B25F7A"/>
    <w:rsid w:val="00B26267"/>
    <w:rsid w:val="00B27215"/>
    <w:rsid w:val="00B2778E"/>
    <w:rsid w:val="00B30497"/>
    <w:rsid w:val="00B3257C"/>
    <w:rsid w:val="00B33383"/>
    <w:rsid w:val="00B33398"/>
    <w:rsid w:val="00B33DDD"/>
    <w:rsid w:val="00B36132"/>
    <w:rsid w:val="00B3617A"/>
    <w:rsid w:val="00B36214"/>
    <w:rsid w:val="00B36B99"/>
    <w:rsid w:val="00B36D2C"/>
    <w:rsid w:val="00B36E89"/>
    <w:rsid w:val="00B40371"/>
    <w:rsid w:val="00B4062C"/>
    <w:rsid w:val="00B4075F"/>
    <w:rsid w:val="00B411E4"/>
    <w:rsid w:val="00B4167A"/>
    <w:rsid w:val="00B42576"/>
    <w:rsid w:val="00B437F9"/>
    <w:rsid w:val="00B446BF"/>
    <w:rsid w:val="00B44ADE"/>
    <w:rsid w:val="00B453A5"/>
    <w:rsid w:val="00B4597A"/>
    <w:rsid w:val="00B45A8F"/>
    <w:rsid w:val="00B468B0"/>
    <w:rsid w:val="00B50AB7"/>
    <w:rsid w:val="00B50EDD"/>
    <w:rsid w:val="00B531DA"/>
    <w:rsid w:val="00B53682"/>
    <w:rsid w:val="00B55B9F"/>
    <w:rsid w:val="00B56427"/>
    <w:rsid w:val="00B56764"/>
    <w:rsid w:val="00B56866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C0"/>
    <w:rsid w:val="00B639AE"/>
    <w:rsid w:val="00B63BC5"/>
    <w:rsid w:val="00B6486A"/>
    <w:rsid w:val="00B64C69"/>
    <w:rsid w:val="00B64FE9"/>
    <w:rsid w:val="00B66ADA"/>
    <w:rsid w:val="00B67B3D"/>
    <w:rsid w:val="00B67E26"/>
    <w:rsid w:val="00B70A77"/>
    <w:rsid w:val="00B70FEA"/>
    <w:rsid w:val="00B7208B"/>
    <w:rsid w:val="00B72B19"/>
    <w:rsid w:val="00B72F87"/>
    <w:rsid w:val="00B7305B"/>
    <w:rsid w:val="00B73BA8"/>
    <w:rsid w:val="00B73F50"/>
    <w:rsid w:val="00B73F56"/>
    <w:rsid w:val="00B7423F"/>
    <w:rsid w:val="00B744FD"/>
    <w:rsid w:val="00B74770"/>
    <w:rsid w:val="00B750B3"/>
    <w:rsid w:val="00B7692B"/>
    <w:rsid w:val="00B772A4"/>
    <w:rsid w:val="00B80970"/>
    <w:rsid w:val="00B80B06"/>
    <w:rsid w:val="00B817CC"/>
    <w:rsid w:val="00B82E10"/>
    <w:rsid w:val="00B831BA"/>
    <w:rsid w:val="00B851E2"/>
    <w:rsid w:val="00B85C21"/>
    <w:rsid w:val="00B85F7C"/>
    <w:rsid w:val="00B85F87"/>
    <w:rsid w:val="00B867C7"/>
    <w:rsid w:val="00B86C71"/>
    <w:rsid w:val="00B87925"/>
    <w:rsid w:val="00B87AC9"/>
    <w:rsid w:val="00B87C77"/>
    <w:rsid w:val="00B92516"/>
    <w:rsid w:val="00B9360A"/>
    <w:rsid w:val="00B94BD5"/>
    <w:rsid w:val="00B95E56"/>
    <w:rsid w:val="00B96E0C"/>
    <w:rsid w:val="00BA05AF"/>
    <w:rsid w:val="00BA05CB"/>
    <w:rsid w:val="00BA1244"/>
    <w:rsid w:val="00BA1CE0"/>
    <w:rsid w:val="00BA20BF"/>
    <w:rsid w:val="00BA238B"/>
    <w:rsid w:val="00BA2EF0"/>
    <w:rsid w:val="00BA3B9E"/>
    <w:rsid w:val="00BA3D32"/>
    <w:rsid w:val="00BA3DCF"/>
    <w:rsid w:val="00BA6FF3"/>
    <w:rsid w:val="00BA714C"/>
    <w:rsid w:val="00BA72B1"/>
    <w:rsid w:val="00BA7DC0"/>
    <w:rsid w:val="00BA7DFB"/>
    <w:rsid w:val="00BB0D2B"/>
    <w:rsid w:val="00BB1F54"/>
    <w:rsid w:val="00BB23E7"/>
    <w:rsid w:val="00BB3BBC"/>
    <w:rsid w:val="00BB3C65"/>
    <w:rsid w:val="00BB47D6"/>
    <w:rsid w:val="00BB4BB2"/>
    <w:rsid w:val="00BC0290"/>
    <w:rsid w:val="00BC1675"/>
    <w:rsid w:val="00BC1AA8"/>
    <w:rsid w:val="00BC1F59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6E6A"/>
    <w:rsid w:val="00BC7770"/>
    <w:rsid w:val="00BD0284"/>
    <w:rsid w:val="00BD0705"/>
    <w:rsid w:val="00BD140E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C8F"/>
    <w:rsid w:val="00BD6D58"/>
    <w:rsid w:val="00BD6F03"/>
    <w:rsid w:val="00BD713D"/>
    <w:rsid w:val="00BD79F2"/>
    <w:rsid w:val="00BE052F"/>
    <w:rsid w:val="00BE0F84"/>
    <w:rsid w:val="00BE1B70"/>
    <w:rsid w:val="00BE269D"/>
    <w:rsid w:val="00BE26EE"/>
    <w:rsid w:val="00BE2C7E"/>
    <w:rsid w:val="00BE3EBD"/>
    <w:rsid w:val="00BE46AC"/>
    <w:rsid w:val="00BE4D50"/>
    <w:rsid w:val="00BE5580"/>
    <w:rsid w:val="00BE563A"/>
    <w:rsid w:val="00BE5779"/>
    <w:rsid w:val="00BE5DA1"/>
    <w:rsid w:val="00BE624F"/>
    <w:rsid w:val="00BE681E"/>
    <w:rsid w:val="00BE780B"/>
    <w:rsid w:val="00BF011D"/>
    <w:rsid w:val="00BF0995"/>
    <w:rsid w:val="00BF0E04"/>
    <w:rsid w:val="00BF0F38"/>
    <w:rsid w:val="00BF14F4"/>
    <w:rsid w:val="00BF15FE"/>
    <w:rsid w:val="00BF167B"/>
    <w:rsid w:val="00BF1D74"/>
    <w:rsid w:val="00BF2091"/>
    <w:rsid w:val="00BF234A"/>
    <w:rsid w:val="00BF28A9"/>
    <w:rsid w:val="00BF2C8B"/>
    <w:rsid w:val="00BF332E"/>
    <w:rsid w:val="00BF3780"/>
    <w:rsid w:val="00BF3E41"/>
    <w:rsid w:val="00BF4F07"/>
    <w:rsid w:val="00BF4F5B"/>
    <w:rsid w:val="00BF54EF"/>
    <w:rsid w:val="00BF7AFA"/>
    <w:rsid w:val="00C00A53"/>
    <w:rsid w:val="00C00EC9"/>
    <w:rsid w:val="00C013B4"/>
    <w:rsid w:val="00C016BD"/>
    <w:rsid w:val="00C01B45"/>
    <w:rsid w:val="00C02059"/>
    <w:rsid w:val="00C0250F"/>
    <w:rsid w:val="00C02639"/>
    <w:rsid w:val="00C02A7D"/>
    <w:rsid w:val="00C03391"/>
    <w:rsid w:val="00C046B1"/>
    <w:rsid w:val="00C049EB"/>
    <w:rsid w:val="00C0692C"/>
    <w:rsid w:val="00C070B3"/>
    <w:rsid w:val="00C077F1"/>
    <w:rsid w:val="00C07A30"/>
    <w:rsid w:val="00C07FB5"/>
    <w:rsid w:val="00C1044F"/>
    <w:rsid w:val="00C10A05"/>
    <w:rsid w:val="00C10BA4"/>
    <w:rsid w:val="00C10C88"/>
    <w:rsid w:val="00C10FFA"/>
    <w:rsid w:val="00C12E9C"/>
    <w:rsid w:val="00C12EDB"/>
    <w:rsid w:val="00C13086"/>
    <w:rsid w:val="00C142AB"/>
    <w:rsid w:val="00C145FF"/>
    <w:rsid w:val="00C15694"/>
    <w:rsid w:val="00C166F9"/>
    <w:rsid w:val="00C17097"/>
    <w:rsid w:val="00C179F7"/>
    <w:rsid w:val="00C17A37"/>
    <w:rsid w:val="00C200F7"/>
    <w:rsid w:val="00C206EB"/>
    <w:rsid w:val="00C209DF"/>
    <w:rsid w:val="00C21058"/>
    <w:rsid w:val="00C21104"/>
    <w:rsid w:val="00C217BA"/>
    <w:rsid w:val="00C21ABF"/>
    <w:rsid w:val="00C221C2"/>
    <w:rsid w:val="00C22942"/>
    <w:rsid w:val="00C229EC"/>
    <w:rsid w:val="00C22F96"/>
    <w:rsid w:val="00C24190"/>
    <w:rsid w:val="00C24351"/>
    <w:rsid w:val="00C247BD"/>
    <w:rsid w:val="00C24F25"/>
    <w:rsid w:val="00C25E2E"/>
    <w:rsid w:val="00C25F02"/>
    <w:rsid w:val="00C268CF"/>
    <w:rsid w:val="00C26D09"/>
    <w:rsid w:val="00C273DE"/>
    <w:rsid w:val="00C2764E"/>
    <w:rsid w:val="00C305AE"/>
    <w:rsid w:val="00C307A8"/>
    <w:rsid w:val="00C30E83"/>
    <w:rsid w:val="00C31267"/>
    <w:rsid w:val="00C334F9"/>
    <w:rsid w:val="00C3468B"/>
    <w:rsid w:val="00C34A2C"/>
    <w:rsid w:val="00C359BC"/>
    <w:rsid w:val="00C35BF2"/>
    <w:rsid w:val="00C35F99"/>
    <w:rsid w:val="00C3622D"/>
    <w:rsid w:val="00C37044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3707"/>
    <w:rsid w:val="00C43C9E"/>
    <w:rsid w:val="00C43D6B"/>
    <w:rsid w:val="00C461AA"/>
    <w:rsid w:val="00C46F57"/>
    <w:rsid w:val="00C476FD"/>
    <w:rsid w:val="00C50A28"/>
    <w:rsid w:val="00C51B7C"/>
    <w:rsid w:val="00C51C29"/>
    <w:rsid w:val="00C52025"/>
    <w:rsid w:val="00C52A81"/>
    <w:rsid w:val="00C53244"/>
    <w:rsid w:val="00C53EFD"/>
    <w:rsid w:val="00C5433E"/>
    <w:rsid w:val="00C54C3D"/>
    <w:rsid w:val="00C54D83"/>
    <w:rsid w:val="00C54DD2"/>
    <w:rsid w:val="00C55103"/>
    <w:rsid w:val="00C553B5"/>
    <w:rsid w:val="00C55D5C"/>
    <w:rsid w:val="00C60540"/>
    <w:rsid w:val="00C60EE9"/>
    <w:rsid w:val="00C62F85"/>
    <w:rsid w:val="00C63C71"/>
    <w:rsid w:val="00C6435B"/>
    <w:rsid w:val="00C64827"/>
    <w:rsid w:val="00C649B2"/>
    <w:rsid w:val="00C65179"/>
    <w:rsid w:val="00C65929"/>
    <w:rsid w:val="00C67138"/>
    <w:rsid w:val="00C671B3"/>
    <w:rsid w:val="00C67698"/>
    <w:rsid w:val="00C701B3"/>
    <w:rsid w:val="00C706A5"/>
    <w:rsid w:val="00C70A4B"/>
    <w:rsid w:val="00C70D15"/>
    <w:rsid w:val="00C71138"/>
    <w:rsid w:val="00C714B3"/>
    <w:rsid w:val="00C72080"/>
    <w:rsid w:val="00C72318"/>
    <w:rsid w:val="00C72E31"/>
    <w:rsid w:val="00C73AF1"/>
    <w:rsid w:val="00C73C35"/>
    <w:rsid w:val="00C744C3"/>
    <w:rsid w:val="00C7475A"/>
    <w:rsid w:val="00C7506F"/>
    <w:rsid w:val="00C76249"/>
    <w:rsid w:val="00C77FF2"/>
    <w:rsid w:val="00C80E65"/>
    <w:rsid w:val="00C814E3"/>
    <w:rsid w:val="00C823BD"/>
    <w:rsid w:val="00C82FA2"/>
    <w:rsid w:val="00C85227"/>
    <w:rsid w:val="00C85D85"/>
    <w:rsid w:val="00C85F79"/>
    <w:rsid w:val="00C872A0"/>
    <w:rsid w:val="00C87EFC"/>
    <w:rsid w:val="00C900C9"/>
    <w:rsid w:val="00C91677"/>
    <w:rsid w:val="00C91CD1"/>
    <w:rsid w:val="00C929CE"/>
    <w:rsid w:val="00C93EAA"/>
    <w:rsid w:val="00C93FD8"/>
    <w:rsid w:val="00C94453"/>
    <w:rsid w:val="00C94A80"/>
    <w:rsid w:val="00C94E38"/>
    <w:rsid w:val="00C94F63"/>
    <w:rsid w:val="00C95A6B"/>
    <w:rsid w:val="00C95C1F"/>
    <w:rsid w:val="00C968CC"/>
    <w:rsid w:val="00C96A63"/>
    <w:rsid w:val="00C96AEA"/>
    <w:rsid w:val="00C96B1D"/>
    <w:rsid w:val="00C976F1"/>
    <w:rsid w:val="00C97B9F"/>
    <w:rsid w:val="00CA482A"/>
    <w:rsid w:val="00CA49CC"/>
    <w:rsid w:val="00CA51B4"/>
    <w:rsid w:val="00CA5870"/>
    <w:rsid w:val="00CA6364"/>
    <w:rsid w:val="00CA6989"/>
    <w:rsid w:val="00CA6F5A"/>
    <w:rsid w:val="00CA6F70"/>
    <w:rsid w:val="00CA71DA"/>
    <w:rsid w:val="00CA7EF6"/>
    <w:rsid w:val="00CB00C5"/>
    <w:rsid w:val="00CB07BB"/>
    <w:rsid w:val="00CB09C6"/>
    <w:rsid w:val="00CB106B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B7864"/>
    <w:rsid w:val="00CB7BC2"/>
    <w:rsid w:val="00CC30D7"/>
    <w:rsid w:val="00CC3DB6"/>
    <w:rsid w:val="00CC4490"/>
    <w:rsid w:val="00CC555C"/>
    <w:rsid w:val="00CC5917"/>
    <w:rsid w:val="00CC616C"/>
    <w:rsid w:val="00CC665B"/>
    <w:rsid w:val="00CC68C5"/>
    <w:rsid w:val="00CC77E4"/>
    <w:rsid w:val="00CD00FA"/>
    <w:rsid w:val="00CD1559"/>
    <w:rsid w:val="00CD1E97"/>
    <w:rsid w:val="00CD1F91"/>
    <w:rsid w:val="00CD259B"/>
    <w:rsid w:val="00CD2800"/>
    <w:rsid w:val="00CD3A9A"/>
    <w:rsid w:val="00CD3C0D"/>
    <w:rsid w:val="00CD4181"/>
    <w:rsid w:val="00CD4585"/>
    <w:rsid w:val="00CD5F53"/>
    <w:rsid w:val="00CD7B38"/>
    <w:rsid w:val="00CE003E"/>
    <w:rsid w:val="00CE05B0"/>
    <w:rsid w:val="00CE0A3F"/>
    <w:rsid w:val="00CE24DD"/>
    <w:rsid w:val="00CE25B4"/>
    <w:rsid w:val="00CE27F5"/>
    <w:rsid w:val="00CE2B11"/>
    <w:rsid w:val="00CE2D73"/>
    <w:rsid w:val="00CE3AEF"/>
    <w:rsid w:val="00CE443B"/>
    <w:rsid w:val="00CE4D13"/>
    <w:rsid w:val="00CE5396"/>
    <w:rsid w:val="00CE555C"/>
    <w:rsid w:val="00CE6C38"/>
    <w:rsid w:val="00CE7872"/>
    <w:rsid w:val="00CF0017"/>
    <w:rsid w:val="00CF0163"/>
    <w:rsid w:val="00CF085E"/>
    <w:rsid w:val="00CF09A5"/>
    <w:rsid w:val="00CF10DF"/>
    <w:rsid w:val="00CF2D3B"/>
    <w:rsid w:val="00CF3082"/>
    <w:rsid w:val="00CF3268"/>
    <w:rsid w:val="00CF3541"/>
    <w:rsid w:val="00CF38B5"/>
    <w:rsid w:val="00CF489B"/>
    <w:rsid w:val="00CF490A"/>
    <w:rsid w:val="00CF5E47"/>
    <w:rsid w:val="00CF6BB4"/>
    <w:rsid w:val="00CF6E6C"/>
    <w:rsid w:val="00CF6E70"/>
    <w:rsid w:val="00CF7444"/>
    <w:rsid w:val="00CF7B93"/>
    <w:rsid w:val="00D002B7"/>
    <w:rsid w:val="00D00FB0"/>
    <w:rsid w:val="00D02970"/>
    <w:rsid w:val="00D035C0"/>
    <w:rsid w:val="00D039D9"/>
    <w:rsid w:val="00D039E6"/>
    <w:rsid w:val="00D03E2E"/>
    <w:rsid w:val="00D04545"/>
    <w:rsid w:val="00D04DAB"/>
    <w:rsid w:val="00D05034"/>
    <w:rsid w:val="00D05527"/>
    <w:rsid w:val="00D05A1E"/>
    <w:rsid w:val="00D05E8E"/>
    <w:rsid w:val="00D063DF"/>
    <w:rsid w:val="00D0784E"/>
    <w:rsid w:val="00D1034E"/>
    <w:rsid w:val="00D1059C"/>
    <w:rsid w:val="00D106D7"/>
    <w:rsid w:val="00D10EF1"/>
    <w:rsid w:val="00D1103E"/>
    <w:rsid w:val="00D1110F"/>
    <w:rsid w:val="00D113DE"/>
    <w:rsid w:val="00D11897"/>
    <w:rsid w:val="00D11FA6"/>
    <w:rsid w:val="00D12F92"/>
    <w:rsid w:val="00D13322"/>
    <w:rsid w:val="00D138F5"/>
    <w:rsid w:val="00D139C9"/>
    <w:rsid w:val="00D13A57"/>
    <w:rsid w:val="00D13B8F"/>
    <w:rsid w:val="00D13E89"/>
    <w:rsid w:val="00D141C7"/>
    <w:rsid w:val="00D148C8"/>
    <w:rsid w:val="00D15374"/>
    <w:rsid w:val="00D16D05"/>
    <w:rsid w:val="00D16EF0"/>
    <w:rsid w:val="00D16EF9"/>
    <w:rsid w:val="00D17130"/>
    <w:rsid w:val="00D17758"/>
    <w:rsid w:val="00D17965"/>
    <w:rsid w:val="00D20556"/>
    <w:rsid w:val="00D21428"/>
    <w:rsid w:val="00D21783"/>
    <w:rsid w:val="00D2225D"/>
    <w:rsid w:val="00D22459"/>
    <w:rsid w:val="00D22485"/>
    <w:rsid w:val="00D22CE6"/>
    <w:rsid w:val="00D2326A"/>
    <w:rsid w:val="00D23E6D"/>
    <w:rsid w:val="00D23F6C"/>
    <w:rsid w:val="00D243B7"/>
    <w:rsid w:val="00D24C8C"/>
    <w:rsid w:val="00D25B22"/>
    <w:rsid w:val="00D268A1"/>
    <w:rsid w:val="00D26D39"/>
    <w:rsid w:val="00D302B4"/>
    <w:rsid w:val="00D31987"/>
    <w:rsid w:val="00D319FE"/>
    <w:rsid w:val="00D323D1"/>
    <w:rsid w:val="00D326DA"/>
    <w:rsid w:val="00D33B2C"/>
    <w:rsid w:val="00D33BC0"/>
    <w:rsid w:val="00D33DDC"/>
    <w:rsid w:val="00D34415"/>
    <w:rsid w:val="00D3592B"/>
    <w:rsid w:val="00D35989"/>
    <w:rsid w:val="00D35B9B"/>
    <w:rsid w:val="00D35EAD"/>
    <w:rsid w:val="00D37DFB"/>
    <w:rsid w:val="00D40078"/>
    <w:rsid w:val="00D4022D"/>
    <w:rsid w:val="00D414F5"/>
    <w:rsid w:val="00D41CA0"/>
    <w:rsid w:val="00D41F51"/>
    <w:rsid w:val="00D42E22"/>
    <w:rsid w:val="00D43872"/>
    <w:rsid w:val="00D454E7"/>
    <w:rsid w:val="00D45527"/>
    <w:rsid w:val="00D46097"/>
    <w:rsid w:val="00D46521"/>
    <w:rsid w:val="00D47E28"/>
    <w:rsid w:val="00D517D0"/>
    <w:rsid w:val="00D523EB"/>
    <w:rsid w:val="00D52D57"/>
    <w:rsid w:val="00D53275"/>
    <w:rsid w:val="00D54358"/>
    <w:rsid w:val="00D54562"/>
    <w:rsid w:val="00D548B4"/>
    <w:rsid w:val="00D5512F"/>
    <w:rsid w:val="00D553C6"/>
    <w:rsid w:val="00D554E1"/>
    <w:rsid w:val="00D55501"/>
    <w:rsid w:val="00D5577E"/>
    <w:rsid w:val="00D55F1F"/>
    <w:rsid w:val="00D5614A"/>
    <w:rsid w:val="00D563AD"/>
    <w:rsid w:val="00D564E9"/>
    <w:rsid w:val="00D5679E"/>
    <w:rsid w:val="00D567AA"/>
    <w:rsid w:val="00D56FFA"/>
    <w:rsid w:val="00D57F34"/>
    <w:rsid w:val="00D604DA"/>
    <w:rsid w:val="00D61E66"/>
    <w:rsid w:val="00D61F21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67AB1"/>
    <w:rsid w:val="00D702BE"/>
    <w:rsid w:val="00D70BAF"/>
    <w:rsid w:val="00D713A0"/>
    <w:rsid w:val="00D7152A"/>
    <w:rsid w:val="00D720AD"/>
    <w:rsid w:val="00D7233D"/>
    <w:rsid w:val="00D724DC"/>
    <w:rsid w:val="00D72738"/>
    <w:rsid w:val="00D72CF7"/>
    <w:rsid w:val="00D741FC"/>
    <w:rsid w:val="00D7524D"/>
    <w:rsid w:val="00D75C4F"/>
    <w:rsid w:val="00D7636E"/>
    <w:rsid w:val="00D768F3"/>
    <w:rsid w:val="00D76CA5"/>
    <w:rsid w:val="00D76ED3"/>
    <w:rsid w:val="00D77DC1"/>
    <w:rsid w:val="00D77E85"/>
    <w:rsid w:val="00D77F27"/>
    <w:rsid w:val="00D80A2B"/>
    <w:rsid w:val="00D80D6A"/>
    <w:rsid w:val="00D81D1D"/>
    <w:rsid w:val="00D83DDB"/>
    <w:rsid w:val="00D84084"/>
    <w:rsid w:val="00D8421B"/>
    <w:rsid w:val="00D84AA2"/>
    <w:rsid w:val="00D84BF3"/>
    <w:rsid w:val="00D85054"/>
    <w:rsid w:val="00D851B0"/>
    <w:rsid w:val="00D85FE2"/>
    <w:rsid w:val="00D90594"/>
    <w:rsid w:val="00D90AA2"/>
    <w:rsid w:val="00D90C0D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30C"/>
    <w:rsid w:val="00D977C8"/>
    <w:rsid w:val="00DA00B8"/>
    <w:rsid w:val="00DA1780"/>
    <w:rsid w:val="00DA244B"/>
    <w:rsid w:val="00DA3198"/>
    <w:rsid w:val="00DA380F"/>
    <w:rsid w:val="00DA3867"/>
    <w:rsid w:val="00DA3E9A"/>
    <w:rsid w:val="00DA4DBD"/>
    <w:rsid w:val="00DA60E1"/>
    <w:rsid w:val="00DA65F6"/>
    <w:rsid w:val="00DA6F31"/>
    <w:rsid w:val="00DA706E"/>
    <w:rsid w:val="00DA7137"/>
    <w:rsid w:val="00DA786A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32DE"/>
    <w:rsid w:val="00DB49B6"/>
    <w:rsid w:val="00DB4D78"/>
    <w:rsid w:val="00DB5B40"/>
    <w:rsid w:val="00DB6DA6"/>
    <w:rsid w:val="00DC055B"/>
    <w:rsid w:val="00DC1302"/>
    <w:rsid w:val="00DC13E1"/>
    <w:rsid w:val="00DC1E47"/>
    <w:rsid w:val="00DC2397"/>
    <w:rsid w:val="00DC249C"/>
    <w:rsid w:val="00DC2BEF"/>
    <w:rsid w:val="00DC304F"/>
    <w:rsid w:val="00DC3545"/>
    <w:rsid w:val="00DC364B"/>
    <w:rsid w:val="00DC4B35"/>
    <w:rsid w:val="00DC4FBE"/>
    <w:rsid w:val="00DC5836"/>
    <w:rsid w:val="00DC5A31"/>
    <w:rsid w:val="00DC676B"/>
    <w:rsid w:val="00DD2026"/>
    <w:rsid w:val="00DD2648"/>
    <w:rsid w:val="00DD267B"/>
    <w:rsid w:val="00DD2A1E"/>
    <w:rsid w:val="00DD2A77"/>
    <w:rsid w:val="00DD5AD6"/>
    <w:rsid w:val="00DD6FD9"/>
    <w:rsid w:val="00DD79E3"/>
    <w:rsid w:val="00DE048F"/>
    <w:rsid w:val="00DE1206"/>
    <w:rsid w:val="00DE215D"/>
    <w:rsid w:val="00DE3C99"/>
    <w:rsid w:val="00DE4509"/>
    <w:rsid w:val="00DE491D"/>
    <w:rsid w:val="00DE552A"/>
    <w:rsid w:val="00DE58D7"/>
    <w:rsid w:val="00DE5A78"/>
    <w:rsid w:val="00DE5D94"/>
    <w:rsid w:val="00DE7FFC"/>
    <w:rsid w:val="00DF0119"/>
    <w:rsid w:val="00DF0528"/>
    <w:rsid w:val="00DF171F"/>
    <w:rsid w:val="00DF17F9"/>
    <w:rsid w:val="00DF1AB3"/>
    <w:rsid w:val="00DF1AB5"/>
    <w:rsid w:val="00DF221E"/>
    <w:rsid w:val="00DF2CD3"/>
    <w:rsid w:val="00DF369E"/>
    <w:rsid w:val="00DF62C2"/>
    <w:rsid w:val="00DF62E2"/>
    <w:rsid w:val="00DF7BAF"/>
    <w:rsid w:val="00E0008D"/>
    <w:rsid w:val="00E001C4"/>
    <w:rsid w:val="00E009EE"/>
    <w:rsid w:val="00E00A82"/>
    <w:rsid w:val="00E00CDF"/>
    <w:rsid w:val="00E0120D"/>
    <w:rsid w:val="00E01521"/>
    <w:rsid w:val="00E016C4"/>
    <w:rsid w:val="00E01FA1"/>
    <w:rsid w:val="00E022C5"/>
    <w:rsid w:val="00E0246A"/>
    <w:rsid w:val="00E02A34"/>
    <w:rsid w:val="00E02D6C"/>
    <w:rsid w:val="00E030B1"/>
    <w:rsid w:val="00E03768"/>
    <w:rsid w:val="00E03B67"/>
    <w:rsid w:val="00E040F3"/>
    <w:rsid w:val="00E0420B"/>
    <w:rsid w:val="00E042F5"/>
    <w:rsid w:val="00E0574B"/>
    <w:rsid w:val="00E061AE"/>
    <w:rsid w:val="00E07170"/>
    <w:rsid w:val="00E0719F"/>
    <w:rsid w:val="00E07465"/>
    <w:rsid w:val="00E07518"/>
    <w:rsid w:val="00E10FE2"/>
    <w:rsid w:val="00E1107E"/>
    <w:rsid w:val="00E11853"/>
    <w:rsid w:val="00E11BB7"/>
    <w:rsid w:val="00E11D10"/>
    <w:rsid w:val="00E11EBD"/>
    <w:rsid w:val="00E13405"/>
    <w:rsid w:val="00E1447C"/>
    <w:rsid w:val="00E1484A"/>
    <w:rsid w:val="00E14C9D"/>
    <w:rsid w:val="00E14DE9"/>
    <w:rsid w:val="00E1512A"/>
    <w:rsid w:val="00E159E6"/>
    <w:rsid w:val="00E163A1"/>
    <w:rsid w:val="00E16632"/>
    <w:rsid w:val="00E16B60"/>
    <w:rsid w:val="00E16DF8"/>
    <w:rsid w:val="00E16EEC"/>
    <w:rsid w:val="00E1715A"/>
    <w:rsid w:val="00E1790A"/>
    <w:rsid w:val="00E204D1"/>
    <w:rsid w:val="00E2206C"/>
    <w:rsid w:val="00E22192"/>
    <w:rsid w:val="00E2224C"/>
    <w:rsid w:val="00E2269E"/>
    <w:rsid w:val="00E234D4"/>
    <w:rsid w:val="00E23C5E"/>
    <w:rsid w:val="00E25030"/>
    <w:rsid w:val="00E265E4"/>
    <w:rsid w:val="00E27CA7"/>
    <w:rsid w:val="00E27EA5"/>
    <w:rsid w:val="00E3029E"/>
    <w:rsid w:val="00E30F1C"/>
    <w:rsid w:val="00E31BAB"/>
    <w:rsid w:val="00E31E48"/>
    <w:rsid w:val="00E32127"/>
    <w:rsid w:val="00E3351C"/>
    <w:rsid w:val="00E33A89"/>
    <w:rsid w:val="00E3427F"/>
    <w:rsid w:val="00E34506"/>
    <w:rsid w:val="00E345E9"/>
    <w:rsid w:val="00E36F48"/>
    <w:rsid w:val="00E402B8"/>
    <w:rsid w:val="00E40EFD"/>
    <w:rsid w:val="00E41784"/>
    <w:rsid w:val="00E41794"/>
    <w:rsid w:val="00E41992"/>
    <w:rsid w:val="00E41E05"/>
    <w:rsid w:val="00E41E0C"/>
    <w:rsid w:val="00E42A8D"/>
    <w:rsid w:val="00E4386C"/>
    <w:rsid w:val="00E44128"/>
    <w:rsid w:val="00E442A1"/>
    <w:rsid w:val="00E443E4"/>
    <w:rsid w:val="00E44723"/>
    <w:rsid w:val="00E45315"/>
    <w:rsid w:val="00E45773"/>
    <w:rsid w:val="00E461FA"/>
    <w:rsid w:val="00E46677"/>
    <w:rsid w:val="00E477A6"/>
    <w:rsid w:val="00E47D6F"/>
    <w:rsid w:val="00E50D58"/>
    <w:rsid w:val="00E5131F"/>
    <w:rsid w:val="00E5224B"/>
    <w:rsid w:val="00E522A7"/>
    <w:rsid w:val="00E531E7"/>
    <w:rsid w:val="00E53AD3"/>
    <w:rsid w:val="00E53FA3"/>
    <w:rsid w:val="00E543BB"/>
    <w:rsid w:val="00E548A2"/>
    <w:rsid w:val="00E555EA"/>
    <w:rsid w:val="00E556A6"/>
    <w:rsid w:val="00E55C95"/>
    <w:rsid w:val="00E55FB3"/>
    <w:rsid w:val="00E56009"/>
    <w:rsid w:val="00E56675"/>
    <w:rsid w:val="00E56C3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2D"/>
    <w:rsid w:val="00E6458A"/>
    <w:rsid w:val="00E66872"/>
    <w:rsid w:val="00E67510"/>
    <w:rsid w:val="00E67EE4"/>
    <w:rsid w:val="00E7052B"/>
    <w:rsid w:val="00E707EF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131"/>
    <w:rsid w:val="00E74794"/>
    <w:rsid w:val="00E748EB"/>
    <w:rsid w:val="00E74ADC"/>
    <w:rsid w:val="00E74D5A"/>
    <w:rsid w:val="00E7611D"/>
    <w:rsid w:val="00E7678D"/>
    <w:rsid w:val="00E772C0"/>
    <w:rsid w:val="00E8457A"/>
    <w:rsid w:val="00E85462"/>
    <w:rsid w:val="00E85929"/>
    <w:rsid w:val="00E865C9"/>
    <w:rsid w:val="00E8680D"/>
    <w:rsid w:val="00E870DB"/>
    <w:rsid w:val="00E87A30"/>
    <w:rsid w:val="00E87D24"/>
    <w:rsid w:val="00E905BD"/>
    <w:rsid w:val="00E9062C"/>
    <w:rsid w:val="00E90BFC"/>
    <w:rsid w:val="00E91699"/>
    <w:rsid w:val="00E916F1"/>
    <w:rsid w:val="00E92BE9"/>
    <w:rsid w:val="00E92F9F"/>
    <w:rsid w:val="00E9347F"/>
    <w:rsid w:val="00E94716"/>
    <w:rsid w:val="00E9473C"/>
    <w:rsid w:val="00E94AC2"/>
    <w:rsid w:val="00E94CCB"/>
    <w:rsid w:val="00E95525"/>
    <w:rsid w:val="00E959B3"/>
    <w:rsid w:val="00E959E8"/>
    <w:rsid w:val="00E96060"/>
    <w:rsid w:val="00E96427"/>
    <w:rsid w:val="00E96E14"/>
    <w:rsid w:val="00E9702D"/>
    <w:rsid w:val="00E974FA"/>
    <w:rsid w:val="00E97A41"/>
    <w:rsid w:val="00EA0137"/>
    <w:rsid w:val="00EA1D6D"/>
    <w:rsid w:val="00EA1EEC"/>
    <w:rsid w:val="00EA2018"/>
    <w:rsid w:val="00EA205A"/>
    <w:rsid w:val="00EA3083"/>
    <w:rsid w:val="00EA3825"/>
    <w:rsid w:val="00EA3C3C"/>
    <w:rsid w:val="00EA4C22"/>
    <w:rsid w:val="00EA5580"/>
    <w:rsid w:val="00EA57D0"/>
    <w:rsid w:val="00EA7737"/>
    <w:rsid w:val="00EA79FB"/>
    <w:rsid w:val="00EB0609"/>
    <w:rsid w:val="00EB078A"/>
    <w:rsid w:val="00EB0D9D"/>
    <w:rsid w:val="00EB1F10"/>
    <w:rsid w:val="00EB284E"/>
    <w:rsid w:val="00EB2A0A"/>
    <w:rsid w:val="00EB2DD9"/>
    <w:rsid w:val="00EB2F99"/>
    <w:rsid w:val="00EB2FF9"/>
    <w:rsid w:val="00EB35F3"/>
    <w:rsid w:val="00EB3FFD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213"/>
    <w:rsid w:val="00EB752B"/>
    <w:rsid w:val="00EC04CA"/>
    <w:rsid w:val="00EC0C5E"/>
    <w:rsid w:val="00EC1BE7"/>
    <w:rsid w:val="00EC1D43"/>
    <w:rsid w:val="00EC2700"/>
    <w:rsid w:val="00EC3105"/>
    <w:rsid w:val="00EC34C5"/>
    <w:rsid w:val="00EC42FA"/>
    <w:rsid w:val="00EC4A64"/>
    <w:rsid w:val="00EC539C"/>
    <w:rsid w:val="00EC5534"/>
    <w:rsid w:val="00EC578A"/>
    <w:rsid w:val="00EC6555"/>
    <w:rsid w:val="00EC6CF7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5B0"/>
    <w:rsid w:val="00ED6B8F"/>
    <w:rsid w:val="00ED6E53"/>
    <w:rsid w:val="00ED7023"/>
    <w:rsid w:val="00ED71A4"/>
    <w:rsid w:val="00EE0397"/>
    <w:rsid w:val="00EE0655"/>
    <w:rsid w:val="00EE0EB8"/>
    <w:rsid w:val="00EE1923"/>
    <w:rsid w:val="00EE3490"/>
    <w:rsid w:val="00EE43E3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59EE"/>
    <w:rsid w:val="00EF5A96"/>
    <w:rsid w:val="00EF7277"/>
    <w:rsid w:val="00EF772F"/>
    <w:rsid w:val="00F01210"/>
    <w:rsid w:val="00F017F1"/>
    <w:rsid w:val="00F02D27"/>
    <w:rsid w:val="00F0338C"/>
    <w:rsid w:val="00F04758"/>
    <w:rsid w:val="00F04852"/>
    <w:rsid w:val="00F05015"/>
    <w:rsid w:val="00F061C4"/>
    <w:rsid w:val="00F06A6A"/>
    <w:rsid w:val="00F06B39"/>
    <w:rsid w:val="00F06F28"/>
    <w:rsid w:val="00F07166"/>
    <w:rsid w:val="00F073F5"/>
    <w:rsid w:val="00F078CD"/>
    <w:rsid w:val="00F07C41"/>
    <w:rsid w:val="00F1080E"/>
    <w:rsid w:val="00F10829"/>
    <w:rsid w:val="00F109BA"/>
    <w:rsid w:val="00F11462"/>
    <w:rsid w:val="00F119B5"/>
    <w:rsid w:val="00F12B69"/>
    <w:rsid w:val="00F1666B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7A8A"/>
    <w:rsid w:val="00F33CBB"/>
    <w:rsid w:val="00F34F90"/>
    <w:rsid w:val="00F35575"/>
    <w:rsid w:val="00F3570E"/>
    <w:rsid w:val="00F35DBC"/>
    <w:rsid w:val="00F3620D"/>
    <w:rsid w:val="00F3635D"/>
    <w:rsid w:val="00F372EB"/>
    <w:rsid w:val="00F37379"/>
    <w:rsid w:val="00F37422"/>
    <w:rsid w:val="00F37E61"/>
    <w:rsid w:val="00F406EF"/>
    <w:rsid w:val="00F409B1"/>
    <w:rsid w:val="00F40FCE"/>
    <w:rsid w:val="00F40FEE"/>
    <w:rsid w:val="00F41B9B"/>
    <w:rsid w:val="00F42F8E"/>
    <w:rsid w:val="00F430E6"/>
    <w:rsid w:val="00F43C7B"/>
    <w:rsid w:val="00F44BD0"/>
    <w:rsid w:val="00F44CD1"/>
    <w:rsid w:val="00F4574D"/>
    <w:rsid w:val="00F45C72"/>
    <w:rsid w:val="00F45E1C"/>
    <w:rsid w:val="00F469DA"/>
    <w:rsid w:val="00F46B8D"/>
    <w:rsid w:val="00F477FE"/>
    <w:rsid w:val="00F50003"/>
    <w:rsid w:val="00F50CB9"/>
    <w:rsid w:val="00F52F0C"/>
    <w:rsid w:val="00F537E7"/>
    <w:rsid w:val="00F53CD4"/>
    <w:rsid w:val="00F5423D"/>
    <w:rsid w:val="00F556FF"/>
    <w:rsid w:val="00F56124"/>
    <w:rsid w:val="00F566D3"/>
    <w:rsid w:val="00F5750F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2D83"/>
    <w:rsid w:val="00F65398"/>
    <w:rsid w:val="00F654BE"/>
    <w:rsid w:val="00F656E6"/>
    <w:rsid w:val="00F65948"/>
    <w:rsid w:val="00F65FAF"/>
    <w:rsid w:val="00F66008"/>
    <w:rsid w:val="00F663A6"/>
    <w:rsid w:val="00F66680"/>
    <w:rsid w:val="00F66C28"/>
    <w:rsid w:val="00F66E42"/>
    <w:rsid w:val="00F671C6"/>
    <w:rsid w:val="00F6757F"/>
    <w:rsid w:val="00F70F2A"/>
    <w:rsid w:val="00F70FE5"/>
    <w:rsid w:val="00F71ED3"/>
    <w:rsid w:val="00F727CB"/>
    <w:rsid w:val="00F733C9"/>
    <w:rsid w:val="00F749AF"/>
    <w:rsid w:val="00F752D4"/>
    <w:rsid w:val="00F766B2"/>
    <w:rsid w:val="00F76B9D"/>
    <w:rsid w:val="00F77135"/>
    <w:rsid w:val="00F771F1"/>
    <w:rsid w:val="00F80338"/>
    <w:rsid w:val="00F80F35"/>
    <w:rsid w:val="00F811D5"/>
    <w:rsid w:val="00F81337"/>
    <w:rsid w:val="00F81E59"/>
    <w:rsid w:val="00F826E8"/>
    <w:rsid w:val="00F82FA0"/>
    <w:rsid w:val="00F8335D"/>
    <w:rsid w:val="00F83AD4"/>
    <w:rsid w:val="00F83BB0"/>
    <w:rsid w:val="00F83D5B"/>
    <w:rsid w:val="00F83EC5"/>
    <w:rsid w:val="00F842FF"/>
    <w:rsid w:val="00F8477B"/>
    <w:rsid w:val="00F86A23"/>
    <w:rsid w:val="00F86AFB"/>
    <w:rsid w:val="00F86EAC"/>
    <w:rsid w:val="00F86FF5"/>
    <w:rsid w:val="00F87851"/>
    <w:rsid w:val="00F87A5E"/>
    <w:rsid w:val="00F90C09"/>
    <w:rsid w:val="00F90E31"/>
    <w:rsid w:val="00F91655"/>
    <w:rsid w:val="00F93158"/>
    <w:rsid w:val="00F933F4"/>
    <w:rsid w:val="00F9424E"/>
    <w:rsid w:val="00F95AB9"/>
    <w:rsid w:val="00F960F0"/>
    <w:rsid w:val="00F96227"/>
    <w:rsid w:val="00F97FE7"/>
    <w:rsid w:val="00FA00D7"/>
    <w:rsid w:val="00FA110B"/>
    <w:rsid w:val="00FA12E0"/>
    <w:rsid w:val="00FA1489"/>
    <w:rsid w:val="00FA174F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52FF"/>
    <w:rsid w:val="00FA5F0F"/>
    <w:rsid w:val="00FA5F3D"/>
    <w:rsid w:val="00FB3249"/>
    <w:rsid w:val="00FB444E"/>
    <w:rsid w:val="00FB45CC"/>
    <w:rsid w:val="00FB52FD"/>
    <w:rsid w:val="00FB5856"/>
    <w:rsid w:val="00FB5EC3"/>
    <w:rsid w:val="00FB6069"/>
    <w:rsid w:val="00FB60D3"/>
    <w:rsid w:val="00FB6520"/>
    <w:rsid w:val="00FB6CFF"/>
    <w:rsid w:val="00FB7CD3"/>
    <w:rsid w:val="00FC0D7A"/>
    <w:rsid w:val="00FC12D6"/>
    <w:rsid w:val="00FC1B5B"/>
    <w:rsid w:val="00FC1C3C"/>
    <w:rsid w:val="00FC2160"/>
    <w:rsid w:val="00FC2218"/>
    <w:rsid w:val="00FC2BA0"/>
    <w:rsid w:val="00FC2F5C"/>
    <w:rsid w:val="00FC312C"/>
    <w:rsid w:val="00FC318E"/>
    <w:rsid w:val="00FC336F"/>
    <w:rsid w:val="00FC370A"/>
    <w:rsid w:val="00FC3A1F"/>
    <w:rsid w:val="00FC4BB0"/>
    <w:rsid w:val="00FC4E57"/>
    <w:rsid w:val="00FC4F48"/>
    <w:rsid w:val="00FC5A60"/>
    <w:rsid w:val="00FC7126"/>
    <w:rsid w:val="00FC7143"/>
    <w:rsid w:val="00FC7505"/>
    <w:rsid w:val="00FC7C7F"/>
    <w:rsid w:val="00FD118E"/>
    <w:rsid w:val="00FD2441"/>
    <w:rsid w:val="00FD2958"/>
    <w:rsid w:val="00FD3616"/>
    <w:rsid w:val="00FD3A4D"/>
    <w:rsid w:val="00FD3F4C"/>
    <w:rsid w:val="00FD420D"/>
    <w:rsid w:val="00FD44AB"/>
    <w:rsid w:val="00FD4512"/>
    <w:rsid w:val="00FD4A4B"/>
    <w:rsid w:val="00FD4F07"/>
    <w:rsid w:val="00FD508C"/>
    <w:rsid w:val="00FD511B"/>
    <w:rsid w:val="00FD5C41"/>
    <w:rsid w:val="00FD5E2D"/>
    <w:rsid w:val="00FD617F"/>
    <w:rsid w:val="00FD7AD8"/>
    <w:rsid w:val="00FD7BFC"/>
    <w:rsid w:val="00FD7C67"/>
    <w:rsid w:val="00FD7CAB"/>
    <w:rsid w:val="00FD7DD0"/>
    <w:rsid w:val="00FE0E04"/>
    <w:rsid w:val="00FE0FCA"/>
    <w:rsid w:val="00FE12F6"/>
    <w:rsid w:val="00FE1AEA"/>
    <w:rsid w:val="00FE20AE"/>
    <w:rsid w:val="00FE322E"/>
    <w:rsid w:val="00FE3CBE"/>
    <w:rsid w:val="00FE416E"/>
    <w:rsid w:val="00FE4BDD"/>
    <w:rsid w:val="00FE5443"/>
    <w:rsid w:val="00FE6357"/>
    <w:rsid w:val="00FE639A"/>
    <w:rsid w:val="00FE6B1B"/>
    <w:rsid w:val="00FF1F1D"/>
    <w:rsid w:val="00FF27D2"/>
    <w:rsid w:val="00FF2FF6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rFonts w:ascii="Courier New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autoTitleDeleted val="1"/>
    <c:plotArea>
      <c:layout>
        <c:manualLayout>
          <c:layoutTarget val="inner"/>
          <c:xMode val="edge"/>
          <c:yMode val="edge"/>
          <c:x val="5.8132101279827833E-2"/>
          <c:y val="0.16145558924884768"/>
          <c:w val="0.91979999560854409"/>
          <c:h val="0.69816761827451945"/>
        </c:manualLayout>
      </c:layout>
      <c:barChart>
        <c:barDir val="col"/>
        <c:grouping val="clustered"/>
        <c:ser>
          <c:idx val="0"/>
          <c:order val="0"/>
          <c:dPt>
            <c:idx val="49"/>
            <c:spPr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</c:dPt>
          <c:dPt>
            <c:idx val="52"/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53"/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Lbls>
            <c:dLbl>
              <c:idx val="49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2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3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'tableau note fr'!$B$3:$BC$3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fr'!$B$4:$BC$4</c:f>
              <c:numCache>
                <c:formatCode>0.0</c:formatCode>
                <c:ptCount val="54"/>
                <c:pt idx="0">
                  <c:v>85.866502294191648</c:v>
                </c:pt>
                <c:pt idx="1">
                  <c:v>77.678707955853085</c:v>
                </c:pt>
                <c:pt idx="2">
                  <c:v>75.552480635756396</c:v>
                </c:pt>
                <c:pt idx="3">
                  <c:v>80.136884034904497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80.136086093619156</c:v>
                </c:pt>
                <c:pt idx="9">
                  <c:v>78.833388330574252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78.406406130604807</c:v>
                </c:pt>
                <c:pt idx="13">
                  <c:v>85.78953263253257</c:v>
                </c:pt>
                <c:pt idx="14">
                  <c:v>86.506225251482533</c:v>
                </c:pt>
                <c:pt idx="15">
                  <c:v>84.477214694877063</c:v>
                </c:pt>
                <c:pt idx="16">
                  <c:v>82.88047854282155</c:v>
                </c:pt>
                <c:pt idx="17">
                  <c:v>80.673652783725359</c:v>
                </c:pt>
                <c:pt idx="18">
                  <c:v>77.553867036569372</c:v>
                </c:pt>
                <c:pt idx="19">
                  <c:v>78.403353681349557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74.110620959005999</c:v>
                </c:pt>
                <c:pt idx="25">
                  <c:v>74.014553099961631</c:v>
                </c:pt>
                <c:pt idx="26">
                  <c:v>73.148145370690258</c:v>
                </c:pt>
                <c:pt idx="27">
                  <c:v>71.583460003653727</c:v>
                </c:pt>
                <c:pt idx="28">
                  <c:v>73.659282965035374</c:v>
                </c:pt>
                <c:pt idx="29">
                  <c:v>76.125099572807883</c:v>
                </c:pt>
                <c:pt idx="30">
                  <c:v>76.315005733685979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>
                  <c:v>87.317111388814197</c:v>
                </c:pt>
                <c:pt idx="41">
                  <c:v>87.279337774029258</c:v>
                </c:pt>
                <c:pt idx="42">
                  <c:v>82.473279380066572</c:v>
                </c:pt>
                <c:pt idx="43">
                  <c:v>79.8</c:v>
                </c:pt>
                <c:pt idx="44">
                  <c:v>79.104981863169769</c:v>
                </c:pt>
                <c:pt idx="45">
                  <c:v>74.905107002702309</c:v>
                </c:pt>
                <c:pt idx="46">
                  <c:v>74.821311833193917</c:v>
                </c:pt>
                <c:pt idx="47">
                  <c:v>77.783342120372509</c:v>
                </c:pt>
                <c:pt idx="48">
                  <c:v>75.733160637772471</c:v>
                </c:pt>
                <c:pt idx="49">
                  <c:v>65.597735117391409</c:v>
                </c:pt>
                <c:pt idx="50">
                  <c:v>60.6</c:v>
                </c:pt>
                <c:pt idx="51">
                  <c:v>61.15460503678139</c:v>
                </c:pt>
                <c:pt idx="52">
                  <c:v>68.3</c:v>
                </c:pt>
                <c:pt idx="53">
                  <c:v>63</c:v>
                </c:pt>
              </c:numCache>
            </c:numRef>
          </c:val>
        </c:ser>
        <c:axId val="45146880"/>
        <c:axId val="45483904"/>
      </c:barChart>
      <c:catAx>
        <c:axId val="4514688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en-US" sz="700"/>
            </a:pPr>
            <a:endParaRPr lang="fr-FR"/>
          </a:p>
        </c:txPr>
        <c:crossAx val="45483904"/>
        <c:crosses val="autoZero"/>
        <c:auto val="1"/>
        <c:lblAlgn val="ctr"/>
        <c:lblOffset val="100"/>
      </c:catAx>
      <c:valAx>
        <c:axId val="45483904"/>
        <c:scaling>
          <c:orientation val="minMax"/>
          <c:min val="50"/>
        </c:scaling>
        <c:axPos val="l"/>
        <c:numFmt formatCode="#,##0" sourceLinked="0"/>
        <c:tickLblPos val="nextTo"/>
        <c:txPr>
          <a:bodyPr/>
          <a:lstStyle/>
          <a:p>
            <a:pPr>
              <a:defRPr lang="en-US" sz="900"/>
            </a:pPr>
            <a:endParaRPr lang="fr-FR"/>
          </a:p>
        </c:txPr>
        <c:crossAx val="45146880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5.4578920868388323E-2"/>
          <c:y val="9.1377174505359635E-2"/>
          <c:w val="0.92934282957058778"/>
          <c:h val="0.65238545452083996"/>
        </c:manualLayout>
      </c:layout>
      <c:lineChart>
        <c:grouping val="standard"/>
        <c:ser>
          <c:idx val="0"/>
          <c:order val="0"/>
          <c:tx>
            <c:strRef>
              <c:f>'tableau note fr'!$A$6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fr'!$B$3:$BC$3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fr'!$B$6:$BB$6</c:f>
              <c:numCache>
                <c:formatCode>#,##0.0</c:formatCode>
                <c:ptCount val="53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-31.141291421499723</c:v>
                </c:pt>
                <c:pt idx="3">
                  <c:v>-29.39384481866529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-25.723634629573009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-37.236760344983388</c:v>
                </c:pt>
                <c:pt idx="12">
                  <c:v>-26.050959167650063</c:v>
                </c:pt>
                <c:pt idx="13">
                  <c:v>-16.961438303130887</c:v>
                </c:pt>
                <c:pt idx="14">
                  <c:v>-13.439142519852011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-28.088708351168677</c:v>
                </c:pt>
                <c:pt idx="20">
                  <c:v>-29.212341127418195</c:v>
                </c:pt>
                <c:pt idx="21">
                  <c:v>-23.102864483982067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-17.387590506775634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-22.864633579953789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-17.464225574589342</c:v>
                </c:pt>
                <c:pt idx="36">
                  <c:v>-11.990228520502576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>
                  <c:v>-6.24696090915109</c:v>
                </c:pt>
                <c:pt idx="41" formatCode="General">
                  <c:v>-5.3830093381329069</c:v>
                </c:pt>
                <c:pt idx="42" formatCode="0.0">
                  <c:v>-9.5049571220917919</c:v>
                </c:pt>
                <c:pt idx="43" formatCode="0.0">
                  <c:v>-13.3</c:v>
                </c:pt>
                <c:pt idx="44" formatCode="0.0">
                  <c:v>-14.967427927122975</c:v>
                </c:pt>
                <c:pt idx="45" formatCode="0.0">
                  <c:v>-25.35300810689149</c:v>
                </c:pt>
                <c:pt idx="46" formatCode="0.0">
                  <c:v>-20.237097183526259</c:v>
                </c:pt>
                <c:pt idx="47" formatCode="0.0">
                  <c:v>-19.996896512157338</c:v>
                </c:pt>
                <c:pt idx="48" formatCode="0.0">
                  <c:v>-19.767991560587593</c:v>
                </c:pt>
                <c:pt idx="49" formatCode="0.0">
                  <c:v>-24.751522052511689</c:v>
                </c:pt>
                <c:pt idx="50" formatCode="0.0">
                  <c:v>-35.633876933169311</c:v>
                </c:pt>
                <c:pt idx="51" formatCode="0.0">
                  <c:v>-46.607458922581849</c:v>
                </c:pt>
                <c:pt idx="52" formatCode="0.0">
                  <c:v>-50.5</c:v>
                </c:pt>
              </c:numCache>
            </c:numRef>
          </c:val>
        </c:ser>
        <c:ser>
          <c:idx val="1"/>
          <c:order val="1"/>
          <c:tx>
            <c:strRef>
              <c:f>'tableau note fr'!$A$7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cat>
            <c:strRef>
              <c:f>'tableau note fr'!$B$3:$BC$3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fr'!$B$7:$BC$7</c:f>
              <c:numCache>
                <c:formatCode>#,##0.0</c:formatCode>
                <c:ptCount val="54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8.4334302751112825E-2</c:v>
                </c:pt>
                <c:pt idx="7">
                  <c:v>2.1853913991610052</c:v>
                </c:pt>
                <c:pt idx="8">
                  <c:v>0.39154986438085609</c:v>
                </c:pt>
                <c:pt idx="9">
                  <c:v>2.7314646872285109</c:v>
                </c:pt>
                <c:pt idx="10">
                  <c:v>0.19418325799955116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18.132139936578806</c:v>
                </c:pt>
                <c:pt idx="14">
                  <c:v>11.870106120928286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-4.2068608448306435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-11.389732068783601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-12.672429336417755</c:v>
                </c:pt>
                <c:pt idx="28">
                  <c:v>-8.8537661336825266</c:v>
                </c:pt>
                <c:pt idx="29">
                  <c:v>-7.2727206831161801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11.056984366480341</c:v>
                </c:pt>
                <c:pt idx="38">
                  <c:v>10.513852464527606</c:v>
                </c:pt>
                <c:pt idx="39">
                  <c:v>11.534776778164916</c:v>
                </c:pt>
                <c:pt idx="40">
                  <c:v>16.612852585837704</c:v>
                </c:pt>
                <c:pt idx="41" formatCode="General">
                  <c:v>14.986375562038818</c:v>
                </c:pt>
                <c:pt idx="42" formatCode="0.0">
                  <c:v>11.908882798368182</c:v>
                </c:pt>
                <c:pt idx="43" formatCode="0.0">
                  <c:v>9</c:v>
                </c:pt>
                <c:pt idx="44" formatCode="0.0">
                  <c:v>9.9894562713734274</c:v>
                </c:pt>
                <c:pt idx="45" formatCode="0.0">
                  <c:v>4.7256177899689273</c:v>
                </c:pt>
                <c:pt idx="46" formatCode="0.0">
                  <c:v>-3.6764057837750337</c:v>
                </c:pt>
                <c:pt idx="47" formatCode="0.0">
                  <c:v>-2.1591381326741157</c:v>
                </c:pt>
                <c:pt idx="48" formatCode="0.0">
                  <c:v>-4.6486149345966226</c:v>
                </c:pt>
                <c:pt idx="49" formatCode="0.0">
                  <c:v>-11.439989639150372</c:v>
                </c:pt>
                <c:pt idx="50" formatCode="0.0">
                  <c:v>-17.395183495255484</c:v>
                </c:pt>
                <c:pt idx="51" formatCode="0.0">
                  <c:v>-17.398438698388123</c:v>
                </c:pt>
                <c:pt idx="52" formatCode="0.0">
                  <c:v>13.2</c:v>
                </c:pt>
                <c:pt idx="53" formatCode="0.0">
                  <c:v>0.23038768840290028</c:v>
                </c:pt>
              </c:numCache>
            </c:numRef>
          </c:val>
        </c:ser>
        <c:marker val="1"/>
        <c:axId val="45654016"/>
        <c:axId val="45655552"/>
      </c:lineChart>
      <c:catAx>
        <c:axId val="45654016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45655552"/>
        <c:crosses val="autoZero"/>
        <c:auto val="1"/>
        <c:lblAlgn val="ctr"/>
        <c:lblOffset val="100"/>
      </c:catAx>
      <c:valAx>
        <c:axId val="4565555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45654016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4.9601657142813796E-2"/>
          <c:y val="0.10740680894435259"/>
          <c:w val="0.93410320098852262"/>
          <c:h val="0.68990797939998083"/>
        </c:manualLayout>
      </c:layout>
      <c:lineChart>
        <c:grouping val="standard"/>
        <c:ser>
          <c:idx val="0"/>
          <c:order val="0"/>
          <c:tx>
            <c:strRef>
              <c:f>'tableau note fr'!$A$5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'tableau note fr'!$B$3:$BC$3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fr'!$B$5:$BC$5</c:f>
              <c:numCache>
                <c:formatCode>#,##0.0</c:formatCode>
                <c:ptCount val="54"/>
                <c:pt idx="0">
                  <c:v>-52.09569227917919</c:v>
                </c:pt>
                <c:pt idx="1">
                  <c:v>-56.601297669293317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-57.930600458568478</c:v>
                </c:pt>
                <c:pt idx="7">
                  <c:v>-57.517749523976519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-52.335316844022458</c:v>
                </c:pt>
                <c:pt idx="12">
                  <c:v>-52.408437207990296</c:v>
                </c:pt>
                <c:pt idx="13">
                  <c:v>-45.982278486233483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-66.493969881109209</c:v>
                </c:pt>
                <c:pt idx="26">
                  <c:v>-68.825577821249908</c:v>
                </c:pt>
                <c:pt idx="27">
                  <c:v>-68.019160185663324</c:v>
                </c:pt>
                <c:pt idx="28">
                  <c:v>-65.155740215393664</c:v>
                </c:pt>
                <c:pt idx="29">
                  <c:v>-67.056481822589674</c:v>
                </c:pt>
                <c:pt idx="30">
                  <c:v>-66.189276460398091</c:v>
                </c:pt>
                <c:pt idx="31">
                  <c:v>-64.100777949741754</c:v>
                </c:pt>
                <c:pt idx="32">
                  <c:v>-67.734442836360955</c:v>
                </c:pt>
                <c:pt idx="33">
                  <c:v>-68.976178952187695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-59.886763094223141</c:v>
                </c:pt>
                <c:pt idx="39">
                  <c:v>-58.5</c:v>
                </c:pt>
                <c:pt idx="40">
                  <c:v>-54.525998602090162</c:v>
                </c:pt>
                <c:pt idx="41" formatCode="General">
                  <c:v>-61.706282712863526</c:v>
                </c:pt>
                <c:pt idx="42" formatCode="0.0">
                  <c:v>-65.247643368132074</c:v>
                </c:pt>
                <c:pt idx="43" formatCode="0.0">
                  <c:v>-70</c:v>
                </c:pt>
                <c:pt idx="44" formatCode="0.0">
                  <c:v>-75.565732444458845</c:v>
                </c:pt>
                <c:pt idx="45" formatCode="0.0">
                  <c:v>-76.905120512383789</c:v>
                </c:pt>
                <c:pt idx="46" formatCode="0.0">
                  <c:v>-71.817697941940466</c:v>
                </c:pt>
                <c:pt idx="47" formatCode="0.0">
                  <c:v>-71.645886731132009</c:v>
                </c:pt>
                <c:pt idx="48" formatCode="0.0">
                  <c:v>-70.7934404370435</c:v>
                </c:pt>
                <c:pt idx="49" formatCode="0.0">
                  <c:v>-75.168553605935344</c:v>
                </c:pt>
                <c:pt idx="50" formatCode="0.0">
                  <c:v>-82.012609773267997</c:v>
                </c:pt>
                <c:pt idx="51" formatCode="0.0">
                  <c:v>-78.280561499164364</c:v>
                </c:pt>
                <c:pt idx="52" formatCode="0.0">
                  <c:v>-62.2</c:v>
                </c:pt>
                <c:pt idx="53" formatCode="0.0">
                  <c:v>-69.830611321827732</c:v>
                </c:pt>
              </c:numCache>
            </c:numRef>
          </c:val>
        </c:ser>
        <c:marker val="1"/>
        <c:axId val="49566848"/>
        <c:axId val="49920256"/>
      </c:lineChart>
      <c:catAx>
        <c:axId val="49566848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800" b="0"/>
            </a:pPr>
            <a:endParaRPr lang="fr-FR"/>
          </a:p>
        </c:txPr>
        <c:crossAx val="49920256"/>
        <c:crosses val="autoZero"/>
        <c:auto val="1"/>
        <c:lblAlgn val="ctr"/>
        <c:lblOffset val="100"/>
        <c:tickLblSkip val="1"/>
      </c:catAx>
      <c:valAx>
        <c:axId val="4992025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49566848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4.4033556097871122E-2"/>
          <c:y val="0.10172829932492475"/>
          <c:w val="0.94772791848141413"/>
          <c:h val="0.75646373569509973"/>
        </c:manualLayout>
      </c:layout>
      <c:lineChart>
        <c:grouping val="standard"/>
        <c:ser>
          <c:idx val="0"/>
          <c:order val="0"/>
          <c:tx>
            <c:strRef>
              <c:f>'tableau note fr'!$A$8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'tableau note fr'!$B$3:$BC$3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fr'!$B$8:$BC$8</c:f>
              <c:numCache>
                <c:formatCode>#,##0.0</c:formatCode>
                <c:ptCount val="54"/>
                <c:pt idx="0">
                  <c:v>-30.018449770831797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-41.765350509033929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-34.756506471721572</c:v>
                </c:pt>
                <c:pt idx="9">
                  <c:v>-37.532519098271848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-39.860076277616734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-37.388587169100497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-28.348240299081702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-37.509325471422457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-39.999291784066429</c:v>
                </c:pt>
                <c:pt idx="37">
                  <c:v>-28.160977836062902</c:v>
                </c:pt>
                <c:pt idx="38">
                  <c:v>-31.475843594428088</c:v>
                </c:pt>
                <c:pt idx="39">
                  <c:v>-25.6</c:v>
                </c:pt>
                <c:pt idx="40">
                  <c:v>-27.189644342164545</c:v>
                </c:pt>
                <c:pt idx="41" formatCode="General">
                  <c:v>-25.753095123938731</c:v>
                </c:pt>
                <c:pt idx="42" formatCode="0.0">
                  <c:v>-30.193271317535196</c:v>
                </c:pt>
                <c:pt idx="43" formatCode="0.0">
                  <c:v>-36.800000000000004</c:v>
                </c:pt>
                <c:pt idx="44" formatCode="0.0">
                  <c:v>-36.294477943510053</c:v>
                </c:pt>
                <c:pt idx="45" formatCode="0.0">
                  <c:v>-41.423646990592751</c:v>
                </c:pt>
                <c:pt idx="46" formatCode="0.0">
                  <c:v>-37.73056747306839</c:v>
                </c:pt>
                <c:pt idx="47" formatCode="0.0">
                  <c:v>-29.21833531467249</c:v>
                </c:pt>
                <c:pt idx="48" formatCode="0.0">
                  <c:v>-32.611752500665851</c:v>
                </c:pt>
                <c:pt idx="49" formatCode="0.0">
                  <c:v>-67.951617125134092</c:v>
                </c:pt>
                <c:pt idx="50" formatCode="0.0">
                  <c:v>-63.469757370471939</c:v>
                </c:pt>
                <c:pt idx="51" formatCode="0.0">
                  <c:v>-61.233843482530801</c:v>
                </c:pt>
                <c:pt idx="52" formatCode="0.0">
                  <c:v>-61.6</c:v>
                </c:pt>
                <c:pt idx="53" formatCode="0.0">
                  <c:v>-65.565215742281509</c:v>
                </c:pt>
              </c:numCache>
            </c:numRef>
          </c:val>
        </c:ser>
        <c:marker val="1"/>
        <c:axId val="50208128"/>
        <c:axId val="50308224"/>
      </c:lineChart>
      <c:catAx>
        <c:axId val="50208128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50308224"/>
        <c:crosses val="autoZero"/>
        <c:auto val="1"/>
        <c:lblAlgn val="ctr"/>
        <c:lblOffset val="100"/>
      </c:catAx>
      <c:valAx>
        <c:axId val="50308224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lang="en-US" sz="900"/>
            </a:pPr>
            <a:endParaRPr lang="fr-FR"/>
          </a:p>
        </c:txPr>
        <c:crossAx val="50208128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4.2987647499950515E-2"/>
          <c:y val="8.4477552847514834E-2"/>
          <c:w val="0.92530908228434083"/>
          <c:h val="0.54322767557028773"/>
        </c:manualLayout>
      </c:layout>
      <c:lineChart>
        <c:grouping val="standard"/>
        <c:ser>
          <c:idx val="0"/>
          <c:order val="0"/>
          <c:tx>
            <c:strRef>
              <c:f>'tableau note fr'!$A$9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fr'!$B$3:$BC$3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fr'!$B$9:$BC$9</c:f>
              <c:numCache>
                <c:formatCode>#,##0.0</c:formatCode>
                <c:ptCount val="54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-28.062624892496316</c:v>
                </c:pt>
                <c:pt idx="12">
                  <c:v>-30.645498931903745</c:v>
                </c:pt>
                <c:pt idx="13">
                  <c:v>-27.092549889444335</c:v>
                </c:pt>
                <c:pt idx="14">
                  <c:v>-24.28899054728441</c:v>
                </c:pt>
                <c:pt idx="15">
                  <c:v>-25.669712181349741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-30.846093343724203</c:v>
                </c:pt>
                <c:pt idx="19">
                  <c:v>-29.426966691861271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-29.484131282651223</c:v>
                </c:pt>
                <c:pt idx="23">
                  <c:v>-29.485585569479962</c:v>
                </c:pt>
                <c:pt idx="24">
                  <c:v>-31.290770339915049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-30.637429411694047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-25.699936983325873</c:v>
                </c:pt>
                <c:pt idx="32">
                  <c:v>-27.23268621238142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-28.725836843764057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>
                  <c:v>-25.236685531801342</c:v>
                </c:pt>
                <c:pt idx="41" formatCode="General">
                  <c:v>-24.077817715725971</c:v>
                </c:pt>
                <c:pt idx="42" formatCode="0.0">
                  <c:v>-29.675061855859198</c:v>
                </c:pt>
                <c:pt idx="43" formatCode="0.0">
                  <c:v>-28.4</c:v>
                </c:pt>
                <c:pt idx="44" formatCode="0.0">
                  <c:v>-28.874306637901352</c:v>
                </c:pt>
                <c:pt idx="45" formatCode="0.0">
                  <c:v>-30.794330285810986</c:v>
                </c:pt>
                <c:pt idx="46" formatCode="0.0">
                  <c:v>-29.543474949783889</c:v>
                </c:pt>
                <c:pt idx="47" formatCode="0.0">
                  <c:v>-26.38685501138583</c:v>
                </c:pt>
                <c:pt idx="48" formatCode="0.0">
                  <c:v>-27.711995909750634</c:v>
                </c:pt>
                <c:pt idx="49" formatCode="0.0">
                  <c:v>-29.955220894721663</c:v>
                </c:pt>
                <c:pt idx="50" formatCode="0.0">
                  <c:v>-31.504825451700452</c:v>
                </c:pt>
                <c:pt idx="51" formatCode="0.0">
                  <c:v>-29.083585505842859</c:v>
                </c:pt>
                <c:pt idx="52" formatCode="0.0">
                  <c:v>-34.4</c:v>
                </c:pt>
                <c:pt idx="53" formatCode="0.0">
                  <c:v>-38.035486047325477</c:v>
                </c:pt>
              </c:numCache>
            </c:numRef>
          </c:val>
        </c:ser>
        <c:ser>
          <c:idx val="1"/>
          <c:order val="1"/>
          <c:tx>
            <c:strRef>
              <c:f>'tableau note fr'!$A$10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cat>
            <c:strRef>
              <c:f>'tableau note fr'!$B$3:$BC$3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fr'!$B$10:$BC$10</c:f>
              <c:numCache>
                <c:formatCode>#,##0.0</c:formatCode>
                <c:ptCount val="54"/>
                <c:pt idx="0">
                  <c:v>-11.760493904860514</c:v>
                </c:pt>
                <c:pt idx="1">
                  <c:v>-11.376439540974173</c:v>
                </c:pt>
                <c:pt idx="2">
                  <c:v>-11.707546774199251</c:v>
                </c:pt>
                <c:pt idx="3">
                  <c:v>-9.5250570435126427</c:v>
                </c:pt>
                <c:pt idx="4">
                  <c:v>-18.438210074457363</c:v>
                </c:pt>
                <c:pt idx="5">
                  <c:v>-13.353492384896761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-9.8004349690184043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-21.891965579068501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-29.150994705705717</c:v>
                </c:pt>
                <c:pt idx="28">
                  <c:v>-26.965288381475769</c:v>
                </c:pt>
                <c:pt idx="29">
                  <c:v>-20.216971341645095</c:v>
                </c:pt>
                <c:pt idx="30">
                  <c:v>-20.789363149769279</c:v>
                </c:pt>
                <c:pt idx="31">
                  <c:v>-18.50333400384844</c:v>
                </c:pt>
                <c:pt idx="32">
                  <c:v>-27.398022856415224</c:v>
                </c:pt>
                <c:pt idx="33">
                  <c:v>-22.820131487915329</c:v>
                </c:pt>
                <c:pt idx="34">
                  <c:v>-26.987361336961197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-14.506801572644619</c:v>
                </c:pt>
                <c:pt idx="39">
                  <c:v>-16.7</c:v>
                </c:pt>
                <c:pt idx="40">
                  <c:v>-18.12020796730943</c:v>
                </c:pt>
                <c:pt idx="41" formatCode="General">
                  <c:v>-15.241299993196511</c:v>
                </c:pt>
                <c:pt idx="42" formatCode="0.0">
                  <c:v>-18.212765523946558</c:v>
                </c:pt>
                <c:pt idx="43" formatCode="0.0">
                  <c:v>-20.7</c:v>
                </c:pt>
                <c:pt idx="44" formatCode="0.0">
                  <c:v>-21.239570741294095</c:v>
                </c:pt>
                <c:pt idx="45" formatCode="0.0">
                  <c:v>-24.187755596841431</c:v>
                </c:pt>
                <c:pt idx="46" formatCode="0.0">
                  <c:v>-26.020639530378268</c:v>
                </c:pt>
                <c:pt idx="47" formatCode="0.0">
                  <c:v>-22.058531326387186</c:v>
                </c:pt>
                <c:pt idx="48" formatCode="0.0">
                  <c:v>-22.878127876162285</c:v>
                </c:pt>
                <c:pt idx="49" formatCode="0.0">
                  <c:v>-26.986745192981459</c:v>
                </c:pt>
                <c:pt idx="50" formatCode="0.0">
                  <c:v>-33.978821699551595</c:v>
                </c:pt>
                <c:pt idx="51" formatCode="0.0">
                  <c:v>-39.901098518697133</c:v>
                </c:pt>
                <c:pt idx="52" formatCode="0.0">
                  <c:v>-47.4</c:v>
                </c:pt>
                <c:pt idx="53" formatCode="0.0">
                  <c:v>-49.983603873812037</c:v>
                </c:pt>
              </c:numCache>
            </c:numRef>
          </c:val>
        </c:ser>
        <c:ser>
          <c:idx val="2"/>
          <c:order val="2"/>
          <c:tx>
            <c:strRef>
              <c:f>'tableau note fr'!$A$11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cat>
            <c:strRef>
              <c:f>'tableau note fr'!$B$3:$BC$3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fr'!$B$11:$BC$11</c:f>
              <c:numCache>
                <c:formatCode>#,##0.0</c:formatCode>
                <c:ptCount val="54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26.705941849103187</c:v>
                </c:pt>
                <c:pt idx="4">
                  <c:v>26.769154239001928</c:v>
                </c:pt>
                <c:pt idx="5">
                  <c:v>21.986954089697061</c:v>
                </c:pt>
                <c:pt idx="6">
                  <c:v>17.532817766676494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11.776375704730505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20.354548457792724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11.23083364045033</c:v>
                </c:pt>
                <c:pt idx="17">
                  <c:v>11.136340416980383</c:v>
                </c:pt>
                <c:pt idx="18">
                  <c:v>7.6658451594012957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-1.7003971659207198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-3.9139038482871569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1.2373351928094007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>
                  <c:v>25.926424488378224</c:v>
                </c:pt>
                <c:pt idx="41" formatCode="General">
                  <c:v>28.130493740025226</c:v>
                </c:pt>
                <c:pt idx="42" formatCode="0.0">
                  <c:v>18.237772049662329</c:v>
                </c:pt>
                <c:pt idx="43" formatCode="0.0">
                  <c:v>19.100000000000001</c:v>
                </c:pt>
                <c:pt idx="44" formatCode="0.0">
                  <c:v>20.686932465103727</c:v>
                </c:pt>
                <c:pt idx="45" formatCode="0.0">
                  <c:v>18.273992721467774</c:v>
                </c:pt>
                <c:pt idx="46" formatCode="0.0">
                  <c:v>12.775065694831193</c:v>
                </c:pt>
                <c:pt idx="47" formatCode="0.0">
                  <c:v>15.949037871016623</c:v>
                </c:pt>
                <c:pt idx="48" formatCode="0.0">
                  <c:v>8.5440476832129519</c:v>
                </c:pt>
                <c:pt idx="49" formatCode="0.0">
                  <c:v>-4.5622056678242258</c:v>
                </c:pt>
                <c:pt idx="50" formatCode="0.0">
                  <c:v>-11.891224568065192</c:v>
                </c:pt>
                <c:pt idx="51" formatCode="0.0">
                  <c:v>0.5872218846748406</c:v>
                </c:pt>
                <c:pt idx="52" formatCode="0.0">
                  <c:v>21.2</c:v>
                </c:pt>
                <c:pt idx="53" formatCode="0.0">
                  <c:v>14.805679039075399</c:v>
                </c:pt>
              </c:numCache>
            </c:numRef>
          </c:val>
        </c:ser>
        <c:marker val="1"/>
        <c:axId val="56200576"/>
        <c:axId val="56545664"/>
      </c:lineChart>
      <c:catAx>
        <c:axId val="56200576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800" b="0"/>
            </a:pPr>
            <a:endParaRPr lang="fr-FR"/>
          </a:p>
        </c:txPr>
        <c:crossAx val="56545664"/>
        <c:crosses val="autoZero"/>
        <c:auto val="1"/>
        <c:lblAlgn val="ctr"/>
        <c:lblOffset val="100"/>
        <c:tickLblSkip val="1"/>
      </c:catAx>
      <c:valAx>
        <c:axId val="5654566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562005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256353912939045"/>
          <c:y val="0.73670496881671144"/>
          <c:w val="0.59905265626302495"/>
          <c:h val="0.24066428276306939"/>
        </c:manualLayout>
      </c:layout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6.0527361936278584E-2"/>
          <c:y val="7.9063402816886882E-2"/>
          <c:w val="0.92323567754434155"/>
          <c:h val="0.62970216107657961"/>
        </c:manualLayout>
      </c:layout>
      <c:lineChart>
        <c:grouping val="standard"/>
        <c:ser>
          <c:idx val="0"/>
          <c:order val="0"/>
          <c:tx>
            <c:strRef>
              <c:f>'tableau note fr'!$A$13</c:f>
              <c:strCache>
                <c:ptCount val="1"/>
                <c:pt idx="0">
                  <c:v>Evolution future des prix des produits alimentaires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fr'!$B$3:$BC$3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fr'!$B$13:$BC$13</c:f>
              <c:numCache>
                <c:formatCode>#,##0.0</c:formatCode>
                <c:ptCount val="54"/>
                <c:pt idx="0">
                  <c:v>-74.061389031284818</c:v>
                </c:pt>
                <c:pt idx="1">
                  <c:v>-77.716574651610344</c:v>
                </c:pt>
                <c:pt idx="2">
                  <c:v>-78.940542419693813</c:v>
                </c:pt>
                <c:pt idx="3">
                  <c:v>-49.653420650313549</c:v>
                </c:pt>
                <c:pt idx="4">
                  <c:v>-34.869529990694446</c:v>
                </c:pt>
                <c:pt idx="5">
                  <c:v>-33.523065681383365</c:v>
                </c:pt>
                <c:pt idx="6">
                  <c:v>-50.919242344766445</c:v>
                </c:pt>
                <c:pt idx="7">
                  <c:v>-47.87194786445459</c:v>
                </c:pt>
                <c:pt idx="8">
                  <c:v>-46.51502281152581</c:v>
                </c:pt>
                <c:pt idx="9">
                  <c:v>-56.832932011427921</c:v>
                </c:pt>
                <c:pt idx="10">
                  <c:v>-62.176731306136915</c:v>
                </c:pt>
                <c:pt idx="11">
                  <c:v>-70.131788082404199</c:v>
                </c:pt>
                <c:pt idx="12">
                  <c:v>-73.4127471825839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-72.965887012435019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-73.578371466433921</c:v>
                </c:pt>
                <c:pt idx="19">
                  <c:v>-70.049698245525676</c:v>
                </c:pt>
                <c:pt idx="20">
                  <c:v>-76.096296687300608</c:v>
                </c:pt>
                <c:pt idx="21">
                  <c:v>-73.375476646911594</c:v>
                </c:pt>
                <c:pt idx="22">
                  <c:v>-76.007455926126042</c:v>
                </c:pt>
                <c:pt idx="23">
                  <c:v>-76.048555842624523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-76.898841721729795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-79.602800137507884</c:v>
                </c:pt>
                <c:pt idx="40">
                  <c:v>-82.909090889011466</c:v>
                </c:pt>
                <c:pt idx="41" formatCode="General">
                  <c:v>-84.024833717392056</c:v>
                </c:pt>
                <c:pt idx="42">
                  <c:v>-82.078038176837381</c:v>
                </c:pt>
                <c:pt idx="43">
                  <c:v>-86.6</c:v>
                </c:pt>
                <c:pt idx="44">
                  <c:v>-87.54271632969234</c:v>
                </c:pt>
                <c:pt idx="45">
                  <c:v>-86.508482649196509</c:v>
                </c:pt>
                <c:pt idx="46">
                  <c:v>-83.288697742697579</c:v>
                </c:pt>
                <c:pt idx="47">
                  <c:v>-82.220036585575144</c:v>
                </c:pt>
                <c:pt idx="48">
                  <c:v>-82.585609750348496</c:v>
                </c:pt>
                <c:pt idx="49">
                  <c:v>-69.044082249116016</c:v>
                </c:pt>
                <c:pt idx="50" formatCode="0.0">
                  <c:v>-68.063522341730973</c:v>
                </c:pt>
                <c:pt idx="51" formatCode="0.0">
                  <c:v>-64.634662916008139</c:v>
                </c:pt>
                <c:pt idx="52" formatCode="0.0">
                  <c:v>-60.2</c:v>
                </c:pt>
                <c:pt idx="53" formatCode="0.0">
                  <c:v>-67.626807058147179</c:v>
                </c:pt>
              </c:numCache>
            </c:numRef>
          </c:val>
        </c:ser>
        <c:ser>
          <c:idx val="1"/>
          <c:order val="1"/>
          <c:tx>
            <c:strRef>
              <c:f>'tableau note fr'!$A$14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cat>
            <c:strRef>
              <c:f>'tableau note fr'!$B$3:$BC$3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fr'!$B$14:$BC$14</c:f>
              <c:numCache>
                <c:formatCode>#,##0.0</c:formatCode>
                <c:ptCount val="54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-83.278098478101455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-90.967802162493527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-89.924388392526083</c:v>
                </c:pt>
                <c:pt idx="15">
                  <c:v>-92.495216554147746</c:v>
                </c:pt>
                <c:pt idx="16">
                  <c:v>-91.625316584481823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-91.630328830979664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-84.135715875789074</c:v>
                </c:pt>
                <c:pt idx="26">
                  <c:v>-81.763249669623747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-84.284507159523756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-87.871778057968157</c:v>
                </c:pt>
                <c:pt idx="34">
                  <c:v>-87.672521775530925</c:v>
                </c:pt>
                <c:pt idx="35">
                  <c:v>-87.308587775463366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-82.80501829248945</c:v>
                </c:pt>
                <c:pt idx="39">
                  <c:v>-88.513579156072012</c:v>
                </c:pt>
                <c:pt idx="40">
                  <c:v>-86.694812387811382</c:v>
                </c:pt>
                <c:pt idx="41" formatCode="General">
                  <c:v>-88.182833745436668</c:v>
                </c:pt>
                <c:pt idx="42">
                  <c:v>-88.119908444008828</c:v>
                </c:pt>
                <c:pt idx="43">
                  <c:v>-90.3</c:v>
                </c:pt>
                <c:pt idx="44">
                  <c:v>-88.136419421127727</c:v>
                </c:pt>
                <c:pt idx="45">
                  <c:v>-88.912542109472369</c:v>
                </c:pt>
                <c:pt idx="46">
                  <c:v>-83.748311328811582</c:v>
                </c:pt>
                <c:pt idx="47">
                  <c:v>-85.084964738360227</c:v>
                </c:pt>
                <c:pt idx="48">
                  <c:v>-82.774085672956858</c:v>
                </c:pt>
                <c:pt idx="49">
                  <c:v>-67.616999612935103</c:v>
                </c:pt>
                <c:pt idx="50" formatCode="0.0">
                  <c:v>-75.123128911649388</c:v>
                </c:pt>
                <c:pt idx="51" formatCode="0.0">
                  <c:v>-74.676635648394679</c:v>
                </c:pt>
                <c:pt idx="52" formatCode="0.0">
                  <c:v>-74</c:v>
                </c:pt>
                <c:pt idx="53" formatCode="0.0">
                  <c:v>-86.830108784480672</c:v>
                </c:pt>
              </c:numCache>
            </c:numRef>
          </c:val>
        </c:ser>
        <c:marker val="1"/>
        <c:axId val="56714752"/>
        <c:axId val="56716288"/>
      </c:lineChart>
      <c:catAx>
        <c:axId val="56714752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900"/>
            </a:pPr>
            <a:endParaRPr lang="fr-FR"/>
          </a:p>
        </c:txPr>
        <c:crossAx val="56716288"/>
        <c:crosses val="autoZero"/>
        <c:auto val="1"/>
        <c:lblAlgn val="ctr"/>
        <c:lblOffset val="100"/>
        <c:tickLblSkip val="1"/>
      </c:catAx>
      <c:valAx>
        <c:axId val="5671628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56714752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6F06-3424-4B80-A9C4-50E5F2D9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1567</Words>
  <Characters>8623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10170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22</cp:revision>
  <cp:lastPrinted>2021-07-09T12:24:00Z</cp:lastPrinted>
  <dcterms:created xsi:type="dcterms:W3CDTF">2021-07-09T12:12:00Z</dcterms:created>
  <dcterms:modified xsi:type="dcterms:W3CDTF">2021-07-13T14:09:00Z</dcterms:modified>
</cp:coreProperties>
</file>