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6E7">
    <v:background id="_x0000_s1025" o:bwmode="white" fillcolor="#fdf6e7" o:targetscreensize="800,600">
      <v:fill color2="fill lighten(100)" method="linear sigma" focus="100%" type="gradient"/>
    </v:background>
  </w:background>
  <w:body>
    <w:p w:rsidR="00635CF0" w:rsidRDefault="00635CF0" w:rsidP="00982029">
      <w:pPr>
        <w:spacing w:after="0"/>
        <w:ind w:left="0"/>
        <w:jc w:val="center"/>
        <w:rPr>
          <w:rFonts w:ascii="Monotype Corsiva" w:hAnsi="Monotype Corsiva" w:cs="Arial"/>
          <w:b/>
          <w:bCs/>
          <w:color w:val="E36C0A" w:themeColor="accent6" w:themeShade="BF"/>
          <w:sz w:val="24"/>
          <w:szCs w:val="24"/>
          <w:rtl/>
          <w:lang w:bidi="ar-MA"/>
        </w:rPr>
      </w:pPr>
      <w:r w:rsidRPr="00D31FBA">
        <w:rPr>
          <w:color w:val="800080"/>
        </w:rPr>
        <w:object w:dxaOrig="1950" w:dyaOrig="2085">
          <v:shape id="_x0000_i1025" type="#_x0000_t75" style="width:52.75pt;height:56.1pt" o:ole="">
            <v:imagedata r:id="rId9" o:title=""/>
          </v:shape>
          <o:OLEObject Type="Embed" ProgID="MSPhotoEd.3" ShapeID="_x0000_i1025" DrawAspect="Content" ObjectID="_1558183046" r:id="rId10"/>
        </w:object>
      </w:r>
    </w:p>
    <w:p w:rsidR="00635CF0" w:rsidRDefault="00635CF0" w:rsidP="00635CF0">
      <w:pPr>
        <w:spacing w:after="0"/>
        <w:ind w:left="0"/>
        <w:jc w:val="center"/>
        <w:rPr>
          <w:rFonts w:ascii="Monotype Corsiva" w:hAnsi="Monotype Corsiva" w:cs="Arial"/>
          <w:b/>
          <w:bCs/>
          <w:color w:val="E36C0A" w:themeColor="accent6" w:themeShade="BF"/>
          <w:sz w:val="24"/>
          <w:szCs w:val="24"/>
          <w:rtl/>
          <w:lang w:bidi="ar-MA"/>
        </w:rPr>
      </w:pPr>
      <w:r w:rsidRPr="00635CF0">
        <w:rPr>
          <w:rFonts w:ascii="Monotype Corsiva" w:hAnsi="Monotype Corsiva" w:cs="Arial" w:hint="cs"/>
          <w:b/>
          <w:bCs/>
          <w:color w:val="E36C0A" w:themeColor="accent6" w:themeShade="BF"/>
          <w:sz w:val="24"/>
          <w:szCs w:val="24"/>
          <w:rtl/>
          <w:lang w:bidi="ar-MA"/>
        </w:rPr>
        <w:t>المندوبية السامية للتخطيط</w:t>
      </w:r>
    </w:p>
    <w:p w:rsidR="00635CF0" w:rsidRPr="00635CF0" w:rsidRDefault="00635CF0" w:rsidP="00982029">
      <w:pPr>
        <w:spacing w:after="0"/>
        <w:ind w:left="0"/>
        <w:jc w:val="center"/>
        <w:rPr>
          <w:rFonts w:ascii="Monotype Corsiva" w:hAnsi="Monotype Corsiva"/>
          <w:b/>
          <w:bCs/>
          <w:color w:val="800080"/>
          <w:sz w:val="24"/>
          <w:szCs w:val="24"/>
          <w:rtl/>
          <w:lang w:bidi="ar-MA"/>
        </w:rPr>
      </w:pPr>
      <w:r w:rsidRPr="00635CF0">
        <w:rPr>
          <w:rFonts w:ascii="Monotype Corsiva" w:hAnsi="Monotype Corsiva"/>
          <w:b/>
          <w:bCs/>
          <w:color w:val="800080"/>
          <w:sz w:val="24"/>
          <w:szCs w:val="24"/>
          <w:lang w:bidi="ar-MA"/>
        </w:rPr>
        <w:t>Haut Commissariat au plan</w:t>
      </w:r>
    </w:p>
    <w:p w:rsidR="00635CF0" w:rsidRDefault="00635CF0" w:rsidP="00982029">
      <w:pPr>
        <w:spacing w:after="0"/>
        <w:ind w:left="0"/>
        <w:jc w:val="center"/>
        <w:rPr>
          <w:rFonts w:ascii="Tahoma" w:hAnsi="Tahoma" w:cs="Tahoma"/>
          <w:b/>
          <w:bCs/>
          <w:color w:val="C00000"/>
          <w:sz w:val="28"/>
          <w:szCs w:val="28"/>
          <w:rtl/>
        </w:rPr>
      </w:pPr>
    </w:p>
    <w:p w:rsidR="00982029" w:rsidRPr="002F174D" w:rsidRDefault="00982029" w:rsidP="00074C36">
      <w:pPr>
        <w:jc w:val="center"/>
        <w:rPr>
          <w:rStyle w:val="lev"/>
          <w:rFonts w:ascii="Segoe UI" w:hAnsi="Segoe UI" w:cs="Segoe UI"/>
          <w:color w:val="E36C0A" w:themeColor="accent6" w:themeShade="BF"/>
        </w:rPr>
      </w:pPr>
      <w:r w:rsidRPr="002F174D">
        <w:rPr>
          <w:rStyle w:val="lev"/>
          <w:rFonts w:ascii="Segoe UI" w:hAnsi="Segoe UI" w:cs="Segoe UI"/>
          <w:color w:val="E36C0A" w:themeColor="accent6" w:themeShade="BF"/>
          <w:rtl/>
        </w:rPr>
        <w:t>المديرية الجهوية لكلميم</w:t>
      </w:r>
    </w:p>
    <w:p w:rsidR="00EA0257" w:rsidRPr="002F174D" w:rsidRDefault="00EA0257" w:rsidP="00F414F0">
      <w:pPr>
        <w:spacing w:after="0"/>
        <w:ind w:left="0"/>
        <w:jc w:val="center"/>
        <w:rPr>
          <w:rFonts w:ascii="Albertus Medium" w:hAnsi="Albertus Medium" w:cs="Arial"/>
          <w:b/>
          <w:bCs/>
          <w:i/>
          <w:iCs/>
          <w:emboss/>
          <w:color w:val="7030A0"/>
          <w:sz w:val="44"/>
          <w:szCs w:val="44"/>
          <w:lang w:eastAsia="fr-FR"/>
        </w:rPr>
      </w:pPr>
      <w:r w:rsidRPr="002F174D">
        <w:rPr>
          <w:rFonts w:ascii="Albertus Medium" w:hAnsi="Albertus Medium" w:cs="Arial"/>
          <w:b/>
          <w:bCs/>
          <w:color w:val="7030A0"/>
          <w:sz w:val="24"/>
          <w:szCs w:val="24"/>
        </w:rPr>
        <w:t>Direction Régionale de Guelmim</w:t>
      </w:r>
    </w:p>
    <w:p w:rsidR="003F271C" w:rsidRDefault="003F271C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3F271C" w:rsidRDefault="003F271C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3F271C" w:rsidRDefault="003F271C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3F271C" w:rsidRDefault="003F271C" w:rsidP="00DE6887">
      <w:pPr>
        <w:spacing w:before="240"/>
        <w:ind w:left="0" w:right="-170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3F271C" w:rsidRPr="00153021" w:rsidRDefault="003568B3" w:rsidP="003568B3">
      <w:pPr>
        <w:spacing w:before="240"/>
        <w:ind w:right="-170"/>
        <w:jc w:val="center"/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rtl/>
          <w:lang w:eastAsia="fr-FR" w:bidi="ar-MA"/>
        </w:rPr>
      </w:pPr>
      <w:r w:rsidRPr="00153021">
        <w:rPr>
          <w:rFonts w:cstheme="minorBidi" w:hint="cs"/>
          <w:b/>
          <w:bCs/>
          <w:i/>
          <w:iCs/>
          <w:emboss/>
          <w:color w:val="000000" w:themeColor="text1"/>
          <w:sz w:val="44"/>
          <w:szCs w:val="44"/>
          <w:rtl/>
          <w:lang w:eastAsia="fr-FR" w:bidi="ar-MA"/>
        </w:rPr>
        <w:t>الرقم الاستدلالي</w:t>
      </w:r>
      <w:r w:rsidR="003F271C" w:rsidRPr="00153021">
        <w:rPr>
          <w:rFonts w:cstheme="minorBidi" w:hint="cs"/>
          <w:b/>
          <w:bCs/>
          <w:i/>
          <w:iCs/>
          <w:emboss/>
          <w:color w:val="000000" w:themeColor="text1"/>
          <w:sz w:val="44"/>
          <w:szCs w:val="44"/>
          <w:rtl/>
          <w:lang w:eastAsia="fr-FR" w:bidi="ar-MA"/>
        </w:rPr>
        <w:t xml:space="preserve"> للأثمان عند </w:t>
      </w:r>
      <w:r w:rsidR="00540A55" w:rsidRPr="00153021">
        <w:rPr>
          <w:rFonts w:cstheme="minorBidi" w:hint="cs"/>
          <w:b/>
          <w:bCs/>
          <w:i/>
          <w:iCs/>
          <w:emboss/>
          <w:color w:val="000000" w:themeColor="text1"/>
          <w:sz w:val="44"/>
          <w:szCs w:val="44"/>
          <w:rtl/>
          <w:lang w:eastAsia="fr-FR" w:bidi="ar-MA"/>
        </w:rPr>
        <w:t>الاستهلاك</w:t>
      </w:r>
      <w:r w:rsidR="006934CE">
        <w:rPr>
          <w:rFonts w:cstheme="minorBidi" w:hint="cs"/>
          <w:b/>
          <w:bCs/>
          <w:i/>
          <w:iCs/>
          <w:emboss/>
          <w:color w:val="000000" w:themeColor="text1"/>
          <w:sz w:val="44"/>
          <w:szCs w:val="44"/>
          <w:rtl/>
          <w:lang w:eastAsia="fr-FR" w:bidi="ar-MA"/>
        </w:rPr>
        <w:t xml:space="preserve"> بمدينة كلميم</w:t>
      </w:r>
    </w:p>
    <w:p w:rsidR="003F271C" w:rsidRPr="00153021" w:rsidRDefault="003F271C" w:rsidP="00F414F0">
      <w:pPr>
        <w:spacing w:before="240"/>
        <w:ind w:right="-170"/>
        <w:jc w:val="center"/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</w:pPr>
      <w:r w:rsidRPr="00153021"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  <w:t>INDICE DES PRIX A LA CONSOM</w:t>
      </w:r>
      <w:r w:rsidR="00640CDC"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  <w:t>M</w:t>
      </w:r>
      <w:r w:rsidRPr="00153021"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  <w:t>ATION</w:t>
      </w:r>
      <w:r w:rsidR="00640CDC"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  <w:t xml:space="preserve"> DE LA</w:t>
      </w:r>
      <w:r w:rsidR="006934CE">
        <w:rPr>
          <w:rFonts w:cstheme="minorBidi"/>
          <w:b/>
          <w:bCs/>
          <w:i/>
          <w:iCs/>
          <w:emboss/>
          <w:color w:val="000000" w:themeColor="text1"/>
          <w:sz w:val="44"/>
          <w:szCs w:val="44"/>
          <w:lang w:eastAsia="fr-FR" w:bidi="ar-MA"/>
        </w:rPr>
        <w:t xml:space="preserve"> VILLE DE GUELMIM</w:t>
      </w:r>
    </w:p>
    <w:p w:rsidR="003F271C" w:rsidRPr="000C64C4" w:rsidRDefault="003F271C" w:rsidP="00F414F0">
      <w:pPr>
        <w:spacing w:before="240"/>
        <w:ind w:right="-170"/>
        <w:jc w:val="center"/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rtl/>
          <w:lang w:eastAsia="fr-FR" w:bidi="ar-MA"/>
        </w:rPr>
      </w:pPr>
      <w:r w:rsidRPr="000C64C4"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>(Base 100 : 2006 : 100</w:t>
      </w:r>
      <w:r w:rsidRPr="000C64C4">
        <w:rPr>
          <w:rFonts w:cstheme="minorBidi" w:hint="cs"/>
          <w:b/>
          <w:bCs/>
          <w:i/>
          <w:iCs/>
          <w:emboss/>
          <w:color w:val="000000" w:themeColor="text1"/>
          <w:sz w:val="40"/>
          <w:szCs w:val="40"/>
          <w:rtl/>
          <w:lang w:eastAsia="fr-FR" w:bidi="ar-MA"/>
        </w:rPr>
        <w:t xml:space="preserve">أساس </w:t>
      </w:r>
      <w:r w:rsidRPr="000C64C4"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 xml:space="preserve"> )</w:t>
      </w:r>
    </w:p>
    <w:p w:rsidR="003F271C" w:rsidRPr="00C93464" w:rsidRDefault="00987322" w:rsidP="00987322">
      <w:pPr>
        <w:spacing w:before="240"/>
        <w:ind w:right="-170"/>
        <w:jc w:val="center"/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rtl/>
          <w:lang w:eastAsia="fr-FR" w:bidi="ar-MA"/>
        </w:rPr>
      </w:pPr>
      <w:r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>M</w:t>
      </w:r>
      <w:r w:rsidR="00396383"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>ars</w:t>
      </w:r>
      <w:r w:rsidR="000F14A3" w:rsidRPr="00C93464"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 xml:space="preserve"> 201</w:t>
      </w:r>
      <w:r w:rsidR="00C12BAD">
        <w:rPr>
          <w:rFonts w:cstheme="minorBidi" w:hint="cs"/>
          <w:b/>
          <w:bCs/>
          <w:i/>
          <w:iCs/>
          <w:emboss/>
          <w:color w:val="000000" w:themeColor="text1"/>
          <w:sz w:val="40"/>
          <w:szCs w:val="40"/>
          <w:rtl/>
          <w:lang w:eastAsia="fr-FR" w:bidi="ar-MA"/>
        </w:rPr>
        <w:t>7</w:t>
      </w:r>
      <w:r w:rsidR="000F14A3" w:rsidRPr="00C93464">
        <w:rPr>
          <w:rFonts w:cstheme="minorBidi"/>
          <w:b/>
          <w:bCs/>
          <w:i/>
          <w:iCs/>
          <w:emboss/>
          <w:color w:val="000000" w:themeColor="text1"/>
          <w:sz w:val="40"/>
          <w:szCs w:val="40"/>
          <w:lang w:eastAsia="fr-FR" w:bidi="ar-MA"/>
        </w:rPr>
        <w:t xml:space="preserve"> </w:t>
      </w:r>
      <w:r>
        <w:rPr>
          <w:rFonts w:cstheme="minorBidi" w:hint="cs"/>
          <w:b/>
          <w:bCs/>
          <w:i/>
          <w:iCs/>
          <w:emboss/>
          <w:color w:val="000000" w:themeColor="text1"/>
          <w:sz w:val="40"/>
          <w:szCs w:val="40"/>
          <w:rtl/>
          <w:lang w:eastAsia="fr-FR" w:bidi="ar-MA"/>
        </w:rPr>
        <w:t>مارس</w:t>
      </w:r>
    </w:p>
    <w:p w:rsidR="003F271C" w:rsidRDefault="003F271C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0F14A3" w:rsidRDefault="000F14A3" w:rsidP="000F14A3">
      <w:pPr>
        <w:bidi/>
        <w:spacing w:before="240"/>
        <w:ind w:left="0" w:right="-170"/>
        <w:jc w:val="left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0F14A3" w:rsidRDefault="000F14A3" w:rsidP="000F14A3">
      <w:pPr>
        <w:bidi/>
        <w:spacing w:before="240"/>
        <w:ind w:left="0" w:right="-170"/>
        <w:jc w:val="left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2F6701" w:rsidRDefault="002F6701" w:rsidP="000F14A3">
      <w:pPr>
        <w:bidi/>
        <w:spacing w:before="240"/>
        <w:ind w:left="0" w:right="-170"/>
        <w:jc w:val="left"/>
        <w:rPr>
          <w:rFonts w:cstheme="minorBidi"/>
          <w:b/>
          <w:bCs/>
          <w:i/>
          <w:iCs/>
          <w:emboss/>
          <w:color w:val="76923C" w:themeColor="accent3" w:themeShade="BF"/>
          <w:sz w:val="40"/>
          <w:szCs w:val="40"/>
          <w:rtl/>
          <w:lang w:eastAsia="fr-FR" w:bidi="ar-MA"/>
        </w:rPr>
      </w:pPr>
    </w:p>
    <w:p w:rsidR="00DE6887" w:rsidRDefault="00DE6887" w:rsidP="00DE6887">
      <w:pPr>
        <w:bidi/>
        <w:spacing w:before="240"/>
        <w:ind w:left="0" w:right="-170"/>
        <w:jc w:val="left"/>
        <w:rPr>
          <w:rFonts w:cstheme="minorBidi"/>
          <w:b/>
          <w:bCs/>
          <w:i/>
          <w:iCs/>
          <w:emboss/>
          <w:color w:val="76923C" w:themeColor="accent3" w:themeShade="BF"/>
          <w:sz w:val="40"/>
          <w:szCs w:val="40"/>
          <w:rtl/>
          <w:lang w:eastAsia="fr-FR" w:bidi="ar-MA"/>
        </w:rPr>
      </w:pPr>
    </w:p>
    <w:p w:rsidR="00DE6887" w:rsidRDefault="00DE6887" w:rsidP="00DE6887">
      <w:pPr>
        <w:bidi/>
        <w:spacing w:before="240"/>
        <w:ind w:left="0" w:right="-170"/>
        <w:jc w:val="left"/>
        <w:rPr>
          <w:rFonts w:cstheme="minorBidi"/>
          <w:b/>
          <w:bCs/>
          <w:i/>
          <w:iCs/>
          <w:emboss/>
          <w:color w:val="76923C" w:themeColor="accent3" w:themeShade="BF"/>
          <w:sz w:val="40"/>
          <w:szCs w:val="40"/>
          <w:rtl/>
          <w:lang w:eastAsia="fr-FR" w:bidi="ar-MA"/>
        </w:rPr>
      </w:pPr>
    </w:p>
    <w:p w:rsidR="00DE6887" w:rsidRPr="00EF1208" w:rsidRDefault="00DE6887" w:rsidP="00DE6887">
      <w:pPr>
        <w:bidi/>
        <w:spacing w:before="240"/>
        <w:ind w:left="0" w:right="-170"/>
        <w:jc w:val="left"/>
        <w:rPr>
          <w:rFonts w:cstheme="minorBidi"/>
          <w:b/>
          <w:bCs/>
          <w:i/>
          <w:iCs/>
          <w:emboss/>
          <w:color w:val="76923C" w:themeColor="accent3" w:themeShade="BF"/>
          <w:sz w:val="40"/>
          <w:szCs w:val="40"/>
          <w:rtl/>
          <w:lang w:eastAsia="fr-FR" w:bidi="ar-MA"/>
        </w:rPr>
      </w:pPr>
    </w:p>
    <w:p w:rsidR="003F271C" w:rsidRPr="00621482" w:rsidRDefault="002F6701" w:rsidP="00621482">
      <w:pPr>
        <w:spacing w:before="240"/>
        <w:ind w:right="-170"/>
        <w:jc w:val="center"/>
        <w:rPr>
          <w:b/>
          <w:bCs/>
          <w:i/>
          <w:iCs/>
          <w:emboss/>
          <w:color w:val="C00000"/>
          <w:sz w:val="40"/>
          <w:szCs w:val="40"/>
          <w:lang w:eastAsia="fr-FR"/>
        </w:rPr>
      </w:pPr>
      <w:r w:rsidRPr="00621482">
        <w:rPr>
          <w:rFonts w:cs="Times New Roman" w:hint="cs"/>
          <w:b/>
          <w:bCs/>
          <w:i/>
          <w:iCs/>
          <w:emboss/>
          <w:color w:val="C00000"/>
          <w:sz w:val="40"/>
          <w:szCs w:val="40"/>
          <w:rtl/>
          <w:lang w:eastAsia="fr-FR"/>
        </w:rPr>
        <w:t>لمحة</w:t>
      </w:r>
      <w:r w:rsidR="00621482" w:rsidRPr="00621482">
        <w:rPr>
          <w:rFonts w:cs="Times New Roman" w:hint="cs"/>
          <w:b/>
          <w:bCs/>
          <w:i/>
          <w:iCs/>
          <w:emboss/>
          <w:color w:val="C00000"/>
          <w:sz w:val="40"/>
          <w:szCs w:val="40"/>
          <w:rtl/>
          <w:lang w:eastAsia="fr-FR"/>
        </w:rPr>
        <w:t xml:space="preserve"> حول المنهجية</w:t>
      </w:r>
    </w:p>
    <w:p w:rsidR="003F271C" w:rsidRPr="002F6701" w:rsidRDefault="002F6701" w:rsidP="00F414F0">
      <w:pPr>
        <w:spacing w:before="240"/>
        <w:ind w:right="-170"/>
        <w:jc w:val="center"/>
        <w:rPr>
          <w:b/>
          <w:bCs/>
          <w:i/>
          <w:iCs/>
          <w:emboss/>
          <w:color w:val="C00000"/>
          <w:sz w:val="40"/>
          <w:szCs w:val="40"/>
          <w:lang w:eastAsia="fr-FR"/>
        </w:rPr>
      </w:pPr>
      <w:r>
        <w:rPr>
          <w:b/>
          <w:bCs/>
          <w:i/>
          <w:iCs/>
          <w:emboss/>
          <w:color w:val="C00000"/>
          <w:sz w:val="40"/>
          <w:szCs w:val="40"/>
          <w:lang w:eastAsia="fr-FR"/>
        </w:rPr>
        <w:t>APERCU METHODOLOGIQUE</w:t>
      </w:r>
    </w:p>
    <w:p w:rsidR="00147111" w:rsidRDefault="00147111" w:rsidP="00F467F7">
      <w:pPr>
        <w:tabs>
          <w:tab w:val="left" w:pos="3969"/>
        </w:tabs>
        <w:spacing w:before="240"/>
        <w:ind w:right="-170"/>
        <w:jc w:val="center"/>
        <w:rPr>
          <w:b/>
          <w:bCs/>
          <w:i/>
          <w:iCs/>
          <w:emboss/>
          <w:color w:val="000000" w:themeColor="text1"/>
          <w:sz w:val="44"/>
          <w:szCs w:val="44"/>
          <w:lang w:eastAsia="fr-FR"/>
        </w:rPr>
      </w:pPr>
    </w:p>
    <w:p w:rsidR="002F6701" w:rsidRPr="002F6701" w:rsidRDefault="002F6701" w:rsidP="00F467F7">
      <w:pPr>
        <w:tabs>
          <w:tab w:val="left" w:pos="3969"/>
        </w:tabs>
        <w:spacing w:before="240"/>
        <w:ind w:right="-170"/>
        <w:jc w:val="center"/>
        <w:rPr>
          <w:b/>
          <w:bCs/>
          <w:i/>
          <w:iCs/>
          <w:emboss/>
          <w:color w:val="000000" w:themeColor="text1"/>
          <w:sz w:val="44"/>
          <w:szCs w:val="44"/>
          <w:lang w:eastAsia="fr-FR"/>
        </w:rPr>
        <w:sectPr w:rsidR="002F6701" w:rsidRPr="002F6701" w:rsidSect="007B255A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440" w:right="1440" w:bottom="1440" w:left="1800" w:header="708" w:footer="708" w:gutter="0"/>
          <w:pgNumType w:start="1"/>
          <w:cols w:space="708"/>
          <w:docGrid w:linePitch="435"/>
        </w:sectPr>
      </w:pPr>
    </w:p>
    <w:p w:rsidR="007F42F5" w:rsidRPr="002F6701" w:rsidRDefault="007F42F5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lastRenderedPageBreak/>
        <w:t>L’indice des prix à la consommation (base 100 : 2006) mesure le niveau et l’évolution des prix de détail dans le temps et dans l’espace.</w:t>
      </w:r>
    </w:p>
    <w:p w:rsidR="007F42F5" w:rsidRPr="002F6701" w:rsidRDefault="007F42F5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>La population de référence est constituée de l’ensemble de la population urbaine.</w:t>
      </w:r>
    </w:p>
    <w:p w:rsidR="007F42F5" w:rsidRPr="002F6701" w:rsidRDefault="007F42F5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>Le panier de l’indice contient 478 articles et 1076 variétés de produits représentant la majorité des articles consommés par la population urbaine.ces articles sont classée en 12 divisions et 41 groupes.</w:t>
      </w:r>
    </w:p>
    <w:p w:rsidR="007F42F5" w:rsidRPr="002F6701" w:rsidRDefault="007F42F5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>Les pondérations de l’année de base ont été calculées à partir des données provenant de l’enquête de consommation de 2000-2001 et actualisées sur la bas</w:t>
      </w:r>
      <w:r w:rsidR="00F63778">
        <w:rPr>
          <w:color w:val="000000" w:themeColor="text1"/>
          <w:sz w:val="22"/>
          <w:szCs w:val="22"/>
        </w:rPr>
        <w:t>e des résultats de l’enquête su</w:t>
      </w:r>
      <w:r w:rsidR="00F63778">
        <w:rPr>
          <w:rFonts w:cs="Tahoma"/>
          <w:color w:val="000000" w:themeColor="text1"/>
          <w:sz w:val="22"/>
          <w:szCs w:val="22"/>
        </w:rPr>
        <w:t>r</w:t>
      </w:r>
      <w:r w:rsidRPr="002F6701">
        <w:rPr>
          <w:color w:val="000000" w:themeColor="text1"/>
          <w:sz w:val="22"/>
          <w:szCs w:val="22"/>
        </w:rPr>
        <w:t xml:space="preserve"> le niveau de vie réalisée en 2006-2007.Elles représentent la structure des dépenses de consommation des ménages urbains.</w:t>
      </w:r>
    </w:p>
    <w:p w:rsidR="007F42F5" w:rsidRPr="002F6701" w:rsidRDefault="007F42F5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 xml:space="preserve">Les prix sont relevés à l’aide d’une enquête </w:t>
      </w:r>
      <w:r w:rsidR="00CA2B0F" w:rsidRPr="002F6701">
        <w:rPr>
          <w:color w:val="000000" w:themeColor="text1"/>
          <w:sz w:val="22"/>
          <w:szCs w:val="22"/>
        </w:rPr>
        <w:t>permanente dans 17 des principales villes représentant les 16 régions du Royaume, à savoir : Agadir,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Casablanca,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F</w:t>
      </w:r>
      <w:r w:rsidR="00F63778">
        <w:rPr>
          <w:color w:val="000000" w:themeColor="text1"/>
          <w:sz w:val="22"/>
          <w:szCs w:val="22"/>
        </w:rPr>
        <w:t>és , Kénitra, Marrakech, oujda, Raba</w:t>
      </w:r>
      <w:r w:rsidR="00CA2B0F" w:rsidRPr="002F6701">
        <w:rPr>
          <w:color w:val="000000" w:themeColor="text1"/>
          <w:sz w:val="22"/>
          <w:szCs w:val="22"/>
        </w:rPr>
        <w:t>t,Tétouan,Meknès,Tanger,Laayoune,Dakhla,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Guelmim,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Settat,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Safi,</w:t>
      </w:r>
      <w:r w:rsidR="00F63778">
        <w:rPr>
          <w:color w:val="000000" w:themeColor="text1"/>
          <w:sz w:val="22"/>
          <w:szCs w:val="22"/>
        </w:rPr>
        <w:t xml:space="preserve"> </w:t>
      </w:r>
      <w:r w:rsidR="00CA2B0F" w:rsidRPr="002F6701">
        <w:rPr>
          <w:color w:val="000000" w:themeColor="text1"/>
          <w:sz w:val="22"/>
          <w:szCs w:val="22"/>
        </w:rPr>
        <w:t>Béni-mellal et Al Hoceima.</w:t>
      </w:r>
    </w:p>
    <w:p w:rsidR="00CA2B0F" w:rsidRPr="002F6701" w:rsidRDefault="00CA2B0F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 xml:space="preserve">La formule de calcule de l’indice est celle de </w:t>
      </w:r>
      <w:r w:rsidRPr="002F6701">
        <w:rPr>
          <w:color w:val="000000" w:themeColor="text1"/>
          <w:sz w:val="16"/>
          <w:szCs w:val="16"/>
        </w:rPr>
        <w:t>&lt;&lt;</w:t>
      </w:r>
      <w:r w:rsidRPr="002F6701">
        <w:rPr>
          <w:color w:val="000000" w:themeColor="text1"/>
          <w:sz w:val="22"/>
          <w:szCs w:val="22"/>
        </w:rPr>
        <w:t>Laspeyres en chaine</w:t>
      </w:r>
      <w:r w:rsidRPr="002F6701">
        <w:rPr>
          <w:color w:val="000000" w:themeColor="text1"/>
          <w:sz w:val="16"/>
          <w:szCs w:val="16"/>
        </w:rPr>
        <w:t>&gt;&gt;</w:t>
      </w:r>
      <w:r w:rsidRPr="002F6701">
        <w:rPr>
          <w:color w:val="000000" w:themeColor="text1"/>
          <w:sz w:val="22"/>
          <w:szCs w:val="22"/>
        </w:rPr>
        <w:t>.Cette formule offre la possibilité d’actualiser en continu le panier et les coefficients de pondération. Elle permet aussi de résoudre les problèmes induits par les produits saisonniers.</w:t>
      </w:r>
    </w:p>
    <w:p w:rsidR="00CA2B0F" w:rsidRPr="002F6701" w:rsidRDefault="00CA2B0F" w:rsidP="00527106">
      <w:pPr>
        <w:spacing w:after="80"/>
        <w:ind w:left="0"/>
        <w:rPr>
          <w:color w:val="000000" w:themeColor="text1"/>
          <w:sz w:val="22"/>
          <w:szCs w:val="22"/>
        </w:rPr>
      </w:pPr>
      <w:r w:rsidRPr="002F6701">
        <w:rPr>
          <w:color w:val="000000" w:themeColor="text1"/>
          <w:sz w:val="22"/>
          <w:szCs w:val="22"/>
        </w:rPr>
        <w:t>Signalons que les indices publiés sont des indices bruts, c’est-à-dire non corrigés des variations saisonnières.</w:t>
      </w:r>
    </w:p>
    <w:p w:rsidR="00CA2B0F" w:rsidRPr="002F6701" w:rsidRDefault="00CA2B0F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FA5647" w:rsidRPr="002F6701" w:rsidRDefault="00FA5647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FA5647" w:rsidRPr="002F6701" w:rsidRDefault="00FA5647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A81A5C" w:rsidRPr="002F6701" w:rsidRDefault="00A81A5C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A81A5C" w:rsidRPr="002F6701" w:rsidRDefault="00A81A5C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A81A5C" w:rsidRPr="002F6701" w:rsidRDefault="00A81A5C" w:rsidP="002F6701">
      <w:pPr>
        <w:ind w:left="0"/>
        <w:jc w:val="left"/>
        <w:rPr>
          <w:color w:val="000000" w:themeColor="text1"/>
          <w:sz w:val="22"/>
          <w:szCs w:val="22"/>
          <w:rtl/>
        </w:rPr>
      </w:pPr>
    </w:p>
    <w:p w:rsidR="00FA5647" w:rsidRPr="002F6701" w:rsidRDefault="00FA5647" w:rsidP="00527106">
      <w:pPr>
        <w:bidi/>
        <w:spacing w:after="240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lastRenderedPageBreak/>
        <w:t xml:space="preserve">يهدف الرقم 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الاستدلالي</w:t>
      </w:r>
      <w:r w:rsidRPr="002F67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للأث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م</w:t>
      </w:r>
      <w:r w:rsidRPr="002F67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ان عند الاستهلاك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(أساس 100: 2006 ) إلى قياس مستوى وتطور أثمان التقسيط في الزمان والمكان.</w:t>
      </w:r>
    </w:p>
    <w:p w:rsidR="00FA5647" w:rsidRPr="002F6701" w:rsidRDefault="00D14183" w:rsidP="00527106">
      <w:pPr>
        <w:bidi/>
        <w:spacing w:after="240"/>
        <w:ind w:left="227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تتكون الساكنة المرجعية من مجموع السكان الحضريين.</w:t>
      </w:r>
    </w:p>
    <w:p w:rsidR="00D14183" w:rsidRPr="002F6701" w:rsidRDefault="00D14183" w:rsidP="00527106">
      <w:pPr>
        <w:bidi/>
        <w:spacing w:after="240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تحتوي سلة الرقم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الاستدلالي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على 478 مادة و 1067 نوعية.وهي</w:t>
      </w:r>
      <w:r w:rsidR="00F51E9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تمثل معظم المواد المستهلكة من طرف الساكنة الحضرية. وقد صنفت هذه المواد حسب 12 قسم و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41 مجموعة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.</w:t>
      </w:r>
    </w:p>
    <w:p w:rsidR="00D14183" w:rsidRPr="002F6701" w:rsidRDefault="00D14183" w:rsidP="00527106">
      <w:pPr>
        <w:bidi/>
        <w:spacing w:after="240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تم حساب معاملات الترجيح على أساس معطيات البحث الوطني حول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الاستهلاك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لفترة 2000-2001. وقد تمت مراجعتها على أساس معطيات البحث الوطني حول مستوى المعيشة لسنة 2006-2007. وتمثل هذه الترجيحات بنية استهلاك الأسر الحضرية.</w:t>
      </w:r>
    </w:p>
    <w:p w:rsidR="00D14183" w:rsidRPr="002F6701" w:rsidRDefault="00D14183" w:rsidP="00527106">
      <w:pPr>
        <w:bidi/>
        <w:spacing w:after="240" w:line="276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تتم معاينة الأثمان بواسطة بحث مستمر على صعيد 17 مدينة رئيسية تمثل الجهات الستة عشر للمملكة وهي : أكادير , الدار البيضاء , فاس , القنيطرة , مراكش , وجدة , الرباط , تطوان , مكناس , طنجة , العيون , الداخلة , كلميم , سطات ,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أسفي</w:t>
      </w: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, بني ملال والحسيمة .</w:t>
      </w:r>
    </w:p>
    <w:p w:rsidR="00F63778" w:rsidRDefault="00D14183" w:rsidP="00F63778">
      <w:pPr>
        <w:bidi/>
        <w:spacing w:after="240" w:line="276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يحسب الرقم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الاستدلالي</w:t>
      </w:r>
      <w:r w:rsidR="00F63778"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  <w:t xml:space="preserve">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لأثمان التقسيط باستعمال طريقة " لاسبير المتسلسلة ". ومن مز</w:t>
      </w:r>
      <w:r w:rsidR="00F6377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ايا هذه الطريقة أنها تمكن من تح</w:t>
      </w:r>
      <w:r w:rsidR="00F63778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ي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ين سلة المواد ومعاملات الترجيح. كما أنها تساعد على حل مشكل المواد الموسمية.</w:t>
      </w:r>
    </w:p>
    <w:p w:rsidR="00A81A5C" w:rsidRPr="00F63778" w:rsidRDefault="00F63778" w:rsidP="00F63778">
      <w:pPr>
        <w:bidi/>
        <w:spacing w:after="240" w:line="276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</w:t>
      </w:r>
      <w:r w:rsidR="00A81A5C" w:rsidRPr="002F67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وتجدر الإشارة إلى أن الأرقام الاستدلالية غير مصححة من التغيرات الموسمية</w:t>
      </w:r>
      <w:r w:rsidR="00A81A5C" w:rsidRPr="002F6701">
        <w:rPr>
          <w:rFonts w:asciiTheme="majorBidi" w:hAnsiTheme="majorBidi" w:cstheme="majorBidi" w:hint="cs"/>
          <w:color w:val="000000" w:themeColor="text1"/>
          <w:sz w:val="22"/>
          <w:szCs w:val="22"/>
          <w:rtl/>
          <w:lang w:bidi="ar-MA"/>
        </w:rPr>
        <w:t>.</w:t>
      </w:r>
    </w:p>
    <w:p w:rsidR="00A81A5C" w:rsidRPr="002F6701" w:rsidRDefault="00A81A5C" w:rsidP="002F6701">
      <w:pPr>
        <w:ind w:left="0"/>
        <w:rPr>
          <w:rFonts w:asciiTheme="majorBidi" w:hAnsiTheme="majorBidi" w:cstheme="majorBidi"/>
          <w:color w:val="000000" w:themeColor="text1"/>
          <w:sz w:val="22"/>
          <w:szCs w:val="22"/>
          <w:rtl/>
          <w:lang w:bidi="ar-MA"/>
        </w:rPr>
      </w:pPr>
    </w:p>
    <w:p w:rsidR="00D14183" w:rsidRPr="002F6701" w:rsidRDefault="00D14183" w:rsidP="002F6701">
      <w:pPr>
        <w:rPr>
          <w:rFonts w:asciiTheme="majorBidi" w:hAnsiTheme="majorBidi" w:cstheme="majorBidi"/>
          <w:color w:val="000000" w:themeColor="text1"/>
          <w:sz w:val="22"/>
          <w:szCs w:val="22"/>
          <w:rtl/>
          <w:lang w:bidi="ar-MA"/>
        </w:rPr>
      </w:pPr>
    </w:p>
    <w:p w:rsidR="00FA5647" w:rsidRPr="002F6701" w:rsidRDefault="00FA5647" w:rsidP="00FA5647">
      <w:pPr>
        <w:jc w:val="right"/>
        <w:rPr>
          <w:rFonts w:asciiTheme="majorBidi" w:hAnsiTheme="majorBidi" w:cstheme="majorBidi"/>
          <w:color w:val="000000" w:themeColor="text1"/>
          <w:sz w:val="22"/>
          <w:szCs w:val="22"/>
          <w:lang w:bidi="ar-MA"/>
        </w:rPr>
      </w:pPr>
    </w:p>
    <w:p w:rsidR="003F271C" w:rsidRDefault="003F271C" w:rsidP="00E10BC9">
      <w:pPr>
        <w:spacing w:before="240"/>
        <w:ind w:left="0" w:right="-170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E10BC9" w:rsidRDefault="00E10BC9" w:rsidP="00E10BC9">
      <w:pPr>
        <w:spacing w:before="240"/>
        <w:ind w:left="0" w:right="-170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3F271C" w:rsidRDefault="003F271C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</w:pPr>
    </w:p>
    <w:p w:rsidR="00147111" w:rsidRDefault="00147111" w:rsidP="00F414F0">
      <w:pPr>
        <w:spacing w:before="240"/>
        <w:ind w:right="-170"/>
        <w:jc w:val="center"/>
        <w:rPr>
          <w:b/>
          <w:bCs/>
          <w:i/>
          <w:iCs/>
          <w:emboss/>
          <w:color w:val="76923C" w:themeColor="accent3" w:themeShade="BF"/>
          <w:sz w:val="40"/>
          <w:szCs w:val="40"/>
          <w:lang w:eastAsia="fr-FR"/>
        </w:rPr>
        <w:sectPr w:rsidR="00147111" w:rsidSect="003453C2">
          <w:type w:val="continuous"/>
          <w:pgSz w:w="11906" w:h="16838"/>
          <w:pgMar w:top="720" w:right="720" w:bottom="720" w:left="720" w:header="680" w:footer="708" w:gutter="0"/>
          <w:cols w:num="2" w:space="708"/>
          <w:docGrid w:linePitch="435"/>
        </w:sectPr>
      </w:pPr>
    </w:p>
    <w:p w:rsidR="00CA44EC" w:rsidRPr="007E7F58" w:rsidRDefault="005B3523" w:rsidP="006934CE">
      <w:pPr>
        <w:spacing w:before="240"/>
        <w:ind w:right="-170"/>
        <w:jc w:val="center"/>
        <w:rPr>
          <w:rStyle w:val="Rfrenceintense"/>
        </w:rPr>
      </w:pPr>
      <w:r w:rsidRPr="007E7F58">
        <w:rPr>
          <w:rStyle w:val="Rfrenceintense"/>
        </w:rPr>
        <w:lastRenderedPageBreak/>
        <w:t>I</w:t>
      </w:r>
      <w:r w:rsidR="00F2715B" w:rsidRPr="007E7F58">
        <w:rPr>
          <w:rStyle w:val="Rfrenceintense"/>
        </w:rPr>
        <w:t>ndice des prix à la Consommation</w:t>
      </w:r>
      <w:r w:rsidR="00003242" w:rsidRPr="007E7F58">
        <w:rPr>
          <w:rStyle w:val="Rfrenceintense"/>
        </w:rPr>
        <w:t> </w:t>
      </w:r>
      <w:r w:rsidR="006934CE">
        <w:rPr>
          <w:rStyle w:val="Rfrenceintense"/>
        </w:rPr>
        <w:t xml:space="preserve">: IPC </w:t>
      </w:r>
      <w:r w:rsidR="00F2715B" w:rsidRPr="007E7F58">
        <w:rPr>
          <w:rStyle w:val="Rfrenceintense"/>
        </w:rPr>
        <w:t>VILLE DE GUELMIM</w:t>
      </w:r>
    </w:p>
    <w:p w:rsidR="00A11C33" w:rsidRPr="00B8068B" w:rsidRDefault="00A11C33" w:rsidP="00B8068B">
      <w:pPr>
        <w:keepNext/>
        <w:framePr w:dropCap="drop" w:lines="3" w:wrap="around" w:vAnchor="text" w:hAnchor="page" w:x="2056" w:y="105"/>
        <w:spacing w:before="240" w:after="0" w:line="758" w:lineRule="exact"/>
        <w:ind w:left="0" w:right="-170"/>
        <w:textAlignment w:val="baseline"/>
        <w:rPr>
          <w:rFonts w:asciiTheme="majorBidi" w:hAnsiTheme="majorBidi" w:cs="Arabic Transparent"/>
          <w:shadow/>
          <w:color w:val="943634" w:themeColor="accent2" w:themeShade="BF"/>
          <w:position w:val="-10"/>
          <w:sz w:val="72"/>
          <w:szCs w:val="72"/>
          <w:lang w:eastAsia="fr-FR"/>
        </w:rPr>
      </w:pPr>
      <w:r w:rsidRPr="00B8068B">
        <w:rPr>
          <w:rFonts w:asciiTheme="majorBidi" w:hAnsiTheme="majorBidi" w:cs="Arabic Transparent"/>
          <w:shadow/>
          <w:color w:val="943634" w:themeColor="accent2" w:themeShade="BF"/>
          <w:position w:val="-10"/>
          <w:sz w:val="100"/>
          <w:szCs w:val="100"/>
          <w:lang w:eastAsia="fr-FR"/>
        </w:rPr>
        <w:t>A</w:t>
      </w:r>
    </w:p>
    <w:p w:rsidR="00C85A2A" w:rsidRPr="00C85A2A" w:rsidRDefault="00C85A2A" w:rsidP="00C85A2A">
      <w:pPr>
        <w:spacing w:before="120" w:after="0"/>
        <w:ind w:left="0" w:right="-170"/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</w:pPr>
    </w:p>
    <w:p w:rsidR="00A11C33" w:rsidRDefault="008C1337" w:rsidP="008C14D6">
      <w:pPr>
        <w:spacing w:before="120" w:after="0"/>
        <w:ind w:left="0" w:right="-170"/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</w:pPr>
      <w:r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U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terme du mois</w:t>
      </w:r>
      <w:r w:rsidR="000F14A3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Mars 201</w:t>
      </w:r>
      <w:r w:rsidR="00C13185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7</w:t>
      </w:r>
      <w:r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, l’indice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des prix à la consommation a atteint l</w:t>
      </w:r>
      <w:r w:rsidR="00375485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e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niveau de </w:t>
      </w:r>
      <w:r w:rsidR="004E3641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11</w:t>
      </w:r>
      <w:r w:rsidR="008C14D6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5</w:t>
      </w:r>
      <w:r w:rsidR="004E3641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.4</w:t>
      </w:r>
      <w:r w:rsidR="00153021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</w:t>
      </w:r>
      <w:r w:rsidR="00741121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contre</w:t>
      </w:r>
      <w:r w:rsidR="00153021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</w:t>
      </w:r>
      <w:r w:rsidR="00375485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115.</w:t>
      </w:r>
      <w:r w:rsidR="008C14D6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7</w:t>
      </w:r>
      <w:r w:rsidR="00375485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le mois précédent, marquant </w:t>
      </w:r>
      <w:r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ainsi</w:t>
      </w:r>
      <w:r w:rsidR="00784E46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une </w:t>
      </w:r>
      <w:r w:rsidR="004E3641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baisse</w:t>
      </w:r>
      <w:r w:rsidR="00375485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 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de </w:t>
      </w:r>
      <w:r w:rsidR="008C14D6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0.3</w:t>
      </w:r>
      <w:r w:rsidR="00A11C33" w:rsidRPr="00C85A2A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%. </w:t>
      </w:r>
    </w:p>
    <w:p w:rsidR="00050EB8" w:rsidRPr="00C85A2A" w:rsidRDefault="00050EB8" w:rsidP="00741121">
      <w:pPr>
        <w:spacing w:before="120" w:after="0"/>
        <w:ind w:left="0" w:right="-170"/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</w:pPr>
    </w:p>
    <w:p w:rsidR="00A11C33" w:rsidRPr="00661527" w:rsidRDefault="00A11C33" w:rsidP="008C14D6">
      <w:pPr>
        <w:spacing w:before="120" w:after="0"/>
        <w:ind w:left="0" w:right="-170"/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</w:pPr>
      <w:r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Cette variation e</w:t>
      </w:r>
      <w:r w:rsidR="00784E46"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st le résul</w:t>
      </w:r>
      <w:r w:rsidR="00F15F97"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tat d’une</w:t>
      </w:r>
      <w:r w:rsidR="00620212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 xml:space="preserve"> </w:t>
      </w:r>
      <w:r w:rsidR="004E3641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régression</w:t>
      </w:r>
      <w:r w:rsidR="00375485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 xml:space="preserve"> </w:t>
      </w:r>
      <w:r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de l’indice des produits alimentaire</w:t>
      </w:r>
      <w:r w:rsidR="00375485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 xml:space="preserve"> et boisson non alcoolisées </w:t>
      </w:r>
      <w:r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 xml:space="preserve"> de </w:t>
      </w:r>
      <w:r w:rsidR="008C14D6">
        <w:rPr>
          <w:rFonts w:ascii="Bookman Old Style" w:hAnsi="Bookman Old Style" w:cs="Arabic Transparent" w:hint="cs"/>
          <w:color w:val="000000" w:themeColor="text1"/>
          <w:sz w:val="22"/>
          <w:szCs w:val="22"/>
          <w:rtl/>
          <w:lang w:eastAsia="fr-FR"/>
        </w:rPr>
        <w:t>0.4</w:t>
      </w:r>
      <w:r w:rsidR="00692771"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%</w:t>
      </w:r>
      <w:r w:rsidRPr="00661527">
        <w:rPr>
          <w:rFonts w:ascii="Bookman Old Style" w:hAnsi="Bookman Old Style" w:cs="Arabic Transparent"/>
          <w:color w:val="000000" w:themeColor="text1"/>
          <w:sz w:val="22"/>
          <w:szCs w:val="22"/>
          <w:lang w:eastAsia="fr-FR"/>
        </w:rPr>
        <w:t>.</w:t>
      </w:r>
    </w:p>
    <w:p w:rsidR="00A11C33" w:rsidRPr="00661527" w:rsidRDefault="00375485" w:rsidP="006F667B">
      <w:pPr>
        <w:spacing w:before="120" w:after="0"/>
        <w:ind w:left="0" w:right="-170"/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</w:pP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La</w:t>
      </w:r>
      <w:r w:rsidR="0062021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baisse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des produits </w:t>
      </w:r>
      <w:r w:rsidR="004E3641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alimentaires observée</w:t>
      </w:r>
      <w:r w:rsidR="0062021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entre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mars</w:t>
      </w:r>
      <w:r w:rsidR="0062021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et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février 201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7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concernent </w:t>
      </w:r>
      <w:r w:rsidR="00661527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principalement les</w:t>
      </w:r>
      <w:r w:rsidR="008C1337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« 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LEGUMES</w:t>
      </w:r>
      <w:r w:rsidR="008C1337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 »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avec</w:t>
      </w:r>
      <w:r w:rsidR="00820EF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un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e diminution</w:t>
      </w:r>
      <w:r w:rsidR="00820EF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8C14D6">
        <w:rPr>
          <w:rFonts w:ascii="Bookman Old Style" w:hAnsi="Bookman Old Style" w:cs="Times New Roman" w:hint="cs"/>
          <w:color w:val="000000" w:themeColor="text1"/>
          <w:sz w:val="22"/>
          <w:szCs w:val="22"/>
          <w:rtl/>
          <w:lang w:eastAsia="fr-FR"/>
        </w:rPr>
        <w:t>4.5</w:t>
      </w:r>
      <w:r w:rsidR="00A11C33" w:rsidRPr="00661527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et l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a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  « 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VIANDE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 » marquant une baisse de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0.4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. En revanche,</w:t>
      </w:r>
      <w:r w:rsidR="00820EF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la 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même</w:t>
      </w:r>
      <w:r w:rsidR="00820EF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division a enregistrée une 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augmentation </w:t>
      </w:r>
      <w:r w:rsid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des 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prix des «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FRUITS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» de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2.6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%, des « POISSON ET FRUITS DE MER » de 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0.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1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%, des«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HUILLES ET GRAISSES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»</w:t>
      </w:r>
      <w:r w:rsidR="0034693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1.6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 et des «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PRODUITS ALIMENTAIRES </w:t>
      </w:r>
      <w:r w:rsidR="006F667B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NON CLASSES AILLEURS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» de </w:t>
      </w:r>
      <w:r w:rsidR="008C14D6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2.2</w:t>
      </w:r>
      <w:r w:rsidR="006019D3"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%.</w:t>
      </w:r>
    </w:p>
    <w:p w:rsidR="006019D3" w:rsidRDefault="00C13185" w:rsidP="00472CAA">
      <w:pPr>
        <w:spacing w:before="120" w:after="0"/>
        <w:ind w:left="0" w:right="-170"/>
        <w:rPr>
          <w:rFonts w:ascii="Bookman Old Style" w:hAnsi="Bookman Old Style" w:cs="Times New Roman"/>
          <w:color w:val="000000" w:themeColor="text1"/>
          <w:sz w:val="22"/>
          <w:szCs w:val="22"/>
          <w:rtl/>
          <w:lang w:eastAsia="fr-FR"/>
        </w:rPr>
      </w:pP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Cette </w:t>
      </w:r>
      <w:r w:rsidR="0063062E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détérioration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des prix a été également</w:t>
      </w:r>
      <w:r w:rsidR="00743750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le résultat d’une légère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743750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baisse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des prix des </w:t>
      </w:r>
      <w:r w:rsidR="00743750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« LOGEMENT, EAU, GAZ, ELECTRICITE ET AUTRES COMBUSTIBLES »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de 0.</w:t>
      </w:r>
      <w:r w:rsidR="00C86E0B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1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</w:t>
      </w:r>
      <w:r w:rsidR="00C86E0B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tirée principalement par la dévaluation de l’indice des 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entretiens et réparations des logements ,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d’autre part, les prix des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« MEUBLES, ARTICLES DE MENAGE ET ENTRETIEN COURANT DU FOYER »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ont régressés 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 0.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3% suite à la baisse des prix des bien et services liés à l’entretien courant du foyer.</w:t>
      </w:r>
    </w:p>
    <w:p w:rsidR="006019D3" w:rsidRDefault="006019D3" w:rsidP="00C13185">
      <w:pPr>
        <w:spacing w:before="120" w:after="0"/>
        <w:ind w:left="0" w:right="-170"/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</w:pPr>
      <w:r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Les indices des autres divisions n’ont pratiquement connu aucune variation au cours du mois de mars 201</w:t>
      </w:r>
      <w:r w:rsidR="00C13185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7</w:t>
      </w:r>
      <w:r w:rsidRPr="006019D3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.</w:t>
      </w:r>
    </w:p>
    <w:p w:rsidR="00A11C33" w:rsidRPr="00661527" w:rsidRDefault="00B771B2" w:rsidP="00472CAA">
      <w:pPr>
        <w:spacing w:before="120" w:after="0"/>
        <w:ind w:left="0" w:right="-170"/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</w:pP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L’indice</w:t>
      </w:r>
      <w:r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des prix</w:t>
      </w:r>
      <w:r w:rsidR="00820EF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du mois </w:t>
      </w: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mars  201</w:t>
      </w:r>
      <w:r w:rsidR="00DE2CBC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7</w:t>
      </w: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a  connu une 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légère hausse </w:t>
      </w: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 xml:space="preserve"> de </w:t>
      </w:r>
      <w:r w:rsidR="00DE2CBC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0.</w:t>
      </w:r>
      <w:r w:rsidR="00472CAA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08</w:t>
      </w: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% par rapport au même mois de l’année 201</w:t>
      </w:r>
      <w:r w:rsidR="00DE2CBC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6</w:t>
      </w:r>
      <w:r w:rsidRPr="00B771B2">
        <w:rPr>
          <w:rFonts w:ascii="Bookman Old Style" w:hAnsi="Bookman Old Style" w:cs="Times New Roman"/>
          <w:color w:val="000000" w:themeColor="text1"/>
          <w:sz w:val="22"/>
          <w:szCs w:val="22"/>
          <w:lang w:eastAsia="fr-FR"/>
        </w:rPr>
        <w:t>.</w:t>
      </w:r>
    </w:p>
    <w:p w:rsidR="00B20AB2" w:rsidRPr="007E7F58" w:rsidRDefault="00A11C33" w:rsidP="006934CE">
      <w:pPr>
        <w:pStyle w:val="Titre2"/>
        <w:bidi/>
        <w:jc w:val="center"/>
        <w:rPr>
          <w:rStyle w:val="Rfrenceple"/>
        </w:rPr>
      </w:pPr>
      <w:r w:rsidRPr="007E7F58">
        <w:rPr>
          <w:rStyle w:val="Rfrenceple"/>
          <w:rFonts w:hint="cs"/>
          <w:rtl/>
        </w:rPr>
        <w:t>الرقم الاستدلالي للاثمان عند الاستهلاك بمدينة كلميم ( عاصمة الجهة</w:t>
      </w:r>
      <w:r w:rsidR="007E7F58" w:rsidRPr="007E7F58">
        <w:rPr>
          <w:rStyle w:val="Rfrenceple"/>
        </w:rPr>
        <w:t>(</w:t>
      </w:r>
    </w:p>
    <w:p w:rsidR="00DF7606" w:rsidRPr="001C6970" w:rsidRDefault="00796637" w:rsidP="00F51E90">
      <w:pPr>
        <w:autoSpaceDE w:val="0"/>
        <w:autoSpaceDN w:val="0"/>
        <w:bidi/>
        <w:adjustRightInd w:val="0"/>
        <w:spacing w:after="0"/>
        <w:ind w:left="-123"/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</w:pPr>
      <w:r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بلغ مستوى</w:t>
      </w:r>
      <w:r w:rsidR="00620212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الرق</w:t>
      </w:r>
      <w:r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م الاستدلالي للاثمان عند الاستهلاك</w:t>
      </w:r>
      <w:r w:rsidR="00F51E9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)</w:t>
      </w:r>
      <w:r w:rsidR="00F51E9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ر.ا.أ</w:t>
      </w:r>
      <w:r w:rsidR="00F51E9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(</w:t>
      </w:r>
      <w:r w:rsidR="00F51E9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</w:t>
      </w:r>
      <w:r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خلال شهر مارس </w:t>
      </w:r>
      <w:r w:rsidR="005C6AE4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 xml:space="preserve">2017 </w:t>
      </w:r>
      <w:r w:rsidR="00561847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</w:t>
      </w:r>
      <w:r w:rsidR="00D905A0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115.4</w:t>
      </w:r>
      <w:r w:rsidR="00561847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مقابل 115.</w:t>
      </w:r>
      <w:r w:rsidR="00D905A0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7</w:t>
      </w:r>
      <w:r w:rsidR="00561847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الشهر المنصرم مسجلا بذلك </w:t>
      </w:r>
      <w:r w:rsidR="000E34DB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>انخفاضا</w:t>
      </w:r>
      <w:r w:rsidR="00561847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</w:t>
      </w:r>
      <w:r w:rsidR="005C6AE4" w:rsidRPr="001C6970">
        <w:rPr>
          <w:rFonts w:asciiTheme="majorBidi" w:hAnsiTheme="majorBidi" w:cs="Arabic Transparent" w:hint="cs"/>
          <w:b/>
          <w:bCs/>
          <w:shadow/>
          <w:color w:val="943634" w:themeColor="accent2" w:themeShade="BF"/>
          <w:sz w:val="22"/>
          <w:szCs w:val="22"/>
          <w:rtl/>
          <w:lang w:eastAsia="fr-FR"/>
        </w:rPr>
        <w:t xml:space="preserve"> قدره </w:t>
      </w:r>
      <w:r w:rsidR="005C6AE4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0.</w:t>
      </w:r>
      <w:r w:rsidR="00D905A0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4</w:t>
      </w:r>
      <w:r w:rsidR="005C6AE4" w:rsidRPr="001C6970">
        <w:rPr>
          <w:rFonts w:asciiTheme="majorBidi" w:hAnsiTheme="majorBidi" w:cs="Arabic Transparent"/>
          <w:b/>
          <w:bCs/>
          <w:shadow/>
          <w:color w:val="943634" w:themeColor="accent2" w:themeShade="BF"/>
          <w:sz w:val="22"/>
          <w:szCs w:val="22"/>
          <w:lang w:eastAsia="fr-FR"/>
        </w:rPr>
        <w:t>%</w:t>
      </w:r>
    </w:p>
    <w:p w:rsidR="000E34DB" w:rsidRDefault="000E34DB" w:rsidP="000E34DB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/>
        </w:rPr>
      </w:pPr>
    </w:p>
    <w:p w:rsidR="00620212" w:rsidRDefault="00796637" w:rsidP="00D905A0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  <w:r>
        <w:rPr>
          <w:rFonts w:ascii="Bookman Old Style" w:hAnsi="Bookman Old Style" w:cs="Times New Roman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D905A0" w:rsidRPr="00D905A0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نتج هذا التغير عن انخفاض الرقم الاستدلالي</w:t>
      </w:r>
      <w:r w:rsidR="00D905A0">
        <w:rPr>
          <w:rFonts w:ascii="Bookman Old Style" w:hAnsi="Bookman Old Style" w:cs="Times New Roman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A41658">
        <w:rPr>
          <w:rFonts w:ascii="Bookman Old Style" w:hAnsi="Bookman Old Style" w:cs="Times New Roman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D905A0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لـ"</w:t>
      </w:r>
      <w:r w:rsidR="00D905A0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 xml:space="preserve">المواد الغذائية </w:t>
      </w:r>
      <w:r w:rsidR="00D905A0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والمشروبات غير الكحولية"</w:t>
      </w:r>
      <w:r w:rsidR="00D905A0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ب 0.4</w:t>
      </w:r>
      <w:r w:rsidR="00D905A0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D905A0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</w:p>
    <w:p w:rsidR="00D905A0" w:rsidRPr="000E34DB" w:rsidRDefault="00D905A0" w:rsidP="00D905A0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/>
        </w:rPr>
      </w:pPr>
    </w:p>
    <w:p w:rsidR="006F667B" w:rsidRDefault="00D905A0" w:rsidP="0064641C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جاء 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تراجع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 xml:space="preserve">الرقم الاستدلالي 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لـ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>لمواد الغذائية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ما بين فبراير و مارس 2017 نتيجة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انخفاض اثمنة 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>الخضر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" بـ 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4.5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، و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"اللحوم"  ب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0.4</w:t>
      </w:r>
      <w:r w:rsidR="009C6903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9C6903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. من جهة أخرى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، تم تسجيل ارتفاع اثمنة الفواكه ب2.6</w:t>
      </w:r>
      <w:r w:rsidR="004E4BB5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 و</w:t>
      </w:r>
      <w:r w:rsidR="006934CE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اثمنة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>"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الأسماك و فواكه البحر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>"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ب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0.1</w:t>
      </w:r>
      <w:r w:rsidR="004E4BB5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، و " الزيوت و الدهنيات " ب 1.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6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، و </w:t>
      </w:r>
      <w:r w:rsid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المواد </w:t>
      </w:r>
      <w:r w:rsidR="006F667B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الغذائية غير مصنفة في مكان أخر</w:t>
      </w:r>
      <w:r w:rsid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ب </w:t>
      </w:r>
      <w:r w:rsidR="004E4BB5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2.2</w:t>
      </w:r>
      <w:r w:rsidR="00561847" w:rsidRPr="00561847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.</w:t>
      </w:r>
    </w:p>
    <w:p w:rsidR="0064641C" w:rsidRDefault="0064641C" w:rsidP="0064641C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</w:p>
    <w:p w:rsidR="0064641C" w:rsidRDefault="0064641C" w:rsidP="0064641C">
      <w:pPr>
        <w:autoSpaceDE w:val="0"/>
        <w:autoSpaceDN w:val="0"/>
        <w:bidi/>
        <w:adjustRightInd w:val="0"/>
        <w:spacing w:after="0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/>
        </w:rPr>
      </w:pP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تسبب أيضا في تراجع الرقم الاستدلالي للاثمان انخفاض اثمنة </w:t>
      </w:r>
      <w:r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السكن و الماء والكهرباء والغاز ومحروقات أخرى</w:t>
      </w:r>
      <w:r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ب0.1</w:t>
      </w:r>
      <w:r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 xml:space="preserve"> وذلك اثر تراجع اثمنة صيانة وإصلاح المساكن. من ناحية </w:t>
      </w:r>
      <w:r w:rsidR="00C12BAD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>أخرى، تراجع الرقم الاستدلالي ل</w:t>
      </w:r>
      <w:r w:rsidR="00C12BAD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 w:rsidR="00C12BAD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الأثاث و الأدوات المنزلية و الصيانة</w:t>
      </w: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C12BAD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>العادية للمنزل</w:t>
      </w:r>
      <w:r w:rsidR="00C12BAD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"</w:t>
      </w:r>
      <w:r w:rsidR="00C12BAD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ب0.3</w:t>
      </w:r>
      <w:r w:rsidR="00C12BAD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="00C12BAD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 xml:space="preserve"> </w:t>
      </w:r>
      <w:r w:rsidR="006934CE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 xml:space="preserve">نتيجة لانخفاض ثمن المواد و الخدمات المتعلقة بالصيانة المنزلية. </w:t>
      </w:r>
    </w:p>
    <w:p w:rsidR="00DF7606" w:rsidRDefault="00561847" w:rsidP="006934CE">
      <w:pPr>
        <w:bidi/>
        <w:spacing w:before="200" w:line="292" w:lineRule="exact"/>
        <w:ind w:left="-265" w:firstLine="142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  <w:r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لم يعرف الرقم الاستدلالي لباقي الأقسام أي تغير خلال شهر مارس 201</w:t>
      </w:r>
      <w:r w:rsidR="006934CE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7</w:t>
      </w:r>
      <w:r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.</w:t>
      </w:r>
    </w:p>
    <w:p w:rsidR="00A11C33" w:rsidRDefault="00DF7606" w:rsidP="00B843D1">
      <w:pPr>
        <w:bidi/>
        <w:spacing w:before="200" w:line="292" w:lineRule="exact"/>
        <w:ind w:left="-123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  <w:r w:rsidRPr="00DF7606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عرف الرقم الاستدلالي العام لشهر مارس </w:t>
      </w:r>
      <w:r w:rsidR="00B843D1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2017</w:t>
      </w:r>
      <w:r w:rsidRPr="00DF7606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 xml:space="preserve"> </w:t>
      </w:r>
      <w:r w:rsidRPr="00DF7606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ارتفاعا</w:t>
      </w:r>
      <w:r w:rsidR="00B843D1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 xml:space="preserve"> </w:t>
      </w:r>
      <w:r w:rsidR="00B843D1">
        <w:rPr>
          <w:rFonts w:ascii="Tahoma" w:hAnsi="Tahoma" w:cs="Tahoma" w:hint="cs"/>
          <w:color w:val="000000" w:themeColor="text1"/>
          <w:sz w:val="22"/>
          <w:szCs w:val="22"/>
          <w:rtl/>
          <w:lang w:eastAsia="fr-FR"/>
        </w:rPr>
        <w:t>طفيفا</w:t>
      </w:r>
      <w:r w:rsidRPr="00DF7606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 xml:space="preserve"> </w:t>
      </w:r>
      <w:r w:rsidRPr="00DF7606"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  <w:t>قدره</w:t>
      </w:r>
      <w:r w:rsidRPr="00DF7606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 xml:space="preserve"> </w:t>
      </w:r>
      <w:r w:rsidR="00B843D1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0.08</w:t>
      </w:r>
      <w:r w:rsidRPr="00DF7606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>%</w:t>
      </w:r>
      <w:r w:rsidRPr="00DF7606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  <w:r w:rsidRPr="00DF7606"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  <w:t xml:space="preserve"> </w:t>
      </w:r>
      <w:r w:rsidRPr="00DF7606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بالمقارنة مع نفس الشهر من سنة 201</w:t>
      </w:r>
      <w:r w:rsidR="00B843D1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6</w:t>
      </w:r>
      <w:r w:rsidRPr="00DF7606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>.</w:t>
      </w:r>
      <w:r w:rsidR="00561847" w:rsidRPr="00561847"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</w:p>
    <w:p w:rsidR="000F41B1" w:rsidRDefault="000F41B1" w:rsidP="000F41B1">
      <w:pPr>
        <w:bidi/>
        <w:spacing w:after="0"/>
        <w:ind w:left="0"/>
        <w:rPr>
          <w:rFonts w:ascii="Tahoma" w:hAnsi="Tahoma" w:cs="Tahoma"/>
          <w:color w:val="000000" w:themeColor="text1"/>
          <w:sz w:val="22"/>
          <w:szCs w:val="22"/>
          <w:lang w:eastAsia="fr-FR" w:bidi="ar-MA"/>
        </w:rPr>
      </w:pPr>
    </w:p>
    <w:p w:rsidR="00C85A2A" w:rsidRPr="000D24BF" w:rsidRDefault="00DE6887" w:rsidP="000F41B1">
      <w:pPr>
        <w:bidi/>
        <w:spacing w:after="0"/>
        <w:ind w:left="0"/>
        <w:rPr>
          <w:rFonts w:ascii="Tahoma" w:hAnsi="Tahoma" w:cs="Tahoma"/>
          <w:color w:val="000000" w:themeColor="text1"/>
          <w:sz w:val="22"/>
          <w:szCs w:val="22"/>
          <w:rtl/>
          <w:lang w:eastAsia="fr-FR" w:bidi="ar-MA"/>
        </w:rPr>
      </w:pPr>
      <w:r>
        <w:rPr>
          <w:rFonts w:ascii="Tahoma" w:hAnsi="Tahoma" w:cs="Tahoma" w:hint="cs"/>
          <w:color w:val="000000" w:themeColor="text1"/>
          <w:sz w:val="22"/>
          <w:szCs w:val="22"/>
          <w:rtl/>
          <w:lang w:eastAsia="fr-FR" w:bidi="ar-MA"/>
        </w:rPr>
        <w:t xml:space="preserve"> </w:t>
      </w:r>
      <w:r>
        <w:rPr>
          <w:rFonts w:ascii="Bookman Old Style" w:hAnsi="Bookman Old Style" w:cs="Times New Roman" w:hint="cs"/>
          <w:color w:val="000000" w:themeColor="text1"/>
          <w:sz w:val="22"/>
          <w:szCs w:val="22"/>
          <w:rtl/>
          <w:lang w:eastAsia="fr-FR"/>
        </w:rPr>
        <w:t xml:space="preserve"> </w:t>
      </w:r>
    </w:p>
    <w:p w:rsidR="000E1613" w:rsidRDefault="000E1613" w:rsidP="000E1613">
      <w:pPr>
        <w:bidi/>
        <w:spacing w:after="0"/>
        <w:ind w:left="0"/>
        <w:rPr>
          <w:rFonts w:ascii="Tahoma" w:hAnsi="Tahoma" w:cs="Tahoma"/>
          <w:emboss/>
          <w:color w:val="000000" w:themeColor="text1"/>
          <w:sz w:val="20"/>
          <w:szCs w:val="20"/>
          <w:lang w:eastAsia="fr-FR" w:bidi="ar-MA"/>
        </w:rPr>
      </w:pPr>
    </w:p>
    <w:p w:rsidR="005E07CF" w:rsidRPr="00E979C4" w:rsidRDefault="000F41B1" w:rsidP="0042378D">
      <w:pPr>
        <w:tabs>
          <w:tab w:val="left" w:pos="3402"/>
          <w:tab w:val="left" w:pos="3969"/>
          <w:tab w:val="left" w:pos="4111"/>
          <w:tab w:val="left" w:pos="4395"/>
          <w:tab w:val="left" w:pos="7676"/>
        </w:tabs>
        <w:spacing w:after="0"/>
        <w:ind w:left="0"/>
        <w:jc w:val="center"/>
        <w:rPr>
          <w:b/>
          <w:bCs/>
          <w:color w:val="000000" w:themeColor="text1"/>
          <w:rtl/>
        </w:rPr>
      </w:pPr>
      <w:r>
        <w:rPr>
          <w:b/>
          <w:bCs/>
          <w:i/>
          <w:iCs/>
          <w:color w:val="000000" w:themeColor="text1"/>
        </w:rPr>
        <w:t xml:space="preserve">  </w:t>
      </w:r>
      <w:r w:rsidRPr="00E979C4">
        <w:rPr>
          <w:b/>
          <w:bCs/>
          <w:color w:val="000000" w:themeColor="text1"/>
        </w:rPr>
        <w:t>Evolution de l’IPC entre 201</w:t>
      </w:r>
      <w:r w:rsidR="0042378D" w:rsidRPr="00E979C4">
        <w:rPr>
          <w:rFonts w:hint="cs"/>
          <w:b/>
          <w:bCs/>
          <w:color w:val="000000" w:themeColor="text1"/>
          <w:rtl/>
        </w:rPr>
        <w:t>6</w:t>
      </w:r>
      <w:r w:rsidRPr="00E979C4">
        <w:rPr>
          <w:b/>
          <w:bCs/>
          <w:color w:val="000000" w:themeColor="text1"/>
        </w:rPr>
        <w:t xml:space="preserve"> et 201</w:t>
      </w:r>
      <w:r w:rsidR="0042378D" w:rsidRPr="00E979C4">
        <w:rPr>
          <w:rFonts w:hint="cs"/>
          <w:b/>
          <w:bCs/>
          <w:color w:val="000000" w:themeColor="text1"/>
          <w:rtl/>
        </w:rPr>
        <w:t>7</w:t>
      </w:r>
      <w:r w:rsidRPr="00E979C4">
        <w:rPr>
          <w:b/>
          <w:bCs/>
          <w:color w:val="000000" w:themeColor="text1"/>
        </w:rPr>
        <w:t xml:space="preserve"> pour le mois Mars par   </w:t>
      </w:r>
      <w:r w:rsidR="00C306C0" w:rsidRPr="00E979C4">
        <w:rPr>
          <w:b/>
          <w:bCs/>
          <w:color w:val="000000" w:themeColor="text1"/>
        </w:rPr>
        <w:t xml:space="preserve">groupe de </w:t>
      </w:r>
      <w:r w:rsidRPr="00E979C4">
        <w:rPr>
          <w:b/>
          <w:bCs/>
          <w:color w:val="000000" w:themeColor="text1"/>
        </w:rPr>
        <w:t>produit</w:t>
      </w:r>
      <w:r w:rsidR="00C306C0" w:rsidRPr="00E979C4">
        <w:rPr>
          <w:b/>
          <w:bCs/>
          <w:color w:val="000000" w:themeColor="text1"/>
        </w:rPr>
        <w:t>s</w:t>
      </w:r>
    </w:p>
    <w:p w:rsidR="0042378D" w:rsidRPr="00E979C4" w:rsidRDefault="0042378D" w:rsidP="007A3959">
      <w:pPr>
        <w:tabs>
          <w:tab w:val="left" w:pos="3402"/>
          <w:tab w:val="left" w:pos="3969"/>
          <w:tab w:val="left" w:pos="4111"/>
          <w:tab w:val="left" w:pos="4395"/>
          <w:tab w:val="left" w:pos="7676"/>
        </w:tabs>
        <w:spacing w:after="0"/>
        <w:ind w:left="0"/>
        <w:jc w:val="center"/>
        <w:rPr>
          <w:rFonts w:cs="Tahoma"/>
          <w:b/>
          <w:bCs/>
          <w:color w:val="000000" w:themeColor="text1"/>
          <w:rtl/>
        </w:rPr>
      </w:pPr>
      <w:r w:rsidRPr="00E979C4">
        <w:rPr>
          <w:rFonts w:cs="Tahoma" w:hint="cs"/>
          <w:b/>
          <w:bCs/>
          <w:color w:val="000000" w:themeColor="text1"/>
          <w:rtl/>
        </w:rPr>
        <w:t xml:space="preserve">تطور </w:t>
      </w:r>
      <w:r w:rsidR="007A3959" w:rsidRPr="007A3959">
        <w:rPr>
          <w:rFonts w:cs="Tahoma" w:hint="cs"/>
          <w:b/>
          <w:bCs/>
          <w:smallCaps/>
          <w:color w:val="000000" w:themeColor="text1"/>
          <w:sz w:val="28"/>
          <w:szCs w:val="28"/>
          <w:rtl/>
        </w:rPr>
        <w:t>الرقم الاستدلالي للاثمان عند الاستهلاك</w:t>
      </w:r>
      <w:r w:rsidR="007A3959" w:rsidRPr="007E7F58">
        <w:rPr>
          <w:rStyle w:val="Rfrenceple"/>
          <w:rFonts w:hint="cs"/>
          <w:rtl/>
        </w:rPr>
        <w:t xml:space="preserve"> </w:t>
      </w:r>
      <w:r w:rsidRPr="00E979C4">
        <w:rPr>
          <w:rFonts w:cs="Tahoma" w:hint="cs"/>
          <w:b/>
          <w:bCs/>
          <w:color w:val="000000" w:themeColor="text1"/>
          <w:rtl/>
        </w:rPr>
        <w:t xml:space="preserve">ما بين 2016 و 2017 لشهر مارس حسب مجموعة المواد </w:t>
      </w:r>
    </w:p>
    <w:p w:rsidR="00DE6887" w:rsidRDefault="00DE6887" w:rsidP="00DE6887">
      <w:pPr>
        <w:bidi/>
        <w:spacing w:after="0"/>
        <w:ind w:left="0"/>
        <w:rPr>
          <w:rFonts w:ascii="Tahoma" w:hAnsi="Tahoma" w:cs="Tahoma"/>
          <w:emboss/>
          <w:color w:val="000000" w:themeColor="text1"/>
          <w:sz w:val="20"/>
          <w:szCs w:val="20"/>
          <w:lang w:eastAsia="fr-FR" w:bidi="ar-MA"/>
        </w:rPr>
      </w:pPr>
    </w:p>
    <w:tbl>
      <w:tblPr>
        <w:tblW w:w="10774" w:type="dxa"/>
        <w:tblInd w:w="-1065" w:type="dxa"/>
        <w:tblCellMar>
          <w:left w:w="70" w:type="dxa"/>
          <w:right w:w="70" w:type="dxa"/>
        </w:tblCellMar>
        <w:tblLook w:val="04A0"/>
      </w:tblPr>
      <w:tblGrid>
        <w:gridCol w:w="3262"/>
        <w:gridCol w:w="2060"/>
        <w:gridCol w:w="1276"/>
        <w:gridCol w:w="1058"/>
        <w:gridCol w:w="3118"/>
      </w:tblGrid>
      <w:tr w:rsidR="00F51E90" w:rsidRPr="005E07CF" w:rsidTr="00F51E90">
        <w:trPr>
          <w:trHeight w:val="34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Groupe De Produits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Default="00DE6354" w:rsidP="00DE635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IPC</w:t>
            </w:r>
            <w:r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MARS</w:t>
            </w:r>
          </w:p>
          <w:p w:rsidR="00DE6354" w:rsidRPr="00DE6354" w:rsidRDefault="00DE6354" w:rsidP="00DE635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eastAsia="fr-FR"/>
              </w:rPr>
            </w:pP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ر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.</w:t>
            </w: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ا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.</w:t>
            </w: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أ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 xml:space="preserve"> مارس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</w:tcPr>
          <w:p w:rsidR="00F51E90" w:rsidRPr="00F51E90" w:rsidRDefault="00F51E90" w:rsidP="00F51E90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F51E90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مجموعة المواد</w:t>
            </w:r>
          </w:p>
        </w:tc>
      </w:tr>
      <w:tr w:rsidR="00F51E90" w:rsidRPr="005E07CF" w:rsidTr="00675E8C">
        <w:trPr>
          <w:trHeight w:val="447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F51E90" w:rsidP="008B7EA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201</w:t>
            </w:r>
            <w:r w:rsidR="008B7EAC"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F51E90" w:rsidP="008B7EA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201</w:t>
            </w:r>
            <w:r w:rsidR="008B7EAC"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Default="00F51E90" w:rsidP="00DE635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rtl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Var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iation </w:t>
            </w: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%</w:t>
            </w:r>
          </w:p>
          <w:p w:rsidR="00DE6354" w:rsidRPr="00DE6354" w:rsidRDefault="00DE6354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التغيير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</w:p>
        </w:tc>
      </w:tr>
      <w:tr w:rsidR="00DE6354" w:rsidRPr="005E07CF" w:rsidTr="00675E8C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E6354" w:rsidRDefault="00DE6354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18"/>
                <w:szCs w:val="18"/>
                <w:rtl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  <w:t>Produits alimentaires</w:t>
            </w:r>
          </w:p>
          <w:p w:rsidR="00DE6354" w:rsidRPr="00DE6354" w:rsidRDefault="00DE6354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4"/>
                <w:szCs w:val="24"/>
                <w:lang w:eastAsia="fr-FR"/>
              </w:rPr>
            </w:pPr>
            <w:r w:rsidRPr="00DE6354">
              <w:rPr>
                <w:rFonts w:ascii="Arial" w:hAnsi="Arial" w:cs="Arial"/>
                <w:b/>
                <w:bCs/>
                <w:color w:val="984806"/>
                <w:sz w:val="24"/>
                <w:szCs w:val="24"/>
                <w:rtl/>
                <w:lang w:eastAsia="fr-FR"/>
              </w:rPr>
              <w:t>المواد الغذائية</w:t>
            </w:r>
          </w:p>
        </w:tc>
      </w:tr>
      <w:tr w:rsidR="00F51E90" w:rsidRPr="005E07CF" w:rsidTr="0042378D">
        <w:trPr>
          <w:trHeight w:val="4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produits alimentaires et boissons non alcoolisées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123.3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42B39" w:rsidP="0042378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-0</w:t>
            </w:r>
            <w:r w:rsidR="004237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.3</w:t>
            </w:r>
            <w:r w:rsidR="00D16AD9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DE6354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المواد الغذائية والمشروبات غير الكحولية</w:t>
            </w:r>
          </w:p>
        </w:tc>
      </w:tr>
      <w:tr w:rsidR="00F51E90" w:rsidRPr="005E07CF" w:rsidTr="008B7EAC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boissons alcoolisées et tabac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DE6354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المشروبات الكحولية و التبغ</w:t>
            </w:r>
          </w:p>
        </w:tc>
      </w:tr>
      <w:tr w:rsidR="00DE6354" w:rsidRPr="005E07CF" w:rsidTr="00675E8C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E6354" w:rsidRPr="008B7EAC" w:rsidRDefault="00DE6354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lang w:eastAsia="fr-FR"/>
              </w:rPr>
              <w:t>Produits non alimentaires</w:t>
            </w:r>
          </w:p>
          <w:p w:rsidR="00DE6354" w:rsidRPr="008B7EAC" w:rsidRDefault="00DE6354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2"/>
                <w:szCs w:val="22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  <w:t>المواد</w:t>
            </w:r>
            <w:r w:rsidRPr="008B7EAC">
              <w:rPr>
                <w:rFonts w:ascii="Arial" w:hAnsi="Arial" w:cs="Arial" w:hint="cs"/>
                <w:b/>
                <w:bCs/>
                <w:color w:val="984806"/>
                <w:sz w:val="22"/>
                <w:szCs w:val="22"/>
                <w:rtl/>
                <w:lang w:eastAsia="fr-FR"/>
              </w:rPr>
              <w:t xml:space="preserve"> غير</w:t>
            </w: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  <w:t xml:space="preserve"> الغذائية</w:t>
            </w:r>
          </w:p>
        </w:tc>
      </w:tr>
      <w:tr w:rsidR="00F51E90" w:rsidRPr="005E07CF" w:rsidTr="008B7EAC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Articles d'habillements et chaussures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106.9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الملابس والأحذية</w:t>
            </w:r>
          </w:p>
        </w:tc>
      </w:tr>
      <w:tr w:rsidR="00F51E90" w:rsidRPr="005E07CF" w:rsidTr="008B7EAC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Logements, eau, électricité et autres combustibles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112,</w:t>
            </w:r>
            <w:r w:rsidR="00BE4CF4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112.3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السكن والماء والكهرباء والغاز ومحروقات أخرى</w:t>
            </w:r>
          </w:p>
        </w:tc>
      </w:tr>
      <w:tr w:rsidR="00F51E90" w:rsidRPr="005E07CF" w:rsidTr="008B7EAC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Meubles, articles de ménages et entretien courant du foyer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109,</w:t>
            </w:r>
            <w:r w:rsidR="00BE4CF4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109.7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42B39" w:rsidP="00D16AD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D16A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pacing w:val="-8"/>
                <w:sz w:val="22"/>
                <w:szCs w:val="22"/>
                <w:rtl/>
              </w:rPr>
              <w:t>الأثاث والأدوات المنزلية والصيانة العادية للمنزل</w:t>
            </w:r>
          </w:p>
        </w:tc>
      </w:tr>
      <w:tr w:rsidR="00F51E90" w:rsidRPr="005E07CF" w:rsidTr="008B7EAC">
        <w:trPr>
          <w:trHeight w:val="4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Santé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102.5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 xml:space="preserve"> الصحة</w:t>
            </w:r>
          </w:p>
        </w:tc>
      </w:tr>
      <w:tr w:rsidR="00F51E90" w:rsidRPr="005E07CF" w:rsidTr="008B7EAC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Transport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102.6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F42B3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4.19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النقل</w:t>
            </w:r>
          </w:p>
        </w:tc>
      </w:tr>
      <w:tr w:rsidR="00F51E90" w:rsidRPr="005E07CF" w:rsidTr="008B7EAC">
        <w:trPr>
          <w:trHeight w:val="56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69.2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المواصلات</w:t>
            </w:r>
          </w:p>
        </w:tc>
      </w:tr>
      <w:tr w:rsidR="00F51E90" w:rsidRPr="005E07CF" w:rsidTr="008B7EAC">
        <w:trPr>
          <w:trHeight w:val="4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Loisirs et culture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100.3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F42B3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الترفيه والثقافة</w:t>
            </w:r>
          </w:p>
        </w:tc>
      </w:tr>
      <w:tr w:rsidR="00F51E90" w:rsidRPr="005E07CF" w:rsidTr="008B7EAC">
        <w:trPr>
          <w:trHeight w:val="53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Enseignement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144.8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التعليم</w:t>
            </w:r>
          </w:p>
        </w:tc>
      </w:tr>
      <w:tr w:rsidR="00F51E90" w:rsidRPr="005E07CF" w:rsidTr="008B7EAC">
        <w:trPr>
          <w:trHeight w:val="4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Restaurants et hôtels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مطاعم وفنادق</w:t>
            </w:r>
          </w:p>
        </w:tc>
      </w:tr>
      <w:tr w:rsidR="00F51E90" w:rsidRPr="005E07CF" w:rsidTr="008B7EAC">
        <w:trPr>
          <w:trHeight w:val="4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E90" w:rsidRPr="008B7EAC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Biens et services divers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109.1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E90" w:rsidRPr="005E07CF" w:rsidRDefault="00D16AD9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 xml:space="preserve">مواد وخدمات </w:t>
            </w:r>
            <w:r w:rsidRPr="008B7EAC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أخرى</w:t>
            </w:r>
          </w:p>
        </w:tc>
      </w:tr>
      <w:tr w:rsidR="00F51E90" w:rsidRPr="005E07CF" w:rsidTr="008B7EAC">
        <w:trPr>
          <w:trHeight w:val="55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F51E90" w:rsidP="005E07CF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F51E90" w:rsidP="00BE4CF4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115,</w:t>
            </w:r>
            <w:r w:rsidR="00BE4CF4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BE4CF4" w:rsidP="005E07CF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115.3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1E90" w:rsidRPr="005E07CF" w:rsidRDefault="00C27FA7" w:rsidP="005E07CF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0.08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51E90" w:rsidRPr="008B7EAC" w:rsidRDefault="008B7EAC" w:rsidP="008B7EA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632423"/>
                <w:sz w:val="22"/>
                <w:szCs w:val="22"/>
                <w:rtl/>
              </w:rPr>
              <w:t>المجموع</w:t>
            </w:r>
          </w:p>
        </w:tc>
      </w:tr>
    </w:tbl>
    <w:p w:rsidR="00621482" w:rsidRPr="00777F18" w:rsidRDefault="00621482" w:rsidP="00621482">
      <w:pPr>
        <w:bidi/>
        <w:spacing w:after="0"/>
        <w:ind w:left="0"/>
        <w:jc w:val="right"/>
        <w:rPr>
          <w:rFonts w:ascii="Tahoma" w:hAnsi="Tahoma" w:cs="Tahoma"/>
          <w:emboss/>
          <w:color w:val="000000" w:themeColor="text1"/>
          <w:sz w:val="20"/>
          <w:szCs w:val="20"/>
          <w:lang w:eastAsia="fr-FR"/>
        </w:rPr>
      </w:pPr>
    </w:p>
    <w:p w:rsidR="000E1613" w:rsidRDefault="000E1613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1C6970" w:rsidRDefault="001C6970" w:rsidP="001C6970">
      <w:pPr>
        <w:bidi/>
        <w:ind w:left="0"/>
        <w:rPr>
          <w:rtl/>
        </w:rPr>
      </w:pPr>
    </w:p>
    <w:p w:rsidR="000E1613" w:rsidRDefault="000E1613" w:rsidP="00C306C0">
      <w:pPr>
        <w:bidi/>
        <w:ind w:left="0"/>
        <w:rPr>
          <w:rtl/>
        </w:rPr>
      </w:pPr>
    </w:p>
    <w:p w:rsidR="00C306C0" w:rsidRPr="00E979C4" w:rsidRDefault="00C306C0" w:rsidP="00735D02">
      <w:pPr>
        <w:tabs>
          <w:tab w:val="left" w:pos="7721"/>
        </w:tabs>
        <w:bidi/>
        <w:jc w:val="center"/>
        <w:rPr>
          <w:rFonts w:cs="Times New Roman"/>
        </w:rPr>
      </w:pPr>
      <w:r w:rsidRPr="00E979C4">
        <w:rPr>
          <w:b/>
          <w:bCs/>
          <w:color w:val="000000" w:themeColor="text1"/>
        </w:rPr>
        <w:t>Evolution de l’IPC entre février et mars 201</w:t>
      </w:r>
      <w:r w:rsidR="00735D02" w:rsidRPr="00E979C4">
        <w:rPr>
          <w:b/>
          <w:bCs/>
          <w:color w:val="000000" w:themeColor="text1"/>
        </w:rPr>
        <w:t>7</w:t>
      </w:r>
      <w:r w:rsidRPr="00E979C4">
        <w:rPr>
          <w:b/>
          <w:bCs/>
          <w:color w:val="000000" w:themeColor="text1"/>
        </w:rPr>
        <w:t xml:space="preserve"> par groupe de produits</w:t>
      </w:r>
      <w:r w:rsidRPr="00E979C4">
        <w:rPr>
          <w:rFonts w:cs="Times New Roman"/>
        </w:rPr>
        <w:t xml:space="preserve"> </w:t>
      </w:r>
    </w:p>
    <w:p w:rsidR="0042378D" w:rsidRPr="00E979C4" w:rsidRDefault="00735D02" w:rsidP="007A3959">
      <w:pPr>
        <w:tabs>
          <w:tab w:val="left" w:pos="7721"/>
        </w:tabs>
        <w:bidi/>
        <w:jc w:val="center"/>
        <w:rPr>
          <w:rtl/>
        </w:rPr>
      </w:pPr>
      <w:r w:rsidRPr="00E979C4">
        <w:rPr>
          <w:rFonts w:cs="Tahoma" w:hint="cs"/>
          <w:b/>
          <w:bCs/>
          <w:color w:val="000000" w:themeColor="text1"/>
          <w:rtl/>
        </w:rPr>
        <w:t xml:space="preserve">تطور </w:t>
      </w:r>
      <w:r w:rsidR="007A3959" w:rsidRPr="007A3959">
        <w:rPr>
          <w:rFonts w:cs="Tahoma" w:hint="cs"/>
          <w:b/>
          <w:bCs/>
          <w:smallCaps/>
          <w:color w:val="000000" w:themeColor="text1"/>
          <w:sz w:val="28"/>
          <w:szCs w:val="28"/>
          <w:rtl/>
        </w:rPr>
        <w:t>الرقم الاستدلالي للاثمان عند الاستهلاك</w:t>
      </w:r>
      <w:r w:rsidR="007A3959" w:rsidRPr="00E979C4">
        <w:rPr>
          <w:rFonts w:cs="Tahoma" w:hint="cs"/>
          <w:b/>
          <w:bCs/>
          <w:color w:val="000000" w:themeColor="text1"/>
          <w:rtl/>
        </w:rPr>
        <w:t xml:space="preserve"> </w:t>
      </w:r>
      <w:r w:rsidRPr="00E979C4">
        <w:rPr>
          <w:rFonts w:cs="Tahoma" w:hint="cs"/>
          <w:b/>
          <w:bCs/>
          <w:color w:val="000000" w:themeColor="text1"/>
          <w:rtl/>
        </w:rPr>
        <w:t>ما بين فبراير و مارس لسنة 2017 حسب مجموعة المواد</w:t>
      </w:r>
      <w:r w:rsidR="0042378D" w:rsidRPr="00E979C4">
        <w:rPr>
          <w:rFonts w:cs="Times New Roman" w:hint="cs"/>
          <w:rtl/>
        </w:rPr>
        <w:t xml:space="preserve"> </w:t>
      </w:r>
    </w:p>
    <w:tbl>
      <w:tblPr>
        <w:tblW w:w="10774" w:type="dxa"/>
        <w:tblInd w:w="-1065" w:type="dxa"/>
        <w:tblCellMar>
          <w:left w:w="70" w:type="dxa"/>
          <w:right w:w="70" w:type="dxa"/>
        </w:tblCellMar>
        <w:tblLook w:val="04A0"/>
      </w:tblPr>
      <w:tblGrid>
        <w:gridCol w:w="3262"/>
        <w:gridCol w:w="2060"/>
        <w:gridCol w:w="1276"/>
        <w:gridCol w:w="1058"/>
        <w:gridCol w:w="3118"/>
      </w:tblGrid>
      <w:tr w:rsidR="00157D3D" w:rsidRPr="005E07CF" w:rsidTr="00675E8C">
        <w:trPr>
          <w:trHeight w:val="34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Groupe De Produits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rtl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IPC</w:t>
            </w:r>
          </w:p>
          <w:p w:rsidR="00157D3D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>2017</w:t>
            </w:r>
          </w:p>
          <w:p w:rsidR="00157D3D" w:rsidRPr="00DE6354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eastAsia="fr-FR"/>
              </w:rPr>
            </w:pP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ر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.</w:t>
            </w: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ا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.</w:t>
            </w: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أ</w:t>
            </w:r>
            <w:r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</w:tcPr>
          <w:p w:rsidR="00157D3D" w:rsidRPr="00F51E90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F51E90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مجموعة المواد</w:t>
            </w:r>
          </w:p>
        </w:tc>
      </w:tr>
      <w:tr w:rsidR="00157D3D" w:rsidRPr="005E07CF" w:rsidTr="00675E8C">
        <w:trPr>
          <w:trHeight w:val="447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Mars</w:t>
            </w:r>
          </w:p>
          <w:p w:rsidR="00157D3D" w:rsidRPr="005E07CF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>مارس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Février</w:t>
            </w:r>
          </w:p>
          <w:p w:rsidR="00157D3D" w:rsidRPr="005E07CF" w:rsidRDefault="00157D3D" w:rsidP="00157D3D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rtl/>
                <w:lang w:eastAsia="fr-FR"/>
              </w:rPr>
            </w:pPr>
            <w:r>
              <w:rPr>
                <w:rFonts w:ascii="Arial" w:hAnsi="Arial" w:cs="Arial" w:hint="cs"/>
                <w:b/>
                <w:bCs/>
                <w:color w:val="auto"/>
                <w:sz w:val="18"/>
                <w:szCs w:val="18"/>
                <w:rtl/>
                <w:lang w:eastAsia="fr-FR"/>
              </w:rPr>
              <w:t>فبراير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rtl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Var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iation </w:t>
            </w:r>
            <w:r w:rsidRPr="005E07C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%</w:t>
            </w:r>
          </w:p>
          <w:p w:rsidR="00157D3D" w:rsidRPr="00DE6354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DE6354">
              <w:rPr>
                <w:rFonts w:ascii="Arial" w:hAnsi="Arial" w:cs="Arial" w:hint="cs"/>
                <w:b/>
                <w:bCs/>
                <w:color w:val="auto"/>
                <w:sz w:val="24"/>
                <w:szCs w:val="24"/>
                <w:rtl/>
                <w:lang w:eastAsia="fr-FR"/>
              </w:rPr>
              <w:t>التغيير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</w:p>
        </w:tc>
      </w:tr>
      <w:tr w:rsidR="00157D3D" w:rsidRPr="005E07CF" w:rsidTr="00675E8C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57D3D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18"/>
                <w:szCs w:val="18"/>
                <w:rtl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  <w:t>Produits alimentaires</w:t>
            </w:r>
          </w:p>
          <w:p w:rsidR="00157D3D" w:rsidRPr="00DE6354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4"/>
                <w:szCs w:val="24"/>
                <w:lang w:eastAsia="fr-FR"/>
              </w:rPr>
            </w:pPr>
            <w:r w:rsidRPr="00DE6354">
              <w:rPr>
                <w:rFonts w:ascii="Arial" w:hAnsi="Arial" w:cs="Arial"/>
                <w:b/>
                <w:bCs/>
                <w:color w:val="984806"/>
                <w:sz w:val="24"/>
                <w:szCs w:val="24"/>
                <w:rtl/>
                <w:lang w:eastAsia="fr-FR"/>
              </w:rPr>
              <w:t>المواد الغذائية</w:t>
            </w:r>
          </w:p>
        </w:tc>
      </w:tr>
      <w:tr w:rsidR="00157D3D" w:rsidRPr="005E07CF" w:rsidTr="00675E8C">
        <w:trPr>
          <w:trHeight w:val="4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produits alimentaires et boissons non alcoolisées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C27FA7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123.4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D16AD9" w:rsidP="00735D0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735D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المواد الغذائية والمشروبات غير الكحولية</w:t>
            </w:r>
          </w:p>
        </w:tc>
      </w:tr>
      <w:tr w:rsidR="00157D3D" w:rsidRPr="005E07CF" w:rsidTr="00675E8C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boissons alcoolisées et tabac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المشروبات الكحولية و التبغ</w:t>
            </w:r>
          </w:p>
        </w:tc>
      </w:tr>
      <w:tr w:rsidR="00157D3D" w:rsidRPr="005E07CF" w:rsidTr="00675E8C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lang w:eastAsia="fr-FR"/>
              </w:rPr>
              <w:t>Produits non alimentaires</w:t>
            </w:r>
          </w:p>
          <w:p w:rsidR="00157D3D" w:rsidRPr="008B7EAC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984806"/>
                <w:sz w:val="22"/>
                <w:szCs w:val="22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  <w:t>المواد</w:t>
            </w:r>
            <w:r w:rsidRPr="008B7EAC">
              <w:rPr>
                <w:rFonts w:ascii="Arial" w:hAnsi="Arial" w:cs="Arial" w:hint="cs"/>
                <w:b/>
                <w:bCs/>
                <w:color w:val="984806"/>
                <w:sz w:val="22"/>
                <w:szCs w:val="22"/>
                <w:rtl/>
                <w:lang w:eastAsia="fr-FR"/>
              </w:rPr>
              <w:t xml:space="preserve"> غير</w:t>
            </w:r>
            <w:r w:rsidRPr="008B7EAC">
              <w:rPr>
                <w:rFonts w:ascii="Arial" w:hAnsi="Arial" w:cs="Arial"/>
                <w:b/>
                <w:bCs/>
                <w:color w:val="984806"/>
                <w:sz w:val="22"/>
                <w:szCs w:val="22"/>
                <w:rtl/>
                <w:lang w:eastAsia="fr-FR"/>
              </w:rPr>
              <w:t xml:space="preserve"> الغذائية</w:t>
            </w:r>
          </w:p>
        </w:tc>
      </w:tr>
      <w:tr w:rsidR="00157D3D" w:rsidRPr="005E07CF" w:rsidTr="00675E8C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Articles d'habillements et chaussures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106.9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الملابس والأحذية</w:t>
            </w:r>
          </w:p>
        </w:tc>
      </w:tr>
      <w:tr w:rsidR="00157D3D" w:rsidRPr="005E07CF" w:rsidTr="00675E8C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Logements, eau, électricité et autres combustibles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112,</w:t>
            </w: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C27FA7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112.</w:t>
            </w:r>
            <w:r w:rsidR="00C27FA7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735D02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157D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السكن والماء والكهرباء والغاز ومحروقات أخرى</w:t>
            </w:r>
          </w:p>
        </w:tc>
      </w:tr>
      <w:tr w:rsidR="00157D3D" w:rsidRPr="005E07CF" w:rsidTr="00675E8C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Meubles, articles de ménages et entretien courant du foyer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109,</w:t>
            </w: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C27FA7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109.</w:t>
            </w:r>
            <w:r w:rsidR="00C27FA7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735D0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-0.</w:t>
            </w:r>
            <w:r w:rsidR="00735D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pacing w:val="-8"/>
                <w:sz w:val="22"/>
                <w:szCs w:val="22"/>
                <w:rtl/>
              </w:rPr>
              <w:t>الأثاث والأدوات المنزلية والصيانة العادية للمنزل</w:t>
            </w:r>
          </w:p>
        </w:tc>
      </w:tr>
      <w:tr w:rsidR="00157D3D" w:rsidRPr="005E07CF" w:rsidTr="00675E8C">
        <w:trPr>
          <w:trHeight w:val="4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Santé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102.5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 xml:space="preserve"> الصحة</w:t>
            </w:r>
          </w:p>
        </w:tc>
      </w:tr>
      <w:tr w:rsidR="00157D3D" w:rsidRPr="005E07CF" w:rsidTr="00675E8C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Transport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C27FA7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106.9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735D02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0.0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النقل</w:t>
            </w:r>
          </w:p>
        </w:tc>
      </w:tr>
      <w:tr w:rsidR="00157D3D" w:rsidRPr="005E07CF" w:rsidTr="00675E8C">
        <w:trPr>
          <w:trHeight w:val="56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69.2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المواصلات</w:t>
            </w:r>
          </w:p>
        </w:tc>
      </w:tr>
      <w:tr w:rsidR="00157D3D" w:rsidRPr="005E07CF" w:rsidTr="00675E8C">
        <w:trPr>
          <w:trHeight w:val="4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Loisirs et culture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100.3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الترفيه والثقافة</w:t>
            </w:r>
          </w:p>
        </w:tc>
      </w:tr>
      <w:tr w:rsidR="00157D3D" w:rsidRPr="005E07CF" w:rsidTr="00675E8C">
        <w:trPr>
          <w:trHeight w:val="53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Enseignement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144.8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التعليم</w:t>
            </w:r>
          </w:p>
        </w:tc>
      </w:tr>
      <w:tr w:rsidR="00157D3D" w:rsidRPr="005E07CF" w:rsidTr="00675E8C">
        <w:trPr>
          <w:trHeight w:val="4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Restaurants et hôtels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122.5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>مطاعم وفنادق</w:t>
            </w:r>
          </w:p>
        </w:tc>
      </w:tr>
      <w:tr w:rsidR="00157D3D" w:rsidRPr="005E07CF" w:rsidTr="00675E8C">
        <w:trPr>
          <w:trHeight w:val="4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7D3D" w:rsidRPr="008B7EAC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</w:pPr>
            <w:r w:rsidRPr="008B7EA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fr-FR"/>
              </w:rPr>
              <w:t xml:space="preserve">Biens et services divers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109.1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  <w:t xml:space="preserve">مواد وخدمات </w:t>
            </w:r>
            <w:r w:rsidRPr="008B7EAC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أخرى</w:t>
            </w:r>
          </w:p>
        </w:tc>
      </w:tr>
      <w:tr w:rsidR="00157D3D" w:rsidRPr="005E07CF" w:rsidTr="00675E8C">
        <w:trPr>
          <w:trHeight w:val="55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</w:pPr>
            <w:r w:rsidRPr="005E07CF">
              <w:rPr>
                <w:rFonts w:ascii="Arial" w:hAnsi="Arial" w:cs="Arial"/>
                <w:b/>
                <w:bCs/>
                <w:color w:val="984806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 w:rsidRPr="005E07CF">
              <w:rPr>
                <w:color w:val="000000"/>
                <w:sz w:val="22"/>
                <w:szCs w:val="22"/>
                <w:lang w:eastAsia="fr-FR"/>
              </w:rPr>
              <w:t>115,</w:t>
            </w: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Pr="005E07CF" w:rsidRDefault="00157D3D" w:rsidP="00C27FA7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115.</w:t>
            </w:r>
            <w:r w:rsidR="00C27FA7">
              <w:rPr>
                <w:rFonts w:hint="cs"/>
                <w:color w:val="000000"/>
                <w:sz w:val="22"/>
                <w:szCs w:val="22"/>
                <w:rtl/>
                <w:lang w:eastAsia="fr-F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7D3D" w:rsidRPr="005E07CF" w:rsidRDefault="00157D3D" w:rsidP="00675E8C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-0.3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57D3D" w:rsidRPr="008B7EAC" w:rsidRDefault="00157D3D" w:rsidP="00675E8C">
            <w:pPr>
              <w:bidi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B7EAC">
              <w:rPr>
                <w:rFonts w:cs="Times New Roman"/>
                <w:b/>
                <w:bCs/>
                <w:color w:val="632423"/>
                <w:sz w:val="22"/>
                <w:szCs w:val="22"/>
                <w:rtl/>
              </w:rPr>
              <w:t>المجموع</w:t>
            </w:r>
          </w:p>
        </w:tc>
      </w:tr>
    </w:tbl>
    <w:p w:rsidR="005E07CF" w:rsidRDefault="00157D3D" w:rsidP="00157D3D">
      <w:pPr>
        <w:bidi/>
        <w:ind w:left="0"/>
        <w:jc w:val="right"/>
        <w:rPr>
          <w:rtl/>
        </w:rPr>
      </w:pPr>
      <w:r>
        <w:br w:type="textWrapping" w:clear="all"/>
      </w:r>
    </w:p>
    <w:p w:rsidR="00EB3C04" w:rsidRDefault="00EB3C04" w:rsidP="00157D3D">
      <w:pPr>
        <w:bidi/>
        <w:ind w:left="0"/>
        <w:rPr>
          <w:rtl/>
        </w:rPr>
      </w:pPr>
    </w:p>
    <w:p w:rsidR="00EB3C04" w:rsidRDefault="00EB3C04">
      <w:pPr>
        <w:spacing w:after="200" w:line="276" w:lineRule="auto"/>
        <w:ind w:left="0"/>
        <w:jc w:val="left"/>
        <w:rPr>
          <w:rtl/>
        </w:rPr>
      </w:pPr>
      <w:r>
        <w:rPr>
          <w:rFonts w:cs="Times New Roman"/>
          <w:rtl/>
        </w:rPr>
        <w:br w:type="page"/>
      </w:r>
    </w:p>
    <w:p w:rsidR="00EB3C04" w:rsidRPr="00EB3C04" w:rsidRDefault="00EB3C04" w:rsidP="00EB3C04">
      <w:pPr>
        <w:ind w:left="0"/>
        <w:jc w:val="center"/>
        <w:rPr>
          <w:b/>
          <w:bCs/>
        </w:rPr>
      </w:pPr>
      <w:r w:rsidRPr="00EB3C04">
        <w:rPr>
          <w:b/>
          <w:bCs/>
        </w:rPr>
        <w:lastRenderedPageBreak/>
        <w:t>Evolution mensuelle de l’IPC entre 2011 et 2017</w:t>
      </w:r>
    </w:p>
    <w:p w:rsidR="00157D3D" w:rsidRDefault="00EB3C04" w:rsidP="007A3959">
      <w:pPr>
        <w:ind w:left="0"/>
        <w:jc w:val="center"/>
        <w:rPr>
          <w:rtl/>
        </w:rPr>
      </w:pPr>
      <w:r>
        <w:rPr>
          <w:rFonts w:cstheme="minorBidi" w:hint="cs"/>
          <w:rtl/>
        </w:rPr>
        <w:t xml:space="preserve">التطور الشهري  </w:t>
      </w:r>
      <w:r w:rsidR="007A3959" w:rsidRPr="007A3959">
        <w:rPr>
          <w:rFonts w:cstheme="minorBidi" w:hint="cs"/>
          <w:rtl/>
        </w:rPr>
        <w:t>الرقم الاستدلالي للاثمان عند الاستهلاك</w:t>
      </w:r>
      <w:r w:rsidR="007A3959" w:rsidRPr="00E979C4">
        <w:rPr>
          <w:rFonts w:cs="Tahoma" w:hint="cs"/>
          <w:b/>
          <w:bCs/>
          <w:color w:val="000000" w:themeColor="text1"/>
          <w:rtl/>
        </w:rPr>
        <w:t xml:space="preserve"> </w:t>
      </w:r>
      <w:r>
        <w:rPr>
          <w:rFonts w:cstheme="minorBidi" w:hint="cs"/>
          <w:rtl/>
        </w:rPr>
        <w:t>ما بين 2011 و 2017</w:t>
      </w:r>
    </w:p>
    <w:p w:rsidR="00EB3C04" w:rsidRDefault="00EB3C04" w:rsidP="00EB3C04">
      <w:pPr>
        <w:tabs>
          <w:tab w:val="left" w:pos="5431"/>
        </w:tabs>
        <w:bidi/>
        <w:ind w:left="0"/>
        <w:rPr>
          <w:rtl/>
        </w:rPr>
      </w:pPr>
      <w:r>
        <w:rPr>
          <w:rFonts w:cs="Times New Roman"/>
          <w:rtl/>
        </w:rPr>
        <w:tab/>
      </w:r>
    </w:p>
    <w:tbl>
      <w:tblPr>
        <w:tblW w:w="10954" w:type="dxa"/>
        <w:jc w:val="center"/>
        <w:tblInd w:w="-229" w:type="dxa"/>
        <w:tblCellMar>
          <w:left w:w="70" w:type="dxa"/>
          <w:right w:w="70" w:type="dxa"/>
        </w:tblCellMar>
        <w:tblLook w:val="04A0"/>
      </w:tblPr>
      <w:tblGrid>
        <w:gridCol w:w="907"/>
        <w:gridCol w:w="855"/>
        <w:gridCol w:w="834"/>
        <w:gridCol w:w="724"/>
        <w:gridCol w:w="620"/>
        <w:gridCol w:w="606"/>
        <w:gridCol w:w="676"/>
        <w:gridCol w:w="789"/>
        <w:gridCol w:w="738"/>
        <w:gridCol w:w="1136"/>
        <w:gridCol w:w="940"/>
        <w:gridCol w:w="1070"/>
        <w:gridCol w:w="1059"/>
      </w:tblGrid>
      <w:tr w:rsidR="00D950F4" w:rsidRPr="00362AC5" w:rsidTr="00D950F4">
        <w:trPr>
          <w:trHeight w:val="593"/>
          <w:jc w:val="center"/>
        </w:trPr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F4" w:rsidRPr="00362AC5" w:rsidRDefault="00D950F4" w:rsidP="00536DAC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362AC5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AVRIL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MAI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JUIN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JUILLET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AOUT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OCTOBRE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NOVEMBRE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C1CB9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</w:pPr>
            <w:r w:rsidRPr="00DC1CB9">
              <w:rPr>
                <w:rFonts w:ascii="Arial" w:hAnsi="Arial" w:cs="Arial"/>
                <w:b/>
                <w:bCs/>
                <w:color w:val="403152" w:themeColor="accent4" w:themeShade="80"/>
                <w:sz w:val="16"/>
                <w:szCs w:val="16"/>
                <w:lang w:eastAsia="fr-FR"/>
              </w:rPr>
              <w:t>DECEMBRE</w:t>
            </w:r>
          </w:p>
        </w:tc>
      </w:tr>
      <w:tr w:rsidR="00D950F4" w:rsidRPr="00362AC5" w:rsidTr="00972625">
        <w:trPr>
          <w:trHeight w:val="42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108,6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108,1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109,5</w:t>
            </w:r>
          </w:p>
        </w:tc>
      </w:tr>
      <w:tr w:rsidR="00D950F4" w:rsidRPr="00057D3E" w:rsidTr="00972625">
        <w:trPr>
          <w:trHeight w:val="41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109,5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112,2</w:t>
            </w:r>
          </w:p>
        </w:tc>
      </w:tr>
      <w:tr w:rsidR="00D950F4" w:rsidRPr="00057D3E" w:rsidTr="00972625">
        <w:trPr>
          <w:trHeight w:val="53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112,4</w:t>
            </w:r>
          </w:p>
        </w:tc>
      </w:tr>
      <w:tr w:rsidR="00D950F4" w:rsidRPr="00057D3E" w:rsidTr="00972625">
        <w:trPr>
          <w:trHeight w:val="52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201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113,3</w:t>
            </w:r>
          </w:p>
        </w:tc>
      </w:tr>
      <w:tr w:rsidR="00D950F4" w:rsidRPr="00362AC5" w:rsidTr="00972625">
        <w:trPr>
          <w:trHeight w:val="50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201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113,6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113,4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114,1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112,9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114,9</w:t>
            </w:r>
          </w:p>
        </w:tc>
      </w:tr>
      <w:tr w:rsidR="00D950F4" w:rsidRPr="00362AC5" w:rsidTr="00972625">
        <w:trPr>
          <w:trHeight w:val="49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eastAsia="fr-FR"/>
              </w:rPr>
              <w:t>201</w:t>
            </w:r>
            <w:r w:rsidRPr="00D950F4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114,2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115,1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D950F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115,3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50F4" w:rsidRPr="00D950F4" w:rsidRDefault="00D950F4" w:rsidP="00D950F4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</w:tr>
    </w:tbl>
    <w:p w:rsidR="00157D3D" w:rsidRDefault="00D950F4" w:rsidP="00DB5495">
      <w:pPr>
        <w:tabs>
          <w:tab w:val="left" w:pos="5431"/>
        </w:tabs>
        <w:ind w:left="0"/>
        <w:rPr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343535</wp:posOffset>
            </wp:positionV>
            <wp:extent cx="6962775" cy="3648075"/>
            <wp:effectExtent l="0" t="0" r="0" b="0"/>
            <wp:wrapSquare wrapText="bothSides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C5D8D" w:rsidRDefault="005C5D8D" w:rsidP="005C5D8D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5C5D8D" w:rsidRDefault="005C5D8D" w:rsidP="005C5D8D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5C5D8D" w:rsidRDefault="005C5D8D" w:rsidP="005C5D8D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5C5D8D" w:rsidRDefault="005C5D8D" w:rsidP="005C5D8D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EB3C04" w:rsidRDefault="00EB3C04" w:rsidP="00EB3C0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EB3C04" w:rsidRDefault="00EB3C04" w:rsidP="00EB3C0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264583">
      <w:pPr>
        <w:bidi/>
        <w:spacing w:before="100" w:beforeAutospacing="1" w:after="100" w:afterAutospacing="1"/>
        <w:ind w:left="0" w:right="283"/>
        <w:rPr>
          <w:rFonts w:cs="Times New Roman"/>
          <w:sz w:val="28"/>
          <w:szCs w:val="28"/>
          <w:rtl/>
        </w:rPr>
      </w:pPr>
    </w:p>
    <w:p w:rsidR="00014414" w:rsidRDefault="00014414" w:rsidP="00014414">
      <w:pPr>
        <w:bidi/>
        <w:spacing w:before="100" w:beforeAutospacing="1" w:after="100" w:afterAutospacing="1"/>
        <w:ind w:left="0" w:right="283"/>
        <w:jc w:val="center"/>
        <w:rPr>
          <w:rFonts w:cs="Times New Roman"/>
          <w:sz w:val="28"/>
          <w:szCs w:val="28"/>
          <w:rtl/>
        </w:rPr>
      </w:pPr>
    </w:p>
    <w:p w:rsidR="00014414" w:rsidRDefault="00014414" w:rsidP="00E979C4">
      <w:pPr>
        <w:bidi/>
        <w:spacing w:before="100" w:beforeAutospacing="1" w:after="100" w:afterAutospacing="1"/>
        <w:ind w:left="0" w:right="283"/>
        <w:rPr>
          <w:rFonts w:cs="Times New Roman"/>
          <w:sz w:val="28"/>
          <w:szCs w:val="28"/>
        </w:rPr>
      </w:pPr>
    </w:p>
    <w:p w:rsidR="005C5D8D" w:rsidRDefault="005C5D8D" w:rsidP="005C5D8D">
      <w:pPr>
        <w:bidi/>
        <w:spacing w:after="0"/>
        <w:ind w:left="0"/>
        <w:jc w:val="center"/>
        <w:rPr>
          <w:rFonts w:cs="Times New Roman"/>
          <w:sz w:val="28"/>
          <w:szCs w:val="28"/>
        </w:rPr>
      </w:pPr>
    </w:p>
    <w:p w:rsidR="005C5D8D" w:rsidRDefault="005C5D8D" w:rsidP="005C5D8D">
      <w:pPr>
        <w:bidi/>
        <w:spacing w:after="0"/>
        <w:ind w:left="0"/>
        <w:jc w:val="center"/>
        <w:rPr>
          <w:rFonts w:cs="Times New Roman"/>
          <w:sz w:val="28"/>
          <w:szCs w:val="28"/>
          <w:rtl/>
        </w:rPr>
      </w:pPr>
      <w:r w:rsidRPr="00D31FBA">
        <w:rPr>
          <w:color w:val="800080"/>
        </w:rPr>
        <w:object w:dxaOrig="1950" w:dyaOrig="2085">
          <v:shape id="_x0000_i1026" type="#_x0000_t75" style="width:52.75pt;height:56.1pt" o:ole="">
            <v:imagedata r:id="rId9" o:title=""/>
          </v:shape>
          <o:OLEObject Type="Embed" ProgID="MSPhotoEd.3" ShapeID="_x0000_i1026" DrawAspect="Content" ObjectID="_1558183047" r:id="rId16"/>
        </w:object>
      </w:r>
    </w:p>
    <w:p w:rsidR="005C5D8D" w:rsidRPr="006A64CF" w:rsidRDefault="005C5D8D" w:rsidP="00662778">
      <w:pPr>
        <w:bidi/>
        <w:spacing w:after="0"/>
        <w:ind w:left="0"/>
        <w:jc w:val="center"/>
        <w:rPr>
          <w:rFonts w:ascii="Palatino" w:hAnsi="Palatino" w:cstheme="majorBidi"/>
          <w:b/>
          <w:bCs/>
          <w:color w:val="17365D" w:themeColor="text2" w:themeShade="BF"/>
          <w:sz w:val="28"/>
          <w:szCs w:val="28"/>
        </w:rPr>
      </w:pPr>
      <w:r w:rsidRPr="006A64CF">
        <w:rPr>
          <w:rFonts w:ascii="Palatino" w:hAnsi="Palatino" w:cstheme="majorBidi"/>
          <w:b/>
          <w:bCs/>
          <w:color w:val="17365D" w:themeColor="text2" w:themeShade="BF"/>
          <w:sz w:val="28"/>
          <w:szCs w:val="28"/>
        </w:rPr>
        <w:t xml:space="preserve">Service </w:t>
      </w:r>
      <w:r w:rsidR="00662778">
        <w:rPr>
          <w:rFonts w:ascii="Palatino" w:hAnsi="Palatino" w:cstheme="majorBidi"/>
          <w:b/>
          <w:bCs/>
          <w:color w:val="17365D" w:themeColor="text2" w:themeShade="BF"/>
          <w:sz w:val="28"/>
          <w:szCs w:val="28"/>
        </w:rPr>
        <w:t>S</w:t>
      </w:r>
      <w:r w:rsidRPr="006A64CF">
        <w:rPr>
          <w:rFonts w:ascii="Palatino" w:hAnsi="Palatino" w:cstheme="majorBidi"/>
          <w:b/>
          <w:bCs/>
          <w:color w:val="17365D" w:themeColor="text2" w:themeShade="BF"/>
          <w:sz w:val="28"/>
          <w:szCs w:val="28"/>
        </w:rPr>
        <w:t>tatistique</w:t>
      </w:r>
    </w:p>
    <w:p w:rsidR="005C5D8D" w:rsidRPr="00581531" w:rsidRDefault="005C5D8D" w:rsidP="005C5D8D">
      <w:pPr>
        <w:bidi/>
        <w:spacing w:after="0"/>
        <w:ind w:left="0"/>
        <w:jc w:val="center"/>
        <w:rPr>
          <w:rFonts w:ascii="Palatino" w:hAnsi="Palatino" w:cstheme="majorBidi"/>
          <w:b/>
          <w:bCs/>
          <w:color w:val="auto"/>
          <w:sz w:val="28"/>
          <w:szCs w:val="28"/>
        </w:rPr>
      </w:pPr>
      <w:r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 xml:space="preserve">Direction </w:t>
      </w:r>
      <w:r w:rsidR="00662778"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>régionale</w:t>
      </w:r>
      <w:r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 xml:space="preserve"> du paln – Guelmim</w:t>
      </w:r>
    </w:p>
    <w:p w:rsidR="005C5D8D" w:rsidRPr="00581531" w:rsidRDefault="005C5D8D" w:rsidP="005C5D8D">
      <w:pPr>
        <w:bidi/>
        <w:spacing w:after="0"/>
        <w:ind w:left="0"/>
        <w:jc w:val="center"/>
        <w:rPr>
          <w:rFonts w:ascii="Palatino" w:hAnsi="Palatino" w:cstheme="majorBidi"/>
          <w:b/>
          <w:bCs/>
          <w:color w:val="auto"/>
          <w:sz w:val="28"/>
          <w:szCs w:val="28"/>
        </w:rPr>
      </w:pPr>
      <w:r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>BP 291 81000 Guelmim</w:t>
      </w:r>
    </w:p>
    <w:p w:rsidR="005C5D8D" w:rsidRPr="00581531" w:rsidRDefault="005C5D8D" w:rsidP="00D93C1B">
      <w:pPr>
        <w:bidi/>
        <w:spacing w:after="0"/>
        <w:ind w:left="0"/>
        <w:jc w:val="center"/>
        <w:rPr>
          <w:rFonts w:ascii="Palatino" w:hAnsi="Palatino" w:cstheme="majorBidi"/>
          <w:b/>
          <w:bCs/>
          <w:color w:val="auto"/>
          <w:sz w:val="28"/>
          <w:szCs w:val="28"/>
        </w:rPr>
      </w:pPr>
      <w:r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 xml:space="preserve">Tél </w:t>
      </w:r>
      <w:r w:rsidR="00D93C1B">
        <w:rPr>
          <w:rFonts w:ascii="Palatino" w:hAnsi="Palatino" w:cstheme="majorBidi"/>
          <w:b/>
          <w:bCs/>
          <w:color w:val="auto"/>
          <w:sz w:val="28"/>
          <w:szCs w:val="28"/>
        </w:rPr>
        <w:t>&amp;</w:t>
      </w:r>
      <w:r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 xml:space="preserve"> Fax </w:t>
      </w:r>
      <w:r w:rsidR="00D93C1B" w:rsidRPr="00581531">
        <w:rPr>
          <w:rFonts w:ascii="Palatino" w:hAnsi="Palatino" w:cstheme="majorBidi"/>
          <w:b/>
          <w:bCs/>
          <w:color w:val="auto"/>
          <w:sz w:val="28"/>
          <w:szCs w:val="28"/>
        </w:rPr>
        <w:t>:</w:t>
      </w:r>
      <w:r w:rsidR="00D93C1B" w:rsidRPr="00D93C1B">
        <w:rPr>
          <w:rFonts w:ascii="Palatino" w:hAnsi="Palatino" w:cstheme="majorBidi"/>
          <w:color w:val="17365D" w:themeColor="text2" w:themeShade="BF"/>
          <w:sz w:val="28"/>
          <w:szCs w:val="28"/>
        </w:rPr>
        <w:t xml:space="preserve"> 0528872170</w:t>
      </w:r>
    </w:p>
    <w:p w:rsidR="005C5D8D" w:rsidRPr="00A06724" w:rsidRDefault="00A06724" w:rsidP="005C5D8D">
      <w:pPr>
        <w:bidi/>
        <w:jc w:val="center"/>
        <w:rPr>
          <w:rFonts w:ascii="Palatino" w:hAnsi="Palatino" w:cstheme="majorBidi"/>
          <w:b/>
          <w:bCs/>
          <w:color w:val="auto"/>
          <w:sz w:val="28"/>
          <w:szCs w:val="28"/>
          <w:rtl/>
        </w:rPr>
      </w:pPr>
      <w:r w:rsidRPr="00A06724">
        <w:rPr>
          <w:rFonts w:ascii="Palatino" w:hAnsi="Palatino" w:cstheme="majorBidi"/>
          <w:b/>
          <w:bCs/>
          <w:color w:val="auto"/>
          <w:sz w:val="28"/>
          <w:szCs w:val="28"/>
        </w:rPr>
        <w:t>Site web http://www.hcp.ma/region-guelmim/</w:t>
      </w:r>
    </w:p>
    <w:sectPr w:rsidR="005C5D8D" w:rsidRPr="00A06724" w:rsidSect="00243D3F">
      <w:type w:val="continuous"/>
      <w:pgSz w:w="11906" w:h="16838"/>
      <w:pgMar w:top="1440" w:right="1440" w:bottom="1440" w:left="1800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96" w:rsidRDefault="000C6696" w:rsidP="00110BBD">
      <w:pPr>
        <w:spacing w:after="0"/>
      </w:pPr>
      <w:r>
        <w:separator/>
      </w:r>
    </w:p>
  </w:endnote>
  <w:endnote w:type="continuationSeparator" w:id="1">
    <w:p w:rsidR="000C6696" w:rsidRDefault="000C6696" w:rsidP="00110B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8C" w:rsidRDefault="00675E8C" w:rsidP="002C7EDB">
    <w:pPr>
      <w:pStyle w:val="Pieddepage"/>
    </w:pPr>
  </w:p>
  <w:p w:rsidR="00675E8C" w:rsidRDefault="00675E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843"/>
      <w:docPartObj>
        <w:docPartGallery w:val="Page Numbers (Bottom of Page)"/>
        <w:docPartUnique/>
      </w:docPartObj>
    </w:sdtPr>
    <w:sdtContent>
      <w:p w:rsidR="00675E8C" w:rsidRDefault="003D5B69">
        <w:pPr>
          <w:pStyle w:val="Pieddepage"/>
          <w:jc w:val="center"/>
        </w:pPr>
        <w:fldSimple w:instr=" PAGE   \* MERGEFORMAT ">
          <w:r w:rsidR="007A3959">
            <w:rPr>
              <w:noProof/>
            </w:rPr>
            <w:t>6</w:t>
          </w:r>
        </w:fldSimple>
      </w:p>
    </w:sdtContent>
  </w:sdt>
  <w:p w:rsidR="00675E8C" w:rsidRDefault="00675E8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7734"/>
      <w:docPartObj>
        <w:docPartGallery w:val="Page Numbers (Bottom of Page)"/>
        <w:docPartUnique/>
      </w:docPartObj>
    </w:sdtPr>
    <w:sdtContent>
      <w:p w:rsidR="00675E8C" w:rsidRDefault="003D5B69">
        <w:pPr>
          <w:pStyle w:val="Pieddepage"/>
          <w:jc w:val="center"/>
        </w:pPr>
        <w:fldSimple w:instr=" PAGE   \* MERGEFORMAT ">
          <w:r w:rsidR="00466944">
            <w:rPr>
              <w:noProof/>
            </w:rPr>
            <w:t>4</w:t>
          </w:r>
        </w:fldSimple>
      </w:p>
    </w:sdtContent>
  </w:sdt>
  <w:p w:rsidR="00675E8C" w:rsidRDefault="00675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96" w:rsidRDefault="000C6696" w:rsidP="00110BBD">
      <w:pPr>
        <w:spacing w:after="0"/>
      </w:pPr>
      <w:r>
        <w:separator/>
      </w:r>
    </w:p>
  </w:footnote>
  <w:footnote w:type="continuationSeparator" w:id="1">
    <w:p w:rsidR="000C6696" w:rsidRDefault="000C6696" w:rsidP="00110B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8C" w:rsidRPr="009A2584" w:rsidRDefault="00675E8C" w:rsidP="00F414F0">
    <w:pPr>
      <w:pStyle w:val="En-tte"/>
      <w:bidi/>
      <w:jc w:val="center"/>
    </w:pPr>
  </w:p>
  <w:sdt>
    <w:sdtPr>
      <w:id w:val="9242696"/>
      <w:docPartObj>
        <w:docPartGallery w:val="Watermarks"/>
        <w:docPartUnique/>
      </w:docPartObj>
    </w:sdtPr>
    <w:sdtContent>
      <w:p w:rsidR="00675E8C" w:rsidRPr="009A2584" w:rsidRDefault="003D5B69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90205" o:spid="_x0000_s2051" type="#_x0000_t136" style="position:absolute;margin-left:0;margin-top:0;width:319.75pt;height:31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 HCP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2"/>
      </v:shape>
    </w:pict>
  </w:numPicBullet>
  <w:numPicBullet w:numPicBulletId="1">
    <w:pict>
      <v:shape id="_x0000_i1039" type="#_x0000_t75" style="width:12.55pt;height:12.55pt" o:bullet="t">
        <v:imagedata r:id="rId2" o:title="clip_image001"/>
      </v:shape>
    </w:pict>
  </w:numPicBullet>
  <w:abstractNum w:abstractNumId="0">
    <w:nsid w:val="015A1A27"/>
    <w:multiLevelType w:val="hybridMultilevel"/>
    <w:tmpl w:val="EA5A3C1A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74B075A"/>
    <w:multiLevelType w:val="hybridMultilevel"/>
    <w:tmpl w:val="94249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5BA5"/>
    <w:multiLevelType w:val="hybridMultilevel"/>
    <w:tmpl w:val="4A32BC46"/>
    <w:lvl w:ilvl="0" w:tplc="147647BC">
      <w:start w:val="1"/>
      <w:numFmt w:val="decimal"/>
      <w:lvlText w:val="%1-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92722F"/>
    <w:multiLevelType w:val="hybridMultilevel"/>
    <w:tmpl w:val="E546704A"/>
    <w:lvl w:ilvl="0" w:tplc="7898E514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  <w:b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198527C9"/>
    <w:multiLevelType w:val="hybridMultilevel"/>
    <w:tmpl w:val="1110DD72"/>
    <w:lvl w:ilvl="0" w:tplc="040C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>
    <w:nsid w:val="23F22602"/>
    <w:multiLevelType w:val="multilevel"/>
    <w:tmpl w:val="BA0021EA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6">
    <w:nsid w:val="28782F65"/>
    <w:multiLevelType w:val="hybridMultilevel"/>
    <w:tmpl w:val="BA0021EA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7">
    <w:nsid w:val="2AC579EE"/>
    <w:multiLevelType w:val="hybridMultilevel"/>
    <w:tmpl w:val="C298FDC6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8">
    <w:nsid w:val="2B4528EF"/>
    <w:multiLevelType w:val="hybridMultilevel"/>
    <w:tmpl w:val="265265D0"/>
    <w:lvl w:ilvl="0" w:tplc="040C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9">
    <w:nsid w:val="2D956361"/>
    <w:multiLevelType w:val="hybridMultilevel"/>
    <w:tmpl w:val="8F2C1880"/>
    <w:lvl w:ilvl="0" w:tplc="5914C458">
      <w:start w:val="1"/>
      <w:numFmt w:val="bullet"/>
      <w:lvlText w:val="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0">
    <w:nsid w:val="2F952E55"/>
    <w:multiLevelType w:val="hybridMultilevel"/>
    <w:tmpl w:val="61382DF0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1">
    <w:nsid w:val="32465CE9"/>
    <w:multiLevelType w:val="multilevel"/>
    <w:tmpl w:val="EA5A3C1A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36093A48"/>
    <w:multiLevelType w:val="hybridMultilevel"/>
    <w:tmpl w:val="1BB07B14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3">
    <w:nsid w:val="3CC8771E"/>
    <w:multiLevelType w:val="multilevel"/>
    <w:tmpl w:val="61382DF0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4">
    <w:nsid w:val="404D1EA7"/>
    <w:multiLevelType w:val="hybridMultilevel"/>
    <w:tmpl w:val="6478CFCE"/>
    <w:lvl w:ilvl="0" w:tplc="040C0007">
      <w:start w:val="1"/>
      <w:numFmt w:val="bullet"/>
      <w:lvlText w:val=""/>
      <w:lvlPicBulletId w:val="0"/>
      <w:lvlJc w:val="left"/>
      <w:pPr>
        <w:ind w:left="2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5">
    <w:nsid w:val="47D62D47"/>
    <w:multiLevelType w:val="hybridMultilevel"/>
    <w:tmpl w:val="77FC8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053B1"/>
    <w:multiLevelType w:val="hybridMultilevel"/>
    <w:tmpl w:val="E1B800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45330"/>
    <w:multiLevelType w:val="hybridMultilevel"/>
    <w:tmpl w:val="07C8D550"/>
    <w:lvl w:ilvl="0" w:tplc="05B0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16110"/>
    <w:multiLevelType w:val="hybridMultilevel"/>
    <w:tmpl w:val="E33E3CE6"/>
    <w:lvl w:ilvl="0" w:tplc="040C0007">
      <w:start w:val="1"/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A404B616">
      <w:start w:val="1"/>
      <w:numFmt w:val="bullet"/>
      <w:lvlText w:val="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9">
    <w:nsid w:val="52D50110"/>
    <w:multiLevelType w:val="hybridMultilevel"/>
    <w:tmpl w:val="CCBA7B9A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0">
    <w:nsid w:val="58DA6BA9"/>
    <w:multiLevelType w:val="hybridMultilevel"/>
    <w:tmpl w:val="B02AF090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A404B616">
      <w:start w:val="1"/>
      <w:numFmt w:val="bullet"/>
      <w:lvlText w:val="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1">
    <w:nsid w:val="5B21534F"/>
    <w:multiLevelType w:val="hybridMultilevel"/>
    <w:tmpl w:val="EBACCE2C"/>
    <w:lvl w:ilvl="0" w:tplc="45BA54F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3A172C4"/>
    <w:multiLevelType w:val="hybridMultilevel"/>
    <w:tmpl w:val="1C4E5876"/>
    <w:lvl w:ilvl="0" w:tplc="040C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3">
    <w:nsid w:val="64457621"/>
    <w:multiLevelType w:val="hybridMultilevel"/>
    <w:tmpl w:val="6780002A"/>
    <w:lvl w:ilvl="0" w:tplc="CBB446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5F4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8FD0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A378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238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801F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CEE4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0D75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6DB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291FCB"/>
    <w:multiLevelType w:val="multilevel"/>
    <w:tmpl w:val="1C4E5876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5">
    <w:nsid w:val="77DD294B"/>
    <w:multiLevelType w:val="hybridMultilevel"/>
    <w:tmpl w:val="FD9AAB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04B616">
      <w:start w:val="1"/>
      <w:numFmt w:val="bullet"/>
      <w:lvlText w:val="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24"/>
  </w:num>
  <w:num w:numId="5">
    <w:abstractNumId w:val="20"/>
  </w:num>
  <w:num w:numId="6">
    <w:abstractNumId w:val="6"/>
  </w:num>
  <w:num w:numId="7">
    <w:abstractNumId w:val="5"/>
  </w:num>
  <w:num w:numId="8">
    <w:abstractNumId w:val="19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25"/>
  </w:num>
  <w:num w:numId="14">
    <w:abstractNumId w:val="18"/>
  </w:num>
  <w:num w:numId="15">
    <w:abstractNumId w:val="12"/>
  </w:num>
  <w:num w:numId="16">
    <w:abstractNumId w:val="14"/>
  </w:num>
  <w:num w:numId="17">
    <w:abstractNumId w:val="16"/>
  </w:num>
  <w:num w:numId="18">
    <w:abstractNumId w:val="8"/>
  </w:num>
  <w:num w:numId="19">
    <w:abstractNumId w:val="15"/>
  </w:num>
  <w:num w:numId="20">
    <w:abstractNumId w:val="1"/>
  </w:num>
  <w:num w:numId="21">
    <w:abstractNumId w:val="3"/>
  </w:num>
  <w:num w:numId="22">
    <w:abstractNumId w:val="4"/>
  </w:num>
  <w:num w:numId="23">
    <w:abstractNumId w:val="11"/>
  </w:num>
  <w:num w:numId="24">
    <w:abstractNumId w:val="9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10242">
      <o:colormru v:ext="edit" colors="#fceed2,#fdf6e7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84D"/>
    <w:rsid w:val="00003242"/>
    <w:rsid w:val="00012342"/>
    <w:rsid w:val="00014414"/>
    <w:rsid w:val="00015CC4"/>
    <w:rsid w:val="00047C3C"/>
    <w:rsid w:val="00050469"/>
    <w:rsid w:val="00050EB8"/>
    <w:rsid w:val="00053A6D"/>
    <w:rsid w:val="00055B38"/>
    <w:rsid w:val="00056030"/>
    <w:rsid w:val="00057D3E"/>
    <w:rsid w:val="000617CE"/>
    <w:rsid w:val="0006267E"/>
    <w:rsid w:val="000639E5"/>
    <w:rsid w:val="00064449"/>
    <w:rsid w:val="00065726"/>
    <w:rsid w:val="000715C9"/>
    <w:rsid w:val="00074C36"/>
    <w:rsid w:val="0007553D"/>
    <w:rsid w:val="000A01D6"/>
    <w:rsid w:val="000A0CAA"/>
    <w:rsid w:val="000A1F06"/>
    <w:rsid w:val="000B2618"/>
    <w:rsid w:val="000B5DB1"/>
    <w:rsid w:val="000B678C"/>
    <w:rsid w:val="000C64C4"/>
    <w:rsid w:val="000C6696"/>
    <w:rsid w:val="000D24BF"/>
    <w:rsid w:val="000D2DC0"/>
    <w:rsid w:val="000D2E56"/>
    <w:rsid w:val="000D3406"/>
    <w:rsid w:val="000E1613"/>
    <w:rsid w:val="000E34DB"/>
    <w:rsid w:val="000F14A3"/>
    <w:rsid w:val="000F41B1"/>
    <w:rsid w:val="0010703A"/>
    <w:rsid w:val="00110BBD"/>
    <w:rsid w:val="00117592"/>
    <w:rsid w:val="00120D27"/>
    <w:rsid w:val="00147111"/>
    <w:rsid w:val="00147F4F"/>
    <w:rsid w:val="001500C2"/>
    <w:rsid w:val="00153021"/>
    <w:rsid w:val="00157B55"/>
    <w:rsid w:val="00157D3D"/>
    <w:rsid w:val="0016118D"/>
    <w:rsid w:val="00162401"/>
    <w:rsid w:val="00165B2D"/>
    <w:rsid w:val="001710D5"/>
    <w:rsid w:val="001A2969"/>
    <w:rsid w:val="001A57E0"/>
    <w:rsid w:val="001A6112"/>
    <w:rsid w:val="001C3DE0"/>
    <w:rsid w:val="001C52F3"/>
    <w:rsid w:val="001C6970"/>
    <w:rsid w:val="001C75CB"/>
    <w:rsid w:val="001D713F"/>
    <w:rsid w:val="001E1DAD"/>
    <w:rsid w:val="001F6449"/>
    <w:rsid w:val="002013FB"/>
    <w:rsid w:val="002029F9"/>
    <w:rsid w:val="00203E46"/>
    <w:rsid w:val="00210769"/>
    <w:rsid w:val="002152F5"/>
    <w:rsid w:val="00223F65"/>
    <w:rsid w:val="00226F9B"/>
    <w:rsid w:val="00227987"/>
    <w:rsid w:val="00233E5E"/>
    <w:rsid w:val="002427D2"/>
    <w:rsid w:val="00243D3F"/>
    <w:rsid w:val="00251963"/>
    <w:rsid w:val="00251F26"/>
    <w:rsid w:val="00252A0A"/>
    <w:rsid w:val="00253A67"/>
    <w:rsid w:val="00257AE1"/>
    <w:rsid w:val="00257EF1"/>
    <w:rsid w:val="00261087"/>
    <w:rsid w:val="00264583"/>
    <w:rsid w:val="00270B97"/>
    <w:rsid w:val="00277898"/>
    <w:rsid w:val="00281778"/>
    <w:rsid w:val="0028565F"/>
    <w:rsid w:val="00291B5C"/>
    <w:rsid w:val="002A05C5"/>
    <w:rsid w:val="002A3063"/>
    <w:rsid w:val="002B0871"/>
    <w:rsid w:val="002B449D"/>
    <w:rsid w:val="002C7EDB"/>
    <w:rsid w:val="002D183C"/>
    <w:rsid w:val="002D189B"/>
    <w:rsid w:val="002F174D"/>
    <w:rsid w:val="002F1A87"/>
    <w:rsid w:val="002F6701"/>
    <w:rsid w:val="00305502"/>
    <w:rsid w:val="00307CFD"/>
    <w:rsid w:val="00310225"/>
    <w:rsid w:val="00321CC9"/>
    <w:rsid w:val="003223F4"/>
    <w:rsid w:val="00322CA7"/>
    <w:rsid w:val="00322CEC"/>
    <w:rsid w:val="00323725"/>
    <w:rsid w:val="00324BD1"/>
    <w:rsid w:val="003323AF"/>
    <w:rsid w:val="00337505"/>
    <w:rsid w:val="003453C2"/>
    <w:rsid w:val="00345A17"/>
    <w:rsid w:val="00346935"/>
    <w:rsid w:val="003568B3"/>
    <w:rsid w:val="00362AC5"/>
    <w:rsid w:val="0036548A"/>
    <w:rsid w:val="00375485"/>
    <w:rsid w:val="00377AE0"/>
    <w:rsid w:val="00377DEA"/>
    <w:rsid w:val="0038023A"/>
    <w:rsid w:val="00384170"/>
    <w:rsid w:val="00396383"/>
    <w:rsid w:val="003B68A4"/>
    <w:rsid w:val="003C23BB"/>
    <w:rsid w:val="003D5B69"/>
    <w:rsid w:val="003F271C"/>
    <w:rsid w:val="003F68C5"/>
    <w:rsid w:val="00402D9A"/>
    <w:rsid w:val="00414439"/>
    <w:rsid w:val="00415289"/>
    <w:rsid w:val="0042378D"/>
    <w:rsid w:val="004340BA"/>
    <w:rsid w:val="00451196"/>
    <w:rsid w:val="00464636"/>
    <w:rsid w:val="00465C4E"/>
    <w:rsid w:val="00466944"/>
    <w:rsid w:val="00472202"/>
    <w:rsid w:val="00472CAA"/>
    <w:rsid w:val="00475471"/>
    <w:rsid w:val="004925DA"/>
    <w:rsid w:val="004A75CB"/>
    <w:rsid w:val="004B1219"/>
    <w:rsid w:val="004B2F8F"/>
    <w:rsid w:val="004B68F8"/>
    <w:rsid w:val="004D0566"/>
    <w:rsid w:val="004D1343"/>
    <w:rsid w:val="004D4B85"/>
    <w:rsid w:val="004D7DCD"/>
    <w:rsid w:val="004E3641"/>
    <w:rsid w:val="004E4BB5"/>
    <w:rsid w:val="004F6818"/>
    <w:rsid w:val="00502565"/>
    <w:rsid w:val="00505B0C"/>
    <w:rsid w:val="005111C0"/>
    <w:rsid w:val="00520CAD"/>
    <w:rsid w:val="0052396D"/>
    <w:rsid w:val="00527106"/>
    <w:rsid w:val="005403F1"/>
    <w:rsid w:val="00540A55"/>
    <w:rsid w:val="00541A44"/>
    <w:rsid w:val="005518B7"/>
    <w:rsid w:val="00552A44"/>
    <w:rsid w:val="00561847"/>
    <w:rsid w:val="005709FF"/>
    <w:rsid w:val="00581531"/>
    <w:rsid w:val="00591492"/>
    <w:rsid w:val="00591BAD"/>
    <w:rsid w:val="005A744D"/>
    <w:rsid w:val="005B2CE3"/>
    <w:rsid w:val="005B3523"/>
    <w:rsid w:val="005B6FD0"/>
    <w:rsid w:val="005C0944"/>
    <w:rsid w:val="005C24D0"/>
    <w:rsid w:val="005C4CCF"/>
    <w:rsid w:val="005C5301"/>
    <w:rsid w:val="005C5D8D"/>
    <w:rsid w:val="005C6AE4"/>
    <w:rsid w:val="005E07CF"/>
    <w:rsid w:val="005F195B"/>
    <w:rsid w:val="005F59D0"/>
    <w:rsid w:val="006019D3"/>
    <w:rsid w:val="0060468C"/>
    <w:rsid w:val="00605EAF"/>
    <w:rsid w:val="0061026D"/>
    <w:rsid w:val="006166AF"/>
    <w:rsid w:val="00620212"/>
    <w:rsid w:val="00621482"/>
    <w:rsid w:val="00623B32"/>
    <w:rsid w:val="00623D98"/>
    <w:rsid w:val="0062579C"/>
    <w:rsid w:val="0063062E"/>
    <w:rsid w:val="00635CF0"/>
    <w:rsid w:val="00640CDC"/>
    <w:rsid w:val="00642E76"/>
    <w:rsid w:val="0064640B"/>
    <w:rsid w:val="0064641C"/>
    <w:rsid w:val="00661527"/>
    <w:rsid w:val="00661771"/>
    <w:rsid w:val="00662778"/>
    <w:rsid w:val="00666DEF"/>
    <w:rsid w:val="00675E8C"/>
    <w:rsid w:val="00682F4A"/>
    <w:rsid w:val="00692771"/>
    <w:rsid w:val="006934CE"/>
    <w:rsid w:val="00694A0A"/>
    <w:rsid w:val="00694B97"/>
    <w:rsid w:val="006A2045"/>
    <w:rsid w:val="006A64CF"/>
    <w:rsid w:val="006C026E"/>
    <w:rsid w:val="006C4A5C"/>
    <w:rsid w:val="006C75E2"/>
    <w:rsid w:val="006D6418"/>
    <w:rsid w:val="006E0ACF"/>
    <w:rsid w:val="006E270B"/>
    <w:rsid w:val="006E3FEB"/>
    <w:rsid w:val="006F0710"/>
    <w:rsid w:val="006F0A06"/>
    <w:rsid w:val="006F6276"/>
    <w:rsid w:val="006F6545"/>
    <w:rsid w:val="006F667B"/>
    <w:rsid w:val="00701E2C"/>
    <w:rsid w:val="00730DFA"/>
    <w:rsid w:val="0073457D"/>
    <w:rsid w:val="00735D02"/>
    <w:rsid w:val="00741121"/>
    <w:rsid w:val="0074139F"/>
    <w:rsid w:val="00743750"/>
    <w:rsid w:val="0075059D"/>
    <w:rsid w:val="007515C8"/>
    <w:rsid w:val="00754657"/>
    <w:rsid w:val="00771896"/>
    <w:rsid w:val="00777F18"/>
    <w:rsid w:val="00784E46"/>
    <w:rsid w:val="00786A32"/>
    <w:rsid w:val="00790203"/>
    <w:rsid w:val="007922F9"/>
    <w:rsid w:val="00793117"/>
    <w:rsid w:val="00796637"/>
    <w:rsid w:val="007969FD"/>
    <w:rsid w:val="007A3959"/>
    <w:rsid w:val="007B255A"/>
    <w:rsid w:val="007B469B"/>
    <w:rsid w:val="007B5A72"/>
    <w:rsid w:val="007D02FB"/>
    <w:rsid w:val="007E7F58"/>
    <w:rsid w:val="007F42F5"/>
    <w:rsid w:val="00806830"/>
    <w:rsid w:val="00811F69"/>
    <w:rsid w:val="008157CC"/>
    <w:rsid w:val="00820EFA"/>
    <w:rsid w:val="0082530F"/>
    <w:rsid w:val="00825A3F"/>
    <w:rsid w:val="00825CE0"/>
    <w:rsid w:val="0083374A"/>
    <w:rsid w:val="0083455E"/>
    <w:rsid w:val="00843742"/>
    <w:rsid w:val="008507AC"/>
    <w:rsid w:val="00860350"/>
    <w:rsid w:val="0086165F"/>
    <w:rsid w:val="008721DE"/>
    <w:rsid w:val="00881B91"/>
    <w:rsid w:val="00891E22"/>
    <w:rsid w:val="008946D3"/>
    <w:rsid w:val="00895642"/>
    <w:rsid w:val="00895A3C"/>
    <w:rsid w:val="00896B5D"/>
    <w:rsid w:val="008A0305"/>
    <w:rsid w:val="008B4A0E"/>
    <w:rsid w:val="008B5CF4"/>
    <w:rsid w:val="008B7642"/>
    <w:rsid w:val="008B7EAC"/>
    <w:rsid w:val="008C1337"/>
    <w:rsid w:val="008C14D6"/>
    <w:rsid w:val="008C22D4"/>
    <w:rsid w:val="008D3A60"/>
    <w:rsid w:val="008D6F8C"/>
    <w:rsid w:val="008E7992"/>
    <w:rsid w:val="008F0D6D"/>
    <w:rsid w:val="008F1773"/>
    <w:rsid w:val="009016B9"/>
    <w:rsid w:val="0090786A"/>
    <w:rsid w:val="00907D46"/>
    <w:rsid w:val="009112CD"/>
    <w:rsid w:val="009239AB"/>
    <w:rsid w:val="00940047"/>
    <w:rsid w:val="0094005E"/>
    <w:rsid w:val="00945926"/>
    <w:rsid w:val="00957653"/>
    <w:rsid w:val="009646D2"/>
    <w:rsid w:val="00965507"/>
    <w:rsid w:val="00972625"/>
    <w:rsid w:val="00975AE5"/>
    <w:rsid w:val="00976F91"/>
    <w:rsid w:val="00982029"/>
    <w:rsid w:val="0098326F"/>
    <w:rsid w:val="00983BFE"/>
    <w:rsid w:val="00983F8D"/>
    <w:rsid w:val="00987322"/>
    <w:rsid w:val="00994905"/>
    <w:rsid w:val="009A2584"/>
    <w:rsid w:val="009B0622"/>
    <w:rsid w:val="009B7139"/>
    <w:rsid w:val="009C135B"/>
    <w:rsid w:val="009C6903"/>
    <w:rsid w:val="009E1791"/>
    <w:rsid w:val="009E2391"/>
    <w:rsid w:val="009E396C"/>
    <w:rsid w:val="009E7F43"/>
    <w:rsid w:val="009F1C62"/>
    <w:rsid w:val="00A04F5E"/>
    <w:rsid w:val="00A06724"/>
    <w:rsid w:val="00A11C33"/>
    <w:rsid w:val="00A17BA8"/>
    <w:rsid w:val="00A368BE"/>
    <w:rsid w:val="00A41658"/>
    <w:rsid w:val="00A45671"/>
    <w:rsid w:val="00A54F26"/>
    <w:rsid w:val="00A5532A"/>
    <w:rsid w:val="00A55B46"/>
    <w:rsid w:val="00A60530"/>
    <w:rsid w:val="00A81A5C"/>
    <w:rsid w:val="00A93F3F"/>
    <w:rsid w:val="00AA45BA"/>
    <w:rsid w:val="00AA5C19"/>
    <w:rsid w:val="00AA6389"/>
    <w:rsid w:val="00AB1C55"/>
    <w:rsid w:val="00AB3027"/>
    <w:rsid w:val="00AC284B"/>
    <w:rsid w:val="00AD35CE"/>
    <w:rsid w:val="00AD4659"/>
    <w:rsid w:val="00AE1E2E"/>
    <w:rsid w:val="00AF7827"/>
    <w:rsid w:val="00B055C2"/>
    <w:rsid w:val="00B05F09"/>
    <w:rsid w:val="00B15D0B"/>
    <w:rsid w:val="00B20AB2"/>
    <w:rsid w:val="00B2687B"/>
    <w:rsid w:val="00B31104"/>
    <w:rsid w:val="00B31A9D"/>
    <w:rsid w:val="00B4480C"/>
    <w:rsid w:val="00B457A7"/>
    <w:rsid w:val="00B469D2"/>
    <w:rsid w:val="00B51EFF"/>
    <w:rsid w:val="00B52115"/>
    <w:rsid w:val="00B573F0"/>
    <w:rsid w:val="00B65260"/>
    <w:rsid w:val="00B771B2"/>
    <w:rsid w:val="00B8068B"/>
    <w:rsid w:val="00B81770"/>
    <w:rsid w:val="00B843D1"/>
    <w:rsid w:val="00B860B8"/>
    <w:rsid w:val="00BA123E"/>
    <w:rsid w:val="00BB0F2D"/>
    <w:rsid w:val="00BD214C"/>
    <w:rsid w:val="00BD36B9"/>
    <w:rsid w:val="00BD523E"/>
    <w:rsid w:val="00BD52B1"/>
    <w:rsid w:val="00BE4CF4"/>
    <w:rsid w:val="00C03D06"/>
    <w:rsid w:val="00C12BAD"/>
    <w:rsid w:val="00C13185"/>
    <w:rsid w:val="00C16DDD"/>
    <w:rsid w:val="00C177F3"/>
    <w:rsid w:val="00C17A84"/>
    <w:rsid w:val="00C27FA7"/>
    <w:rsid w:val="00C306C0"/>
    <w:rsid w:val="00C41306"/>
    <w:rsid w:val="00C5074D"/>
    <w:rsid w:val="00C51093"/>
    <w:rsid w:val="00C57E24"/>
    <w:rsid w:val="00C7705D"/>
    <w:rsid w:val="00C77389"/>
    <w:rsid w:val="00C85A2A"/>
    <w:rsid w:val="00C86E0B"/>
    <w:rsid w:val="00C93464"/>
    <w:rsid w:val="00C97437"/>
    <w:rsid w:val="00CA2B0F"/>
    <w:rsid w:val="00CA3537"/>
    <w:rsid w:val="00CA44EC"/>
    <w:rsid w:val="00CA533B"/>
    <w:rsid w:val="00CB7F1E"/>
    <w:rsid w:val="00CD1D2E"/>
    <w:rsid w:val="00CE377C"/>
    <w:rsid w:val="00CF365D"/>
    <w:rsid w:val="00D02208"/>
    <w:rsid w:val="00D14183"/>
    <w:rsid w:val="00D16AD9"/>
    <w:rsid w:val="00D17152"/>
    <w:rsid w:val="00D21B54"/>
    <w:rsid w:val="00D24BF6"/>
    <w:rsid w:val="00D26421"/>
    <w:rsid w:val="00D329C2"/>
    <w:rsid w:val="00D362EF"/>
    <w:rsid w:val="00D64C19"/>
    <w:rsid w:val="00D74A33"/>
    <w:rsid w:val="00D768C5"/>
    <w:rsid w:val="00D87278"/>
    <w:rsid w:val="00D9005D"/>
    <w:rsid w:val="00D905A0"/>
    <w:rsid w:val="00D93C1B"/>
    <w:rsid w:val="00D950F4"/>
    <w:rsid w:val="00D97091"/>
    <w:rsid w:val="00DA51A2"/>
    <w:rsid w:val="00DB393B"/>
    <w:rsid w:val="00DB5495"/>
    <w:rsid w:val="00DC1CB9"/>
    <w:rsid w:val="00DD4E29"/>
    <w:rsid w:val="00DE2CBC"/>
    <w:rsid w:val="00DE384D"/>
    <w:rsid w:val="00DE6354"/>
    <w:rsid w:val="00DE6887"/>
    <w:rsid w:val="00DF7606"/>
    <w:rsid w:val="00E0591F"/>
    <w:rsid w:val="00E10BC9"/>
    <w:rsid w:val="00E17026"/>
    <w:rsid w:val="00E27A7C"/>
    <w:rsid w:val="00E33630"/>
    <w:rsid w:val="00E34028"/>
    <w:rsid w:val="00E3759A"/>
    <w:rsid w:val="00E47EED"/>
    <w:rsid w:val="00E802F2"/>
    <w:rsid w:val="00E840FC"/>
    <w:rsid w:val="00E979C4"/>
    <w:rsid w:val="00EA0257"/>
    <w:rsid w:val="00EA18C3"/>
    <w:rsid w:val="00EA60CB"/>
    <w:rsid w:val="00EB2F16"/>
    <w:rsid w:val="00EB3C04"/>
    <w:rsid w:val="00EB53C1"/>
    <w:rsid w:val="00EC0745"/>
    <w:rsid w:val="00EC08D5"/>
    <w:rsid w:val="00EC279A"/>
    <w:rsid w:val="00EC42E5"/>
    <w:rsid w:val="00ED1AD5"/>
    <w:rsid w:val="00ED1BA7"/>
    <w:rsid w:val="00ED4FB8"/>
    <w:rsid w:val="00EF0BBD"/>
    <w:rsid w:val="00EF1208"/>
    <w:rsid w:val="00F04330"/>
    <w:rsid w:val="00F15F97"/>
    <w:rsid w:val="00F16236"/>
    <w:rsid w:val="00F163CA"/>
    <w:rsid w:val="00F171F9"/>
    <w:rsid w:val="00F2446E"/>
    <w:rsid w:val="00F2715B"/>
    <w:rsid w:val="00F34421"/>
    <w:rsid w:val="00F414F0"/>
    <w:rsid w:val="00F42B39"/>
    <w:rsid w:val="00F467F7"/>
    <w:rsid w:val="00F501DD"/>
    <w:rsid w:val="00F5124F"/>
    <w:rsid w:val="00F51E90"/>
    <w:rsid w:val="00F527AC"/>
    <w:rsid w:val="00F63778"/>
    <w:rsid w:val="00F73957"/>
    <w:rsid w:val="00F75698"/>
    <w:rsid w:val="00F8090B"/>
    <w:rsid w:val="00F80BE3"/>
    <w:rsid w:val="00F83646"/>
    <w:rsid w:val="00F9084D"/>
    <w:rsid w:val="00F94880"/>
    <w:rsid w:val="00FA0E4D"/>
    <w:rsid w:val="00FA5647"/>
    <w:rsid w:val="00FC2EE1"/>
    <w:rsid w:val="00FC336B"/>
    <w:rsid w:val="00FE06C0"/>
    <w:rsid w:val="00FE0CCD"/>
    <w:rsid w:val="00FF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eed2,#fdf6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Colorful 2" w:uiPriority="0"/>
    <w:lsdException w:name="Table List 2" w:uiPriority="0"/>
    <w:lsdException w:name="Table List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4D"/>
    <w:pPr>
      <w:spacing w:after="120" w:line="240" w:lineRule="auto"/>
      <w:ind w:left="425"/>
      <w:jc w:val="both"/>
    </w:pPr>
    <w:rPr>
      <w:rFonts w:ascii="Calibri" w:eastAsia="Times New Roman" w:hAnsi="Calibri" w:cs="Calibri"/>
      <w:color w:val="9C2073"/>
      <w:sz w:val="32"/>
      <w:szCs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362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E384D"/>
    <w:pPr>
      <w:spacing w:before="100" w:beforeAutospacing="1" w:after="100" w:afterAutospacing="1"/>
      <w:ind w:left="0"/>
      <w:jc w:val="left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4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11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2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E38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3455E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DE38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384D"/>
    <w:pPr>
      <w:spacing w:before="100" w:beforeAutospacing="1" w:after="100" w:afterAutospacing="1"/>
      <w:ind w:left="0"/>
      <w:jc w:val="left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8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84D"/>
    <w:rPr>
      <w:rFonts w:ascii="Tahoma" w:eastAsia="Times New Roman" w:hAnsi="Tahoma" w:cs="Tahoma"/>
      <w:color w:val="9C2073"/>
      <w:sz w:val="16"/>
      <w:szCs w:val="16"/>
    </w:rPr>
  </w:style>
  <w:style w:type="paragraph" w:styleId="Sansinterligne">
    <w:name w:val="No Spacing"/>
    <w:uiPriority w:val="1"/>
    <w:qFormat/>
    <w:rsid w:val="00362AC5"/>
    <w:pPr>
      <w:spacing w:after="0" w:line="240" w:lineRule="auto"/>
      <w:ind w:left="425"/>
      <w:jc w:val="both"/>
    </w:pPr>
    <w:rPr>
      <w:rFonts w:ascii="Calibri" w:eastAsia="Times New Roman" w:hAnsi="Calibri" w:cs="Calibri"/>
      <w:color w:val="9C2073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75471"/>
    <w:pPr>
      <w:tabs>
        <w:tab w:val="center" w:pos="4536"/>
        <w:tab w:val="right" w:pos="9072"/>
      </w:tabs>
      <w:spacing w:after="0"/>
      <w:ind w:left="0"/>
      <w:jc w:val="left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7547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75471"/>
  </w:style>
  <w:style w:type="paragraph" w:styleId="En-tte">
    <w:name w:val="header"/>
    <w:basedOn w:val="Normal"/>
    <w:link w:val="En-tteCar"/>
    <w:uiPriority w:val="99"/>
    <w:rsid w:val="00475471"/>
    <w:pPr>
      <w:tabs>
        <w:tab w:val="center" w:pos="4536"/>
        <w:tab w:val="right" w:pos="9072"/>
      </w:tabs>
      <w:spacing w:after="0"/>
      <w:ind w:left="0"/>
      <w:jc w:val="left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754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5471"/>
    <w:pPr>
      <w:spacing w:after="0"/>
      <w:ind w:left="708"/>
      <w:jc w:val="left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table" w:styleId="Color2">
    <w:name w:val="Table Colorful 2"/>
    <w:basedOn w:val="TableauNormal"/>
    <w:rsid w:val="00A5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moyenne2-Accent1">
    <w:name w:val="Medium List 2 Accent 1"/>
    <w:basedOn w:val="TableauNormal"/>
    <w:uiPriority w:val="66"/>
    <w:rsid w:val="00A17B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C03D06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Titre4Car">
    <w:name w:val="Titre 4 Car"/>
    <w:basedOn w:val="Policepardfaut"/>
    <w:link w:val="Titre4"/>
    <w:uiPriority w:val="9"/>
    <w:rsid w:val="00B31104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character" w:styleId="lev">
    <w:name w:val="Strong"/>
    <w:basedOn w:val="Policepardfaut"/>
    <w:uiPriority w:val="22"/>
    <w:qFormat/>
    <w:rsid w:val="00074C36"/>
    <w:rPr>
      <w:b/>
      <w:bCs/>
    </w:rPr>
  </w:style>
  <w:style w:type="character" w:styleId="Rfrenceple">
    <w:name w:val="Subtle Reference"/>
    <w:basedOn w:val="Policepardfaut"/>
    <w:uiPriority w:val="31"/>
    <w:qFormat/>
    <w:rsid w:val="007E7F5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E7F58"/>
    <w:rPr>
      <w:b/>
      <w:bCs/>
      <w:smallCaps/>
      <w:color w:val="C0504D" w:themeColor="accent2"/>
      <w:spacing w:val="5"/>
      <w:u w:val="single"/>
    </w:rPr>
  </w:style>
  <w:style w:type="character" w:styleId="Accentuation">
    <w:name w:val="Emphasis"/>
    <w:basedOn w:val="Policepardfaut"/>
    <w:uiPriority w:val="20"/>
    <w:qFormat/>
    <w:rsid w:val="00621482"/>
    <w:rPr>
      <w:i/>
      <w:iCs/>
    </w:rPr>
  </w:style>
  <w:style w:type="character" w:styleId="Emphaseintense">
    <w:name w:val="Intense Emphasis"/>
    <w:basedOn w:val="Policepardfaut"/>
    <w:uiPriority w:val="21"/>
    <w:qFormat/>
    <w:rsid w:val="00621482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6214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21482"/>
    <w:rPr>
      <w:rFonts w:ascii="Calibri" w:eastAsia="Times New Roman" w:hAnsi="Calibri" w:cs="Calibri"/>
      <w:i/>
      <w:iCs/>
      <w:color w:val="000000" w:themeColor="text1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D24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4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4BF"/>
    <w:rPr>
      <w:rFonts w:ascii="Calibri" w:eastAsia="Times New Roman" w:hAnsi="Calibri" w:cs="Calibri"/>
      <w:color w:val="9C207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4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4BF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153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3060">
          <w:marLeft w:val="0"/>
          <w:marRight w:val="0"/>
          <w:marTop w:val="225"/>
          <w:marBottom w:val="225"/>
          <w:divBdr>
            <w:top w:val="single" w:sz="36" w:space="0" w:color="660000"/>
            <w:left w:val="single" w:sz="36" w:space="0" w:color="660000"/>
            <w:bottom w:val="single" w:sz="36" w:space="0" w:color="660000"/>
            <w:right w:val="single" w:sz="36" w:space="0" w:color="660000"/>
          </w:divBdr>
          <w:divsChild>
            <w:div w:id="1022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59">
      <w:marLeft w:val="0"/>
      <w:marRight w:val="0"/>
      <w:marTop w:val="225"/>
      <w:marBottom w:val="225"/>
      <w:divBdr>
        <w:top w:val="single" w:sz="36" w:space="0" w:color="990000"/>
        <w:left w:val="single" w:sz="36" w:space="0" w:color="990000"/>
        <w:bottom w:val="single" w:sz="36" w:space="0" w:color="990000"/>
        <w:right w:val="single" w:sz="36" w:space="0" w:color="990000"/>
      </w:divBdr>
      <w:divsChild>
        <w:div w:id="137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416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0000"/>
                        <w:left w:val="single" w:sz="6" w:space="0" w:color="990000"/>
                        <w:bottom w:val="single" w:sz="6" w:space="0" w:color="990000"/>
                        <w:right w:val="single" w:sz="6" w:space="0" w:color="990000"/>
                      </w:divBdr>
                      <w:divsChild>
                        <w:div w:id="4536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6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0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0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4879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2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8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6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7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0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0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9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89718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1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83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500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0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24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26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5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6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7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8091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7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4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8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6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480">
          <w:marLeft w:val="0"/>
          <w:marRight w:val="0"/>
          <w:marTop w:val="225"/>
          <w:marBottom w:val="225"/>
          <w:divBdr>
            <w:top w:val="single" w:sz="36" w:space="0" w:color="660000"/>
            <w:left w:val="single" w:sz="36" w:space="0" w:color="660000"/>
            <w:bottom w:val="single" w:sz="36" w:space="0" w:color="660000"/>
            <w:right w:val="single" w:sz="36" w:space="0" w:color="660000"/>
          </w:divBdr>
          <w:divsChild>
            <w:div w:id="17201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967">
          <w:marLeft w:val="0"/>
          <w:marRight w:val="0"/>
          <w:marTop w:val="225"/>
          <w:marBottom w:val="225"/>
          <w:divBdr>
            <w:top w:val="single" w:sz="36" w:space="0" w:color="660000"/>
            <w:left w:val="single" w:sz="36" w:space="0" w:color="660000"/>
            <w:bottom w:val="single" w:sz="36" w:space="0" w:color="660000"/>
            <w:right w:val="single" w:sz="36" w:space="0" w:color="660000"/>
          </w:divBdr>
          <w:divsChild>
            <w:div w:id="12819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36">
      <w:marLeft w:val="0"/>
      <w:marRight w:val="0"/>
      <w:marTop w:val="225"/>
      <w:marBottom w:val="225"/>
      <w:divBdr>
        <w:top w:val="single" w:sz="36" w:space="0" w:color="990000"/>
        <w:left w:val="single" w:sz="36" w:space="0" w:color="990000"/>
        <w:bottom w:val="single" w:sz="36" w:space="0" w:color="990000"/>
        <w:right w:val="single" w:sz="36" w:space="0" w:color="990000"/>
      </w:divBdr>
      <w:divsChild>
        <w:div w:id="319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7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5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5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9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0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4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3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491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0000"/>
                        <w:left w:val="single" w:sz="6" w:space="0" w:color="990000"/>
                        <w:bottom w:val="single" w:sz="6" w:space="0" w:color="990000"/>
                        <w:right w:val="single" w:sz="6" w:space="0" w:color="990000"/>
                      </w:divBdr>
                      <w:divsChild>
                        <w:div w:id="10575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1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9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377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6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41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251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1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7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671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5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14597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845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53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6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cps\Bureau\ip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5.2219612899264807E-2"/>
          <c:y val="5.0142278175390187E-2"/>
          <c:w val="0.92750748261730442"/>
          <c:h val="0.68632113768787195"/>
        </c:manualLayout>
      </c:layout>
      <c:lineChart>
        <c:grouping val="standard"/>
        <c:ser>
          <c:idx val="0"/>
          <c:order val="0"/>
          <c:tx>
            <c:strRef>
              <c:f>Feuil1!$D$6</c:f>
              <c:strCache>
                <c:ptCount val="1"/>
                <c:pt idx="0">
                  <c:v>2011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Feuil1!$E$6:$P$6</c:f>
              <c:numCache>
                <c:formatCode>General</c:formatCode>
                <c:ptCount val="12"/>
                <c:pt idx="0">
                  <c:v>108.9</c:v>
                </c:pt>
                <c:pt idx="1">
                  <c:v>109.4</c:v>
                </c:pt>
                <c:pt idx="2">
                  <c:v>109.8</c:v>
                </c:pt>
                <c:pt idx="3">
                  <c:v>108.8</c:v>
                </c:pt>
                <c:pt idx="4">
                  <c:v>108.6</c:v>
                </c:pt>
                <c:pt idx="5">
                  <c:v>108.1</c:v>
                </c:pt>
                <c:pt idx="6">
                  <c:v>109</c:v>
                </c:pt>
                <c:pt idx="7">
                  <c:v>110</c:v>
                </c:pt>
                <c:pt idx="8">
                  <c:v>109.9</c:v>
                </c:pt>
                <c:pt idx="9">
                  <c:v>109.3</c:v>
                </c:pt>
                <c:pt idx="10">
                  <c:v>109.5</c:v>
                </c:pt>
                <c:pt idx="11">
                  <c:v>109.5</c:v>
                </c:pt>
              </c:numCache>
            </c:numRef>
          </c:val>
        </c:ser>
        <c:ser>
          <c:idx val="1"/>
          <c:order val="1"/>
          <c:tx>
            <c:strRef>
              <c:f>Feuil1!$D$7</c:f>
              <c:strCache>
                <c:ptCount val="1"/>
                <c:pt idx="0">
                  <c:v>2012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Feuil1!$E$7:$P$7</c:f>
              <c:numCache>
                <c:formatCode>General</c:formatCode>
                <c:ptCount val="12"/>
                <c:pt idx="0">
                  <c:v>109.3</c:v>
                </c:pt>
                <c:pt idx="1">
                  <c:v>109.2</c:v>
                </c:pt>
                <c:pt idx="2">
                  <c:v>108.5</c:v>
                </c:pt>
                <c:pt idx="3">
                  <c:v>109</c:v>
                </c:pt>
                <c:pt idx="4">
                  <c:v>109.4</c:v>
                </c:pt>
                <c:pt idx="5">
                  <c:v>109.5</c:v>
                </c:pt>
                <c:pt idx="6">
                  <c:v>110.4</c:v>
                </c:pt>
                <c:pt idx="7">
                  <c:v>112.2</c:v>
                </c:pt>
                <c:pt idx="8">
                  <c:v>111.9</c:v>
                </c:pt>
                <c:pt idx="9">
                  <c:v>111.8</c:v>
                </c:pt>
                <c:pt idx="10">
                  <c:v>110.9</c:v>
                </c:pt>
                <c:pt idx="11">
                  <c:v>112.2</c:v>
                </c:pt>
              </c:numCache>
            </c:numRef>
          </c:val>
        </c:ser>
        <c:ser>
          <c:idx val="2"/>
          <c:order val="2"/>
          <c:tx>
            <c:strRef>
              <c:f>Feuil1!$D$8</c:f>
              <c:strCache>
                <c:ptCount val="1"/>
                <c:pt idx="0">
                  <c:v>2013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Feuil1!$E$8:$P$8</c:f>
              <c:numCache>
                <c:formatCode>General</c:formatCode>
                <c:ptCount val="12"/>
                <c:pt idx="0">
                  <c:v>111.5</c:v>
                </c:pt>
                <c:pt idx="1">
                  <c:v>112.2</c:v>
                </c:pt>
                <c:pt idx="2">
                  <c:v>111.7</c:v>
                </c:pt>
                <c:pt idx="3">
                  <c:v>112.5</c:v>
                </c:pt>
                <c:pt idx="4">
                  <c:v>112.3</c:v>
                </c:pt>
                <c:pt idx="5">
                  <c:v>112.4</c:v>
                </c:pt>
                <c:pt idx="6">
                  <c:v>111.8</c:v>
                </c:pt>
                <c:pt idx="7">
                  <c:v>114</c:v>
                </c:pt>
                <c:pt idx="8">
                  <c:v>112.9</c:v>
                </c:pt>
                <c:pt idx="9">
                  <c:v>113.3</c:v>
                </c:pt>
                <c:pt idx="10">
                  <c:v>112.4</c:v>
                </c:pt>
                <c:pt idx="11">
                  <c:v>112.4</c:v>
                </c:pt>
              </c:numCache>
            </c:numRef>
          </c:val>
        </c:ser>
        <c:ser>
          <c:idx val="3"/>
          <c:order val="3"/>
          <c:tx>
            <c:strRef>
              <c:f>Feuil1!$D$9</c:f>
              <c:strCache>
                <c:ptCount val="1"/>
                <c:pt idx="0">
                  <c:v>2014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Feuil1!$E$9:$P$9</c:f>
              <c:numCache>
                <c:formatCode>General</c:formatCode>
                <c:ptCount val="12"/>
                <c:pt idx="0">
                  <c:v>112.7</c:v>
                </c:pt>
                <c:pt idx="1">
                  <c:v>112.1</c:v>
                </c:pt>
                <c:pt idx="2">
                  <c:v>112.3</c:v>
                </c:pt>
                <c:pt idx="3">
                  <c:v>112.4</c:v>
                </c:pt>
                <c:pt idx="4">
                  <c:v>111.3</c:v>
                </c:pt>
                <c:pt idx="5">
                  <c:v>111.1</c:v>
                </c:pt>
                <c:pt idx="6">
                  <c:v>111.8</c:v>
                </c:pt>
                <c:pt idx="7">
                  <c:v>112.2</c:v>
                </c:pt>
                <c:pt idx="8">
                  <c:v>112.8</c:v>
                </c:pt>
                <c:pt idx="9">
                  <c:v>112.6</c:v>
                </c:pt>
                <c:pt idx="10">
                  <c:v>112.5</c:v>
                </c:pt>
                <c:pt idx="11">
                  <c:v>113.3</c:v>
                </c:pt>
              </c:numCache>
            </c:numRef>
          </c:val>
        </c:ser>
        <c:ser>
          <c:idx val="4"/>
          <c:order val="4"/>
          <c:tx>
            <c:strRef>
              <c:f>Feuil1!$D$10</c:f>
              <c:strCache>
                <c:ptCount val="1"/>
                <c:pt idx="0">
                  <c:v>2015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Feuil1!$E$10:$P$10</c:f>
              <c:numCache>
                <c:formatCode>General</c:formatCode>
                <c:ptCount val="12"/>
                <c:pt idx="0">
                  <c:v>114</c:v>
                </c:pt>
                <c:pt idx="1">
                  <c:v>113.6</c:v>
                </c:pt>
                <c:pt idx="2">
                  <c:v>113.4</c:v>
                </c:pt>
                <c:pt idx="3">
                  <c:v>114.1</c:v>
                </c:pt>
                <c:pt idx="4">
                  <c:v>113</c:v>
                </c:pt>
                <c:pt idx="5">
                  <c:v>112.9</c:v>
                </c:pt>
                <c:pt idx="6">
                  <c:v>115.6</c:v>
                </c:pt>
                <c:pt idx="7">
                  <c:v>115</c:v>
                </c:pt>
                <c:pt idx="8">
                  <c:v>115.5</c:v>
                </c:pt>
                <c:pt idx="9">
                  <c:v>115.6</c:v>
                </c:pt>
                <c:pt idx="10">
                  <c:v>114.7</c:v>
                </c:pt>
                <c:pt idx="11">
                  <c:v>114.9</c:v>
                </c:pt>
              </c:numCache>
            </c:numRef>
          </c:val>
        </c:ser>
        <c:ser>
          <c:idx val="5"/>
          <c:order val="5"/>
          <c:tx>
            <c:strRef>
              <c:f>Feuil1!$D$11</c:f>
              <c:strCache>
                <c:ptCount val="1"/>
                <c:pt idx="0">
                  <c:v>2016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Feuil1!$E$11:$P$11</c:f>
              <c:numCache>
                <c:formatCode>General</c:formatCode>
                <c:ptCount val="12"/>
                <c:pt idx="0">
                  <c:v>114.2</c:v>
                </c:pt>
                <c:pt idx="1">
                  <c:v>115.1</c:v>
                </c:pt>
                <c:pt idx="2">
                  <c:v>115.3</c:v>
                </c:pt>
                <c:pt idx="3">
                  <c:v>116.1</c:v>
                </c:pt>
                <c:pt idx="4">
                  <c:v>115.6</c:v>
                </c:pt>
                <c:pt idx="5">
                  <c:v>115.5</c:v>
                </c:pt>
                <c:pt idx="6">
                  <c:v>115.8</c:v>
                </c:pt>
                <c:pt idx="7">
                  <c:v>116.1</c:v>
                </c:pt>
                <c:pt idx="8">
                  <c:v>117.5</c:v>
                </c:pt>
                <c:pt idx="9">
                  <c:v>116.7</c:v>
                </c:pt>
                <c:pt idx="10">
                  <c:v>116.4</c:v>
                </c:pt>
                <c:pt idx="11">
                  <c:v>115.4</c:v>
                </c:pt>
              </c:numCache>
            </c:numRef>
          </c:val>
        </c:ser>
        <c:ser>
          <c:idx val="6"/>
          <c:order val="6"/>
          <c:tx>
            <c:strRef>
              <c:f>Feuil1!$D$12</c:f>
              <c:strCache>
                <c:ptCount val="1"/>
                <c:pt idx="0">
                  <c:v>2017</c:v>
                </c:pt>
              </c:strCache>
            </c:strRef>
          </c:tx>
          <c:marker>
            <c:symbol val="diamond"/>
            <c:size val="3"/>
          </c:marker>
          <c:cat>
            <c:multiLvlStrRef>
              <c:f>Feuil1!$E$4:$P$5</c:f>
              <c:multiLvlStrCache>
                <c:ptCount val="12"/>
                <c:lvl>
                  <c:pt idx="0">
                    <c:v>يناير</c:v>
                  </c:pt>
                  <c:pt idx="1">
                    <c:v>فبراير</c:v>
                  </c:pt>
                  <c:pt idx="2">
                    <c:v>مارس</c:v>
                  </c:pt>
                  <c:pt idx="3">
                    <c:v>ابريل</c:v>
                  </c:pt>
                  <c:pt idx="4">
                    <c:v>ماي</c:v>
                  </c:pt>
                  <c:pt idx="5">
                    <c:v>يونيو</c:v>
                  </c:pt>
                  <c:pt idx="6">
                    <c:v>يوليوز</c:v>
                  </c:pt>
                  <c:pt idx="7">
                    <c:v>غشت</c:v>
                  </c:pt>
                  <c:pt idx="8">
                    <c:v>شتنبر</c:v>
                  </c:pt>
                  <c:pt idx="9">
                    <c:v>اكتوبر</c:v>
                  </c:pt>
                  <c:pt idx="10">
                    <c:v>نونبر</c:v>
                  </c:pt>
                  <c:pt idx="11">
                    <c:v>دجنبر</c:v>
                  </c:pt>
                </c:lvl>
                <c:lvl>
                  <c:pt idx="0">
                    <c:v>JANVIER</c:v>
                  </c:pt>
                  <c:pt idx="1">
                    <c:v>FEVRIER</c:v>
                  </c:pt>
                  <c:pt idx="2">
                    <c:v>MARS</c:v>
                  </c:pt>
                  <c:pt idx="3">
                    <c:v>AVRIL</c:v>
                  </c:pt>
                  <c:pt idx="4">
                    <c:v>MAI</c:v>
                  </c:pt>
                  <c:pt idx="5">
                    <c:v>JUIN</c:v>
                  </c:pt>
                  <c:pt idx="6">
                    <c:v>JUILLET</c:v>
                  </c:pt>
                  <c:pt idx="7">
                    <c:v>AOUT</c:v>
                  </c:pt>
                  <c:pt idx="8">
                    <c:v>SEPTEMBRE</c:v>
                  </c:pt>
                  <c:pt idx="9">
                    <c:v>OCTOBRE</c:v>
                  </c:pt>
                  <c:pt idx="10">
                    <c:v>NOVEMBRE</c:v>
                  </c:pt>
                  <c:pt idx="11">
                    <c:v>DECEMBRE</c:v>
                  </c:pt>
                </c:lvl>
              </c:multiLvlStrCache>
            </c:multiLvlStrRef>
          </c:cat>
          <c:val>
            <c:numRef>
              <c:f>Feuil1!$E$12:$P$12</c:f>
              <c:numCache>
                <c:formatCode>General</c:formatCode>
                <c:ptCount val="12"/>
                <c:pt idx="0">
                  <c:v>115.6</c:v>
                </c:pt>
                <c:pt idx="1">
                  <c:v>115.7</c:v>
                </c:pt>
                <c:pt idx="2">
                  <c:v>115.4</c:v>
                </c:pt>
              </c:numCache>
            </c:numRef>
          </c:val>
        </c:ser>
        <c:marker val="1"/>
        <c:axId val="62249600"/>
        <c:axId val="62259584"/>
      </c:lineChart>
      <c:catAx>
        <c:axId val="62249600"/>
        <c:scaling>
          <c:orientation val="minMax"/>
        </c:scaling>
        <c:axPos val="b"/>
        <c:majorTickMark val="none"/>
        <c:tickLblPos val="nextTo"/>
        <c:crossAx val="62259584"/>
        <c:crosses val="autoZero"/>
        <c:auto val="1"/>
        <c:lblAlgn val="ctr"/>
        <c:lblOffset val="100"/>
      </c:catAx>
      <c:valAx>
        <c:axId val="622595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6224960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800"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عــدد شهر: ابريل  2011</PublishDate>
  <Abstract/>
  <CompanyAddress>المديرية الجهوية للتخطيط صب291 الهاتف/الفاكس:0528872170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CA7D9A-2678-4AE8-9724-5C8E7821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7</Pages>
  <Words>1309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حول الأثمان</vt:lpstr>
    </vt:vector>
  </TitlesOfParts>
  <Company> -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حول الأثمان</dc:title>
  <dc:subject/>
  <dc:creator> </dc:creator>
  <cp:keywords/>
  <dc:description/>
  <cp:lastModifiedBy>zer</cp:lastModifiedBy>
  <cp:revision>41</cp:revision>
  <cp:lastPrinted>2011-06-07T11:40:00Z</cp:lastPrinted>
  <dcterms:created xsi:type="dcterms:W3CDTF">2011-06-08T11:38:00Z</dcterms:created>
  <dcterms:modified xsi:type="dcterms:W3CDTF">2017-06-05T13:51:00Z</dcterms:modified>
</cp:coreProperties>
</file>