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E1713B" w:rsidP="00E1713B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Févr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ier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4C54F7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4C54F7" w:rsidRDefault="002B4717" w:rsidP="00206DD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 terme du mois de </w:t>
      </w:r>
      <w:r w:rsidR="00E1713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Février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2021, l’IPC de la ville de </w:t>
      </w:r>
      <w:r w:rsidR="00746443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recul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é de 0,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par rapport au mois de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Janvier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hausse de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0,1% pour l’ensemble national.</w:t>
      </w:r>
    </w:p>
    <w:p w:rsidR="002B4717" w:rsidRPr="004C54F7" w:rsidRDefault="002B4717" w:rsidP="00206DD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variation de l’indice de Kénitra est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la résultante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bai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sse des prix des produits alimentaires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0,4 %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 de la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>hausse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ceux des produits non alimentaires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0,1%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7D5D8C" w:rsidRDefault="00930E91" w:rsidP="009D063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L’analyse par 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classe des produits alimentaires,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fait ressortir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que les 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>baisses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prix ont touché</w:t>
      </w:r>
      <w:r w:rsidR="009B5E27" w:rsidRP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B5E2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les" Poissons et fruits de mer " avec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(- 4,1%),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"Légumes"  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>(-3,4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9B5E2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"Viandes" 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(-2,2%) </w:t>
      </w:r>
      <w:r w:rsidR="00C95F09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</w:t>
      </w:r>
      <w:r w:rsidR="009B5E2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="009B5E2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(-1,8%)</w:t>
      </w:r>
      <w:r w:rsidR="00C95F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C95F0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C95F09"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="00C95F09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C95F0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(-0,2%)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tandis que les hausses de prix ont touché seulement 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"Huiles et graisses" 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  </w:t>
      </w:r>
      <w:r w:rsidR="002957D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9B5E2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Lait, fromage et </w:t>
      </w:r>
      <w:r w:rsidR="002957DE">
        <w:rPr>
          <w:rFonts w:asciiTheme="majorBidi" w:hAnsiTheme="majorBidi" w:cstheme="majorBidi"/>
          <w:color w:val="000000" w:themeColor="text1"/>
          <w:sz w:val="22"/>
          <w:szCs w:val="22"/>
        </w:rPr>
        <w:t>œufs</w:t>
      </w:r>
      <w:r w:rsidR="009B5E2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957D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avec</w:t>
      </w:r>
      <w:r w:rsidR="002957D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respectivement </w:t>
      </w:r>
      <w:r w:rsidR="008F519B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957DE">
        <w:rPr>
          <w:rFonts w:asciiTheme="majorBidi" w:hAnsiTheme="majorBidi" w:cstheme="majorBidi"/>
          <w:color w:val="000000" w:themeColor="text1"/>
          <w:sz w:val="22"/>
          <w:szCs w:val="22"/>
        </w:rPr>
        <w:t>5,4% et 2,7%. Quant aux autres classes des produits alimentaires, elles ont connu une stagnation de leurs prix entre Janvier et Février 2021.</w:t>
      </w:r>
      <w:r w:rsidR="007D5D8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C’est</w:t>
      </w:r>
      <w:r w:rsidR="009D0631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aussi</w:t>
      </w:r>
      <w:r w:rsidR="007D5D8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cas, de la grande partie des divisions des produits non alimentaires puisque les indices de seulement quatre divisions ont </w:t>
      </w:r>
      <w:r w:rsidR="009D0631">
        <w:rPr>
          <w:rFonts w:asciiTheme="majorBidi" w:hAnsiTheme="majorBidi" w:cstheme="majorBidi"/>
          <w:color w:val="000000" w:themeColor="text1"/>
          <w:sz w:val="22"/>
          <w:szCs w:val="22"/>
        </w:rPr>
        <w:t>varié</w:t>
      </w:r>
      <w:r w:rsidR="007D5D8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A2B44">
        <w:rPr>
          <w:rFonts w:asciiTheme="majorBidi" w:hAnsiTheme="majorBidi" w:cstheme="majorBidi"/>
          <w:color w:val="000000" w:themeColor="text1"/>
          <w:sz w:val="22"/>
          <w:szCs w:val="22"/>
        </w:rPr>
        <w:t>au cours de</w:t>
      </w:r>
      <w:r w:rsidR="007D5D8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ce mois. Il s’agit de</w:t>
      </w:r>
      <w:r w:rsidR="003A2B44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7D5D8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"Logement, eau, gaz, électricité et autres combustibles" et </w:t>
      </w:r>
      <w:r w:rsidR="007D5D8C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7D5D8C" w:rsidRPr="00A708BE">
        <w:rPr>
          <w:rFonts w:ascii="Times New Roman" w:hAnsi="Times New Roman"/>
          <w:spacing w:val="0"/>
          <w:sz w:val="22"/>
          <w:szCs w:val="22"/>
          <w:lang w:eastAsia="fr-FR"/>
        </w:rPr>
        <w:t>Meubles, articles de ménage et entretien courant du foyer</w:t>
      </w:r>
      <w:r w:rsidR="007D5D8C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A2B4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dont les prix ont augmenté de 0,2%, des </w:t>
      </w:r>
      <w:r w:rsidR="003A2B4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A2B44">
        <w:rPr>
          <w:rFonts w:asciiTheme="majorBidi" w:hAnsiTheme="majorBidi" w:cstheme="majorBidi"/>
          <w:color w:val="000000" w:themeColor="text1"/>
          <w:sz w:val="22"/>
          <w:szCs w:val="22"/>
        </w:rPr>
        <w:t>Transports</w:t>
      </w:r>
      <w:r w:rsidR="003A2B4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A2B4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dont la variation a été de 0,9% et de la </w:t>
      </w:r>
      <w:r w:rsidR="003A2B4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A2B44">
        <w:rPr>
          <w:rFonts w:asciiTheme="majorBidi" w:hAnsiTheme="majorBidi" w:cstheme="majorBidi"/>
          <w:color w:val="000000" w:themeColor="text1"/>
          <w:sz w:val="22"/>
          <w:szCs w:val="22"/>
        </w:rPr>
        <w:t>Santé</w:t>
      </w:r>
      <w:r w:rsidR="003A2B4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A2B4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qui a évolué négativement (-0,1%).</w:t>
      </w:r>
    </w:p>
    <w:p w:rsidR="004C54F7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Evolution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annuelle</w:t>
      </w:r>
      <w:r w:rsidR="008A7F4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Default="00717FDA" w:rsidP="00717FDA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En termes de glissement annuel</w:t>
      </w:r>
      <w:r w:rsidR="004C54F7">
        <w:rPr>
          <w:rFonts w:asciiTheme="majorBidi" w:hAnsiTheme="majorBidi" w:cstheme="majorBidi"/>
          <w:color w:val="000000" w:themeColor="text1"/>
          <w:sz w:val="24"/>
          <w:szCs w:val="24"/>
        </w:rPr>
        <w:t>, l’indice des prix à la consommation a régressé de 0,</w:t>
      </w:r>
      <w:r w:rsidR="00F37E7C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4C54F7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contre une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hausse de la même proportion 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</w:t>
      </w:r>
      <w:r w:rsidR="0088736E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est la conséquence du recul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prix des produits alimentaires de 1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,7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>% et du relèvement des prix des produits non alimentaires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0,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146F72" w:rsidRDefault="00E67A50" w:rsidP="00360AF0">
      <w:pPr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="00C52B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classes de </w:t>
      </w:r>
      <w:r w:rsidR="00C52B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produits alimentaires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ayant connu des baisses de prix significatives durant l’année écoulée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52B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sont :</w:t>
      </w:r>
      <w:r w:rsidRPr="00E67A50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les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Viandes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 (-8,7%),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les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Légumes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(-7</w:t>
      </w:r>
      <w:r w:rsidR="00360AF0">
        <w:rPr>
          <w:rFonts w:ascii="Times New Roman" w:hAnsi="Times New Roman"/>
          <w:spacing w:val="0"/>
          <w:sz w:val="22"/>
          <w:szCs w:val="22"/>
          <w:lang w:eastAsia="fr-FR"/>
        </w:rPr>
        <w:t>,0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)%, et les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Fruits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(-2,8%). En contrepartie</w:t>
      </w:r>
      <w:r w:rsidR="00360AF0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>Poissons et fruits de mer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60AF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ont 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60AF0">
        <w:rPr>
          <w:rFonts w:asciiTheme="majorBidi" w:hAnsiTheme="majorBidi" w:cstheme="majorBidi"/>
          <w:color w:val="000000" w:themeColor="text1"/>
          <w:sz w:val="24"/>
          <w:szCs w:val="24"/>
        </w:rPr>
        <w:t>flambé de 4,6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%, le </w:t>
      </w:r>
      <w:r w:rsidR="00360AF0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60AF0">
        <w:rPr>
          <w:rFonts w:asciiTheme="majorBidi" w:hAnsiTheme="majorBidi" w:cstheme="majorBidi"/>
          <w:color w:val="000000" w:themeColor="text1"/>
          <w:sz w:val="22"/>
          <w:szCs w:val="22"/>
        </w:rPr>
        <w:t>Lait, fromage et œufs</w:t>
      </w:r>
      <w:r w:rsidR="00360AF0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60AF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3,1%,</w:t>
      </w:r>
      <w:r w:rsidR="00360AF0" w:rsidRPr="00360AF0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360AF0">
        <w:rPr>
          <w:rFonts w:ascii="Times New Roman" w:hAnsi="Times New Roman"/>
          <w:spacing w:val="0"/>
          <w:sz w:val="22"/>
          <w:szCs w:val="22"/>
          <w:lang w:eastAsia="fr-FR"/>
        </w:rPr>
        <w:t xml:space="preserve">les </w:t>
      </w:r>
      <w:r w:rsidR="00360AF0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60AF0">
        <w:rPr>
          <w:rFonts w:ascii="Times New Roman" w:hAnsi="Times New Roman"/>
          <w:spacing w:val="0"/>
          <w:sz w:val="22"/>
          <w:szCs w:val="22"/>
          <w:lang w:eastAsia="fr-FR"/>
        </w:rPr>
        <w:t>H</w:t>
      </w:r>
      <w:r w:rsidR="00360AF0" w:rsidRPr="00146F72">
        <w:rPr>
          <w:rFonts w:ascii="Times New Roman" w:hAnsi="Times New Roman"/>
          <w:spacing w:val="0"/>
          <w:sz w:val="22"/>
          <w:szCs w:val="22"/>
          <w:lang w:eastAsia="fr-FR"/>
        </w:rPr>
        <w:t>uiles et graisses</w:t>
      </w:r>
      <w:r w:rsidR="00360AF0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60AF0">
        <w:rPr>
          <w:rFonts w:ascii="Times New Roman" w:hAnsi="Times New Roman"/>
          <w:spacing w:val="0"/>
          <w:sz w:val="22"/>
          <w:szCs w:val="22"/>
          <w:lang w:eastAsia="fr-FR"/>
        </w:rPr>
        <w:t xml:space="preserve">  de 2,8%, </w:t>
      </w:r>
      <w:r w:rsidR="00360AF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 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>Café, thé et cacao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60AF0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2,</w:t>
      </w:r>
      <w:r w:rsidR="00360AF0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%, les 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42FD4" w:rsidRPr="00442FD4">
        <w:rPr>
          <w:rFonts w:ascii="Times New Roman" w:hAnsi="Times New Roman"/>
          <w:spacing w:val="0"/>
          <w:sz w:val="22"/>
          <w:szCs w:val="22"/>
          <w:lang w:eastAsia="fr-FR"/>
        </w:rPr>
        <w:t>aux minérales, boissons rafraichissantes, jus de fruits et de légumes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42FD4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 w:rsidR="00360AF0">
        <w:rPr>
          <w:rFonts w:ascii="Times New Roman" w:hAnsi="Times New Roman"/>
          <w:spacing w:val="0"/>
          <w:sz w:val="22"/>
          <w:szCs w:val="22"/>
          <w:lang w:eastAsia="fr-FR"/>
        </w:rPr>
        <w:t>de</w:t>
      </w:r>
      <w:r w:rsidR="00442FD4">
        <w:rPr>
          <w:rFonts w:ascii="Times New Roman" w:hAnsi="Times New Roman"/>
          <w:spacing w:val="0"/>
          <w:sz w:val="22"/>
          <w:szCs w:val="22"/>
          <w:lang w:eastAsia="fr-FR"/>
        </w:rPr>
        <w:t xml:space="preserve"> 3% et le 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42FD4">
        <w:rPr>
          <w:rFonts w:ascii="Times New Roman" w:hAnsi="Times New Roman"/>
          <w:spacing w:val="0"/>
          <w:sz w:val="22"/>
          <w:szCs w:val="22"/>
          <w:lang w:eastAsia="fr-FR"/>
        </w:rPr>
        <w:t>Tabac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60AF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60AF0">
        <w:rPr>
          <w:rFonts w:ascii="Times New Roman" w:hAnsi="Times New Roman"/>
          <w:spacing w:val="0"/>
          <w:sz w:val="22"/>
          <w:szCs w:val="22"/>
          <w:lang w:eastAsia="fr-FR"/>
        </w:rPr>
        <w:t xml:space="preserve">de </w:t>
      </w:r>
      <w:r w:rsidR="00442FD4">
        <w:rPr>
          <w:rFonts w:ascii="Times New Roman" w:hAnsi="Times New Roman"/>
          <w:spacing w:val="0"/>
          <w:sz w:val="22"/>
          <w:szCs w:val="22"/>
          <w:lang w:eastAsia="fr-FR"/>
        </w:rPr>
        <w:t>4,5%.</w:t>
      </w:r>
      <w:r w:rsidR="00146F72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A708BE" w:rsidRDefault="00A708BE" w:rsidP="00F4319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Quant aux produits non alimentaires, la hausse de prix la plus élevée a été enregistrée par la division</w:t>
      </w:r>
      <w:r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A708BE">
        <w:rPr>
          <w:rFonts w:ascii="Times New Roman" w:hAnsi="Times New Roman"/>
          <w:spacing w:val="0"/>
          <w:sz w:val="22"/>
          <w:szCs w:val="22"/>
          <w:lang w:eastAsia="fr-FR"/>
        </w:rPr>
        <w:t>Meubles, articles de ménage et entretien courant du foyer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2,6%. A l’opposé, la division 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Loisirs et culture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connu la baisse la plus grande de tout l’indice non alimentaire avec 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(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-1,9%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A708BE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C52B13" w:rsidRDefault="002C41D1" w:rsidP="00593BED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Entre Janvier et </w:t>
      </w:r>
      <w:r w:rsidR="00F87C7B">
        <w:rPr>
          <w:rFonts w:ascii="Times New Roman" w:hAnsi="Times New Roman"/>
          <w:spacing w:val="0"/>
          <w:sz w:val="22"/>
          <w:szCs w:val="22"/>
          <w:lang w:eastAsia="fr-FR"/>
        </w:rPr>
        <w:t>Février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2021, l’IPC a connu une baisse </w:t>
      </w:r>
      <w:r w:rsidR="00593BED">
        <w:rPr>
          <w:rFonts w:ascii="Times New Roman" w:hAnsi="Times New Roman"/>
          <w:spacing w:val="0"/>
          <w:sz w:val="22"/>
          <w:szCs w:val="22"/>
          <w:lang w:eastAsia="fr-FR"/>
        </w:rPr>
        <w:t>du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niveau général des prix dans huit villes ; six d’entr</w:t>
      </w:r>
      <w:r w:rsidR="00F87C7B">
        <w:rPr>
          <w:rFonts w:ascii="Times New Roman" w:hAnsi="Times New Roman"/>
          <w:spacing w:val="0"/>
          <w:sz w:val="22"/>
          <w:szCs w:val="22"/>
          <w:lang w:eastAsia="fr-FR"/>
        </w:rPr>
        <w:t xml:space="preserve">e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elles ont enregistré une diminution de (-0,1%) y compris la ville de </w:t>
      </w:r>
      <w:r w:rsidR="00F87C7B">
        <w:rPr>
          <w:rFonts w:ascii="Times New Roman" w:hAnsi="Times New Roman"/>
          <w:spacing w:val="0"/>
          <w:sz w:val="22"/>
          <w:szCs w:val="22"/>
          <w:lang w:eastAsia="fr-FR"/>
        </w:rPr>
        <w:t>Kenitra. les deux autres</w:t>
      </w:r>
      <w:r w:rsidR="00746443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F87C7B">
        <w:rPr>
          <w:rFonts w:ascii="Times New Roman" w:hAnsi="Times New Roman"/>
          <w:spacing w:val="0"/>
          <w:sz w:val="22"/>
          <w:szCs w:val="22"/>
          <w:lang w:eastAsia="fr-FR"/>
        </w:rPr>
        <w:t xml:space="preserve"> des baisses de </w:t>
      </w:r>
      <w:r w:rsidR="009D0631">
        <w:rPr>
          <w:rFonts w:ascii="Times New Roman" w:hAnsi="Times New Roman"/>
          <w:spacing w:val="0"/>
          <w:sz w:val="22"/>
          <w:szCs w:val="22"/>
          <w:lang w:eastAsia="fr-FR"/>
        </w:rPr>
        <w:t xml:space="preserve">    </w:t>
      </w:r>
      <w:r w:rsidR="00F87C7B">
        <w:rPr>
          <w:rFonts w:ascii="Times New Roman" w:hAnsi="Times New Roman"/>
          <w:spacing w:val="0"/>
          <w:sz w:val="22"/>
          <w:szCs w:val="22"/>
          <w:lang w:eastAsia="fr-FR"/>
        </w:rPr>
        <w:t>(-0,2%) et de (-0,6%), il s’agit, respectivement des villes de Dakhla et</w:t>
      </w:r>
      <w:r w:rsidR="00746443">
        <w:rPr>
          <w:rFonts w:ascii="Times New Roman" w:hAnsi="Times New Roman"/>
          <w:spacing w:val="0"/>
          <w:sz w:val="22"/>
          <w:szCs w:val="22"/>
          <w:lang w:eastAsia="fr-FR"/>
        </w:rPr>
        <w:t xml:space="preserve"> de</w:t>
      </w:r>
      <w:r w:rsidR="00F87C7B">
        <w:rPr>
          <w:rFonts w:ascii="Times New Roman" w:hAnsi="Times New Roman"/>
          <w:spacing w:val="0"/>
          <w:sz w:val="22"/>
          <w:szCs w:val="22"/>
          <w:lang w:eastAsia="fr-FR"/>
        </w:rPr>
        <w:t xml:space="preserve"> Safi.</w:t>
      </w:r>
    </w:p>
    <w:p w:rsidR="00F87C7B" w:rsidRPr="00146F72" w:rsidRDefault="00F87C7B" w:rsidP="00F87C7B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Quant aux autres villes, l’IPC de Rabat et Guelmim a stagné. Celui de Marrakech, Tétouan et El Houceima a augmenté de 0,1%. Pour Oujda et Settat l’évolution a été de 0,2% et enfin, trois indices ont varié de 0,3%, il s’agit de ce</w:t>
      </w:r>
      <w:r w:rsidR="00746443">
        <w:rPr>
          <w:rFonts w:ascii="Times New Roman" w:hAnsi="Times New Roman"/>
          <w:spacing w:val="0"/>
          <w:sz w:val="22"/>
          <w:szCs w:val="22"/>
          <w:lang w:eastAsia="fr-FR"/>
        </w:rPr>
        <w:t xml:space="preserve">ux de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Tanger et </w:t>
      </w:r>
      <w:r w:rsidR="00746443">
        <w:rPr>
          <w:rFonts w:ascii="Times New Roman" w:hAnsi="Times New Roman"/>
          <w:spacing w:val="0"/>
          <w:sz w:val="22"/>
          <w:szCs w:val="22"/>
          <w:lang w:eastAsia="fr-FR"/>
        </w:rPr>
        <w:t>d’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Errachidia. </w:t>
      </w:r>
    </w:p>
    <w:p w:rsidR="00442FD4" w:rsidRPr="00442FD4" w:rsidRDefault="00442FD4" w:rsidP="00442FD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4C54F7" w:rsidRPr="004C54F7" w:rsidRDefault="004C54F7" w:rsidP="004C54F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B4717" w:rsidRDefault="002B4717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46443" w:rsidRDefault="00746443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B4717" w:rsidRDefault="002B4717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2438D" w:rsidRDefault="00C2438D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08"/>
        <w:gridCol w:w="1055"/>
        <w:gridCol w:w="1055"/>
        <w:gridCol w:w="1056"/>
        <w:gridCol w:w="1121"/>
        <w:gridCol w:w="992"/>
      </w:tblGrid>
      <w:tr w:rsidR="00746443" w:rsidRPr="00C2438D" w:rsidTr="00C2438D">
        <w:trPr>
          <w:trHeight w:val="283"/>
        </w:trPr>
        <w:tc>
          <w:tcPr>
            <w:tcW w:w="2278" w:type="pct"/>
            <w:vMerge w:val="restart"/>
            <w:tcBorders>
              <w:top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Fév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Janv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Fév</w:t>
            </w:r>
            <w:proofErr w:type="spellEnd"/>
          </w:p>
        </w:tc>
        <w:tc>
          <w:tcPr>
            <w:tcW w:w="10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746443" w:rsidRPr="00C2438D" w:rsidTr="00C2438D">
        <w:trPr>
          <w:trHeight w:val="283"/>
        </w:trPr>
        <w:tc>
          <w:tcPr>
            <w:tcW w:w="2278" w:type="pct"/>
            <w:vMerge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46443" w:rsidRPr="00C2438D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2020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C2438D" w:rsidRDefault="00746443" w:rsidP="0074644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2438D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97,4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97,0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-0,4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-1,9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46443" w:rsidRPr="00746443" w:rsidRDefault="009D0631" w:rsidP="009D0631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</w:t>
            </w:r>
            <w:r w:rsidR="00746443"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TABAC 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4,2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3A2B44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99,6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98,4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98,0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-0,4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-1,7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104,4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102,5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0,2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0,2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2,6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99,7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-0,1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102,8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105,0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0,9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2,1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-1,9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46443" w:rsidRPr="00746443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6443" w:rsidRPr="00746443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4644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746443" w:rsidRPr="003A2B44" w:rsidTr="00746443">
        <w:trPr>
          <w:trHeight w:val="499"/>
        </w:trPr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3A2B44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103,7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103,8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0,1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6600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46443" w:rsidRPr="003A2B44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101,6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101,4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101,3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-0,1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746443" w:rsidRPr="00746443" w:rsidTr="00746443">
        <w:trPr>
          <w:trHeight w:val="499"/>
        </w:trPr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46443" w:rsidRPr="003A2B44" w:rsidRDefault="00746443" w:rsidP="00746443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102,4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46443" w:rsidRPr="003A2B44" w:rsidRDefault="00746443" w:rsidP="0074644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A2B44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</w:tbl>
    <w:p w:rsidR="00307D13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groupe et classe de produits - ville de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384"/>
        <w:gridCol w:w="1341"/>
        <w:gridCol w:w="861"/>
        <w:gridCol w:w="852"/>
        <w:gridCol w:w="861"/>
        <w:gridCol w:w="834"/>
        <w:gridCol w:w="754"/>
      </w:tblGrid>
      <w:tr w:rsidR="00930E91" w:rsidRPr="00930E91" w:rsidTr="00930E91">
        <w:trPr>
          <w:trHeight w:val="405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ABF8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JANVIER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930E91" w:rsidRPr="00930E91" w:rsidTr="00930E91">
        <w:trPr>
          <w:trHeight w:val="269"/>
          <w:tblHeader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930E91" w:rsidRPr="00930E91" w:rsidRDefault="00930E91" w:rsidP="00930E91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930E91" w:rsidRPr="00930E91" w:rsidTr="00C2438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01. PRODUITS ALIMENTAIRES ET BOISSONS NON ALCOOLISEES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41,2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-1,9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PRODUITS ALIMENTAIRES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593BED" w:rsidRDefault="00930E91" w:rsidP="00930E91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93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-2,2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PAIN ET CEREALES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-0,4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VIANDE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-8,7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POISSON ET FRUITS DE 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4,6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LAIT, FROMAGE ET OEUFS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3,1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HUILES ET GRAISSES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2,8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lastRenderedPageBreak/>
              <w:t>FRUITS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-2,8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LEGUMES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-7,0</w:t>
            </w:r>
          </w:p>
        </w:tc>
      </w:tr>
      <w:tr w:rsidR="00930E91" w:rsidRPr="00930E91" w:rsidTr="00C2438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SUCRE, CONFITURE, MIEL, CHOCOLAT ET CONFESERIE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-0,1</w:t>
            </w:r>
          </w:p>
        </w:tc>
      </w:tr>
      <w:tr w:rsidR="00930E91" w:rsidRPr="00930E91" w:rsidTr="00C2438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PRODUITS ALIMENTAIRES N.C.A.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87,2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-2,6</w:t>
            </w:r>
          </w:p>
        </w:tc>
      </w:tr>
      <w:tr w:rsidR="00930E91" w:rsidRPr="00930E91" w:rsidTr="00C2438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BOISSONS NON ALCOOLISEES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593BED" w:rsidRDefault="00930E91" w:rsidP="00930E91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93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2,7</w:t>
            </w:r>
          </w:p>
        </w:tc>
      </w:tr>
      <w:tr w:rsidR="00930E91" w:rsidRPr="00930E91" w:rsidTr="00C2438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CAFE, THE ET CACAO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2,7</w:t>
            </w:r>
          </w:p>
        </w:tc>
      </w:tr>
      <w:tr w:rsidR="00930E91" w:rsidRPr="00930E91" w:rsidTr="00C2438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3,0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vAlign w:val="center"/>
            <w:hideMark/>
          </w:tcPr>
          <w:p w:rsidR="00930E91" w:rsidRPr="00930E91" w:rsidRDefault="00930E91" w:rsidP="009D063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02. BOISSONS ALCOOLISEES</w:t>
            </w:r>
            <w:r w:rsidR="009D063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 xml:space="preserve"> ET</w:t>
            </w: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 xml:space="preserve"> TABAC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4,2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BOISSONS ALCOOLISEES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593BED" w:rsidRDefault="00930E91" w:rsidP="00930E91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93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SPIRITUEUX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VIN ET BOISSONS FERMENTEES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</w:t>
            </w:r>
            <w:r w:rsidR="00370CDB">
              <w:rPr>
                <w:rFonts w:ascii="Times New Roman" w:hAnsi="Times New Roman"/>
                <w:color w:val="000000"/>
                <w:spacing w:val="0"/>
                <w:lang w:eastAsia="fr-FR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BIERE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</w:t>
            </w:r>
            <w:r w:rsidR="00370CDB">
              <w:rPr>
                <w:rFonts w:ascii="Times New Roman" w:hAnsi="Times New Roman"/>
                <w:color w:val="000000"/>
                <w:spacing w:val="0"/>
                <w:lang w:eastAsia="fr-FR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TABAC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593BED" w:rsidRDefault="00930E91" w:rsidP="00930E91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593BED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4,5</w:t>
            </w:r>
          </w:p>
        </w:tc>
      </w:tr>
      <w:tr w:rsidR="00930E91" w:rsidRPr="00930E91" w:rsidTr="00C2438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TABAC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4,5</w:t>
            </w:r>
          </w:p>
        </w:tc>
      </w:tr>
      <w:tr w:rsidR="0051457F" w:rsidRPr="00930E91" w:rsidTr="00C2438D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6600"/>
            <w:vAlign w:val="center"/>
            <w:hideMark/>
          </w:tcPr>
          <w:p w:rsidR="0051457F" w:rsidRPr="00930E91" w:rsidRDefault="0051457F" w:rsidP="00512A3A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INDICE DES PRODUITS ALIMENTAIRES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6600"/>
            <w:noWrap/>
            <w:vAlign w:val="center"/>
            <w:hideMark/>
          </w:tcPr>
          <w:p w:rsidR="0051457F" w:rsidRPr="00930E91" w:rsidRDefault="0051457F" w:rsidP="00512A3A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6600"/>
            <w:noWrap/>
            <w:vAlign w:val="center"/>
            <w:hideMark/>
          </w:tcPr>
          <w:p w:rsidR="0051457F" w:rsidRPr="00930E91" w:rsidRDefault="0051457F" w:rsidP="00512A3A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6600"/>
            <w:noWrap/>
            <w:vAlign w:val="center"/>
            <w:hideMark/>
          </w:tcPr>
          <w:p w:rsidR="0051457F" w:rsidRPr="00930E91" w:rsidRDefault="0051457F" w:rsidP="00512A3A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6600"/>
            <w:noWrap/>
            <w:vAlign w:val="center"/>
            <w:hideMark/>
          </w:tcPr>
          <w:p w:rsidR="0051457F" w:rsidRPr="00930E91" w:rsidRDefault="0051457F" w:rsidP="00512A3A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6600"/>
            <w:noWrap/>
            <w:vAlign w:val="center"/>
            <w:hideMark/>
          </w:tcPr>
          <w:p w:rsidR="0051457F" w:rsidRPr="00930E91" w:rsidRDefault="0051457F" w:rsidP="00512A3A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6600"/>
            <w:noWrap/>
            <w:vAlign w:val="center"/>
            <w:hideMark/>
          </w:tcPr>
          <w:p w:rsidR="0051457F" w:rsidRPr="00930E91" w:rsidRDefault="0051457F" w:rsidP="00512A3A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-1,7</w:t>
            </w:r>
          </w:p>
        </w:tc>
      </w:tr>
      <w:tr w:rsidR="00930E91" w:rsidRPr="00930E91" w:rsidTr="008A7F45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930E91" w:rsidRPr="00930E91" w:rsidRDefault="00930E91" w:rsidP="00930E91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100</w:t>
            </w:r>
            <w:r w:rsidR="00370C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30E91" w:rsidRPr="00930E91" w:rsidRDefault="00930E91" w:rsidP="00930E91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930E91">
              <w:rPr>
                <w:rFonts w:ascii="Times New Roman" w:hAnsi="Times New Roman"/>
                <w:color w:val="000000"/>
                <w:spacing w:val="0"/>
                <w:lang w:eastAsia="fr-FR"/>
              </w:rPr>
              <w:t>-0,3</w:t>
            </w:r>
          </w:p>
        </w:tc>
      </w:tr>
    </w:tbl>
    <w:p w:rsidR="00D2208B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F1" w:rsidRDefault="008C31F1">
      <w:r>
        <w:separator/>
      </w:r>
    </w:p>
    <w:p w:rsidR="008C31F1" w:rsidRDefault="008C31F1"/>
  </w:endnote>
  <w:endnote w:type="continuationSeparator" w:id="0">
    <w:p w:rsidR="008C31F1" w:rsidRDefault="008C31F1">
      <w:r>
        <w:continuationSeparator/>
      </w:r>
    </w:p>
    <w:p w:rsidR="008C31F1" w:rsidRDefault="008C31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AF4787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F1" w:rsidRDefault="008C31F1">
      <w:r>
        <w:separator/>
      </w:r>
    </w:p>
    <w:p w:rsidR="008C31F1" w:rsidRDefault="008C31F1"/>
  </w:footnote>
  <w:footnote w:type="continuationSeparator" w:id="0">
    <w:p w:rsidR="008C31F1" w:rsidRDefault="008C31F1">
      <w:r>
        <w:continuationSeparator/>
      </w:r>
    </w:p>
    <w:p w:rsidR="008C31F1" w:rsidRDefault="008C31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7B5"/>
    <w:rsid w:val="00154853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50E5"/>
    <w:rsid w:val="001C5B75"/>
    <w:rsid w:val="001C5C8C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3CCD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E7C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77"/>
    <w:rsid w:val="00F83AA7"/>
    <w:rsid w:val="00F84839"/>
    <w:rsid w:val="00F86582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9EB4DC-BD72-4ADC-AD00-A2489EE8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2021-05-18T11:57:00Z</dcterms:created>
  <dcterms:modified xsi:type="dcterms:W3CDTF">2021-06-03T09:48:00Z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