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proofErr w:type="spellStart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  <w:proofErr w:type="spellEnd"/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1A1701" w:rsidP="00E1713B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Mai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21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4C54F7" w:rsidRDefault="005752AF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mensuelle d</w:t>
      </w:r>
      <w:r w:rsidR="002B4717"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4C54F7" w:rsidRDefault="00366084" w:rsidP="00366084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L’Indice des Prix à la Consommation du mois de Mai </w:t>
      </w:r>
      <w:r w:rsidR="00E27518">
        <w:rPr>
          <w:rFonts w:asciiTheme="majorBidi" w:hAnsiTheme="majorBidi" w:cstheme="majorBidi"/>
          <w:color w:val="000000" w:themeColor="text1"/>
          <w:sz w:val="22"/>
          <w:szCs w:val="22"/>
        </w:rPr>
        <w:t>2021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la ville de </w:t>
      </w:r>
      <w:r w:rsidR="00E27518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Kenitra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crû de 0,2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 </w:t>
      </w:r>
      <w:r w:rsidR="00E2751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par rapport au mois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d’Avril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contre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% pour l’</w:t>
      </w:r>
      <w:r w:rsidR="003E7805">
        <w:rPr>
          <w:rFonts w:asciiTheme="majorBidi" w:hAnsiTheme="majorBidi" w:cstheme="majorBidi"/>
          <w:color w:val="000000" w:themeColor="text1"/>
          <w:sz w:val="22"/>
          <w:szCs w:val="22"/>
        </w:rPr>
        <w:t>indic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e national.</w:t>
      </w:r>
    </w:p>
    <w:p w:rsidR="002B4717" w:rsidRDefault="003E7805" w:rsidP="00B20045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Cette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variation est </w:t>
      </w:r>
      <w:r w:rsidR="00E2751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l’effet combiné de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la hau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sse des prix des produits alimentaires</w:t>
      </w:r>
      <w:r w:rsidR="00B2004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et de ceux 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20045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non alimentaires</w:t>
      </w:r>
      <w:r w:rsidR="00B2004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06DD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101EFE">
        <w:rPr>
          <w:rFonts w:asciiTheme="majorBidi" w:hAnsiTheme="majorBidi" w:cstheme="majorBidi"/>
          <w:color w:val="000000" w:themeColor="text1"/>
          <w:sz w:val="22"/>
          <w:szCs w:val="22"/>
        </w:rPr>
        <w:t>0,3</w:t>
      </w:r>
      <w:r w:rsidR="00206DD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 </w:t>
      </w:r>
      <w:r w:rsidR="00B2004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et de </w:t>
      </w:r>
      <w:r w:rsidR="00206DD9">
        <w:rPr>
          <w:rFonts w:asciiTheme="majorBidi" w:hAnsiTheme="majorBidi" w:cstheme="majorBidi"/>
          <w:color w:val="000000" w:themeColor="text1"/>
          <w:sz w:val="22"/>
          <w:szCs w:val="22"/>
        </w:rPr>
        <w:t>0,</w:t>
      </w:r>
      <w:r w:rsidR="00101EFE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="00206DD9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B2004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respectivement</w:t>
      </w:r>
      <w:r w:rsidR="002B4717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DE7CCE" w:rsidRDefault="00101EFE" w:rsidP="00DE7CCE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Au cours du mois de Mai 2021, les hausses de prix relatives </w:t>
      </w:r>
      <w:r w:rsidR="000E299F">
        <w:rPr>
          <w:rFonts w:asciiTheme="majorBidi" w:hAnsiTheme="majorBidi" w:cstheme="majorBidi"/>
          <w:color w:val="000000" w:themeColor="text1"/>
          <w:sz w:val="22"/>
          <w:szCs w:val="22"/>
        </w:rPr>
        <w:t>aux produits alimentaires</w:t>
      </w:r>
      <w:r w:rsidR="00F8393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ont touché, en premier lieu, les </w:t>
      </w:r>
      <w:r w:rsidR="00104A5C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F83936">
        <w:rPr>
          <w:rFonts w:asciiTheme="majorBidi" w:hAnsiTheme="majorBidi" w:cstheme="majorBidi"/>
          <w:color w:val="000000" w:themeColor="text1"/>
          <w:sz w:val="22"/>
          <w:szCs w:val="22"/>
        </w:rPr>
        <w:t>Poissons, et fruits de mer</w:t>
      </w:r>
      <w:r w:rsidR="00104A5C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F8393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11,5%, suivis des </w:t>
      </w:r>
      <w:r w:rsidR="00104A5C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F83936">
        <w:rPr>
          <w:rFonts w:asciiTheme="majorBidi" w:hAnsiTheme="majorBidi" w:cstheme="majorBidi"/>
          <w:color w:val="000000" w:themeColor="text1"/>
          <w:sz w:val="22"/>
          <w:szCs w:val="22"/>
        </w:rPr>
        <w:t>Viandes</w:t>
      </w:r>
      <w:r w:rsidR="00104A5C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F8393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1,4%, le </w:t>
      </w:r>
      <w:r w:rsidR="00104A5C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F83936">
        <w:rPr>
          <w:rFonts w:asciiTheme="majorBidi" w:hAnsiTheme="majorBidi" w:cstheme="majorBidi"/>
          <w:color w:val="000000" w:themeColor="text1"/>
          <w:sz w:val="22"/>
          <w:szCs w:val="22"/>
        </w:rPr>
        <w:t>Café, thé et cacao</w:t>
      </w:r>
      <w:r w:rsidR="00104A5C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F8393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0,8% et les </w:t>
      </w:r>
      <w:r w:rsidR="00104A5C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F83936">
        <w:rPr>
          <w:rFonts w:asciiTheme="majorBidi" w:hAnsiTheme="majorBidi" w:cstheme="majorBidi"/>
          <w:color w:val="000000" w:themeColor="text1"/>
          <w:sz w:val="22"/>
          <w:szCs w:val="22"/>
        </w:rPr>
        <w:t>Huiles et graisses</w:t>
      </w:r>
      <w:r w:rsidR="00104A5C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F8393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0,2%. A l’opposé, les prix des </w:t>
      </w:r>
      <w:r w:rsidR="00104A5C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F83936">
        <w:rPr>
          <w:rFonts w:asciiTheme="majorBidi" w:hAnsiTheme="majorBidi" w:cstheme="majorBidi"/>
          <w:color w:val="000000" w:themeColor="text1"/>
          <w:sz w:val="22"/>
          <w:szCs w:val="22"/>
        </w:rPr>
        <w:t>Fruits</w:t>
      </w:r>
      <w:r w:rsidR="00104A5C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DE7CCE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F8393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DE7CCE">
        <w:rPr>
          <w:rFonts w:asciiTheme="majorBidi" w:hAnsiTheme="majorBidi" w:cstheme="majorBidi"/>
          <w:color w:val="000000" w:themeColor="text1"/>
          <w:sz w:val="22"/>
          <w:szCs w:val="22"/>
        </w:rPr>
        <w:t>des</w:t>
      </w:r>
      <w:r w:rsidR="00F8393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104A5C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F83936">
        <w:rPr>
          <w:rFonts w:asciiTheme="majorBidi" w:hAnsiTheme="majorBidi" w:cstheme="majorBidi"/>
          <w:color w:val="000000" w:themeColor="text1"/>
          <w:sz w:val="22"/>
          <w:szCs w:val="22"/>
        </w:rPr>
        <w:t>Légumes</w:t>
      </w:r>
      <w:r w:rsidR="00104A5C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F8393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et des </w:t>
      </w:r>
      <w:r w:rsidR="00104A5C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F83936">
        <w:rPr>
          <w:rFonts w:asciiTheme="majorBidi" w:hAnsiTheme="majorBidi" w:cstheme="majorBidi"/>
          <w:color w:val="000000" w:themeColor="text1"/>
          <w:sz w:val="22"/>
          <w:szCs w:val="22"/>
        </w:rPr>
        <w:t>Pain et céréales</w:t>
      </w:r>
      <w:r w:rsidR="00104A5C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F8393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ont baissé, respectivement, de</w:t>
      </w:r>
      <w:r w:rsidR="00DE7CC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F83936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4%, </w:t>
      </w:r>
      <w:r w:rsidR="00DE7CCE">
        <w:rPr>
          <w:rFonts w:asciiTheme="majorBidi" w:hAnsiTheme="majorBidi" w:cstheme="majorBidi"/>
          <w:color w:val="000000" w:themeColor="text1"/>
          <w:sz w:val="22"/>
          <w:szCs w:val="22"/>
        </w:rPr>
        <w:t>de 1% et de 0,5%. Quant aux autres classes des produits alimentaires, elles ont connu</w:t>
      </w:r>
      <w:r w:rsidR="00A66721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une stagnation de leurs indices.</w:t>
      </w:r>
    </w:p>
    <w:p w:rsidR="00101EFE" w:rsidRPr="004C54F7" w:rsidRDefault="00A66721" w:rsidP="00104A5C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Concernant les produits non alimentaires, seules les divisions </w:t>
      </w:r>
      <w:r w:rsidR="00104A5C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Logement, eau, gaz, électricité</w:t>
      </w:r>
      <w:r w:rsidR="00104A5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et autres combustibles" et "Biens et services divers" ont connu des augmentations de prix respectives de 0,1% et 0,2%</w:t>
      </w:r>
      <w:r w:rsidR="00DE7CC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contre une seule baisse de 0,5%</w:t>
      </w:r>
      <w:r w:rsidR="00104A5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pour les "Transports".</w:t>
      </w:r>
    </w:p>
    <w:p w:rsidR="004C54F7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Evolution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annuelle</w:t>
      </w:r>
      <w:r w:rsidR="005752A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</w:t>
      </w:r>
      <w:r w:rsidRPr="004C54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4C54F7" w:rsidRDefault="0023659C" w:rsidP="00BF1FF5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 termes de </w:t>
      </w:r>
      <w:r w:rsidR="00BF1FF5">
        <w:rPr>
          <w:rFonts w:asciiTheme="majorBidi" w:hAnsiTheme="majorBidi" w:cstheme="majorBidi"/>
          <w:color w:val="000000" w:themeColor="text1"/>
          <w:sz w:val="24"/>
          <w:szCs w:val="24"/>
        </w:rPr>
        <w:t>variation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annuel</w:t>
      </w:r>
      <w:r w:rsidR="00BF1FF5">
        <w:rPr>
          <w:rFonts w:asciiTheme="majorBidi" w:hAnsiTheme="majorBidi" w:cstheme="majorBidi"/>
          <w:color w:val="000000" w:themeColor="text1"/>
          <w:sz w:val="24"/>
          <w:szCs w:val="24"/>
        </w:rPr>
        <w:t>le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l’IPC de la ville de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Kénitra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</w:t>
      </w:r>
      <w:r w:rsidR="00BF1FF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augmenté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 </w:t>
      </w:r>
      <w:r w:rsidR="00BF1FF5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% 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contre </w:t>
      </w:r>
      <w:r w:rsidR="006B2416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F1FF5"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  <w:r w:rsidR="006B2416">
        <w:rPr>
          <w:rFonts w:asciiTheme="majorBidi" w:hAnsiTheme="majorBidi" w:cstheme="majorBidi"/>
          <w:color w:val="000000" w:themeColor="text1"/>
          <w:sz w:val="24"/>
          <w:szCs w:val="24"/>
        </w:rPr>
        <w:t>%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pour </w:t>
      </w:r>
      <w:r w:rsidR="0088736E">
        <w:rPr>
          <w:rFonts w:asciiTheme="majorBidi" w:hAnsiTheme="majorBidi" w:cstheme="majorBidi"/>
          <w:color w:val="000000" w:themeColor="text1"/>
          <w:sz w:val="24"/>
          <w:szCs w:val="24"/>
        </w:rPr>
        <w:t>la moyenne nationale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Ceci, résulte de la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hausse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prix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aussi bien 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 produits alimentaires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que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des produits non alimentaires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respectivement </w:t>
      </w:r>
      <w:r w:rsidR="003C3AFE">
        <w:rPr>
          <w:rFonts w:asciiTheme="majorBidi" w:hAnsiTheme="majorBidi" w:cstheme="majorBidi"/>
          <w:color w:val="000000" w:themeColor="text1"/>
          <w:sz w:val="24"/>
          <w:szCs w:val="24"/>
        </w:rPr>
        <w:t>de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F1FF5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F1FF5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% et de</w:t>
      </w:r>
      <w:r w:rsidR="003C3AF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B2416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3C3AFE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F1FF5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="003C3AFE">
        <w:rPr>
          <w:rFonts w:asciiTheme="majorBidi" w:hAnsiTheme="majorBidi" w:cstheme="majorBidi"/>
          <w:color w:val="000000" w:themeColor="text1"/>
          <w:sz w:val="24"/>
          <w:szCs w:val="24"/>
        </w:rPr>
        <w:t>%.</w:t>
      </w:r>
      <w:r w:rsidR="00201C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63512D" w:rsidRDefault="00BF1FF5" w:rsidP="009963F3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Sur une </w:t>
      </w:r>
      <w:r w:rsidR="0063512D">
        <w:rPr>
          <w:rFonts w:ascii="Times New Roman" w:hAnsi="Times New Roman"/>
          <w:spacing w:val="0"/>
          <w:sz w:val="22"/>
          <w:szCs w:val="22"/>
          <w:lang w:eastAsia="fr-FR"/>
        </w:rPr>
        <w:t>année (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mai </w:t>
      </w:r>
      <w:r w:rsidR="0063512D">
        <w:rPr>
          <w:rFonts w:ascii="Times New Roman" w:hAnsi="Times New Roman"/>
          <w:spacing w:val="0"/>
          <w:sz w:val="22"/>
          <w:szCs w:val="22"/>
          <w:lang w:eastAsia="fr-FR"/>
        </w:rPr>
        <w:t>2020-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mai </w:t>
      </w:r>
      <w:r w:rsidR="0063512D">
        <w:rPr>
          <w:rFonts w:ascii="Times New Roman" w:hAnsi="Times New Roman"/>
          <w:spacing w:val="0"/>
          <w:sz w:val="22"/>
          <w:szCs w:val="22"/>
          <w:lang w:eastAsia="fr-FR"/>
        </w:rPr>
        <w:t xml:space="preserve">2021), les produits alimentaires ont connu plus de hausses de prix que de baisses. En effet, 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dix</w:t>
      </w:r>
      <w:r w:rsidR="0063512D">
        <w:rPr>
          <w:rFonts w:ascii="Times New Roman" w:hAnsi="Times New Roman"/>
          <w:spacing w:val="0"/>
          <w:sz w:val="22"/>
          <w:szCs w:val="22"/>
          <w:lang w:eastAsia="fr-FR"/>
        </w:rPr>
        <w:t xml:space="preserve"> classes </w:t>
      </w:r>
      <w:r w:rsidR="00A276D7">
        <w:rPr>
          <w:rFonts w:ascii="Times New Roman" w:hAnsi="Times New Roman"/>
          <w:spacing w:val="0"/>
          <w:sz w:val="22"/>
          <w:szCs w:val="22"/>
          <w:lang w:eastAsia="fr-FR"/>
        </w:rPr>
        <w:t xml:space="preserve"> ont enregistré des hausses allant de 0,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2</w:t>
      </w:r>
      <w:r w:rsidR="00A276D7">
        <w:rPr>
          <w:rFonts w:ascii="Times New Roman" w:hAnsi="Times New Roman"/>
          <w:spacing w:val="0"/>
          <w:sz w:val="22"/>
          <w:szCs w:val="22"/>
          <w:lang w:eastAsia="fr-FR"/>
        </w:rPr>
        <w:t>% pour les "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Eaux minérales,</w:t>
      </w:r>
      <w:r w:rsidR="00B20045">
        <w:rPr>
          <w:rFonts w:ascii="Times New Roman" w:hAnsi="Times New Roman"/>
          <w:spacing w:val="0"/>
          <w:sz w:val="22"/>
          <w:szCs w:val="22"/>
          <w:lang w:eastAsia="fr-FR"/>
        </w:rPr>
        <w:t xml:space="preserve"> 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boissons rafraichissantes, jus de fruits et de légumes</w:t>
      </w:r>
      <w:r w:rsidR="00A276D7">
        <w:rPr>
          <w:rFonts w:ascii="Times New Roman" w:hAnsi="Times New Roman"/>
          <w:spacing w:val="0"/>
          <w:sz w:val="22"/>
          <w:szCs w:val="22"/>
          <w:lang w:eastAsia="fr-FR"/>
        </w:rPr>
        <w:t xml:space="preserve">" à </w:t>
      </w:r>
      <w:r w:rsidR="009963F3">
        <w:rPr>
          <w:rFonts w:ascii="Times New Roman" w:hAnsi="Times New Roman"/>
          <w:spacing w:val="0"/>
          <w:sz w:val="22"/>
          <w:szCs w:val="22"/>
          <w:lang w:eastAsia="fr-FR"/>
        </w:rPr>
        <w:t>14,8</w:t>
      </w:r>
      <w:r w:rsidR="00A276D7">
        <w:rPr>
          <w:rFonts w:ascii="Times New Roman" w:hAnsi="Times New Roman"/>
          <w:spacing w:val="0"/>
          <w:sz w:val="22"/>
          <w:szCs w:val="22"/>
          <w:lang w:eastAsia="fr-FR"/>
        </w:rPr>
        <w:t>% pour les "</w:t>
      </w:r>
      <w:r w:rsidR="009963F3">
        <w:rPr>
          <w:rFonts w:ascii="Times New Roman" w:hAnsi="Times New Roman"/>
          <w:spacing w:val="0"/>
          <w:sz w:val="22"/>
          <w:szCs w:val="22"/>
          <w:lang w:eastAsia="fr-FR"/>
        </w:rPr>
        <w:t>Poissons et f</w:t>
      </w:r>
      <w:r w:rsidR="00A276D7">
        <w:rPr>
          <w:rFonts w:ascii="Times New Roman" w:hAnsi="Times New Roman"/>
          <w:spacing w:val="0"/>
          <w:sz w:val="22"/>
          <w:szCs w:val="22"/>
          <w:lang w:eastAsia="fr-FR"/>
        </w:rPr>
        <w:t>ruits</w:t>
      </w:r>
      <w:r w:rsidR="009963F3">
        <w:rPr>
          <w:rFonts w:ascii="Times New Roman" w:hAnsi="Times New Roman"/>
          <w:spacing w:val="0"/>
          <w:sz w:val="22"/>
          <w:szCs w:val="22"/>
          <w:lang w:eastAsia="fr-FR"/>
        </w:rPr>
        <w:t xml:space="preserve"> de mer</w:t>
      </w:r>
      <w:r w:rsidR="00A276D7">
        <w:rPr>
          <w:rFonts w:ascii="Times New Roman" w:hAnsi="Times New Roman"/>
          <w:spacing w:val="0"/>
          <w:sz w:val="22"/>
          <w:szCs w:val="22"/>
          <w:lang w:eastAsia="fr-FR"/>
        </w:rPr>
        <w:t xml:space="preserve">" contre seulement </w:t>
      </w:r>
      <w:r w:rsidR="009963F3">
        <w:rPr>
          <w:rFonts w:ascii="Times New Roman" w:hAnsi="Times New Roman"/>
          <w:spacing w:val="0"/>
          <w:sz w:val="22"/>
          <w:szCs w:val="22"/>
          <w:lang w:eastAsia="fr-FR"/>
        </w:rPr>
        <w:t>trois</w:t>
      </w:r>
      <w:r w:rsidR="00A276D7">
        <w:rPr>
          <w:rFonts w:ascii="Times New Roman" w:hAnsi="Times New Roman"/>
          <w:spacing w:val="0"/>
          <w:sz w:val="22"/>
          <w:szCs w:val="22"/>
          <w:lang w:eastAsia="fr-FR"/>
        </w:rPr>
        <w:t xml:space="preserve"> pour les diminutions qui vont de (-</w:t>
      </w:r>
      <w:r w:rsidR="009963F3">
        <w:rPr>
          <w:rFonts w:ascii="Times New Roman" w:hAnsi="Times New Roman"/>
          <w:spacing w:val="0"/>
          <w:sz w:val="22"/>
          <w:szCs w:val="22"/>
          <w:lang w:eastAsia="fr-FR"/>
        </w:rPr>
        <w:t>2,4</w:t>
      </w:r>
      <w:r w:rsidR="00A276D7">
        <w:rPr>
          <w:rFonts w:ascii="Times New Roman" w:hAnsi="Times New Roman"/>
          <w:spacing w:val="0"/>
          <w:sz w:val="22"/>
          <w:szCs w:val="22"/>
          <w:lang w:eastAsia="fr-FR"/>
        </w:rPr>
        <w:t>%) à (-</w:t>
      </w:r>
      <w:r w:rsidR="009963F3">
        <w:rPr>
          <w:rFonts w:ascii="Times New Roman" w:hAnsi="Times New Roman"/>
          <w:spacing w:val="0"/>
          <w:sz w:val="22"/>
          <w:szCs w:val="22"/>
          <w:lang w:eastAsia="fr-FR"/>
        </w:rPr>
        <w:t>1</w:t>
      </w:r>
      <w:r w:rsidR="00A276D7">
        <w:rPr>
          <w:rFonts w:ascii="Times New Roman" w:hAnsi="Times New Roman"/>
          <w:spacing w:val="0"/>
          <w:sz w:val="22"/>
          <w:szCs w:val="22"/>
          <w:lang w:eastAsia="fr-FR"/>
        </w:rPr>
        <w:t>,</w:t>
      </w:r>
      <w:r w:rsidR="009963F3">
        <w:rPr>
          <w:rFonts w:ascii="Times New Roman" w:hAnsi="Times New Roman"/>
          <w:spacing w:val="0"/>
          <w:sz w:val="22"/>
          <w:szCs w:val="22"/>
          <w:lang w:eastAsia="fr-FR"/>
        </w:rPr>
        <w:t>9</w:t>
      </w:r>
      <w:r w:rsidR="00A276D7">
        <w:rPr>
          <w:rFonts w:ascii="Times New Roman" w:hAnsi="Times New Roman"/>
          <w:spacing w:val="0"/>
          <w:sz w:val="22"/>
          <w:szCs w:val="22"/>
          <w:lang w:eastAsia="fr-FR"/>
        </w:rPr>
        <w:t>%).</w:t>
      </w:r>
    </w:p>
    <w:p w:rsidR="00A708BE" w:rsidRDefault="006B5535" w:rsidP="009963F3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En ce qui concerne les</w:t>
      </w:r>
      <w:r w:rsidR="00A708BE">
        <w:rPr>
          <w:rFonts w:ascii="Times New Roman" w:hAnsi="Times New Roman"/>
          <w:spacing w:val="0"/>
          <w:sz w:val="22"/>
          <w:szCs w:val="22"/>
          <w:lang w:eastAsia="fr-FR"/>
        </w:rPr>
        <w:t xml:space="preserve"> produits non alimentaires, la hausse de prix la plus élevée a été </w:t>
      </w:r>
      <w:r w:rsidR="0068320D">
        <w:rPr>
          <w:rFonts w:ascii="Times New Roman" w:hAnsi="Times New Roman"/>
          <w:spacing w:val="0"/>
          <w:sz w:val="22"/>
          <w:szCs w:val="22"/>
          <w:lang w:eastAsia="fr-FR"/>
        </w:rPr>
        <w:t xml:space="preserve">constatée au sein de </w:t>
      </w:r>
      <w:r w:rsidR="00A708BE">
        <w:rPr>
          <w:rFonts w:ascii="Times New Roman" w:hAnsi="Times New Roman"/>
          <w:spacing w:val="0"/>
          <w:sz w:val="22"/>
          <w:szCs w:val="22"/>
          <w:lang w:eastAsia="fr-FR"/>
        </w:rPr>
        <w:t xml:space="preserve"> la division</w:t>
      </w:r>
      <w:r w:rsidR="00A708BE">
        <w:rPr>
          <w:rFonts w:ascii="Times New Roman" w:hAnsi="Times New Roman"/>
          <w:b/>
          <w:bCs/>
          <w:spacing w:val="0"/>
          <w:sz w:val="16"/>
          <w:szCs w:val="16"/>
          <w:lang w:eastAsia="fr-FR"/>
        </w:rPr>
        <w:t xml:space="preserve"> </w:t>
      </w:r>
      <w:r w:rsidR="00A708BE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="Times New Roman" w:hAnsi="Times New Roman"/>
          <w:spacing w:val="0"/>
          <w:sz w:val="22"/>
          <w:szCs w:val="22"/>
          <w:lang w:eastAsia="fr-FR"/>
        </w:rPr>
        <w:t>Transport</w:t>
      </w:r>
      <w:r w:rsidR="0033020C">
        <w:rPr>
          <w:rFonts w:ascii="Times New Roman" w:hAnsi="Times New Roman"/>
          <w:spacing w:val="0"/>
          <w:sz w:val="22"/>
          <w:szCs w:val="22"/>
          <w:lang w:eastAsia="fr-FR"/>
        </w:rPr>
        <w:t>s</w:t>
      </w:r>
      <w:r w:rsidR="00A708BE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avec </w:t>
      </w:r>
      <w:r w:rsidR="0067798B">
        <w:rPr>
          <w:rFonts w:asciiTheme="majorBidi" w:hAnsiTheme="majorBidi" w:cstheme="majorBidi"/>
          <w:color w:val="000000" w:themeColor="text1"/>
          <w:sz w:val="22"/>
          <w:szCs w:val="22"/>
        </w:rPr>
        <w:t>7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9963F3">
        <w:rPr>
          <w:rFonts w:asciiTheme="majorBidi" w:hAnsiTheme="majorBidi" w:cstheme="majorBidi"/>
          <w:color w:val="000000" w:themeColor="text1"/>
          <w:sz w:val="22"/>
          <w:szCs w:val="22"/>
        </w:rPr>
        <w:t>1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%. A l’opposé, la division </w:t>
      </w:r>
      <w:r w:rsidR="00A708BE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>Loisirs et culture</w:t>
      </w:r>
      <w:r w:rsidR="00A708BE" w:rsidRPr="004C54F7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 connu la baisse la plus grande de tout l’indice non alimentaire avec </w:t>
      </w:r>
      <w:r w:rsidR="0040458D">
        <w:rPr>
          <w:rFonts w:asciiTheme="majorBidi" w:hAnsiTheme="majorBidi" w:cstheme="majorBidi"/>
          <w:color w:val="000000" w:themeColor="text1"/>
          <w:sz w:val="22"/>
          <w:szCs w:val="22"/>
        </w:rPr>
        <w:t>(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>-1,9%</w:t>
      </w:r>
      <w:r w:rsidR="0040458D">
        <w:rPr>
          <w:rFonts w:asciiTheme="majorBidi" w:hAnsiTheme="majorBidi" w:cstheme="majorBidi"/>
          <w:color w:val="000000" w:themeColor="text1"/>
          <w:sz w:val="22"/>
          <w:szCs w:val="22"/>
        </w:rPr>
        <w:t>)</w:t>
      </w:r>
      <w:r w:rsidR="00A708BE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A708BE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7511E1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</w:t>
      </w:r>
      <w:r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 :</w:t>
      </w:r>
    </w:p>
    <w:p w:rsidR="0088736E" w:rsidRDefault="00A5010F" w:rsidP="00214096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>Au terme du mois de Mai 2021, l’inflation nationale a atteint 0,3% enregistrant ainsi une baisse de 75% par rapport à celle du mois précédent.</w:t>
      </w:r>
    </w:p>
    <w:p w:rsidR="00A5010F" w:rsidRDefault="00A5010F" w:rsidP="00A5010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  <w:r>
        <w:rPr>
          <w:rFonts w:ascii="Times New Roman" w:hAnsi="Times New Roman"/>
          <w:spacing w:val="0"/>
          <w:sz w:val="22"/>
          <w:szCs w:val="22"/>
          <w:lang w:eastAsia="fr-FR"/>
        </w:rPr>
        <w:t xml:space="preserve">Il est à souligner que onze villes dont celle de </w:t>
      </w:r>
      <w:proofErr w:type="spellStart"/>
      <w:r>
        <w:rPr>
          <w:rFonts w:ascii="Times New Roman" w:hAnsi="Times New Roman"/>
          <w:spacing w:val="0"/>
          <w:sz w:val="22"/>
          <w:szCs w:val="22"/>
          <w:lang w:eastAsia="fr-FR"/>
        </w:rPr>
        <w:t>Kénitra</w:t>
      </w:r>
      <w:proofErr w:type="spellEnd"/>
      <w:r>
        <w:rPr>
          <w:rFonts w:ascii="Times New Roman" w:hAnsi="Times New Roman"/>
          <w:spacing w:val="0"/>
          <w:sz w:val="22"/>
          <w:szCs w:val="22"/>
          <w:lang w:eastAsia="fr-FR"/>
        </w:rPr>
        <w:t>, ont connu une variation du niveau général des prix inférieure à la moyenne nationale, alors que sept ont dépassé ce seuil. Il s’agit des villes de Tétouan</w:t>
      </w:r>
      <w:r w:rsidR="00B20045">
        <w:rPr>
          <w:rFonts w:ascii="Times New Roman" w:hAnsi="Times New Roman"/>
          <w:spacing w:val="0"/>
          <w:sz w:val="22"/>
          <w:szCs w:val="22"/>
          <w:lang w:eastAsia="fr-FR"/>
        </w:rPr>
        <w:t xml:space="preserve"> (0,5%), d’El Hoceima (0,5%), de Marrakech (0,6%), de Settat (0,8%), d’Errachidia (0,8%), de Safi (0,9%) et de </w:t>
      </w:r>
      <w:proofErr w:type="spellStart"/>
      <w:r w:rsidR="00B20045">
        <w:rPr>
          <w:rFonts w:ascii="Times New Roman" w:hAnsi="Times New Roman"/>
          <w:spacing w:val="0"/>
          <w:sz w:val="22"/>
          <w:szCs w:val="22"/>
          <w:lang w:eastAsia="fr-FR"/>
        </w:rPr>
        <w:t>Beni</w:t>
      </w:r>
      <w:proofErr w:type="spellEnd"/>
      <w:r w:rsidR="00B20045">
        <w:rPr>
          <w:rFonts w:ascii="Times New Roman" w:hAnsi="Times New Roman"/>
          <w:spacing w:val="0"/>
          <w:sz w:val="22"/>
          <w:szCs w:val="22"/>
          <w:lang w:eastAsia="fr-FR"/>
        </w:rPr>
        <w:t xml:space="preserve"> Mellal (1,3%).</w:t>
      </w:r>
    </w:p>
    <w:p w:rsidR="00B20045" w:rsidRDefault="00B20045" w:rsidP="00A5010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B20045" w:rsidRPr="007511E1" w:rsidRDefault="00B20045" w:rsidP="00A5010F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C52B13" w:rsidRPr="00146F72" w:rsidRDefault="00C52B13" w:rsidP="00442FD4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2"/>
          <w:szCs w:val="22"/>
          <w:lang w:eastAsia="fr-FR"/>
        </w:rPr>
      </w:pPr>
    </w:p>
    <w:p w:rsidR="00442FD4" w:rsidRPr="00442FD4" w:rsidRDefault="00442FD4" w:rsidP="00442FD4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5311B4" w:rsidRDefault="005311B4" w:rsidP="009E274B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</w:t>
      </w:r>
      <w:proofErr w:type="spellStart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39"/>
        <w:gridCol w:w="1014"/>
      </w:tblGrid>
      <w:tr w:rsidR="00C63EBC" w:rsidRPr="00C63EBC" w:rsidTr="00C63EBC">
        <w:trPr>
          <w:trHeight w:val="510"/>
        </w:trPr>
        <w:tc>
          <w:tcPr>
            <w:tcW w:w="2278" w:type="pct"/>
            <w:vMerge w:val="restart"/>
            <w:shd w:val="clear" w:color="auto" w:fill="FABF8F" w:themeFill="accent6" w:themeFillTint="99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DIVISIONS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Mai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Avril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Mai</w:t>
            </w:r>
          </w:p>
        </w:tc>
        <w:tc>
          <w:tcPr>
            <w:tcW w:w="1089" w:type="pct"/>
            <w:gridSpan w:val="2"/>
            <w:shd w:val="clear" w:color="auto" w:fill="FABF8F" w:themeFill="accent6" w:themeFillTint="99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VARIATION (%)</w:t>
            </w:r>
          </w:p>
        </w:tc>
      </w:tr>
      <w:tr w:rsidR="00C63EBC" w:rsidRPr="00C63EBC" w:rsidTr="00C63EBC">
        <w:trPr>
          <w:trHeight w:val="525"/>
        </w:trPr>
        <w:tc>
          <w:tcPr>
            <w:tcW w:w="2278" w:type="pct"/>
            <w:vMerge/>
            <w:shd w:val="clear" w:color="auto" w:fill="FABF8F" w:themeFill="accent6" w:themeFillTint="99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2020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2021</w:t>
            </w:r>
          </w:p>
        </w:tc>
        <w:tc>
          <w:tcPr>
            <w:tcW w:w="544" w:type="pct"/>
            <w:shd w:val="clear" w:color="auto" w:fill="FABF8F" w:themeFill="accent6" w:themeFillTint="99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2021</w:t>
            </w:r>
          </w:p>
        </w:tc>
        <w:tc>
          <w:tcPr>
            <w:tcW w:w="576" w:type="pct"/>
            <w:shd w:val="clear" w:color="auto" w:fill="FABF8F" w:themeFill="accent6" w:themeFillTint="99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Mensuelle</w:t>
            </w:r>
          </w:p>
        </w:tc>
        <w:tc>
          <w:tcPr>
            <w:tcW w:w="513" w:type="pct"/>
            <w:shd w:val="clear" w:color="auto" w:fill="FABF8F" w:themeFill="accent6" w:themeFillTint="99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Annuelle</w:t>
            </w:r>
          </w:p>
        </w:tc>
      </w:tr>
      <w:tr w:rsidR="00C63EBC" w:rsidRPr="00C63EBC" w:rsidTr="0049423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98,6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100,9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101,2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2,6</w:t>
            </w:r>
          </w:p>
        </w:tc>
      </w:tr>
      <w:tr w:rsidR="00C63EBC" w:rsidRPr="00C63EBC" w:rsidTr="0049423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119,9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124,9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4,2</w:t>
            </w:r>
          </w:p>
        </w:tc>
      </w:tr>
      <w:tr w:rsidR="00C63EBC" w:rsidRPr="00C63EBC" w:rsidTr="0049423F">
        <w:trPr>
          <w:trHeight w:val="499"/>
        </w:trPr>
        <w:tc>
          <w:tcPr>
            <w:tcW w:w="2278" w:type="pct"/>
            <w:shd w:val="clear" w:color="auto" w:fill="FBD4B4" w:themeFill="accent6" w:themeFillTint="66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C63EBC" w:rsidRPr="00976BE2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976BE2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99,3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C63EBC" w:rsidRPr="00976BE2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976BE2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101,7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C63EBC" w:rsidRPr="00976BE2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976BE2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102,0</w:t>
            </w:r>
          </w:p>
        </w:tc>
        <w:tc>
          <w:tcPr>
            <w:tcW w:w="576" w:type="pct"/>
            <w:shd w:val="clear" w:color="auto" w:fill="FBD4B4" w:themeFill="accent6" w:themeFillTint="66"/>
            <w:noWrap/>
            <w:vAlign w:val="center"/>
            <w:hideMark/>
          </w:tcPr>
          <w:p w:rsidR="00C63EBC" w:rsidRPr="00976BE2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976BE2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0,3</w:t>
            </w:r>
          </w:p>
        </w:tc>
        <w:tc>
          <w:tcPr>
            <w:tcW w:w="513" w:type="pct"/>
            <w:shd w:val="clear" w:color="auto" w:fill="FBD4B4" w:themeFill="accent6" w:themeFillTint="66"/>
            <w:noWrap/>
            <w:vAlign w:val="center"/>
            <w:hideMark/>
          </w:tcPr>
          <w:p w:rsidR="00C63EBC" w:rsidRPr="00976BE2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976BE2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2,7</w:t>
            </w:r>
          </w:p>
        </w:tc>
      </w:tr>
      <w:tr w:rsidR="00C63EBC" w:rsidRPr="00C63EBC" w:rsidTr="0049423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104,6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106,1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106,1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1,4</w:t>
            </w:r>
          </w:p>
        </w:tc>
      </w:tr>
      <w:tr w:rsidR="00C63EBC" w:rsidRPr="00C63EBC" w:rsidTr="0049423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102,5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103,1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0,6</w:t>
            </w:r>
          </w:p>
        </w:tc>
      </w:tr>
      <w:tr w:rsidR="00C63EBC" w:rsidRPr="00C63EBC" w:rsidTr="0049423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101,3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103,2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1,9</w:t>
            </w:r>
          </w:p>
        </w:tc>
      </w:tr>
      <w:tr w:rsidR="00C63EBC" w:rsidRPr="00C63EBC" w:rsidTr="0049423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99,6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99,4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99,4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-0,2</w:t>
            </w:r>
          </w:p>
        </w:tc>
      </w:tr>
      <w:tr w:rsidR="00C63EBC" w:rsidRPr="00C63EBC" w:rsidTr="0049423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96,6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104,0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103,5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-0,5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7,1</w:t>
            </w:r>
          </w:p>
        </w:tc>
      </w:tr>
      <w:tr w:rsidR="00C63EBC" w:rsidRPr="00C63EBC" w:rsidTr="0049423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106,4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</w:tr>
      <w:tr w:rsidR="00C63EBC" w:rsidRPr="00C63EBC" w:rsidTr="0049423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100,1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-1,9</w:t>
            </w:r>
          </w:p>
        </w:tc>
      </w:tr>
      <w:tr w:rsidR="00C63EBC" w:rsidRPr="00C63EBC" w:rsidTr="0049423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C63EBC" w:rsidRPr="00C63EBC" w:rsidTr="0049423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104,5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105,5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1,0</w:t>
            </w:r>
          </w:p>
        </w:tc>
      </w:tr>
      <w:tr w:rsidR="00C63EBC" w:rsidRPr="00C63EBC" w:rsidTr="0049423F">
        <w:trPr>
          <w:trHeight w:val="499"/>
        </w:trPr>
        <w:tc>
          <w:tcPr>
            <w:tcW w:w="2278" w:type="pct"/>
            <w:shd w:val="clear" w:color="000000" w:fill="FFFFFF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103,4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spacing w:val="0"/>
                <w:lang w:eastAsia="fr-FR"/>
              </w:rPr>
              <w:t>103,6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0,2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C63EBC" w:rsidRPr="0049423F" w:rsidRDefault="00C63EBC" w:rsidP="0049423F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0,6</w:t>
            </w:r>
          </w:p>
        </w:tc>
      </w:tr>
      <w:tr w:rsidR="00C63EBC" w:rsidRPr="00C63EBC" w:rsidTr="00C63EBC">
        <w:trPr>
          <w:trHeight w:val="499"/>
        </w:trPr>
        <w:tc>
          <w:tcPr>
            <w:tcW w:w="2278" w:type="pct"/>
            <w:shd w:val="clear" w:color="auto" w:fill="FBD4B4" w:themeFill="accent6" w:themeFillTint="66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C63EBC" w:rsidRPr="00976BE2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976BE2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102,2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C63EBC" w:rsidRPr="00976BE2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976BE2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103,6</w:t>
            </w:r>
          </w:p>
        </w:tc>
        <w:tc>
          <w:tcPr>
            <w:tcW w:w="544" w:type="pct"/>
            <w:shd w:val="clear" w:color="auto" w:fill="FBD4B4" w:themeFill="accent6" w:themeFillTint="66"/>
            <w:noWrap/>
            <w:vAlign w:val="center"/>
            <w:hideMark/>
          </w:tcPr>
          <w:p w:rsidR="00C63EBC" w:rsidRPr="00976BE2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976BE2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103,7</w:t>
            </w:r>
          </w:p>
        </w:tc>
        <w:tc>
          <w:tcPr>
            <w:tcW w:w="576" w:type="pct"/>
            <w:shd w:val="clear" w:color="auto" w:fill="FBD4B4" w:themeFill="accent6" w:themeFillTint="66"/>
            <w:noWrap/>
            <w:vAlign w:val="center"/>
            <w:hideMark/>
          </w:tcPr>
          <w:p w:rsidR="00C63EBC" w:rsidRPr="00976BE2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976BE2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0,1</w:t>
            </w:r>
          </w:p>
        </w:tc>
        <w:tc>
          <w:tcPr>
            <w:tcW w:w="513" w:type="pct"/>
            <w:shd w:val="clear" w:color="auto" w:fill="FBD4B4" w:themeFill="accent6" w:themeFillTint="66"/>
            <w:noWrap/>
            <w:vAlign w:val="center"/>
            <w:hideMark/>
          </w:tcPr>
          <w:p w:rsidR="00C63EBC" w:rsidRPr="00976BE2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976BE2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1,5</w:t>
            </w:r>
          </w:p>
        </w:tc>
      </w:tr>
      <w:tr w:rsidR="00C63EBC" w:rsidRPr="00C63EBC" w:rsidTr="00C63EBC">
        <w:trPr>
          <w:trHeight w:val="499"/>
        </w:trPr>
        <w:tc>
          <w:tcPr>
            <w:tcW w:w="2278" w:type="pct"/>
            <w:shd w:val="clear" w:color="auto" w:fill="E36C0A" w:themeFill="accent6" w:themeFillShade="BF"/>
            <w:vAlign w:val="center"/>
            <w:hideMark/>
          </w:tcPr>
          <w:p w:rsidR="00C63EBC" w:rsidRPr="0049423F" w:rsidRDefault="00C63EBC" w:rsidP="00C63EBC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101,0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102,8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103,0</w:t>
            </w:r>
          </w:p>
        </w:tc>
        <w:tc>
          <w:tcPr>
            <w:tcW w:w="576" w:type="pct"/>
            <w:shd w:val="clear" w:color="auto" w:fill="E36C0A" w:themeFill="accent6" w:themeFillShade="BF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513" w:type="pct"/>
            <w:shd w:val="clear" w:color="auto" w:fill="E36C0A" w:themeFill="accent6" w:themeFillShade="BF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2,0</w:t>
            </w:r>
          </w:p>
        </w:tc>
      </w:tr>
      <w:tr w:rsidR="00C63EBC" w:rsidRPr="00C63EBC" w:rsidTr="00C63EBC">
        <w:trPr>
          <w:trHeight w:val="499"/>
        </w:trPr>
        <w:tc>
          <w:tcPr>
            <w:tcW w:w="2278" w:type="pct"/>
            <w:shd w:val="clear" w:color="auto" w:fill="E36C0A" w:themeFill="accent6" w:themeFillShade="BF"/>
            <w:vAlign w:val="center"/>
            <w:hideMark/>
          </w:tcPr>
          <w:p w:rsidR="00C63EBC" w:rsidRPr="0049423F" w:rsidRDefault="00C63EBC" w:rsidP="00C63EBC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49423F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102,2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103,8</w:t>
            </w:r>
          </w:p>
        </w:tc>
        <w:tc>
          <w:tcPr>
            <w:tcW w:w="544" w:type="pct"/>
            <w:shd w:val="clear" w:color="auto" w:fill="E36C0A" w:themeFill="accent6" w:themeFillShade="BF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104,1</w:t>
            </w:r>
          </w:p>
        </w:tc>
        <w:tc>
          <w:tcPr>
            <w:tcW w:w="576" w:type="pct"/>
            <w:shd w:val="clear" w:color="auto" w:fill="E36C0A" w:themeFill="accent6" w:themeFillShade="BF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513" w:type="pct"/>
            <w:shd w:val="clear" w:color="auto" w:fill="E36C0A" w:themeFill="accent6" w:themeFillShade="BF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1,9</w:t>
            </w:r>
          </w:p>
        </w:tc>
      </w:tr>
    </w:tbl>
    <w:p w:rsidR="00307D13" w:rsidRPr="00307D13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9E274B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l’I</w:t>
      </w:r>
      <w:r w:rsidR="009E27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ndice des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</w:t>
      </w:r>
      <w:r w:rsidR="009E274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 groupe et classe de produits - ville de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Kénitra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009"/>
        <w:gridCol w:w="1196"/>
        <w:gridCol w:w="918"/>
        <w:gridCol w:w="919"/>
        <w:gridCol w:w="919"/>
        <w:gridCol w:w="1007"/>
        <w:gridCol w:w="919"/>
      </w:tblGrid>
      <w:tr w:rsidR="00C63EBC" w:rsidRPr="00C63EBC" w:rsidTr="00C63EBC">
        <w:trPr>
          <w:trHeight w:val="510"/>
          <w:tblHeader/>
        </w:trPr>
        <w:tc>
          <w:tcPr>
            <w:tcW w:w="202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63EBC" w:rsidRPr="00C63EBC" w:rsidRDefault="00C63EBC" w:rsidP="00C63EBC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DIVISION/GROUPE/CLASSE DE PRODUITS</w:t>
            </w:r>
          </w:p>
          <w:p w:rsidR="00C63EBC" w:rsidRPr="00C63EBC" w:rsidRDefault="00C63EBC" w:rsidP="00C63EBC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 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Pondération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</w:t>
            </w:r>
            <w:r>
              <w:rPr>
                <w:rFonts w:ascii="Times New Roman" w:hAnsi="Times New Roman"/>
                <w:b/>
                <w:bCs/>
                <w:spacing w:val="0"/>
                <w:lang w:eastAsia="fr-FR"/>
              </w:rPr>
              <w:t>ai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</w:t>
            </w:r>
            <w:r>
              <w:rPr>
                <w:rFonts w:ascii="Times New Roman" w:hAnsi="Times New Roman"/>
                <w:b/>
                <w:bCs/>
                <w:spacing w:val="0"/>
                <w:lang w:eastAsia="fr-FR"/>
              </w:rPr>
              <w:t>vril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</w:t>
            </w:r>
            <w:r>
              <w:rPr>
                <w:rFonts w:ascii="Times New Roman" w:hAnsi="Times New Roman"/>
                <w:b/>
                <w:bCs/>
                <w:spacing w:val="0"/>
                <w:lang w:eastAsia="fr-FR"/>
              </w:rPr>
              <w:t>ai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</w:t>
            </w:r>
            <w:r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ariation </w:t>
            </w: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(%)</w:t>
            </w:r>
          </w:p>
        </w:tc>
      </w:tr>
      <w:tr w:rsidR="00C63EBC" w:rsidRPr="00C63EBC" w:rsidTr="00C63EBC">
        <w:trPr>
          <w:trHeight w:val="540"/>
          <w:tblHeader/>
        </w:trPr>
        <w:tc>
          <w:tcPr>
            <w:tcW w:w="202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63EBC" w:rsidRPr="00C63EBC" w:rsidRDefault="00C63EBC" w:rsidP="00C63EBC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63EBC" w:rsidRPr="00C63EBC" w:rsidRDefault="00C63EBC" w:rsidP="00C63EBC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63EBC" w:rsidRPr="00C63EBC" w:rsidRDefault="00C63EBC" w:rsidP="00C63EBC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63EBC" w:rsidRPr="00C63EBC" w:rsidRDefault="00C63EBC" w:rsidP="00C63EBC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63EBC" w:rsidRPr="00C63EBC" w:rsidRDefault="00C63EBC" w:rsidP="00C63EBC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Mensuelle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63EBC" w:rsidRPr="00C63EBC" w:rsidRDefault="00C63EBC" w:rsidP="00C63EBC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Annuelle</w:t>
            </w:r>
          </w:p>
        </w:tc>
      </w:tr>
      <w:tr w:rsidR="00C63EBC" w:rsidRPr="00C63EBC" w:rsidTr="00C63EBC">
        <w:trPr>
          <w:trHeight w:val="51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98,6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100,9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101,2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2,6</w:t>
            </w:r>
          </w:p>
        </w:tc>
      </w:tr>
      <w:tr w:rsidR="00C63EBC" w:rsidRPr="00C63EBC" w:rsidTr="00C63EBC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98,7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101,3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2,6</w:t>
            </w:r>
          </w:p>
        </w:tc>
      </w:tr>
      <w:tr w:rsidR="00C63EBC" w:rsidRPr="00C63EBC" w:rsidTr="00C63EBC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100,7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99,3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98,8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-0,5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-1,9</w:t>
            </w:r>
          </w:p>
        </w:tc>
      </w:tr>
      <w:tr w:rsidR="00C63EBC" w:rsidRPr="00C63EBC" w:rsidTr="00C63EBC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91,6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98,1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99,5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8,6</w:t>
            </w:r>
          </w:p>
        </w:tc>
      </w:tr>
      <w:tr w:rsidR="00C63EBC" w:rsidRPr="00C63EBC" w:rsidTr="00C63EBC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POISSON ET FRUITS DE MER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103,1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106,2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118,4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11,5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14,8</w:t>
            </w:r>
          </w:p>
        </w:tc>
      </w:tr>
      <w:tr w:rsidR="00C63EBC" w:rsidRPr="00C63EBC" w:rsidTr="00C63EBC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lastRenderedPageBreak/>
              <w:t>LAIT, FROMAGE ET OEUFS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98,2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101,3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101,3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3,2</w:t>
            </w:r>
          </w:p>
        </w:tc>
      </w:tr>
      <w:tr w:rsidR="00C63EBC" w:rsidRPr="00C63EBC" w:rsidTr="00C63EBC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96,6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100,3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100,5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4,0</w:t>
            </w:r>
          </w:p>
        </w:tc>
      </w:tr>
      <w:tr w:rsidR="00C63EBC" w:rsidRPr="00C63EBC" w:rsidTr="00C63EBC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112,6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117,7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113,0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-4,0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0,4</w:t>
            </w:r>
          </w:p>
        </w:tc>
      </w:tr>
      <w:tr w:rsidR="00C63EBC" w:rsidRPr="00C63EBC" w:rsidTr="00C63EBC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99,5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98,5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97,5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-1,0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-2,0</w:t>
            </w:r>
          </w:p>
        </w:tc>
      </w:tr>
      <w:tr w:rsidR="00C63EBC" w:rsidRPr="00C63EBC" w:rsidTr="00C63EBC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101,2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101,7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101,7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0,5</w:t>
            </w:r>
          </w:p>
        </w:tc>
      </w:tr>
      <w:tr w:rsidR="00C63EBC" w:rsidRPr="00C63EBC" w:rsidTr="00C63EBC">
        <w:trPr>
          <w:trHeight w:val="54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84,4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82,4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82,4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-2,4</w:t>
            </w:r>
          </w:p>
        </w:tc>
      </w:tr>
      <w:tr w:rsidR="00C63EBC" w:rsidRPr="00C63EBC" w:rsidTr="00C63EBC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97,9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100,9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3,1</w:t>
            </w:r>
          </w:p>
        </w:tc>
      </w:tr>
      <w:tr w:rsidR="00C63EBC" w:rsidRPr="00C63EBC" w:rsidTr="00C63EBC">
        <w:trPr>
          <w:trHeight w:val="54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99,4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102,7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103,5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0,8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4,1</w:t>
            </w:r>
          </w:p>
        </w:tc>
      </w:tr>
      <w:tr w:rsidR="00C63EBC" w:rsidRPr="00C63EBC" w:rsidTr="00C63EBC">
        <w:trPr>
          <w:trHeight w:val="51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94,1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94,3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</w:tr>
      <w:tr w:rsidR="00C63EBC" w:rsidRPr="00C63EBC" w:rsidTr="00C63EBC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124,9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4,2</w:t>
            </w:r>
          </w:p>
        </w:tc>
      </w:tr>
      <w:tr w:rsidR="00C63EBC" w:rsidRPr="00C63EBC" w:rsidTr="00C63EBC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101,4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0,6</w:t>
            </w:r>
          </w:p>
        </w:tc>
      </w:tr>
      <w:tr w:rsidR="00C63EBC" w:rsidRPr="00C63EBC" w:rsidTr="00C63EBC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C63EBC" w:rsidRPr="00C63EBC" w:rsidTr="00C63EBC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103,5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1,8</w:t>
            </w:r>
          </w:p>
        </w:tc>
      </w:tr>
      <w:tr w:rsidR="00C63EBC" w:rsidRPr="00C63EBC" w:rsidTr="00C63EBC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C63EBC" w:rsidRPr="00C63EBC" w:rsidTr="00C63EBC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121,1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126,5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4,5</w:t>
            </w:r>
          </w:p>
        </w:tc>
      </w:tr>
      <w:tr w:rsidR="00C63EBC" w:rsidRPr="00C63EBC" w:rsidTr="00C63EBC">
        <w:trPr>
          <w:trHeight w:val="300"/>
        </w:trPr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121,1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126,5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C63EBC">
              <w:rPr>
                <w:rFonts w:ascii="Times New Roman" w:hAnsi="Times New Roman"/>
                <w:spacing w:val="0"/>
                <w:lang w:eastAsia="fr-FR"/>
              </w:rPr>
              <w:t>4,5</w:t>
            </w:r>
          </w:p>
        </w:tc>
      </w:tr>
      <w:tr w:rsidR="002F0EEC" w:rsidRPr="00C63EBC" w:rsidTr="002F0EEC">
        <w:trPr>
          <w:trHeight w:val="525"/>
        </w:trPr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2F0EEC" w:rsidRPr="00C63EBC" w:rsidRDefault="002F0EEC" w:rsidP="00C63EBC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2F0EEC" w:rsidRPr="00976BE2" w:rsidRDefault="002F0EE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976BE2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42,7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2F0EEC" w:rsidRPr="00976BE2" w:rsidRDefault="002F0EEC" w:rsidP="00D95AF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976BE2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99,3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2F0EEC" w:rsidRPr="00976BE2" w:rsidRDefault="002F0EEC" w:rsidP="00D95AF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976BE2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101,7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2F0EEC" w:rsidRPr="00976BE2" w:rsidRDefault="002F0EEC" w:rsidP="00D95AF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976BE2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102,0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2F0EEC" w:rsidRPr="00976BE2" w:rsidRDefault="002F0EEC" w:rsidP="00D95AF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976BE2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0,3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2F0EEC" w:rsidRPr="00976BE2" w:rsidRDefault="002F0EEC" w:rsidP="00D95AF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976BE2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2,7</w:t>
            </w:r>
          </w:p>
        </w:tc>
      </w:tr>
      <w:tr w:rsidR="00C63EBC" w:rsidRPr="00C63EBC" w:rsidTr="002F0EEC">
        <w:trPr>
          <w:trHeight w:val="486"/>
        </w:trPr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102,8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103,0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noWrap/>
            <w:vAlign w:val="center"/>
            <w:hideMark/>
          </w:tcPr>
          <w:p w:rsidR="00C63EBC" w:rsidRPr="00C63EBC" w:rsidRDefault="00C63EBC" w:rsidP="00C63EBC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C63EBC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2,0</w:t>
            </w:r>
          </w:p>
        </w:tc>
      </w:tr>
    </w:tbl>
    <w:p w:rsidR="00D2208B" w:rsidRPr="00307D13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sectPr w:rsidR="00D2208B" w:rsidRPr="00307D13" w:rsidSect="009E274B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9E5" w:rsidRDefault="00A329E5">
      <w:r>
        <w:separator/>
      </w:r>
    </w:p>
    <w:p w:rsidR="00A329E5" w:rsidRDefault="00A329E5"/>
  </w:endnote>
  <w:endnote w:type="continuationSeparator" w:id="0">
    <w:p w:rsidR="00A329E5" w:rsidRDefault="00A329E5">
      <w:r>
        <w:continuationSeparator/>
      </w:r>
    </w:p>
    <w:p w:rsidR="00A329E5" w:rsidRDefault="00A329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3F21AA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9E5" w:rsidRDefault="00A329E5">
      <w:r>
        <w:separator/>
      </w:r>
    </w:p>
    <w:p w:rsidR="00A329E5" w:rsidRDefault="00A329E5"/>
  </w:footnote>
  <w:footnote w:type="continuationSeparator" w:id="0">
    <w:p w:rsidR="00A329E5" w:rsidRDefault="00A329E5">
      <w:r>
        <w:continuationSeparator/>
      </w:r>
    </w:p>
    <w:p w:rsidR="00A329E5" w:rsidRDefault="00A329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D20"/>
    <w:rsid w:val="000626E2"/>
    <w:rsid w:val="000627B8"/>
    <w:rsid w:val="0006311E"/>
    <w:rsid w:val="00063E5A"/>
    <w:rsid w:val="0006573E"/>
    <w:rsid w:val="00065BAE"/>
    <w:rsid w:val="00065BC9"/>
    <w:rsid w:val="00066AAA"/>
    <w:rsid w:val="00066BD7"/>
    <w:rsid w:val="00066DAA"/>
    <w:rsid w:val="000678BA"/>
    <w:rsid w:val="00067937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A8"/>
    <w:rsid w:val="00077A15"/>
    <w:rsid w:val="000804A3"/>
    <w:rsid w:val="000804C8"/>
    <w:rsid w:val="00082025"/>
    <w:rsid w:val="00082340"/>
    <w:rsid w:val="000837AF"/>
    <w:rsid w:val="00083E99"/>
    <w:rsid w:val="00084125"/>
    <w:rsid w:val="00085BFE"/>
    <w:rsid w:val="00085F69"/>
    <w:rsid w:val="00086858"/>
    <w:rsid w:val="000874FB"/>
    <w:rsid w:val="000877FE"/>
    <w:rsid w:val="00090573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C9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753E"/>
    <w:rsid w:val="000D7FCD"/>
    <w:rsid w:val="000E17CE"/>
    <w:rsid w:val="000E1AF6"/>
    <w:rsid w:val="000E1E68"/>
    <w:rsid w:val="000E299F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1EFE"/>
    <w:rsid w:val="0010248C"/>
    <w:rsid w:val="0010253D"/>
    <w:rsid w:val="00102854"/>
    <w:rsid w:val="0010371A"/>
    <w:rsid w:val="0010373A"/>
    <w:rsid w:val="00103EB2"/>
    <w:rsid w:val="001044CF"/>
    <w:rsid w:val="00104A5C"/>
    <w:rsid w:val="0010506D"/>
    <w:rsid w:val="00105DB4"/>
    <w:rsid w:val="00105E77"/>
    <w:rsid w:val="0010604E"/>
    <w:rsid w:val="00106CE8"/>
    <w:rsid w:val="001076DE"/>
    <w:rsid w:val="00107C4D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7C5"/>
    <w:rsid w:val="00115A58"/>
    <w:rsid w:val="001166B9"/>
    <w:rsid w:val="00117CA5"/>
    <w:rsid w:val="00120428"/>
    <w:rsid w:val="001212D2"/>
    <w:rsid w:val="00121554"/>
    <w:rsid w:val="001253A1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35CE"/>
    <w:rsid w:val="0015397A"/>
    <w:rsid w:val="00153B40"/>
    <w:rsid w:val="001547B5"/>
    <w:rsid w:val="00154853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95E"/>
    <w:rsid w:val="00170334"/>
    <w:rsid w:val="00170678"/>
    <w:rsid w:val="001711CE"/>
    <w:rsid w:val="001715A1"/>
    <w:rsid w:val="001719F9"/>
    <w:rsid w:val="001719FF"/>
    <w:rsid w:val="00172557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2E8E"/>
    <w:rsid w:val="00183F0D"/>
    <w:rsid w:val="00184A0A"/>
    <w:rsid w:val="00185026"/>
    <w:rsid w:val="00185A2F"/>
    <w:rsid w:val="00186A1B"/>
    <w:rsid w:val="00186CF7"/>
    <w:rsid w:val="00186E75"/>
    <w:rsid w:val="001879D2"/>
    <w:rsid w:val="00187A51"/>
    <w:rsid w:val="00192A0C"/>
    <w:rsid w:val="0019438F"/>
    <w:rsid w:val="0019443B"/>
    <w:rsid w:val="001946A3"/>
    <w:rsid w:val="00194950"/>
    <w:rsid w:val="001951FE"/>
    <w:rsid w:val="00196051"/>
    <w:rsid w:val="0019626B"/>
    <w:rsid w:val="00196406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701"/>
    <w:rsid w:val="001A1DDC"/>
    <w:rsid w:val="001A2FB1"/>
    <w:rsid w:val="001A32A0"/>
    <w:rsid w:val="001A4173"/>
    <w:rsid w:val="001A4A7D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50E5"/>
    <w:rsid w:val="001C5B75"/>
    <w:rsid w:val="001C5C8C"/>
    <w:rsid w:val="001C759C"/>
    <w:rsid w:val="001C76FD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E64"/>
    <w:rsid w:val="001E7000"/>
    <w:rsid w:val="001E74EB"/>
    <w:rsid w:val="001E7E86"/>
    <w:rsid w:val="001F0B5C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096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40D"/>
    <w:rsid w:val="002346F8"/>
    <w:rsid w:val="002348AD"/>
    <w:rsid w:val="00235955"/>
    <w:rsid w:val="00235A8C"/>
    <w:rsid w:val="0023659C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93A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3717"/>
    <w:rsid w:val="002A41F1"/>
    <w:rsid w:val="002A48C1"/>
    <w:rsid w:val="002A49B9"/>
    <w:rsid w:val="002A4A07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0EEC"/>
    <w:rsid w:val="002F103C"/>
    <w:rsid w:val="002F1A16"/>
    <w:rsid w:val="002F22CC"/>
    <w:rsid w:val="002F3070"/>
    <w:rsid w:val="002F30D0"/>
    <w:rsid w:val="002F39D3"/>
    <w:rsid w:val="002F4DEE"/>
    <w:rsid w:val="002F6015"/>
    <w:rsid w:val="002F7016"/>
    <w:rsid w:val="00300951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20C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6855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D7"/>
    <w:rsid w:val="00356773"/>
    <w:rsid w:val="0035693B"/>
    <w:rsid w:val="00356C9D"/>
    <w:rsid w:val="0035770E"/>
    <w:rsid w:val="00357798"/>
    <w:rsid w:val="00357B8B"/>
    <w:rsid w:val="00360404"/>
    <w:rsid w:val="003616E2"/>
    <w:rsid w:val="00361B94"/>
    <w:rsid w:val="00362058"/>
    <w:rsid w:val="0036261E"/>
    <w:rsid w:val="00362C8B"/>
    <w:rsid w:val="0036316B"/>
    <w:rsid w:val="00363ABE"/>
    <w:rsid w:val="00365BA7"/>
    <w:rsid w:val="00365D60"/>
    <w:rsid w:val="00365F68"/>
    <w:rsid w:val="00366084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F98"/>
    <w:rsid w:val="00397B38"/>
    <w:rsid w:val="00397D9E"/>
    <w:rsid w:val="003A07F4"/>
    <w:rsid w:val="003A1103"/>
    <w:rsid w:val="003A17C3"/>
    <w:rsid w:val="003A1BDA"/>
    <w:rsid w:val="003A214C"/>
    <w:rsid w:val="003A26A6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805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1AA"/>
    <w:rsid w:val="003F238A"/>
    <w:rsid w:val="003F2545"/>
    <w:rsid w:val="003F3323"/>
    <w:rsid w:val="003F3632"/>
    <w:rsid w:val="003F37D6"/>
    <w:rsid w:val="003F4638"/>
    <w:rsid w:val="003F4A19"/>
    <w:rsid w:val="003F4D9E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3E79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4557"/>
    <w:rsid w:val="004449D7"/>
    <w:rsid w:val="00444ED7"/>
    <w:rsid w:val="00445296"/>
    <w:rsid w:val="00445381"/>
    <w:rsid w:val="004455A0"/>
    <w:rsid w:val="00445756"/>
    <w:rsid w:val="00445A79"/>
    <w:rsid w:val="00445B54"/>
    <w:rsid w:val="004461DF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749"/>
    <w:rsid w:val="00466EA8"/>
    <w:rsid w:val="00467019"/>
    <w:rsid w:val="00467A65"/>
    <w:rsid w:val="00470ABA"/>
    <w:rsid w:val="00470AD3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3F"/>
    <w:rsid w:val="004942CD"/>
    <w:rsid w:val="00495882"/>
    <w:rsid w:val="004967CC"/>
    <w:rsid w:val="0049694B"/>
    <w:rsid w:val="004970EB"/>
    <w:rsid w:val="00497B6D"/>
    <w:rsid w:val="004A05B6"/>
    <w:rsid w:val="004A063C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B0241"/>
    <w:rsid w:val="004B0BC4"/>
    <w:rsid w:val="004B29AD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CB3"/>
    <w:rsid w:val="00520E01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A5C"/>
    <w:rsid w:val="0055355C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52AF"/>
    <w:rsid w:val="0057669B"/>
    <w:rsid w:val="00577459"/>
    <w:rsid w:val="005777C9"/>
    <w:rsid w:val="00580E00"/>
    <w:rsid w:val="00580F99"/>
    <w:rsid w:val="00581626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5864"/>
    <w:rsid w:val="00585E99"/>
    <w:rsid w:val="005873E3"/>
    <w:rsid w:val="00590B60"/>
    <w:rsid w:val="00591210"/>
    <w:rsid w:val="005917C7"/>
    <w:rsid w:val="00591956"/>
    <w:rsid w:val="005931E3"/>
    <w:rsid w:val="0059340E"/>
    <w:rsid w:val="00593819"/>
    <w:rsid w:val="00593ACF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773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C7894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E01B5"/>
    <w:rsid w:val="005E06ED"/>
    <w:rsid w:val="005E16E1"/>
    <w:rsid w:val="005E1E24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6001D4"/>
    <w:rsid w:val="00600FE7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21AA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512D"/>
    <w:rsid w:val="006371EB"/>
    <w:rsid w:val="0063761A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98B"/>
    <w:rsid w:val="00677F63"/>
    <w:rsid w:val="006804FF"/>
    <w:rsid w:val="006807F1"/>
    <w:rsid w:val="00681BB8"/>
    <w:rsid w:val="0068214B"/>
    <w:rsid w:val="0068320D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623"/>
    <w:rsid w:val="006A1785"/>
    <w:rsid w:val="006A232F"/>
    <w:rsid w:val="006A2668"/>
    <w:rsid w:val="006A32B6"/>
    <w:rsid w:val="006A3832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E7"/>
    <w:rsid w:val="006B2416"/>
    <w:rsid w:val="006B2777"/>
    <w:rsid w:val="006B2971"/>
    <w:rsid w:val="006B33A8"/>
    <w:rsid w:val="006B3900"/>
    <w:rsid w:val="006B52A9"/>
    <w:rsid w:val="006B5535"/>
    <w:rsid w:val="006B5549"/>
    <w:rsid w:val="006B5C87"/>
    <w:rsid w:val="006B5DAC"/>
    <w:rsid w:val="006B7CA3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0F1D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96D"/>
    <w:rsid w:val="00772A5C"/>
    <w:rsid w:val="00772F95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89D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75E9"/>
    <w:rsid w:val="00827707"/>
    <w:rsid w:val="00827BC8"/>
    <w:rsid w:val="00827E50"/>
    <w:rsid w:val="00827F5A"/>
    <w:rsid w:val="00830311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FC7"/>
    <w:rsid w:val="008A7101"/>
    <w:rsid w:val="008A7113"/>
    <w:rsid w:val="008A748A"/>
    <w:rsid w:val="008A79D5"/>
    <w:rsid w:val="008A7A95"/>
    <w:rsid w:val="008B0F5C"/>
    <w:rsid w:val="008B102F"/>
    <w:rsid w:val="008B11E3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E1B"/>
    <w:rsid w:val="008C17A1"/>
    <w:rsid w:val="008C1E0B"/>
    <w:rsid w:val="008C1F70"/>
    <w:rsid w:val="008C37C2"/>
    <w:rsid w:val="008C42D1"/>
    <w:rsid w:val="008C4CA7"/>
    <w:rsid w:val="008C5D39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432"/>
    <w:rsid w:val="008D6F1B"/>
    <w:rsid w:val="008D72E0"/>
    <w:rsid w:val="008E049A"/>
    <w:rsid w:val="008E0EBB"/>
    <w:rsid w:val="008E15A4"/>
    <w:rsid w:val="008E220F"/>
    <w:rsid w:val="008E39D8"/>
    <w:rsid w:val="008E427C"/>
    <w:rsid w:val="008E449C"/>
    <w:rsid w:val="008E49C8"/>
    <w:rsid w:val="008E53F8"/>
    <w:rsid w:val="008E62E5"/>
    <w:rsid w:val="008E6C43"/>
    <w:rsid w:val="008E7A08"/>
    <w:rsid w:val="008E7ED9"/>
    <w:rsid w:val="008F07B1"/>
    <w:rsid w:val="008F0D09"/>
    <w:rsid w:val="008F1077"/>
    <w:rsid w:val="008F1319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50B"/>
    <w:rsid w:val="0093465F"/>
    <w:rsid w:val="0093548D"/>
    <w:rsid w:val="0093581E"/>
    <w:rsid w:val="00935F9F"/>
    <w:rsid w:val="009361C5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A8"/>
    <w:rsid w:val="009727FF"/>
    <w:rsid w:val="00972AB7"/>
    <w:rsid w:val="00972C23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BE2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A18"/>
    <w:rsid w:val="0099100A"/>
    <w:rsid w:val="00991954"/>
    <w:rsid w:val="0099338D"/>
    <w:rsid w:val="0099364E"/>
    <w:rsid w:val="00993EC1"/>
    <w:rsid w:val="00994A55"/>
    <w:rsid w:val="00994F66"/>
    <w:rsid w:val="00995BB9"/>
    <w:rsid w:val="00995F93"/>
    <w:rsid w:val="0099612A"/>
    <w:rsid w:val="009963F3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6EC9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AD8"/>
    <w:rsid w:val="009B5142"/>
    <w:rsid w:val="009B5726"/>
    <w:rsid w:val="009B6251"/>
    <w:rsid w:val="009B62F7"/>
    <w:rsid w:val="009B6AE2"/>
    <w:rsid w:val="009B6F05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D27"/>
    <w:rsid w:val="009D1764"/>
    <w:rsid w:val="009D1C36"/>
    <w:rsid w:val="009D1EDD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D47"/>
    <w:rsid w:val="009E2661"/>
    <w:rsid w:val="009E274B"/>
    <w:rsid w:val="009E297B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1629"/>
    <w:rsid w:val="009F2C2A"/>
    <w:rsid w:val="009F31D4"/>
    <w:rsid w:val="009F3EC6"/>
    <w:rsid w:val="009F4307"/>
    <w:rsid w:val="009F50F6"/>
    <w:rsid w:val="009F589E"/>
    <w:rsid w:val="009F6B13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6D7"/>
    <w:rsid w:val="00A27CA5"/>
    <w:rsid w:val="00A30A42"/>
    <w:rsid w:val="00A30C36"/>
    <w:rsid w:val="00A31065"/>
    <w:rsid w:val="00A31192"/>
    <w:rsid w:val="00A3194E"/>
    <w:rsid w:val="00A31BB9"/>
    <w:rsid w:val="00A321D5"/>
    <w:rsid w:val="00A329E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0F"/>
    <w:rsid w:val="00A501C8"/>
    <w:rsid w:val="00A50529"/>
    <w:rsid w:val="00A50860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7FA"/>
    <w:rsid w:val="00A64854"/>
    <w:rsid w:val="00A65286"/>
    <w:rsid w:val="00A6621F"/>
    <w:rsid w:val="00A665B9"/>
    <w:rsid w:val="00A66721"/>
    <w:rsid w:val="00A66B78"/>
    <w:rsid w:val="00A671E4"/>
    <w:rsid w:val="00A6745B"/>
    <w:rsid w:val="00A674B7"/>
    <w:rsid w:val="00A70325"/>
    <w:rsid w:val="00A708BE"/>
    <w:rsid w:val="00A70CAC"/>
    <w:rsid w:val="00A71AA4"/>
    <w:rsid w:val="00A725A5"/>
    <w:rsid w:val="00A73187"/>
    <w:rsid w:val="00A73D99"/>
    <w:rsid w:val="00A73DBC"/>
    <w:rsid w:val="00A73FA6"/>
    <w:rsid w:val="00A7574A"/>
    <w:rsid w:val="00A75B55"/>
    <w:rsid w:val="00A763A5"/>
    <w:rsid w:val="00A76E4D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0C"/>
    <w:rsid w:val="00AA7A2E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5A6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235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934"/>
    <w:rsid w:val="00AF5E44"/>
    <w:rsid w:val="00AF7C75"/>
    <w:rsid w:val="00AF7F36"/>
    <w:rsid w:val="00B0034C"/>
    <w:rsid w:val="00B006A5"/>
    <w:rsid w:val="00B00C6E"/>
    <w:rsid w:val="00B014D7"/>
    <w:rsid w:val="00B023C5"/>
    <w:rsid w:val="00B0294D"/>
    <w:rsid w:val="00B0420A"/>
    <w:rsid w:val="00B057F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972"/>
    <w:rsid w:val="00B16A96"/>
    <w:rsid w:val="00B17D44"/>
    <w:rsid w:val="00B20045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6703"/>
    <w:rsid w:val="00B26AB2"/>
    <w:rsid w:val="00B275DE"/>
    <w:rsid w:val="00B300A6"/>
    <w:rsid w:val="00B3064D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4B0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4544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77F"/>
    <w:rsid w:val="00BB7AFF"/>
    <w:rsid w:val="00BB7E2B"/>
    <w:rsid w:val="00BC023E"/>
    <w:rsid w:val="00BC0AF8"/>
    <w:rsid w:val="00BC0C43"/>
    <w:rsid w:val="00BC126D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1FF5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2700"/>
    <w:rsid w:val="00C22AD6"/>
    <w:rsid w:val="00C22F97"/>
    <w:rsid w:val="00C232D4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A91"/>
    <w:rsid w:val="00C40BC8"/>
    <w:rsid w:val="00C40D8E"/>
    <w:rsid w:val="00C411B3"/>
    <w:rsid w:val="00C414E7"/>
    <w:rsid w:val="00C41D7D"/>
    <w:rsid w:val="00C41FF6"/>
    <w:rsid w:val="00C420DF"/>
    <w:rsid w:val="00C42218"/>
    <w:rsid w:val="00C422B9"/>
    <w:rsid w:val="00C4234D"/>
    <w:rsid w:val="00C432A9"/>
    <w:rsid w:val="00C43B90"/>
    <w:rsid w:val="00C43E2A"/>
    <w:rsid w:val="00C441DD"/>
    <w:rsid w:val="00C44372"/>
    <w:rsid w:val="00C44B74"/>
    <w:rsid w:val="00C450F8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3EBC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6857"/>
    <w:rsid w:val="00C973BD"/>
    <w:rsid w:val="00C97F9B"/>
    <w:rsid w:val="00CA0A44"/>
    <w:rsid w:val="00CA0A85"/>
    <w:rsid w:val="00CA1B11"/>
    <w:rsid w:val="00CA21C2"/>
    <w:rsid w:val="00CA25AA"/>
    <w:rsid w:val="00CA33AF"/>
    <w:rsid w:val="00CA3744"/>
    <w:rsid w:val="00CA3B94"/>
    <w:rsid w:val="00CA3C7B"/>
    <w:rsid w:val="00CA3C9C"/>
    <w:rsid w:val="00CA52F1"/>
    <w:rsid w:val="00CA7207"/>
    <w:rsid w:val="00CA793C"/>
    <w:rsid w:val="00CB289E"/>
    <w:rsid w:val="00CB2B2B"/>
    <w:rsid w:val="00CB3D6A"/>
    <w:rsid w:val="00CB4660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88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E7D9A"/>
    <w:rsid w:val="00CF07FF"/>
    <w:rsid w:val="00CF0AEA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397"/>
    <w:rsid w:val="00D15672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DA6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22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318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1B4"/>
    <w:rsid w:val="00DE63C1"/>
    <w:rsid w:val="00DE6E93"/>
    <w:rsid w:val="00DE76B1"/>
    <w:rsid w:val="00DE77FC"/>
    <w:rsid w:val="00DE7BA3"/>
    <w:rsid w:val="00DE7CCE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5BEC"/>
    <w:rsid w:val="00E05CF8"/>
    <w:rsid w:val="00E05E9A"/>
    <w:rsid w:val="00E06244"/>
    <w:rsid w:val="00E06400"/>
    <w:rsid w:val="00E06601"/>
    <w:rsid w:val="00E067F1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27518"/>
    <w:rsid w:val="00E300BB"/>
    <w:rsid w:val="00E3026D"/>
    <w:rsid w:val="00E302D2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4B41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51F5"/>
    <w:rsid w:val="00EA590B"/>
    <w:rsid w:val="00EA614A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14D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2146"/>
    <w:rsid w:val="00ED3550"/>
    <w:rsid w:val="00ED37D0"/>
    <w:rsid w:val="00ED50CE"/>
    <w:rsid w:val="00ED636F"/>
    <w:rsid w:val="00ED6F6E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330C"/>
    <w:rsid w:val="00F33752"/>
    <w:rsid w:val="00F33D01"/>
    <w:rsid w:val="00F3609D"/>
    <w:rsid w:val="00F3644B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20A"/>
    <w:rsid w:val="00F43D0A"/>
    <w:rsid w:val="00F44CCD"/>
    <w:rsid w:val="00F44D4E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DBA"/>
    <w:rsid w:val="00F8002B"/>
    <w:rsid w:val="00F80FC8"/>
    <w:rsid w:val="00F8132B"/>
    <w:rsid w:val="00F81CD5"/>
    <w:rsid w:val="00F8256D"/>
    <w:rsid w:val="00F83936"/>
    <w:rsid w:val="00F83977"/>
    <w:rsid w:val="00F83AA7"/>
    <w:rsid w:val="00F84839"/>
    <w:rsid w:val="00F86582"/>
    <w:rsid w:val="00F87168"/>
    <w:rsid w:val="00F8779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CE6"/>
    <w:rsid w:val="00FA793C"/>
    <w:rsid w:val="00FA7B67"/>
    <w:rsid w:val="00FB09D6"/>
    <w:rsid w:val="00FB11BC"/>
    <w:rsid w:val="00FB182C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8F9"/>
    <w:rsid w:val="00FE1526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F0193"/>
    <w:rsid w:val="00FF0334"/>
    <w:rsid w:val="00FF15BF"/>
    <w:rsid w:val="00FF2686"/>
    <w:rsid w:val="00FF3740"/>
    <w:rsid w:val="00FF3D7D"/>
    <w:rsid w:val="00FF431C"/>
    <w:rsid w:val="00FF4E48"/>
    <w:rsid w:val="00FF5CFB"/>
    <w:rsid w:val="00FF60AC"/>
    <w:rsid w:val="00FF6B02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B07E02-9C4E-4CC1-8515-BD424354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925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2021-06-28T11:47:00Z</dcterms:created>
  <dcterms:modified xsi:type="dcterms:W3CDTF">2021-06-28T11:47:00Z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