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342D73" w:rsidP="00857B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Mars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857B95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4C54F7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mensuelle d</w:t>
      </w:r>
      <w:r w:rsidR="002B4717"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F52894" w:rsidRDefault="002B4717" w:rsidP="00342D73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Au terme du mois de </w:t>
      </w:r>
      <w:r w:rsidR="00342D73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Mars</w:t>
      </w:r>
      <w:r w:rsidR="00E1713B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202</w:t>
      </w:r>
      <w:r w:rsidR="00857B95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l’IPC de la ville de </w:t>
      </w:r>
      <w:r w:rsidR="00746443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</w:t>
      </w:r>
      <w:r w:rsidR="00857B95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augmenté 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342D73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342D73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9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 par rapport au mois de </w:t>
      </w:r>
      <w:r w:rsidR="00342D73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Février </w:t>
      </w:r>
      <w:r w:rsidR="00857B95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de la même année,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contre </w:t>
      </w:r>
      <w:r w:rsidR="00206DD9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une hausse de </w:t>
      </w:r>
      <w:r w:rsidR="00342D73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1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342D73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% pour l’ensemble national.</w:t>
      </w:r>
    </w:p>
    <w:p w:rsidR="002B4717" w:rsidRPr="00F52894" w:rsidRDefault="002B4717" w:rsidP="006F2C8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La variation de l’indice de Kénitra est </w:t>
      </w:r>
      <w:r w:rsidR="00206DD9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la résultante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</w:t>
      </w:r>
      <w:r w:rsidR="00857B95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la hau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sse des prix des produits alimentaires </w:t>
      </w:r>
      <w:r w:rsidR="00206DD9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6F2C85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206DD9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6F2C85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206DD9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% 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et de </w:t>
      </w:r>
      <w:r w:rsidR="00857B95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celle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des produits non alimentaires</w:t>
      </w:r>
      <w:r w:rsidR="00206DD9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0,</w:t>
      </w:r>
      <w:r w:rsidR="006F2C85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="00206DD9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4C45C2" w:rsidRPr="00F52894" w:rsidRDefault="004C45C2" w:rsidP="00154BB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Les hausses de prix</w:t>
      </w:r>
      <w:r w:rsidR="008F519B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plus importantes </w:t>
      </w:r>
      <w:r w:rsidR="008F519B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des produits alimentaires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concernent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en premier lieu les "Légumes" avec 13,2% et, en deuxième lieu, les "Poissons et fruits de mer" avec 5,6%, la "Viande" avec 3,7%, 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les "Pain et céréales" avec 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,1%,</w:t>
      </w:r>
      <w:r w:rsidR="00520FB2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 "Café, thé et cacao" avec 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2% et 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le </w:t>
      </w:r>
      <w:r w:rsidR="00520FB2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Lait, fromage et œufs</w:t>
      </w:r>
      <w:r w:rsidR="00520FB2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1,7%.</w:t>
      </w:r>
    </w:p>
    <w:p w:rsidR="007D5D8C" w:rsidRPr="00F52894" w:rsidRDefault="007D5D8C" w:rsidP="001E528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Du côté </w:t>
      </w:r>
      <w:r w:rsidR="00520FB2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des produits non alimentaires, les divisions 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qui ont marqué des hausses significatives </w:t>
      </w:r>
      <w:r w:rsidR="001E5281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sont,</w:t>
      </w:r>
      <w:r w:rsidR="00520FB2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"Transports" 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avec 3,4% </w:t>
      </w:r>
      <w:r w:rsidR="00520FB2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et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E5281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la Santé avec 2,7%, tandis que</w:t>
      </w:r>
      <w:r w:rsidR="001E5281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seuls 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</w:t>
      </w:r>
      <w:r w:rsidR="001E5281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Restaurants et hôtels</w:t>
      </w:r>
      <w:r w:rsidR="001E5281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154BBD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E5281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ont subi une variation négative et qui est de l’ordre de (-1,3%)</w:t>
      </w:r>
      <w:r w:rsidR="00520FB2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4C54F7" w:rsidRPr="00F52894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F5289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annuelle</w:t>
      </w:r>
      <w:r w:rsidR="008A7F45" w:rsidRPr="00F5289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d</w:t>
      </w:r>
      <w:r w:rsidRPr="00F5289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4C54F7" w:rsidRPr="00F52894" w:rsidRDefault="00717FDA" w:rsidP="00B3075C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En termes de glissement annuel</w:t>
      </w:r>
      <w:r w:rsidR="004C54F7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, l’indice des prix à la consommation</w:t>
      </w:r>
      <w:r w:rsidR="00520FB2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la ville de </w:t>
      </w:r>
      <w:proofErr w:type="spellStart"/>
      <w:r w:rsidR="00520FB2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Kénitra</w:t>
      </w:r>
      <w:proofErr w:type="spellEnd"/>
      <w:r w:rsidR="004C54F7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5281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s’est élevé de 5,8%</w:t>
      </w:r>
      <w:r w:rsidR="004C54F7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contre </w:t>
      </w:r>
      <w:r w:rsidR="001E5281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5</w:t>
      </w:r>
      <w:r w:rsidR="00520FB2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E5281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3 </w:t>
      </w:r>
      <w:r w:rsidR="00520FB2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</w:t>
      </w:r>
      <w:r w:rsidR="00201C28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pour </w:t>
      </w:r>
      <w:r w:rsidR="0088736E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la moyenne nationale</w:t>
      </w:r>
      <w:r w:rsidR="00201C28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Ceci, </w:t>
      </w:r>
      <w:r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est </w:t>
      </w:r>
      <w:r w:rsidR="00B3075C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l’effet combiné</w:t>
      </w:r>
      <w:r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E5281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de la croissance</w:t>
      </w:r>
      <w:r w:rsidR="00616205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01C28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prix des produits alimentaires de </w:t>
      </w:r>
      <w:r w:rsidR="00616205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9</w:t>
      </w:r>
      <w:r w:rsidR="00B3075C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,4</w:t>
      </w:r>
      <w:r w:rsidR="00201C28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% et </w:t>
      </w:r>
      <w:r w:rsidR="00616205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ceux </w:t>
      </w:r>
      <w:r w:rsidR="00201C28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produits non alimentaires</w:t>
      </w:r>
      <w:r w:rsidR="003C3AFE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</w:t>
      </w:r>
      <w:r w:rsidR="00B3075C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3,2</w:t>
      </w:r>
      <w:r w:rsidR="003C3AFE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%.</w:t>
      </w:r>
      <w:r w:rsidR="00201C28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616205" w:rsidRPr="00F52894" w:rsidRDefault="00616205" w:rsidP="008C697C">
      <w:pPr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Durant l’année écoulée, </w:t>
      </w:r>
      <w:r w:rsidR="00645405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les</w:t>
      </w:r>
      <w:r w:rsidR="00E67A50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645405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prix </w:t>
      </w:r>
      <w:r w:rsidR="00E67A50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801826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E67A50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C52B13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produits alimentaires </w:t>
      </w:r>
      <w:r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ont fait l’objet </w:t>
      </w:r>
      <w:r w:rsidR="003F7250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d’une flambée sans précédent. En effet, pour les 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F7250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Huiles et graisses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F7250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elle était de 22%, pour les 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F7250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Pain et céréales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F7250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19,3%, pour les 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F7250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Poissons et fruits de mer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3F7250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10,8%</w:t>
      </w:r>
      <w:r w:rsidR="008C697C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pour le 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C697C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Café, thé et cacao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C697C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5,3%, pour les 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C697C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Légumes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C697C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5,2% et pour le 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C697C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>Tabac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C697C" w:rsidRPr="00F52894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8%. Quant aux autres classes alimentaires, la hausse des prix n’a pas dépassé 3,8%.</w:t>
      </w:r>
    </w:p>
    <w:p w:rsidR="00A708BE" w:rsidRPr="00F52894" w:rsidRDefault="00A708BE" w:rsidP="004A135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Quant aux produits non alimentaires, </w:t>
      </w:r>
      <w:r w:rsidR="008C697C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les</w:t>
      </w: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hausse</w:t>
      </w:r>
      <w:r w:rsidR="008C697C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s</w:t>
      </w: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de prix l</w:t>
      </w:r>
      <w:r w:rsidR="008C697C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es</w:t>
      </w: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plus élevée</w:t>
      </w:r>
      <w:r w:rsidR="008C697C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s</w:t>
      </w: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</w:t>
      </w:r>
      <w:r w:rsidR="008C697C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ont</w:t>
      </w: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été enregistrée</w:t>
      </w:r>
      <w:r w:rsidR="008C697C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s</w:t>
      </w: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par la division</w:t>
      </w:r>
      <w:r w:rsidRPr="00F52894">
        <w:rPr>
          <w:rFonts w:ascii="Times New Roman" w:hAnsi="Times New Roman"/>
          <w:b/>
          <w:bCs/>
          <w:color w:val="000000" w:themeColor="text1"/>
          <w:spacing w:val="0"/>
          <w:sz w:val="16"/>
          <w:szCs w:val="16"/>
          <w:lang w:eastAsia="fr-FR"/>
        </w:rPr>
        <w:t xml:space="preserve"> 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des </w:t>
      </w:r>
      <w:r w:rsidR="008C697C" w:rsidRPr="00F52894">
        <w:rPr>
          <w:rFonts w:ascii="Times New Roman" w:hAnsi="Times New Roman"/>
          <w:b/>
          <w:bCs/>
          <w:color w:val="000000" w:themeColor="text1"/>
          <w:spacing w:val="0"/>
          <w:sz w:val="16"/>
          <w:szCs w:val="16"/>
          <w:lang w:eastAsia="fr-FR"/>
        </w:rPr>
        <w:t xml:space="preserve"> 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C697C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Transports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" avec 9,5% et celle  </w:t>
      </w:r>
      <w:r w:rsidR="00A51226" w:rsidRPr="00F5289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des</w:t>
      </w:r>
      <w:r w:rsidR="00A51226" w:rsidRPr="00F52894">
        <w:rPr>
          <w:rFonts w:ascii="Times New Roman" w:hAnsi="Times New Roman"/>
          <w:b/>
          <w:bCs/>
          <w:color w:val="000000" w:themeColor="text1"/>
          <w:spacing w:val="0"/>
          <w:sz w:val="16"/>
          <w:szCs w:val="16"/>
          <w:lang w:eastAsia="fr-FR"/>
        </w:rPr>
        <w:t xml:space="preserve"> </w:t>
      </w:r>
      <w:r w:rsidR="00A51226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51226" w:rsidRPr="00F52894">
        <w:rPr>
          <w:rFonts w:ascii="Times New Roman" w:hAnsi="Times New Roman"/>
          <w:color w:val="000000" w:themeColor="text1"/>
          <w:spacing w:val="0"/>
          <w:sz w:val="24"/>
          <w:szCs w:val="24"/>
          <w:lang w:eastAsia="fr-FR"/>
        </w:rPr>
        <w:t>Biens et services divers</w:t>
      </w:r>
      <w:r w:rsidR="00A51226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 avec 8,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A51226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. Pour </w:t>
      </w:r>
      <w:r w:rsidR="00A51226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745DCF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Les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autres divisions, exception faite </w:t>
      </w:r>
      <w:r w:rsidR="004A1354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des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A1354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Restaurants et hôtels</w:t>
      </w:r>
      <w:r w:rsidR="004A1354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" dont l’indice a baissé de 1,3%, les</w:t>
      </w:r>
      <w:r w:rsidR="008C697C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hausses varient entre 0</w:t>
      </w:r>
      <w:r w:rsidR="00A51226" w:rsidRPr="00F52894">
        <w:rPr>
          <w:rFonts w:asciiTheme="majorBidi" w:hAnsiTheme="majorBidi" w:cstheme="majorBidi"/>
          <w:color w:val="000000" w:themeColor="text1"/>
          <w:sz w:val="22"/>
          <w:szCs w:val="22"/>
        </w:rPr>
        <w:t>% et 2,9%.</w:t>
      </w:r>
      <w:r w:rsidRPr="00F52894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</w:p>
    <w:p w:rsidR="00A708BE" w:rsidRPr="00F52894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</w:pPr>
      <w:r w:rsidRPr="00F52894">
        <w:rPr>
          <w:rFonts w:ascii="Times New Roman" w:hAnsi="Times New Roman"/>
          <w:b/>
          <w:bCs/>
          <w:color w:val="000000" w:themeColor="text1"/>
          <w:spacing w:val="0"/>
          <w:sz w:val="24"/>
          <w:szCs w:val="24"/>
          <w:lang w:eastAsia="fr-FR"/>
        </w:rPr>
        <w:t>Ville de Kenitra et contexte national :</w:t>
      </w:r>
    </w:p>
    <w:p w:rsidR="00F52894" w:rsidRPr="00F52894" w:rsidRDefault="002C41D1" w:rsidP="004A1354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</w:pP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Entre </w:t>
      </w:r>
      <w:r w:rsidR="00F87C7B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Février</w:t>
      </w: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</w:t>
      </w:r>
      <w:r w:rsidR="004A1354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et Mars </w:t>
      </w: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202</w:t>
      </w:r>
      <w:r w:rsidR="00745DCF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2</w:t>
      </w: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, </w:t>
      </w:r>
      <w:r w:rsidR="004A1354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toutes les villes, objet de l’Indice des Prix à la Consommation base 2017, ont enregistré des taux d’inflation positifs dont six sont en dessous de la moyenne nationale (1,8%). Il s’agit de </w:t>
      </w:r>
      <w:proofErr w:type="spellStart"/>
      <w:r w:rsidR="004A1354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Guelmim</w:t>
      </w:r>
      <w:proofErr w:type="spellEnd"/>
      <w:r w:rsidR="004A1354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avec 0,7%, Agadir et Rabat avec 1,2%,</w:t>
      </w:r>
      <w:r w:rsidR="00F52894"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Marrakech avec 1,4%, Dakhla avec 1,6% et Casablanca avec 1,7%.</w:t>
      </w:r>
    </w:p>
    <w:p w:rsidR="00F52894" w:rsidRPr="00F52894" w:rsidRDefault="00F52894" w:rsidP="004A1354">
      <w:pPr>
        <w:spacing w:before="100" w:beforeAutospacing="1" w:after="100" w:afterAutospacing="1"/>
        <w:ind w:left="0"/>
        <w:jc w:val="both"/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</w:pPr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 xml:space="preserve"> A noter que la ville de </w:t>
      </w:r>
      <w:proofErr w:type="spellStart"/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Kénitra</w:t>
      </w:r>
      <w:proofErr w:type="spellEnd"/>
      <w:r w:rsidRPr="00F52894">
        <w:rPr>
          <w:rFonts w:ascii="Times New Roman" w:hAnsi="Times New Roman"/>
          <w:color w:val="000000" w:themeColor="text1"/>
          <w:spacing w:val="0"/>
          <w:sz w:val="22"/>
          <w:szCs w:val="22"/>
          <w:lang w:eastAsia="fr-FR"/>
        </w:rPr>
        <w:t>, avec son taux de 1,9%, fait partie des villes qui ont connu une inflation supérieure à la moyenne nationale.</w:t>
      </w:r>
    </w:p>
    <w:p w:rsidR="00F52894" w:rsidRDefault="00F52894" w:rsidP="004A1354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F52894" w:rsidRDefault="00F52894" w:rsidP="004A1354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F87C7B" w:rsidRPr="0026493E" w:rsidRDefault="004A1354" w:rsidP="004A1354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</w:p>
    <w:p w:rsidR="00442FD4" w:rsidRPr="0026493E" w:rsidRDefault="00442FD4" w:rsidP="00442FD4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</w:p>
    <w:p w:rsidR="004C54F7" w:rsidRPr="004C54F7" w:rsidRDefault="004C54F7" w:rsidP="004C54F7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:rsidR="002B4717" w:rsidRDefault="002B4717" w:rsidP="002B471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</w:t>
      </w:r>
      <w:proofErr w:type="spellStart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83"/>
        <w:gridCol w:w="1054"/>
        <w:gridCol w:w="1054"/>
        <w:gridCol w:w="1055"/>
        <w:gridCol w:w="1180"/>
        <w:gridCol w:w="1061"/>
      </w:tblGrid>
      <w:tr w:rsidR="00342D73" w:rsidRPr="00342D73" w:rsidTr="00342D73">
        <w:trPr>
          <w:trHeight w:val="450"/>
        </w:trPr>
        <w:tc>
          <w:tcPr>
            <w:tcW w:w="2278" w:type="pct"/>
            <w:vMerge w:val="restar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DIVISIONS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Mars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proofErr w:type="spellStart"/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Fév</w:t>
            </w:r>
            <w:proofErr w:type="spellEnd"/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Mars</w:t>
            </w:r>
          </w:p>
        </w:tc>
        <w:tc>
          <w:tcPr>
            <w:tcW w:w="1089" w:type="pct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VARIATION (%)</w:t>
            </w:r>
          </w:p>
        </w:tc>
      </w:tr>
      <w:tr w:rsidR="00342D73" w:rsidRPr="00342D73" w:rsidTr="00342D73">
        <w:trPr>
          <w:trHeight w:val="570"/>
        </w:trPr>
        <w:tc>
          <w:tcPr>
            <w:tcW w:w="2278" w:type="pct"/>
            <w:vMerge/>
            <w:shd w:val="clear" w:color="auto" w:fill="FABF8F" w:themeFill="accent6" w:themeFillTint="99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2021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2022</w:t>
            </w:r>
          </w:p>
        </w:tc>
        <w:tc>
          <w:tcPr>
            <w:tcW w:w="577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Mensuelle</w:t>
            </w:r>
          </w:p>
        </w:tc>
        <w:tc>
          <w:tcPr>
            <w:tcW w:w="512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Annuelle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98,0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103,9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107,5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3,5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9,7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02. BOISSONS ALCOOLISÉES ET TABAC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3,4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Indices des Produits alimentaires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98,9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104,8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108,3</w:t>
            </w:r>
          </w:p>
        </w:tc>
        <w:tc>
          <w:tcPr>
            <w:tcW w:w="577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sz w:val="22"/>
                <w:szCs w:val="22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sz w:val="22"/>
                <w:szCs w:val="22"/>
                <w:lang w:eastAsia="fr-FR"/>
              </w:rPr>
              <w:t>3,3</w:t>
            </w:r>
          </w:p>
        </w:tc>
        <w:tc>
          <w:tcPr>
            <w:tcW w:w="512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9,4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106,1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107,9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108,2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0,3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2,0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103,0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105,1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0,6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1,8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99,4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99,1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101,8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2,7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2,4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105,3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111,5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115,3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3,4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9,5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101,0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2,9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0,0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-1,3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-1,3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000000" w:fill="FFFFFF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112,0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spacing w:val="0"/>
                <w:lang w:eastAsia="fr-FR"/>
              </w:rPr>
              <w:t>112,2</w:t>
            </w:r>
          </w:p>
        </w:tc>
        <w:tc>
          <w:tcPr>
            <w:tcW w:w="577" w:type="pct"/>
            <w:shd w:val="clear" w:color="000000" w:fill="FFFFFF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lang w:eastAsia="fr-FR"/>
              </w:rPr>
              <w:t>0,2</w:t>
            </w:r>
          </w:p>
        </w:tc>
        <w:tc>
          <w:tcPr>
            <w:tcW w:w="512" w:type="pct"/>
            <w:shd w:val="clear" w:color="000000" w:fill="FFFFFF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lang w:eastAsia="fr-FR"/>
              </w:rPr>
              <w:t>8,6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103,9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106,4</w:t>
            </w:r>
          </w:p>
        </w:tc>
        <w:tc>
          <w:tcPr>
            <w:tcW w:w="544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107,3</w:t>
            </w:r>
          </w:p>
        </w:tc>
        <w:tc>
          <w:tcPr>
            <w:tcW w:w="577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sz w:val="22"/>
                <w:szCs w:val="22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sz w:val="22"/>
                <w:szCs w:val="22"/>
                <w:lang w:eastAsia="fr-FR"/>
              </w:rPr>
              <w:t>0,8</w:t>
            </w:r>
          </w:p>
        </w:tc>
        <w:tc>
          <w:tcPr>
            <w:tcW w:w="512" w:type="pct"/>
            <w:shd w:val="clear" w:color="auto" w:fill="FBD4B4" w:themeFill="accent6" w:themeFillTint="66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3,2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auto" w:fill="FABF8F" w:themeFill="accent6" w:themeFillTint="99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101,8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105,7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107,7</w:t>
            </w:r>
          </w:p>
        </w:tc>
        <w:tc>
          <w:tcPr>
            <w:tcW w:w="577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sz w:val="24"/>
                <w:szCs w:val="24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sz w:val="24"/>
                <w:szCs w:val="24"/>
                <w:lang w:eastAsia="fr-FR"/>
              </w:rPr>
              <w:t>1,9</w:t>
            </w:r>
          </w:p>
        </w:tc>
        <w:tc>
          <w:tcPr>
            <w:tcW w:w="512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5,8</w:t>
            </w:r>
          </w:p>
        </w:tc>
      </w:tr>
      <w:tr w:rsidR="00342D73" w:rsidRPr="00342D73" w:rsidTr="00342D73">
        <w:trPr>
          <w:trHeight w:val="499"/>
        </w:trPr>
        <w:tc>
          <w:tcPr>
            <w:tcW w:w="2278" w:type="pct"/>
            <w:shd w:val="clear" w:color="auto" w:fill="FABF8F" w:themeFill="accent6" w:themeFillTint="99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102,6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106,1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108,0</w:t>
            </w:r>
          </w:p>
        </w:tc>
        <w:tc>
          <w:tcPr>
            <w:tcW w:w="577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 w:themeColor="text1"/>
                <w:spacing w:val="0"/>
                <w:sz w:val="24"/>
                <w:szCs w:val="24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 w:themeColor="text1"/>
                <w:spacing w:val="0"/>
                <w:sz w:val="24"/>
                <w:szCs w:val="24"/>
                <w:lang w:eastAsia="fr-FR"/>
              </w:rPr>
              <w:t>1,8</w:t>
            </w:r>
          </w:p>
        </w:tc>
        <w:tc>
          <w:tcPr>
            <w:tcW w:w="512" w:type="pct"/>
            <w:shd w:val="clear" w:color="auto" w:fill="FABF8F" w:themeFill="accent6" w:themeFillTint="99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5,3</w:t>
            </w:r>
          </w:p>
        </w:tc>
      </w:tr>
    </w:tbl>
    <w:p w:rsidR="00307D13" w:rsidRPr="00307D13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 groupe et classe de produits - ville de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904"/>
        <w:gridCol w:w="1341"/>
        <w:gridCol w:w="928"/>
        <w:gridCol w:w="928"/>
        <w:gridCol w:w="928"/>
        <w:gridCol w:w="929"/>
        <w:gridCol w:w="929"/>
      </w:tblGrid>
      <w:tr w:rsidR="00342D73" w:rsidRPr="00342D73" w:rsidTr="00342D73">
        <w:trPr>
          <w:trHeight w:val="525"/>
          <w:tblHeader/>
        </w:trPr>
        <w:tc>
          <w:tcPr>
            <w:tcW w:w="19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DIVISION/GROUPE/CLASSE DE PRODUITS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PONDERATION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MARS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FEVRIER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MARS</w:t>
            </w:r>
          </w:p>
        </w:tc>
        <w:tc>
          <w:tcPr>
            <w:tcW w:w="9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342D73" w:rsidRPr="00342D73" w:rsidTr="00342D73">
        <w:trPr>
          <w:trHeight w:val="315"/>
          <w:tblHeader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2022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BF8F"/>
            <w:vAlign w:val="bottom"/>
            <w:hideMark/>
          </w:tcPr>
          <w:p w:rsidR="00342D73" w:rsidRPr="00342D73" w:rsidRDefault="00342D73" w:rsidP="00342D73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342D73" w:rsidRPr="00342D73" w:rsidTr="00342D73">
        <w:trPr>
          <w:trHeight w:val="43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01. PRODUITS ALIMENTAIRES ET BOISSONS NON ALCOOLISEES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41,2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97,0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103,9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107,5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3,5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7,7</w:t>
            </w:r>
          </w:p>
        </w:tc>
      </w:tr>
      <w:tr w:rsidR="00342D73" w:rsidRPr="00342D73" w:rsidTr="00342D73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PRODUITS ALIMENTAIRES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38,8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96,7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104,0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107,8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3,7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8,0</w:t>
            </w:r>
          </w:p>
        </w:tc>
      </w:tr>
      <w:tr w:rsidR="00342D73" w:rsidRPr="00342D73" w:rsidTr="00342D73">
        <w:trPr>
          <w:trHeight w:val="52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PAIN ET CEREALES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7,8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99,0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116,4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118,9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19,3</w:t>
            </w:r>
          </w:p>
        </w:tc>
      </w:tr>
      <w:tr w:rsidR="00342D73" w:rsidRPr="00342D73" w:rsidTr="00342D73">
        <w:trPr>
          <w:trHeight w:val="52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VIANDE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7,4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92,0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99,4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103,1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3,7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2,6</w:t>
            </w:r>
          </w:p>
        </w:tc>
      </w:tr>
      <w:tr w:rsidR="00342D73" w:rsidRPr="00342D73" w:rsidTr="00342D73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lastRenderedPageBreak/>
              <w:t>POISSON ET FRUITS DE MER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2,2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95,5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99,3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104,9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5,6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10,8</w:t>
            </w:r>
          </w:p>
        </w:tc>
      </w:tr>
      <w:tr w:rsidR="00342D73" w:rsidRPr="00342D73" w:rsidTr="00342D73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LAIT, FROMAGE ET OEUFS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100,4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99,6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101,3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3,2</w:t>
            </w:r>
          </w:p>
        </w:tc>
      </w:tr>
      <w:tr w:rsidR="00342D73" w:rsidRPr="00342D73" w:rsidTr="00342D73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HUILES ET GRAISSES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4,6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99,8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118,1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118,3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22,0</w:t>
            </w:r>
          </w:p>
        </w:tc>
      </w:tr>
      <w:tr w:rsidR="00342D73" w:rsidRPr="00342D73" w:rsidTr="00342D73">
        <w:trPr>
          <w:trHeight w:val="52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FRUITS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93,8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93,9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-10,0</w:t>
            </w:r>
          </w:p>
        </w:tc>
      </w:tr>
      <w:tr w:rsidR="00342D73" w:rsidRPr="00342D73" w:rsidTr="00342D73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LEGUMES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92,9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98,4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111,4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13,2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5,2</w:t>
            </w:r>
          </w:p>
        </w:tc>
      </w:tr>
      <w:tr w:rsidR="00342D73" w:rsidRPr="00342D73" w:rsidTr="00342D73">
        <w:trPr>
          <w:trHeight w:val="52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SUCRE, CONFITURE, MIEL, CHOCOLAT ET CONFESERIE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1,6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3,8</w:t>
            </w:r>
          </w:p>
        </w:tc>
      </w:tr>
      <w:tr w:rsidR="00342D73" w:rsidRPr="00342D73" w:rsidTr="00342D73">
        <w:trPr>
          <w:trHeight w:val="55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PRODUITS ALIMENTAIRES N.C.A.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84,9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86,4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5,1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5,6</w:t>
            </w:r>
          </w:p>
        </w:tc>
      </w:tr>
      <w:tr w:rsidR="00342D73" w:rsidRPr="00342D73" w:rsidTr="00342D73">
        <w:trPr>
          <w:trHeight w:val="780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BOISSONS NON ALCOOLISEES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2,3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101,2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101,1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3,9</w:t>
            </w:r>
          </w:p>
        </w:tc>
      </w:tr>
      <w:tr w:rsidR="00342D73" w:rsidRPr="00342D73" w:rsidTr="00342D73">
        <w:trPr>
          <w:trHeight w:val="52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CAFE, THE ET CACAO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1,7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103,0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103,9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106,0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5,3</w:t>
            </w:r>
          </w:p>
        </w:tc>
      </w:tr>
      <w:tr w:rsidR="00342D73" w:rsidRPr="00342D73" w:rsidTr="00342D73">
        <w:trPr>
          <w:trHeight w:val="55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96,8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94,3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0,3</w:t>
            </w:r>
          </w:p>
        </w:tc>
      </w:tr>
      <w:tr w:rsidR="00342D73" w:rsidRPr="00342D73" w:rsidTr="00342D73">
        <w:trPr>
          <w:trHeight w:val="52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vAlign w:val="center"/>
            <w:hideMark/>
          </w:tcPr>
          <w:p w:rsidR="00342D73" w:rsidRPr="00342D73" w:rsidRDefault="00342D73" w:rsidP="003F7250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02. BOISSONS ALCOOLISEES</w:t>
            </w:r>
            <w:r w:rsidR="003F7250"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 xml:space="preserve"> ET </w:t>
            </w: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 xml:space="preserve">TABAC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16"/>
                <w:szCs w:val="16"/>
                <w:lang w:eastAsia="fr-FR"/>
              </w:rPr>
              <w:t>1,5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124,9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129,1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129,1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BD4B4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7,7</w:t>
            </w:r>
          </w:p>
        </w:tc>
      </w:tr>
      <w:tr w:rsidR="00342D73" w:rsidRPr="00342D73" w:rsidTr="00342D73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BOISSONS ALCOOLISEES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102,0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102,0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0,6</w:t>
            </w:r>
          </w:p>
        </w:tc>
      </w:tr>
      <w:tr w:rsidR="00342D73" w:rsidRPr="00342D73" w:rsidTr="00342D73">
        <w:trPr>
          <w:trHeight w:val="52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SPIRITUEUX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0,0</w:t>
            </w:r>
          </w:p>
        </w:tc>
      </w:tr>
      <w:tr w:rsidR="00342D73" w:rsidRPr="00342D73" w:rsidTr="00342D73">
        <w:trPr>
          <w:trHeight w:val="55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VIN ET BOISSONS FERMENTEES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103,5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1,8</w:t>
            </w:r>
          </w:p>
        </w:tc>
      </w:tr>
      <w:tr w:rsidR="00342D73" w:rsidRPr="00342D73" w:rsidTr="00342D73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BIERE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103,8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103,8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103,8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0,0</w:t>
            </w:r>
          </w:p>
        </w:tc>
      </w:tr>
      <w:tr w:rsidR="00342D73" w:rsidRPr="00342D73" w:rsidTr="00342D73">
        <w:trPr>
          <w:trHeight w:val="31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TABAC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i/>
                <w:iCs/>
                <w:color w:val="000000"/>
                <w:spacing w:val="0"/>
                <w:sz w:val="16"/>
                <w:szCs w:val="16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126,5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8,0</w:t>
            </w:r>
          </w:p>
        </w:tc>
      </w:tr>
      <w:tr w:rsidR="00342D73" w:rsidRPr="00342D73" w:rsidTr="00342D73">
        <w:trPr>
          <w:trHeight w:val="30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TABAC</w:t>
            </w: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sz w:val="16"/>
                <w:szCs w:val="16"/>
                <w:lang w:eastAsia="fr-FR"/>
              </w:rPr>
              <w:t>1,4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126,5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color w:val="000000"/>
                <w:spacing w:val="0"/>
                <w:lang w:eastAsia="fr-FR"/>
              </w:rPr>
              <w:t>130,8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0,0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8,0</w:t>
            </w:r>
          </w:p>
        </w:tc>
      </w:tr>
      <w:tr w:rsidR="00342D73" w:rsidRPr="00342D73" w:rsidTr="00342D73">
        <w:trPr>
          <w:trHeight w:val="52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INDICE DES PRODUITS ALIMENTAIRES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42,7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98,0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104,8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108,3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3,3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342D73" w:rsidRPr="003F7250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F7250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9,4</w:t>
            </w:r>
          </w:p>
        </w:tc>
      </w:tr>
      <w:tr w:rsidR="00342D73" w:rsidRPr="00342D73" w:rsidTr="00342D73">
        <w:trPr>
          <w:trHeight w:val="825"/>
        </w:trPr>
        <w:tc>
          <w:tcPr>
            <w:tcW w:w="19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vAlign w:val="center"/>
            <w:hideMark/>
          </w:tcPr>
          <w:p w:rsidR="00342D73" w:rsidRPr="00342D73" w:rsidRDefault="00342D73" w:rsidP="00342D73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GENERAL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  <w:t>105,7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  <w:t>107,7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  <w:t>1,9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342D73" w:rsidRPr="00342D73" w:rsidRDefault="00342D73" w:rsidP="00342D73">
            <w:pPr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</w:pPr>
            <w:r w:rsidRPr="00342D73">
              <w:rPr>
                <w:rFonts w:ascii="Times New Roman" w:hAnsi="Times New Roman"/>
                <w:b/>
                <w:bCs/>
                <w:color w:val="000000"/>
                <w:spacing w:val="0"/>
                <w:sz w:val="24"/>
                <w:szCs w:val="24"/>
                <w:lang w:eastAsia="fr-FR"/>
              </w:rPr>
              <w:t>5,8</w:t>
            </w:r>
          </w:p>
        </w:tc>
      </w:tr>
    </w:tbl>
    <w:p w:rsidR="00D2208B" w:rsidRPr="00307D13" w:rsidRDefault="00307D13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sectPr w:rsidR="00D2208B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225" w:rsidRDefault="00FA6225">
      <w:r>
        <w:separator/>
      </w:r>
    </w:p>
    <w:p w:rsidR="00FA6225" w:rsidRDefault="00FA6225"/>
  </w:endnote>
  <w:endnote w:type="continuationSeparator" w:id="0">
    <w:p w:rsidR="00FA6225" w:rsidRDefault="00FA6225">
      <w:r>
        <w:continuationSeparator/>
      </w:r>
    </w:p>
    <w:p w:rsidR="00FA6225" w:rsidRDefault="00FA622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192BC5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225" w:rsidRDefault="00FA6225">
      <w:r>
        <w:separator/>
      </w:r>
    </w:p>
    <w:p w:rsidR="00FA6225" w:rsidRDefault="00FA6225"/>
  </w:footnote>
  <w:footnote w:type="continuationSeparator" w:id="0">
    <w:p w:rsidR="00FA6225" w:rsidRDefault="00FA6225">
      <w:r>
        <w:continuationSeparator/>
      </w:r>
    </w:p>
    <w:p w:rsidR="00FA6225" w:rsidRDefault="00FA62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26E2"/>
    <w:rsid w:val="000627B8"/>
    <w:rsid w:val="0006311E"/>
    <w:rsid w:val="00063E5A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DB4"/>
    <w:rsid w:val="00105E77"/>
    <w:rsid w:val="0010604E"/>
    <w:rsid w:val="00106CE8"/>
    <w:rsid w:val="001076DE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20428"/>
    <w:rsid w:val="001212D2"/>
    <w:rsid w:val="00121554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B40"/>
    <w:rsid w:val="001547B5"/>
    <w:rsid w:val="00154853"/>
    <w:rsid w:val="00154BBD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50E5"/>
    <w:rsid w:val="001C5B75"/>
    <w:rsid w:val="001C5C8C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7F4"/>
    <w:rsid w:val="003A1103"/>
    <w:rsid w:val="003A17C3"/>
    <w:rsid w:val="003A1BDA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3DB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69B"/>
    <w:rsid w:val="00577459"/>
    <w:rsid w:val="005777C9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E99"/>
    <w:rsid w:val="005873E3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7034"/>
    <w:rsid w:val="005B765D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21AA"/>
    <w:rsid w:val="00612D9D"/>
    <w:rsid w:val="00612EF5"/>
    <w:rsid w:val="006130E6"/>
    <w:rsid w:val="006131BD"/>
    <w:rsid w:val="00613334"/>
    <w:rsid w:val="00613815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3CCD"/>
    <w:rsid w:val="006A404B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2339"/>
    <w:rsid w:val="006F2C85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432"/>
    <w:rsid w:val="008D6F1B"/>
    <w:rsid w:val="008D72E0"/>
    <w:rsid w:val="008E049A"/>
    <w:rsid w:val="008E0EBB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62D6"/>
    <w:rsid w:val="00986AF5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6EC9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1226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574A"/>
    <w:rsid w:val="00A75B55"/>
    <w:rsid w:val="00A763A5"/>
    <w:rsid w:val="00A76E4D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32A9"/>
    <w:rsid w:val="00C43B90"/>
    <w:rsid w:val="00C43E2A"/>
    <w:rsid w:val="00C441DD"/>
    <w:rsid w:val="00C44372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52F1"/>
    <w:rsid w:val="00CA7207"/>
    <w:rsid w:val="00CA793C"/>
    <w:rsid w:val="00CB289E"/>
    <w:rsid w:val="00CB2B2B"/>
    <w:rsid w:val="00CB3D6A"/>
    <w:rsid w:val="00CB4660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DA6"/>
    <w:rsid w:val="00D953FB"/>
    <w:rsid w:val="00D95553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44B"/>
    <w:rsid w:val="00F37E7C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3977"/>
    <w:rsid w:val="00F83AA7"/>
    <w:rsid w:val="00F84839"/>
    <w:rsid w:val="00F86582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6917F4-703E-44EE-AB24-AB6AB4F9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920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2022-04-25T11:54:00Z</dcterms:created>
  <dcterms:modified xsi:type="dcterms:W3CDTF">2022-05-04T11:40:00Z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