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911649" w:rsidP="00857B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Avril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3B3265" w:rsidRDefault="00986F1B" w:rsidP="00986F1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B3265">
        <w:rPr>
          <w:rFonts w:asciiTheme="majorBidi" w:hAnsiTheme="majorBidi" w:cstheme="majorBidi"/>
          <w:sz w:val="22"/>
          <w:szCs w:val="22"/>
        </w:rPr>
        <w:t>L’</w:t>
      </w:r>
      <w:r w:rsidR="002B4717" w:rsidRPr="003B3265">
        <w:rPr>
          <w:rFonts w:asciiTheme="majorBidi" w:hAnsiTheme="majorBidi" w:cstheme="majorBidi"/>
          <w:sz w:val="22"/>
          <w:szCs w:val="22"/>
        </w:rPr>
        <w:t>I</w:t>
      </w:r>
      <w:r w:rsidRPr="003B3265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3B3265">
        <w:rPr>
          <w:rFonts w:asciiTheme="majorBidi" w:hAnsiTheme="majorBidi" w:cstheme="majorBidi"/>
          <w:sz w:val="22"/>
          <w:szCs w:val="22"/>
        </w:rPr>
        <w:t>P</w:t>
      </w:r>
      <w:r w:rsidRPr="003B3265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3B3265">
        <w:rPr>
          <w:rFonts w:asciiTheme="majorBidi" w:hAnsiTheme="majorBidi" w:cstheme="majorBidi"/>
          <w:sz w:val="22"/>
          <w:szCs w:val="22"/>
        </w:rPr>
        <w:t>C</w:t>
      </w:r>
      <w:r w:rsidRPr="003B3265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3B3265">
        <w:rPr>
          <w:rFonts w:asciiTheme="majorBidi" w:hAnsiTheme="majorBidi" w:cstheme="majorBidi"/>
          <w:sz w:val="22"/>
          <w:szCs w:val="22"/>
        </w:rPr>
        <w:t>Kenitra</w:t>
      </w:r>
      <w:r w:rsidRPr="003B3265">
        <w:rPr>
          <w:rFonts w:asciiTheme="majorBidi" w:hAnsiTheme="majorBidi" w:cstheme="majorBidi"/>
          <w:sz w:val="22"/>
          <w:szCs w:val="22"/>
        </w:rPr>
        <w:t>, du mois d’Avril 2022,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a </w:t>
      </w:r>
      <w:r w:rsidR="00857B95" w:rsidRPr="003B3265">
        <w:rPr>
          <w:rFonts w:asciiTheme="majorBidi" w:hAnsiTheme="majorBidi" w:cstheme="majorBidi"/>
          <w:sz w:val="22"/>
          <w:szCs w:val="22"/>
        </w:rPr>
        <w:t xml:space="preserve">augmenté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de </w:t>
      </w:r>
      <w:r w:rsidR="00342D73" w:rsidRPr="003B3265">
        <w:rPr>
          <w:rFonts w:asciiTheme="majorBidi" w:hAnsiTheme="majorBidi" w:cstheme="majorBidi"/>
          <w:sz w:val="22"/>
          <w:szCs w:val="22"/>
        </w:rPr>
        <w:t>1</w:t>
      </w:r>
      <w:r w:rsidR="002B4717" w:rsidRPr="003B3265">
        <w:rPr>
          <w:rFonts w:asciiTheme="majorBidi" w:hAnsiTheme="majorBidi" w:cstheme="majorBidi"/>
          <w:sz w:val="22"/>
          <w:szCs w:val="22"/>
        </w:rPr>
        <w:t>,</w:t>
      </w:r>
      <w:r w:rsidR="00342D73" w:rsidRPr="003B3265">
        <w:rPr>
          <w:rFonts w:asciiTheme="majorBidi" w:hAnsiTheme="majorBidi" w:cstheme="majorBidi"/>
          <w:sz w:val="22"/>
          <w:szCs w:val="22"/>
        </w:rPr>
        <w:t>9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% par rapport au mois de </w:t>
      </w:r>
      <w:r w:rsidRPr="003B3265">
        <w:rPr>
          <w:rFonts w:asciiTheme="majorBidi" w:hAnsiTheme="majorBidi" w:cstheme="majorBidi"/>
          <w:sz w:val="22"/>
          <w:szCs w:val="22"/>
        </w:rPr>
        <w:t>Mars</w:t>
      </w:r>
      <w:r w:rsidR="00342D73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857B95" w:rsidRPr="003B3265">
        <w:rPr>
          <w:rFonts w:asciiTheme="majorBidi" w:hAnsiTheme="majorBidi" w:cstheme="majorBidi"/>
          <w:sz w:val="22"/>
          <w:szCs w:val="22"/>
        </w:rPr>
        <w:t>de la même année,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contre </w:t>
      </w:r>
      <w:r w:rsidR="00206DD9" w:rsidRPr="003B3265">
        <w:rPr>
          <w:rFonts w:asciiTheme="majorBidi" w:hAnsiTheme="majorBidi" w:cstheme="majorBidi"/>
          <w:sz w:val="22"/>
          <w:szCs w:val="22"/>
        </w:rPr>
        <w:t xml:space="preserve">une hausse de </w:t>
      </w:r>
      <w:r w:rsidR="00342D73" w:rsidRPr="003B3265">
        <w:rPr>
          <w:rFonts w:asciiTheme="majorBidi" w:hAnsiTheme="majorBidi" w:cstheme="majorBidi"/>
          <w:sz w:val="22"/>
          <w:szCs w:val="22"/>
        </w:rPr>
        <w:t>1</w:t>
      </w:r>
      <w:r w:rsidR="002B4717" w:rsidRPr="003B3265">
        <w:rPr>
          <w:rFonts w:asciiTheme="majorBidi" w:hAnsiTheme="majorBidi" w:cstheme="majorBidi"/>
          <w:sz w:val="22"/>
          <w:szCs w:val="22"/>
        </w:rPr>
        <w:t>,</w:t>
      </w:r>
      <w:r w:rsidR="00342D73" w:rsidRPr="003B3265">
        <w:rPr>
          <w:rFonts w:asciiTheme="majorBidi" w:hAnsiTheme="majorBidi" w:cstheme="majorBidi"/>
          <w:sz w:val="22"/>
          <w:szCs w:val="22"/>
        </w:rPr>
        <w:t>8</w:t>
      </w:r>
      <w:r w:rsidR="002B4717" w:rsidRPr="003B3265">
        <w:rPr>
          <w:rFonts w:asciiTheme="majorBidi" w:hAnsiTheme="majorBidi" w:cstheme="majorBidi"/>
          <w:sz w:val="22"/>
          <w:szCs w:val="22"/>
        </w:rPr>
        <w:t>% pour l’ensemble national.</w:t>
      </w:r>
    </w:p>
    <w:p w:rsidR="002B4717" w:rsidRPr="003B3265" w:rsidRDefault="00986F1B" w:rsidP="00986F1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B3265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variation de l’indice de </w:t>
      </w:r>
      <w:r w:rsidRPr="003B3265">
        <w:rPr>
          <w:rFonts w:asciiTheme="majorBidi" w:hAnsiTheme="majorBidi" w:cstheme="majorBidi"/>
          <w:sz w:val="22"/>
          <w:szCs w:val="22"/>
        </w:rPr>
        <w:t>Kenitra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est</w:t>
      </w:r>
      <w:r w:rsidR="003B3265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Pr="003B3265">
        <w:rPr>
          <w:rFonts w:asciiTheme="majorBidi" w:hAnsiTheme="majorBidi" w:cstheme="majorBidi"/>
          <w:sz w:val="22"/>
          <w:szCs w:val="22"/>
        </w:rPr>
        <w:t xml:space="preserve">la combinaison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de </w:t>
      </w:r>
      <w:r w:rsidR="00857B95" w:rsidRPr="003B3265">
        <w:rPr>
          <w:rFonts w:asciiTheme="majorBidi" w:hAnsiTheme="majorBidi" w:cstheme="majorBidi"/>
          <w:sz w:val="22"/>
          <w:szCs w:val="22"/>
        </w:rPr>
        <w:t>la hau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sse des prix des produits alimentaires </w:t>
      </w:r>
      <w:r w:rsidR="00206DD9" w:rsidRPr="003B3265">
        <w:rPr>
          <w:rFonts w:asciiTheme="majorBidi" w:hAnsiTheme="majorBidi" w:cstheme="majorBidi"/>
          <w:sz w:val="22"/>
          <w:szCs w:val="22"/>
        </w:rPr>
        <w:t xml:space="preserve">de </w:t>
      </w:r>
      <w:r w:rsidR="006F2C85" w:rsidRPr="003B3265">
        <w:rPr>
          <w:rFonts w:asciiTheme="majorBidi" w:hAnsiTheme="majorBidi" w:cstheme="majorBidi"/>
          <w:sz w:val="22"/>
          <w:szCs w:val="22"/>
        </w:rPr>
        <w:t>3</w:t>
      </w:r>
      <w:r w:rsidR="00206DD9" w:rsidRPr="003B3265">
        <w:rPr>
          <w:rFonts w:asciiTheme="majorBidi" w:hAnsiTheme="majorBidi" w:cstheme="majorBidi"/>
          <w:sz w:val="22"/>
          <w:szCs w:val="22"/>
        </w:rPr>
        <w:t>,</w:t>
      </w:r>
      <w:r w:rsidRPr="003B3265">
        <w:rPr>
          <w:rFonts w:asciiTheme="majorBidi" w:hAnsiTheme="majorBidi" w:cstheme="majorBidi"/>
          <w:sz w:val="22"/>
          <w:szCs w:val="22"/>
        </w:rPr>
        <w:t>2</w:t>
      </w:r>
      <w:r w:rsidR="00206DD9" w:rsidRPr="003B3265">
        <w:rPr>
          <w:rFonts w:asciiTheme="majorBidi" w:hAnsiTheme="majorBidi" w:cstheme="majorBidi"/>
          <w:sz w:val="22"/>
          <w:szCs w:val="22"/>
        </w:rPr>
        <w:t xml:space="preserve"> % 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et de </w:t>
      </w:r>
      <w:r w:rsidR="00857B95" w:rsidRPr="003B3265">
        <w:rPr>
          <w:rFonts w:asciiTheme="majorBidi" w:hAnsiTheme="majorBidi" w:cstheme="majorBidi"/>
          <w:sz w:val="22"/>
          <w:szCs w:val="22"/>
        </w:rPr>
        <w:t>celle</w:t>
      </w:r>
      <w:r w:rsidR="002B4717" w:rsidRPr="003B3265">
        <w:rPr>
          <w:rFonts w:asciiTheme="majorBidi" w:hAnsiTheme="majorBidi" w:cstheme="majorBidi"/>
          <w:sz w:val="22"/>
          <w:szCs w:val="22"/>
        </w:rPr>
        <w:t xml:space="preserve"> des produits non alimentaires</w:t>
      </w:r>
      <w:r w:rsidR="00206DD9" w:rsidRPr="003B3265">
        <w:rPr>
          <w:rFonts w:asciiTheme="majorBidi" w:hAnsiTheme="majorBidi" w:cstheme="majorBidi"/>
          <w:sz w:val="22"/>
          <w:szCs w:val="22"/>
        </w:rPr>
        <w:t xml:space="preserve"> de </w:t>
      </w:r>
      <w:r w:rsidRPr="003B3265">
        <w:rPr>
          <w:rFonts w:asciiTheme="majorBidi" w:hAnsiTheme="majorBidi" w:cstheme="majorBidi"/>
          <w:sz w:val="22"/>
          <w:szCs w:val="22"/>
        </w:rPr>
        <w:t>1</w:t>
      </w:r>
      <w:r w:rsidR="00206DD9" w:rsidRPr="003B3265">
        <w:rPr>
          <w:rFonts w:asciiTheme="majorBidi" w:hAnsiTheme="majorBidi" w:cstheme="majorBidi"/>
          <w:sz w:val="22"/>
          <w:szCs w:val="22"/>
        </w:rPr>
        <w:t>%</w:t>
      </w:r>
      <w:r w:rsidR="002B4717" w:rsidRPr="003B3265">
        <w:rPr>
          <w:rFonts w:asciiTheme="majorBidi" w:hAnsiTheme="majorBidi" w:cstheme="majorBidi"/>
          <w:sz w:val="22"/>
          <w:szCs w:val="22"/>
        </w:rPr>
        <w:t>.</w:t>
      </w:r>
    </w:p>
    <w:p w:rsidR="004C45C2" w:rsidRPr="003B3265" w:rsidRDefault="004C45C2" w:rsidP="003B326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B3265">
        <w:rPr>
          <w:rFonts w:asciiTheme="majorBidi" w:hAnsiTheme="majorBidi" w:cstheme="majorBidi"/>
          <w:sz w:val="22"/>
          <w:szCs w:val="22"/>
        </w:rPr>
        <w:t>Les hausses de prix</w:t>
      </w:r>
      <w:r w:rsidR="008F519B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les plus importantes </w:t>
      </w:r>
      <w:r w:rsidR="008F519B" w:rsidRPr="003B3265">
        <w:rPr>
          <w:rFonts w:asciiTheme="majorBidi" w:hAnsiTheme="majorBidi" w:cstheme="majorBidi"/>
          <w:sz w:val="22"/>
          <w:szCs w:val="22"/>
        </w:rPr>
        <w:t>des produits alimentaires</w:t>
      </w:r>
      <w:r w:rsidRPr="003B3265">
        <w:rPr>
          <w:rFonts w:asciiTheme="majorBidi" w:hAnsiTheme="majorBidi" w:cstheme="majorBidi"/>
          <w:sz w:val="22"/>
          <w:szCs w:val="22"/>
        </w:rPr>
        <w:t xml:space="preserve"> concernent</w:t>
      </w:r>
      <w:r w:rsidR="00154BBD" w:rsidRPr="003B3265">
        <w:rPr>
          <w:rFonts w:asciiTheme="majorBidi" w:hAnsiTheme="majorBidi" w:cstheme="majorBidi"/>
          <w:sz w:val="22"/>
          <w:szCs w:val="22"/>
        </w:rPr>
        <w:t>,</w:t>
      </w:r>
      <w:r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154BBD" w:rsidRPr="003B3265">
        <w:rPr>
          <w:rFonts w:asciiTheme="majorBidi" w:hAnsiTheme="majorBidi" w:cstheme="majorBidi"/>
          <w:sz w:val="22"/>
          <w:szCs w:val="22"/>
        </w:rPr>
        <w:t>en premier lieu les</w:t>
      </w:r>
      <w:r w:rsidR="00986F1B" w:rsidRPr="003B3265">
        <w:rPr>
          <w:rFonts w:asciiTheme="majorBidi" w:hAnsiTheme="majorBidi" w:cstheme="majorBidi"/>
          <w:sz w:val="22"/>
          <w:szCs w:val="22"/>
        </w:rPr>
        <w:t xml:space="preserve"> "Poissons et fruits de mer" avec 10,7%, suivis des 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 "</w:t>
      </w:r>
      <w:r w:rsidR="00986F1B" w:rsidRPr="003B3265">
        <w:rPr>
          <w:rFonts w:asciiTheme="majorBidi" w:hAnsiTheme="majorBidi" w:cstheme="majorBidi"/>
          <w:sz w:val="22"/>
          <w:szCs w:val="22"/>
        </w:rPr>
        <w:t>Fruits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" avec </w:t>
      </w:r>
      <w:r w:rsidR="00986F1B" w:rsidRPr="003B3265">
        <w:rPr>
          <w:rFonts w:asciiTheme="majorBidi" w:hAnsiTheme="majorBidi" w:cstheme="majorBidi"/>
          <w:sz w:val="22"/>
          <w:szCs w:val="22"/>
        </w:rPr>
        <w:t>6</w:t>
      </w:r>
      <w:r w:rsidR="00154BBD" w:rsidRPr="003B3265">
        <w:rPr>
          <w:rFonts w:asciiTheme="majorBidi" w:hAnsiTheme="majorBidi" w:cstheme="majorBidi"/>
          <w:sz w:val="22"/>
          <w:szCs w:val="22"/>
        </w:rPr>
        <w:t>,</w:t>
      </w:r>
      <w:r w:rsidR="00986F1B" w:rsidRPr="003B3265">
        <w:rPr>
          <w:rFonts w:asciiTheme="majorBidi" w:hAnsiTheme="majorBidi" w:cstheme="majorBidi"/>
          <w:sz w:val="22"/>
          <w:szCs w:val="22"/>
        </w:rPr>
        <w:t>4</w:t>
      </w:r>
      <w:r w:rsidR="00154BBD" w:rsidRPr="003B3265">
        <w:rPr>
          <w:rFonts w:asciiTheme="majorBidi" w:hAnsiTheme="majorBidi" w:cstheme="majorBidi"/>
          <w:sz w:val="22"/>
          <w:szCs w:val="22"/>
        </w:rPr>
        <w:t>%</w:t>
      </w:r>
      <w:r w:rsidR="00986F1B" w:rsidRPr="003B3265">
        <w:rPr>
          <w:rFonts w:asciiTheme="majorBidi" w:hAnsiTheme="majorBidi" w:cstheme="majorBidi"/>
          <w:sz w:val="22"/>
          <w:szCs w:val="22"/>
        </w:rPr>
        <w:t xml:space="preserve">,  </w:t>
      </w:r>
      <w:r w:rsidR="003B3265">
        <w:rPr>
          <w:rFonts w:asciiTheme="majorBidi" w:hAnsiTheme="majorBidi" w:cstheme="majorBidi"/>
          <w:sz w:val="22"/>
          <w:szCs w:val="22"/>
        </w:rPr>
        <w:t>d</w:t>
      </w:r>
      <w:r w:rsidR="00154BBD" w:rsidRPr="003B3265">
        <w:rPr>
          <w:rFonts w:asciiTheme="majorBidi" w:hAnsiTheme="majorBidi" w:cstheme="majorBidi"/>
          <w:sz w:val="22"/>
          <w:szCs w:val="22"/>
        </w:rPr>
        <w:t>es</w:t>
      </w:r>
      <w:r w:rsidR="00986F1B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986F1B" w:rsidRPr="003B3265">
        <w:rPr>
          <w:rFonts w:asciiTheme="majorBidi" w:hAnsiTheme="majorBidi" w:cstheme="majorBidi"/>
          <w:sz w:val="22"/>
          <w:szCs w:val="22"/>
        </w:rPr>
        <w:t>"</w:t>
      </w:r>
      <w:r w:rsidR="00986F1B" w:rsidRPr="003B3265">
        <w:rPr>
          <w:rFonts w:asciiTheme="majorBidi" w:hAnsiTheme="majorBidi" w:cstheme="majorBidi"/>
          <w:sz w:val="24"/>
          <w:szCs w:val="24"/>
        </w:rPr>
        <w:t>Légumes</w:t>
      </w:r>
      <w:r w:rsidR="00986F1B" w:rsidRPr="003B3265">
        <w:rPr>
          <w:rFonts w:asciiTheme="majorBidi" w:hAnsiTheme="majorBidi" w:cstheme="majorBidi"/>
          <w:sz w:val="22"/>
          <w:szCs w:val="22"/>
        </w:rPr>
        <w:t>"</w:t>
      </w:r>
      <w:r w:rsidR="00986F1B" w:rsidRPr="003B3265">
        <w:rPr>
          <w:rFonts w:asciiTheme="majorBidi" w:hAnsiTheme="majorBidi" w:cstheme="majorBidi"/>
          <w:sz w:val="24"/>
          <w:szCs w:val="24"/>
        </w:rPr>
        <w:t xml:space="preserve"> avec 5,5%, 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3B3265">
        <w:rPr>
          <w:rFonts w:asciiTheme="majorBidi" w:hAnsiTheme="majorBidi" w:cstheme="majorBidi"/>
          <w:sz w:val="22"/>
          <w:szCs w:val="22"/>
        </w:rPr>
        <w:t>des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 "Viande</w:t>
      </w:r>
      <w:r w:rsidR="003B3265">
        <w:rPr>
          <w:rFonts w:asciiTheme="majorBidi" w:hAnsiTheme="majorBidi" w:cstheme="majorBidi"/>
          <w:sz w:val="22"/>
          <w:szCs w:val="22"/>
        </w:rPr>
        <w:t>s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" avec </w:t>
      </w:r>
      <w:r w:rsidR="00986F1B" w:rsidRPr="003B3265">
        <w:rPr>
          <w:rFonts w:asciiTheme="majorBidi" w:hAnsiTheme="majorBidi" w:cstheme="majorBidi"/>
          <w:sz w:val="22"/>
          <w:szCs w:val="22"/>
        </w:rPr>
        <w:t>5</w:t>
      </w:r>
      <w:r w:rsidR="00154BBD" w:rsidRPr="003B3265">
        <w:rPr>
          <w:rFonts w:asciiTheme="majorBidi" w:hAnsiTheme="majorBidi" w:cstheme="majorBidi"/>
          <w:sz w:val="22"/>
          <w:szCs w:val="22"/>
        </w:rPr>
        <w:t>,</w:t>
      </w:r>
      <w:r w:rsidR="00986F1B" w:rsidRPr="003B3265">
        <w:rPr>
          <w:rFonts w:asciiTheme="majorBidi" w:hAnsiTheme="majorBidi" w:cstheme="majorBidi"/>
          <w:sz w:val="22"/>
          <w:szCs w:val="22"/>
        </w:rPr>
        <w:t>1</w:t>
      </w:r>
      <w:r w:rsidR="00810AC6" w:rsidRPr="003B3265">
        <w:rPr>
          <w:rFonts w:asciiTheme="majorBidi" w:hAnsiTheme="majorBidi" w:cstheme="majorBidi"/>
          <w:sz w:val="22"/>
          <w:szCs w:val="22"/>
        </w:rPr>
        <w:t xml:space="preserve">% et </w:t>
      </w:r>
      <w:r w:rsidR="003B3265">
        <w:rPr>
          <w:rFonts w:asciiTheme="majorBidi" w:hAnsiTheme="majorBidi" w:cstheme="majorBidi"/>
          <w:sz w:val="22"/>
          <w:szCs w:val="22"/>
        </w:rPr>
        <w:t>de</w:t>
      </w:r>
      <w:r w:rsidR="00810AC6" w:rsidRPr="003B3265">
        <w:rPr>
          <w:rFonts w:asciiTheme="majorBidi" w:hAnsiTheme="majorBidi" w:cstheme="majorBidi"/>
          <w:sz w:val="22"/>
          <w:szCs w:val="22"/>
        </w:rPr>
        <w:t xml:space="preserve">s "Huiles et graisses" avec 3%. Les indices des autres classes alimentaires ont connu des hausses allant de 0,1 à 1,6% exception faite des "Pain et céréales" qui ont été sujets à une baisse de 0,3%. </w:t>
      </w:r>
    </w:p>
    <w:p w:rsidR="00837A46" w:rsidRPr="003B3265" w:rsidRDefault="007D5D8C" w:rsidP="00837A4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Du côté </w:t>
      </w:r>
      <w:r w:rsidR="00520FB2" w:rsidRPr="003B3265">
        <w:rPr>
          <w:rFonts w:asciiTheme="majorBidi" w:hAnsiTheme="majorBidi" w:cstheme="majorBidi"/>
          <w:sz w:val="22"/>
          <w:szCs w:val="22"/>
        </w:rPr>
        <w:t>des produits non alimentaires, les divisions </w:t>
      </w:r>
      <w:r w:rsidR="00154BBD" w:rsidRPr="003B3265">
        <w:rPr>
          <w:rFonts w:asciiTheme="majorBidi" w:hAnsiTheme="majorBidi" w:cstheme="majorBidi"/>
          <w:sz w:val="22"/>
          <w:szCs w:val="22"/>
        </w:rPr>
        <w:t xml:space="preserve">qui ont marqué des hausses significatives </w:t>
      </w:r>
      <w:r w:rsidR="001E5281" w:rsidRPr="003B3265">
        <w:rPr>
          <w:rFonts w:asciiTheme="majorBidi" w:hAnsiTheme="majorBidi" w:cstheme="majorBidi"/>
          <w:sz w:val="22"/>
          <w:szCs w:val="22"/>
        </w:rPr>
        <w:t>sont,</w:t>
      </w:r>
      <w:r w:rsidR="00520FB2" w:rsidRPr="003B3265">
        <w:rPr>
          <w:rFonts w:asciiTheme="majorBidi" w:hAnsiTheme="majorBidi" w:cstheme="majorBidi"/>
          <w:sz w:val="22"/>
          <w:szCs w:val="22"/>
        </w:rPr>
        <w:t xml:space="preserve"> les "Transports" </w:t>
      </w:r>
      <w:r w:rsidR="00154BBD" w:rsidRPr="003B3265">
        <w:rPr>
          <w:rFonts w:asciiTheme="majorBidi" w:hAnsiTheme="majorBidi" w:cstheme="majorBidi"/>
          <w:sz w:val="22"/>
          <w:szCs w:val="22"/>
        </w:rPr>
        <w:t>avec 3,4%</w:t>
      </w:r>
      <w:r w:rsidR="00837A46" w:rsidRPr="003B3265">
        <w:rPr>
          <w:rFonts w:asciiTheme="majorBidi" w:hAnsiTheme="majorBidi" w:cstheme="majorBidi"/>
          <w:sz w:val="22"/>
          <w:szCs w:val="22"/>
        </w:rPr>
        <w:t xml:space="preserve">, </w:t>
      </w:r>
      <w:r w:rsidR="00837A46" w:rsidRPr="003B3265">
        <w:rPr>
          <w:rFonts w:ascii="Times New Roman" w:hAnsi="Times New Roman"/>
          <w:spacing w:val="0"/>
          <w:sz w:val="24"/>
          <w:szCs w:val="24"/>
          <w:lang w:eastAsia="fr-FR"/>
        </w:rPr>
        <w:t>les "Loisirs et cultures" avec 2% et</w:t>
      </w:r>
      <w:r w:rsidR="00837A46" w:rsidRPr="003B3265">
        <w:rPr>
          <w:rFonts w:asciiTheme="majorBidi" w:hAnsiTheme="majorBidi" w:cstheme="majorBidi"/>
          <w:sz w:val="22"/>
          <w:szCs w:val="22"/>
        </w:rPr>
        <w:t xml:space="preserve"> les "A</w:t>
      </w:r>
      <w:r w:rsidR="00837A46" w:rsidRPr="003B3265">
        <w:rPr>
          <w:rFonts w:ascii="Times New Roman" w:hAnsi="Times New Roman"/>
          <w:spacing w:val="0"/>
          <w:sz w:val="24"/>
          <w:szCs w:val="24"/>
          <w:lang w:eastAsia="fr-FR"/>
        </w:rPr>
        <w:t>rticles d'habillement et chaussures" et "Meubles, articles de ménage et entretien courant du foyer" avec 1,8%.</w:t>
      </w:r>
      <w:r w:rsidR="0023425B" w:rsidRPr="003B3265">
        <w:rPr>
          <w:rFonts w:ascii="Times New Roman" w:hAnsi="Times New Roman"/>
          <w:spacing w:val="0"/>
          <w:sz w:val="24"/>
          <w:szCs w:val="24"/>
          <w:lang w:eastAsia="fr-FR"/>
        </w:rPr>
        <w:t xml:space="preserve"> En contrepartie, la </w:t>
      </w:r>
      <w:r w:rsidR="0023425B" w:rsidRPr="003B3265">
        <w:rPr>
          <w:rFonts w:asciiTheme="majorBidi" w:hAnsiTheme="majorBidi" w:cstheme="majorBidi"/>
          <w:sz w:val="22"/>
          <w:szCs w:val="22"/>
        </w:rPr>
        <w:t>"</w:t>
      </w:r>
      <w:r w:rsidR="0023425B" w:rsidRPr="003B3265">
        <w:rPr>
          <w:rFonts w:ascii="Times New Roman" w:hAnsi="Times New Roman"/>
          <w:spacing w:val="0"/>
          <w:sz w:val="24"/>
          <w:szCs w:val="24"/>
          <w:lang w:eastAsia="fr-FR"/>
        </w:rPr>
        <w:t>Santé</w:t>
      </w:r>
      <w:r w:rsidR="0023425B" w:rsidRPr="003B3265">
        <w:rPr>
          <w:rFonts w:asciiTheme="majorBidi" w:hAnsiTheme="majorBidi" w:cstheme="majorBidi"/>
          <w:sz w:val="22"/>
          <w:szCs w:val="22"/>
        </w:rPr>
        <w:t>"</w:t>
      </w:r>
      <w:r w:rsidR="0023425B" w:rsidRPr="003B3265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les </w:t>
      </w:r>
      <w:r w:rsidR="0023425B" w:rsidRPr="003B3265">
        <w:rPr>
          <w:rFonts w:asciiTheme="majorBidi" w:hAnsiTheme="majorBidi" w:cstheme="majorBidi"/>
          <w:sz w:val="22"/>
          <w:szCs w:val="22"/>
        </w:rPr>
        <w:t>"</w:t>
      </w:r>
      <w:r w:rsidR="0023425B" w:rsidRPr="003B3265">
        <w:rPr>
          <w:rFonts w:ascii="Times New Roman" w:hAnsi="Times New Roman"/>
          <w:spacing w:val="0"/>
          <w:sz w:val="24"/>
          <w:szCs w:val="24"/>
          <w:lang w:eastAsia="fr-FR"/>
        </w:rPr>
        <w:t>Restaurants et hôtels</w:t>
      </w:r>
      <w:r w:rsidR="0023425B" w:rsidRPr="003B3265">
        <w:rPr>
          <w:rFonts w:asciiTheme="majorBidi" w:hAnsiTheme="majorBidi" w:cstheme="majorBidi"/>
          <w:sz w:val="22"/>
          <w:szCs w:val="22"/>
        </w:rPr>
        <w:t>" ont baissé respectivement de  0,1%  et 0,3%.</w:t>
      </w:r>
      <w:r w:rsidR="0023425B" w:rsidRPr="003B3265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837A46" w:rsidRPr="003B3265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810AC6" w:rsidRPr="003B3265" w:rsidRDefault="00810AC6" w:rsidP="00810AC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B3265">
        <w:rPr>
          <w:rFonts w:asciiTheme="majorBidi" w:hAnsiTheme="majorBidi" w:cstheme="majorBidi"/>
          <w:sz w:val="22"/>
          <w:szCs w:val="22"/>
        </w:rPr>
        <w:t>Il y a lieu de préciser qu’en plus d’une conjoncture économique défavorable, ces variations de prix ont eu lieu au cours du mois de Ramadan qui se caractérise</w:t>
      </w:r>
      <w:r w:rsidR="00AF47F6" w:rsidRPr="003B3265">
        <w:rPr>
          <w:rFonts w:asciiTheme="majorBidi" w:hAnsiTheme="majorBidi" w:cstheme="majorBidi"/>
          <w:sz w:val="22"/>
          <w:szCs w:val="22"/>
        </w:rPr>
        <w:t xml:space="preserve"> d’habitude </w:t>
      </w:r>
      <w:r w:rsidRPr="003B3265">
        <w:rPr>
          <w:rFonts w:asciiTheme="majorBidi" w:hAnsiTheme="majorBidi" w:cstheme="majorBidi"/>
          <w:sz w:val="22"/>
          <w:szCs w:val="22"/>
        </w:rPr>
        <w:t xml:space="preserve"> par un renchérissement des prix des denrées alimentaires suite à la forte demande occasionnée.</w:t>
      </w:r>
    </w:p>
    <w:p w:rsidR="004C54F7" w:rsidRPr="003B3265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3B3265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3B3265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3B3265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3B3265" w:rsidRDefault="00717FDA" w:rsidP="0006190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B3265">
        <w:rPr>
          <w:rFonts w:asciiTheme="majorBidi" w:hAnsiTheme="majorBidi" w:cstheme="majorBidi"/>
          <w:sz w:val="24"/>
          <w:szCs w:val="24"/>
        </w:rPr>
        <w:t xml:space="preserve">En termes </w:t>
      </w:r>
      <w:r w:rsidR="00061903" w:rsidRPr="003B3265">
        <w:rPr>
          <w:rFonts w:asciiTheme="majorBidi" w:hAnsiTheme="majorBidi" w:cstheme="majorBidi"/>
          <w:sz w:val="24"/>
          <w:szCs w:val="24"/>
        </w:rPr>
        <w:t>de variation</w:t>
      </w:r>
      <w:r w:rsidRPr="003B3265">
        <w:rPr>
          <w:rFonts w:asciiTheme="majorBidi" w:hAnsiTheme="majorBidi" w:cstheme="majorBidi"/>
          <w:sz w:val="24"/>
          <w:szCs w:val="24"/>
        </w:rPr>
        <w:t xml:space="preserve"> annuel</w:t>
      </w:r>
      <w:r w:rsidR="00061903" w:rsidRPr="003B3265">
        <w:rPr>
          <w:rFonts w:asciiTheme="majorBidi" w:hAnsiTheme="majorBidi" w:cstheme="majorBidi"/>
          <w:sz w:val="24"/>
          <w:szCs w:val="24"/>
        </w:rPr>
        <w:t>le</w:t>
      </w:r>
      <w:r w:rsidR="004C54F7" w:rsidRPr="003B3265">
        <w:rPr>
          <w:rFonts w:asciiTheme="majorBidi" w:hAnsiTheme="majorBidi" w:cstheme="majorBidi"/>
          <w:sz w:val="24"/>
          <w:szCs w:val="24"/>
        </w:rPr>
        <w:t>, l’indice des prix à la consommation</w:t>
      </w:r>
      <w:r w:rsidR="00520FB2" w:rsidRPr="003B3265">
        <w:rPr>
          <w:rFonts w:asciiTheme="majorBidi" w:hAnsiTheme="majorBidi" w:cstheme="majorBidi"/>
          <w:sz w:val="24"/>
          <w:szCs w:val="24"/>
        </w:rPr>
        <w:t xml:space="preserve"> de la ville de </w:t>
      </w:r>
      <w:proofErr w:type="spellStart"/>
      <w:r w:rsidR="00520FB2" w:rsidRPr="003B3265">
        <w:rPr>
          <w:rFonts w:asciiTheme="majorBidi" w:hAnsiTheme="majorBidi" w:cstheme="majorBidi"/>
          <w:sz w:val="24"/>
          <w:szCs w:val="24"/>
        </w:rPr>
        <w:t>Kénitra</w:t>
      </w:r>
      <w:proofErr w:type="spellEnd"/>
      <w:r w:rsidR="004C54F7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3B3265">
        <w:rPr>
          <w:rFonts w:asciiTheme="majorBidi" w:hAnsiTheme="majorBidi" w:cstheme="majorBidi"/>
          <w:sz w:val="24"/>
          <w:szCs w:val="24"/>
        </w:rPr>
        <w:t>a crû</w:t>
      </w:r>
      <w:r w:rsidR="001E5281" w:rsidRPr="003B3265">
        <w:rPr>
          <w:rFonts w:asciiTheme="majorBidi" w:hAnsiTheme="majorBidi" w:cstheme="majorBidi"/>
          <w:sz w:val="24"/>
          <w:szCs w:val="24"/>
        </w:rPr>
        <w:t xml:space="preserve"> de </w:t>
      </w:r>
      <w:r w:rsidR="00061903" w:rsidRPr="003B3265">
        <w:rPr>
          <w:rFonts w:asciiTheme="majorBidi" w:hAnsiTheme="majorBidi" w:cstheme="majorBidi"/>
          <w:sz w:val="24"/>
          <w:szCs w:val="24"/>
        </w:rPr>
        <w:t>6</w:t>
      </w:r>
      <w:r w:rsidR="001E5281" w:rsidRPr="003B3265">
        <w:rPr>
          <w:rFonts w:asciiTheme="majorBidi" w:hAnsiTheme="majorBidi" w:cstheme="majorBidi"/>
          <w:sz w:val="24"/>
          <w:szCs w:val="24"/>
        </w:rPr>
        <w:t>,8%</w:t>
      </w:r>
      <w:r w:rsidR="004C54F7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contre </w:t>
      </w:r>
      <w:r w:rsidR="001E5281" w:rsidRPr="003B3265">
        <w:rPr>
          <w:rFonts w:asciiTheme="majorBidi" w:hAnsiTheme="majorBidi" w:cstheme="majorBidi"/>
          <w:sz w:val="24"/>
          <w:szCs w:val="24"/>
        </w:rPr>
        <w:t>5</w:t>
      </w:r>
      <w:r w:rsidR="00520FB2" w:rsidRPr="003B3265">
        <w:rPr>
          <w:rFonts w:asciiTheme="majorBidi" w:hAnsiTheme="majorBidi" w:cstheme="majorBidi"/>
          <w:sz w:val="24"/>
          <w:szCs w:val="24"/>
        </w:rPr>
        <w:t>,</w:t>
      </w:r>
      <w:r w:rsidR="00061903" w:rsidRPr="003B3265">
        <w:rPr>
          <w:rFonts w:asciiTheme="majorBidi" w:hAnsiTheme="majorBidi" w:cstheme="majorBidi"/>
          <w:sz w:val="24"/>
          <w:szCs w:val="24"/>
        </w:rPr>
        <w:t>9</w:t>
      </w:r>
      <w:r w:rsidR="001E5281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520FB2" w:rsidRPr="003B3265">
        <w:rPr>
          <w:rFonts w:asciiTheme="majorBidi" w:hAnsiTheme="majorBidi" w:cstheme="majorBidi"/>
          <w:sz w:val="24"/>
          <w:szCs w:val="24"/>
        </w:rPr>
        <w:t xml:space="preserve">% 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pour </w:t>
      </w:r>
      <w:r w:rsidR="0088736E" w:rsidRPr="003B3265">
        <w:rPr>
          <w:rFonts w:asciiTheme="majorBidi" w:hAnsiTheme="majorBidi" w:cstheme="majorBidi"/>
          <w:sz w:val="24"/>
          <w:szCs w:val="24"/>
        </w:rPr>
        <w:t>la moyenne nationale</w:t>
      </w:r>
      <w:r w:rsidR="00061903" w:rsidRPr="003B3265">
        <w:rPr>
          <w:rFonts w:asciiTheme="majorBidi" w:hAnsiTheme="majorBidi" w:cstheme="majorBidi"/>
          <w:sz w:val="24"/>
          <w:szCs w:val="24"/>
        </w:rPr>
        <w:t>, au mois d’Avril 2022 par rapport à son analogue en 2021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. Ceci, </w:t>
      </w:r>
      <w:r w:rsidRPr="003B3265">
        <w:rPr>
          <w:rFonts w:asciiTheme="majorBidi" w:hAnsiTheme="majorBidi" w:cstheme="majorBidi"/>
          <w:sz w:val="24"/>
          <w:szCs w:val="24"/>
        </w:rPr>
        <w:t xml:space="preserve">est </w:t>
      </w:r>
      <w:r w:rsidR="00B3075C" w:rsidRPr="003B3265">
        <w:rPr>
          <w:rFonts w:asciiTheme="majorBidi" w:hAnsiTheme="majorBidi" w:cstheme="majorBidi"/>
          <w:sz w:val="24"/>
          <w:szCs w:val="24"/>
        </w:rPr>
        <w:t>l’effet combiné</w:t>
      </w:r>
      <w:r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1E5281" w:rsidRPr="003B3265">
        <w:rPr>
          <w:rFonts w:asciiTheme="majorBidi" w:hAnsiTheme="majorBidi" w:cstheme="majorBidi"/>
          <w:sz w:val="24"/>
          <w:szCs w:val="24"/>
        </w:rPr>
        <w:t>de la croissance</w:t>
      </w:r>
      <w:r w:rsidR="00616205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des prix des produits alimentaires de </w:t>
      </w:r>
      <w:r w:rsidR="00616205" w:rsidRPr="003B3265">
        <w:rPr>
          <w:rFonts w:asciiTheme="majorBidi" w:hAnsiTheme="majorBidi" w:cstheme="majorBidi"/>
          <w:sz w:val="24"/>
          <w:szCs w:val="24"/>
        </w:rPr>
        <w:t>9</w:t>
      </w:r>
      <w:r w:rsidR="00061903" w:rsidRPr="003B3265">
        <w:rPr>
          <w:rFonts w:asciiTheme="majorBidi" w:hAnsiTheme="majorBidi" w:cstheme="majorBidi"/>
          <w:sz w:val="24"/>
          <w:szCs w:val="24"/>
        </w:rPr>
        <w:t>,8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% et </w:t>
      </w:r>
      <w:r w:rsidR="00616205" w:rsidRPr="003B3265">
        <w:rPr>
          <w:rFonts w:asciiTheme="majorBidi" w:hAnsiTheme="majorBidi" w:cstheme="majorBidi"/>
          <w:sz w:val="24"/>
          <w:szCs w:val="24"/>
        </w:rPr>
        <w:t xml:space="preserve">de ceux 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 des produits non alimentaires</w:t>
      </w:r>
      <w:r w:rsidR="003C3AFE" w:rsidRPr="003B3265">
        <w:rPr>
          <w:rFonts w:asciiTheme="majorBidi" w:hAnsiTheme="majorBidi" w:cstheme="majorBidi"/>
          <w:sz w:val="24"/>
          <w:szCs w:val="24"/>
        </w:rPr>
        <w:t xml:space="preserve"> de </w:t>
      </w:r>
      <w:r w:rsidR="00061903" w:rsidRPr="003B3265">
        <w:rPr>
          <w:rFonts w:asciiTheme="majorBidi" w:hAnsiTheme="majorBidi" w:cstheme="majorBidi"/>
          <w:sz w:val="24"/>
          <w:szCs w:val="24"/>
        </w:rPr>
        <w:t>4</w:t>
      </w:r>
      <w:r w:rsidR="00B3075C" w:rsidRPr="003B3265">
        <w:rPr>
          <w:rFonts w:asciiTheme="majorBidi" w:hAnsiTheme="majorBidi" w:cstheme="majorBidi"/>
          <w:sz w:val="24"/>
          <w:szCs w:val="24"/>
        </w:rPr>
        <w:t>,</w:t>
      </w:r>
      <w:r w:rsidR="00061903" w:rsidRPr="003B3265">
        <w:rPr>
          <w:rFonts w:asciiTheme="majorBidi" w:hAnsiTheme="majorBidi" w:cstheme="majorBidi"/>
          <w:sz w:val="24"/>
          <w:szCs w:val="24"/>
        </w:rPr>
        <w:t>6</w:t>
      </w:r>
      <w:r w:rsidR="003C3AFE" w:rsidRPr="003B3265">
        <w:rPr>
          <w:rFonts w:asciiTheme="majorBidi" w:hAnsiTheme="majorBidi" w:cstheme="majorBidi"/>
          <w:sz w:val="24"/>
          <w:szCs w:val="24"/>
        </w:rPr>
        <w:t>%.</w:t>
      </w:r>
      <w:r w:rsidR="00201C28" w:rsidRPr="003B3265">
        <w:rPr>
          <w:rFonts w:asciiTheme="majorBidi" w:hAnsiTheme="majorBidi" w:cstheme="majorBidi"/>
          <w:sz w:val="24"/>
          <w:szCs w:val="24"/>
        </w:rPr>
        <w:t xml:space="preserve"> </w:t>
      </w:r>
    </w:p>
    <w:p w:rsidR="00616205" w:rsidRPr="003B3265" w:rsidRDefault="00061903" w:rsidP="00CA45D6">
      <w:pPr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B3265">
        <w:rPr>
          <w:rFonts w:asciiTheme="majorBidi" w:hAnsiTheme="majorBidi" w:cstheme="majorBidi"/>
          <w:sz w:val="24"/>
          <w:szCs w:val="24"/>
        </w:rPr>
        <w:t>Les</w:t>
      </w:r>
      <w:r w:rsidR="00E67A50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645405" w:rsidRPr="003B3265">
        <w:rPr>
          <w:rFonts w:asciiTheme="majorBidi" w:hAnsiTheme="majorBidi" w:cstheme="majorBidi"/>
          <w:sz w:val="24"/>
          <w:szCs w:val="24"/>
        </w:rPr>
        <w:t xml:space="preserve">prix </w:t>
      </w:r>
      <w:r w:rsidR="00E67A50" w:rsidRPr="003B3265">
        <w:rPr>
          <w:rFonts w:asciiTheme="majorBidi" w:hAnsiTheme="majorBidi" w:cstheme="majorBidi"/>
          <w:sz w:val="24"/>
          <w:szCs w:val="24"/>
        </w:rPr>
        <w:t>de</w:t>
      </w:r>
      <w:r w:rsidR="00801826" w:rsidRPr="003B3265">
        <w:rPr>
          <w:rFonts w:asciiTheme="majorBidi" w:hAnsiTheme="majorBidi" w:cstheme="majorBidi"/>
          <w:sz w:val="24"/>
          <w:szCs w:val="24"/>
        </w:rPr>
        <w:t>s</w:t>
      </w:r>
      <w:r w:rsidR="00E67A50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C52B13" w:rsidRPr="003B3265">
        <w:rPr>
          <w:rFonts w:asciiTheme="majorBidi" w:hAnsiTheme="majorBidi" w:cstheme="majorBidi"/>
          <w:sz w:val="24"/>
          <w:szCs w:val="24"/>
        </w:rPr>
        <w:t xml:space="preserve">produits alimentaires </w:t>
      </w:r>
      <w:r w:rsidR="00616205" w:rsidRPr="003B3265">
        <w:rPr>
          <w:rFonts w:asciiTheme="majorBidi" w:hAnsiTheme="majorBidi" w:cstheme="majorBidi"/>
          <w:sz w:val="24"/>
          <w:szCs w:val="24"/>
        </w:rPr>
        <w:t xml:space="preserve">ont fait l’objet </w:t>
      </w:r>
      <w:r w:rsidR="003F7250" w:rsidRPr="003B3265">
        <w:rPr>
          <w:rFonts w:asciiTheme="majorBidi" w:hAnsiTheme="majorBidi" w:cstheme="majorBidi"/>
          <w:sz w:val="24"/>
          <w:szCs w:val="24"/>
        </w:rPr>
        <w:t>d’une flambée sans précédent</w:t>
      </w:r>
      <w:r w:rsidRPr="003B3265">
        <w:rPr>
          <w:rFonts w:asciiTheme="majorBidi" w:hAnsiTheme="majorBidi" w:cstheme="majorBidi"/>
          <w:sz w:val="24"/>
          <w:szCs w:val="24"/>
        </w:rPr>
        <w:t xml:space="preserve"> au cours de l’année écoulée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. </w:t>
      </w:r>
      <w:r w:rsidRPr="003B3265">
        <w:rPr>
          <w:rFonts w:asciiTheme="majorBidi" w:hAnsiTheme="majorBidi" w:cstheme="majorBidi"/>
          <w:sz w:val="24"/>
          <w:szCs w:val="24"/>
        </w:rPr>
        <w:t>On cite, notamment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, les 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3F7250" w:rsidRPr="003B3265">
        <w:rPr>
          <w:rFonts w:asciiTheme="majorBidi" w:hAnsiTheme="majorBidi" w:cstheme="majorBidi"/>
          <w:sz w:val="24"/>
          <w:szCs w:val="24"/>
        </w:rPr>
        <w:t>Huiles et graisses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Pr="003B3265">
        <w:rPr>
          <w:rFonts w:asciiTheme="majorBidi" w:hAnsiTheme="majorBidi" w:cstheme="majorBidi"/>
          <w:sz w:val="24"/>
          <w:szCs w:val="24"/>
        </w:rPr>
        <w:t xml:space="preserve"> dont la hausse a atteint </w:t>
      </w:r>
      <w:r w:rsidR="003F7250" w:rsidRPr="003B3265">
        <w:rPr>
          <w:rFonts w:asciiTheme="majorBidi" w:hAnsiTheme="majorBidi" w:cstheme="majorBidi"/>
          <w:sz w:val="24"/>
          <w:szCs w:val="24"/>
        </w:rPr>
        <w:t>2</w:t>
      </w:r>
      <w:r w:rsidRPr="003B3265">
        <w:rPr>
          <w:rFonts w:asciiTheme="majorBidi" w:hAnsiTheme="majorBidi" w:cstheme="majorBidi"/>
          <w:sz w:val="24"/>
          <w:szCs w:val="24"/>
        </w:rPr>
        <w:t>1,4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%, </w:t>
      </w:r>
      <w:r w:rsidRPr="003B3265">
        <w:rPr>
          <w:rFonts w:asciiTheme="majorBidi" w:hAnsiTheme="majorBidi" w:cstheme="majorBidi"/>
          <w:sz w:val="24"/>
          <w:szCs w:val="24"/>
        </w:rPr>
        <w:t>suivies d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es 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3F7250" w:rsidRPr="003B3265">
        <w:rPr>
          <w:rFonts w:asciiTheme="majorBidi" w:hAnsiTheme="majorBidi" w:cstheme="majorBidi"/>
          <w:sz w:val="24"/>
          <w:szCs w:val="24"/>
        </w:rPr>
        <w:t>Pain et céréales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Pr="003B3265">
        <w:rPr>
          <w:rFonts w:asciiTheme="majorBidi" w:hAnsiTheme="majorBidi" w:cstheme="majorBidi"/>
          <w:sz w:val="24"/>
          <w:szCs w:val="24"/>
        </w:rPr>
        <w:t xml:space="preserve">avec  </w:t>
      </w:r>
      <w:r w:rsidR="003F7250" w:rsidRPr="003B3265">
        <w:rPr>
          <w:rFonts w:asciiTheme="majorBidi" w:hAnsiTheme="majorBidi" w:cstheme="majorBidi"/>
          <w:sz w:val="24"/>
          <w:szCs w:val="24"/>
        </w:rPr>
        <w:t>19,</w:t>
      </w:r>
      <w:r w:rsidRPr="003B3265">
        <w:rPr>
          <w:rFonts w:asciiTheme="majorBidi" w:hAnsiTheme="majorBidi" w:cstheme="majorBidi"/>
          <w:sz w:val="24"/>
          <w:szCs w:val="24"/>
        </w:rPr>
        <w:t>4</w:t>
      </w:r>
      <w:r w:rsidR="003F7250" w:rsidRPr="003B3265">
        <w:rPr>
          <w:rFonts w:asciiTheme="majorBidi" w:hAnsiTheme="majorBidi" w:cstheme="majorBidi"/>
          <w:sz w:val="24"/>
          <w:szCs w:val="24"/>
        </w:rPr>
        <w:t>%,</w:t>
      </w:r>
      <w:r w:rsidR="00CA45D6" w:rsidRPr="003B3265">
        <w:rPr>
          <w:rFonts w:asciiTheme="majorBidi" w:hAnsiTheme="majorBidi" w:cstheme="majorBidi"/>
          <w:sz w:val="24"/>
          <w:szCs w:val="24"/>
        </w:rPr>
        <w:t xml:space="preserve"> des 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>Légumes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 xml:space="preserve">  avec 19,3%, des 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>Viandes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 xml:space="preserve"> avec 10,5%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  </w:t>
      </w:r>
      <w:r w:rsidR="00CA45D6" w:rsidRPr="003B3265">
        <w:rPr>
          <w:rFonts w:asciiTheme="majorBidi" w:hAnsiTheme="majorBidi" w:cstheme="majorBidi"/>
          <w:sz w:val="24"/>
          <w:szCs w:val="24"/>
        </w:rPr>
        <w:t>et d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es 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3F7250" w:rsidRPr="003B3265">
        <w:rPr>
          <w:rFonts w:asciiTheme="majorBidi" w:hAnsiTheme="majorBidi" w:cstheme="majorBidi"/>
          <w:sz w:val="24"/>
          <w:szCs w:val="24"/>
        </w:rPr>
        <w:t>Poissons et fruits de mer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3F7250" w:rsidRPr="003B3265">
        <w:rPr>
          <w:rFonts w:asciiTheme="majorBidi" w:hAnsiTheme="majorBidi" w:cstheme="majorBidi"/>
          <w:sz w:val="24"/>
          <w:szCs w:val="24"/>
        </w:rPr>
        <w:t xml:space="preserve"> </w:t>
      </w:r>
      <w:r w:rsidR="00CA45D6" w:rsidRPr="003B3265">
        <w:rPr>
          <w:rFonts w:asciiTheme="majorBidi" w:hAnsiTheme="majorBidi" w:cstheme="majorBidi"/>
          <w:sz w:val="24"/>
          <w:szCs w:val="24"/>
        </w:rPr>
        <w:t>avec 9,3</w:t>
      </w:r>
      <w:r w:rsidR="003F7250" w:rsidRPr="003B3265">
        <w:rPr>
          <w:rFonts w:asciiTheme="majorBidi" w:hAnsiTheme="majorBidi" w:cstheme="majorBidi"/>
          <w:sz w:val="24"/>
          <w:szCs w:val="24"/>
        </w:rPr>
        <w:t>%</w:t>
      </w:r>
      <w:r w:rsidR="008C697C" w:rsidRPr="003B3265">
        <w:rPr>
          <w:rFonts w:asciiTheme="majorBidi" w:hAnsiTheme="majorBidi" w:cstheme="majorBidi"/>
          <w:sz w:val="24"/>
          <w:szCs w:val="24"/>
        </w:rPr>
        <w:t>. Quant aux autres classes alimentaires, la hausse des prix n’a pas dépassé 3,</w:t>
      </w:r>
      <w:r w:rsidR="00CA45D6" w:rsidRPr="003B3265">
        <w:rPr>
          <w:rFonts w:asciiTheme="majorBidi" w:hAnsiTheme="majorBidi" w:cstheme="majorBidi"/>
          <w:sz w:val="24"/>
          <w:szCs w:val="24"/>
        </w:rPr>
        <w:t>4</w:t>
      </w:r>
      <w:r w:rsidR="008C697C" w:rsidRPr="003B3265">
        <w:rPr>
          <w:rFonts w:asciiTheme="majorBidi" w:hAnsiTheme="majorBidi" w:cstheme="majorBidi"/>
          <w:sz w:val="24"/>
          <w:szCs w:val="24"/>
        </w:rPr>
        <w:t>%.</w:t>
      </w:r>
      <w:r w:rsidR="00CA45D6" w:rsidRPr="003B3265">
        <w:rPr>
          <w:rFonts w:asciiTheme="majorBidi" w:hAnsiTheme="majorBidi" w:cstheme="majorBidi"/>
          <w:sz w:val="24"/>
          <w:szCs w:val="24"/>
        </w:rPr>
        <w:t xml:space="preserve"> A noter que seuls les 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>Fruits</w:t>
      </w:r>
      <w:r w:rsidR="00CA45D6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4"/>
          <w:szCs w:val="24"/>
        </w:rPr>
        <w:t xml:space="preserve"> ont affiché une baisse de leur indice durant cette année, et qui est plutôt assez importante, à savoir (-15,1%).</w:t>
      </w:r>
    </w:p>
    <w:p w:rsidR="00A708BE" w:rsidRPr="003B3265" w:rsidRDefault="00A708BE" w:rsidP="00E81E7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Quant aux produits non alimentaires, 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les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hausse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de prix l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es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plus élevée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ont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été enregistrée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par l</w:t>
      </w:r>
      <w:r w:rsidR="00CA45D6" w:rsidRPr="003B3265">
        <w:rPr>
          <w:rFonts w:ascii="Times New Roman" w:hAnsi="Times New Roman"/>
          <w:spacing w:val="0"/>
          <w:sz w:val="22"/>
          <w:szCs w:val="22"/>
          <w:lang w:eastAsia="fr-FR"/>
        </w:rPr>
        <w:t>es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division</w:t>
      </w:r>
      <w:r w:rsidR="00CA45D6" w:rsidRPr="003B3265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3B3265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des </w:t>
      </w:r>
      <w:r w:rsidR="008C697C" w:rsidRPr="003B3265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8C697C" w:rsidRPr="003B3265">
        <w:rPr>
          <w:rFonts w:asciiTheme="majorBidi" w:hAnsiTheme="majorBidi" w:cstheme="majorBidi"/>
          <w:sz w:val="22"/>
          <w:szCs w:val="22"/>
        </w:rPr>
        <w:t>"</w:t>
      </w:r>
      <w:r w:rsidR="008C697C" w:rsidRPr="003B3265">
        <w:rPr>
          <w:rFonts w:ascii="Times New Roman" w:hAnsi="Times New Roman"/>
          <w:spacing w:val="0"/>
          <w:sz w:val="22"/>
          <w:szCs w:val="22"/>
          <w:lang w:eastAsia="fr-FR"/>
        </w:rPr>
        <w:t>Transports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" avec </w:t>
      </w:r>
      <w:r w:rsidR="00CA45D6" w:rsidRPr="003B3265">
        <w:rPr>
          <w:rFonts w:asciiTheme="majorBidi" w:hAnsiTheme="majorBidi" w:cstheme="majorBidi"/>
          <w:sz w:val="22"/>
          <w:szCs w:val="22"/>
        </w:rPr>
        <w:t>14</w:t>
      </w:r>
      <w:r w:rsidR="008C697C" w:rsidRPr="003B3265">
        <w:rPr>
          <w:rFonts w:asciiTheme="majorBidi" w:hAnsiTheme="majorBidi" w:cstheme="majorBidi"/>
          <w:sz w:val="22"/>
          <w:szCs w:val="22"/>
        </w:rPr>
        <w:t>,</w:t>
      </w:r>
      <w:r w:rsidR="00CA45D6" w:rsidRPr="003B3265">
        <w:rPr>
          <w:rFonts w:asciiTheme="majorBidi" w:hAnsiTheme="majorBidi" w:cstheme="majorBidi"/>
          <w:sz w:val="22"/>
          <w:szCs w:val="22"/>
        </w:rPr>
        <w:t>6</w:t>
      </w:r>
      <w:r w:rsidR="008C697C" w:rsidRPr="003B3265">
        <w:rPr>
          <w:rFonts w:asciiTheme="majorBidi" w:hAnsiTheme="majorBidi" w:cstheme="majorBidi"/>
          <w:sz w:val="22"/>
          <w:szCs w:val="22"/>
        </w:rPr>
        <w:t>%</w:t>
      </w:r>
      <w:r w:rsidR="00CA45D6" w:rsidRPr="003B3265">
        <w:rPr>
          <w:rFonts w:asciiTheme="majorBidi" w:hAnsiTheme="majorBidi" w:cstheme="majorBidi"/>
          <w:sz w:val="22"/>
          <w:szCs w:val="22"/>
        </w:rPr>
        <w:t xml:space="preserve">, </w:t>
      </w:r>
      <w:r w:rsidR="00A51226" w:rsidRPr="003B3265">
        <w:rPr>
          <w:rFonts w:ascii="Times New Roman" w:hAnsi="Times New Roman"/>
          <w:spacing w:val="0"/>
          <w:sz w:val="24"/>
          <w:szCs w:val="24"/>
          <w:lang w:eastAsia="fr-FR"/>
        </w:rPr>
        <w:t>des</w:t>
      </w:r>
      <w:r w:rsidR="00A51226" w:rsidRPr="003B3265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A51226" w:rsidRPr="003B3265">
        <w:rPr>
          <w:rFonts w:asciiTheme="majorBidi" w:hAnsiTheme="majorBidi" w:cstheme="majorBidi"/>
          <w:sz w:val="22"/>
          <w:szCs w:val="22"/>
        </w:rPr>
        <w:t>"</w:t>
      </w:r>
      <w:r w:rsidR="00A51226" w:rsidRPr="003B3265">
        <w:rPr>
          <w:rFonts w:ascii="Times New Roman" w:hAnsi="Times New Roman"/>
          <w:spacing w:val="0"/>
          <w:sz w:val="24"/>
          <w:szCs w:val="24"/>
          <w:lang w:eastAsia="fr-FR"/>
        </w:rPr>
        <w:t>Biens et services divers</w:t>
      </w:r>
      <w:r w:rsidR="00A51226" w:rsidRPr="003B3265">
        <w:rPr>
          <w:rFonts w:asciiTheme="majorBidi" w:hAnsiTheme="majorBidi" w:cstheme="majorBidi"/>
          <w:sz w:val="22"/>
          <w:szCs w:val="22"/>
        </w:rPr>
        <w:t>" avec 8,</w:t>
      </w:r>
      <w:r w:rsidR="008C697C" w:rsidRPr="003B3265">
        <w:rPr>
          <w:rFonts w:asciiTheme="majorBidi" w:hAnsiTheme="majorBidi" w:cstheme="majorBidi"/>
          <w:sz w:val="22"/>
          <w:szCs w:val="22"/>
        </w:rPr>
        <w:t>6</w:t>
      </w:r>
      <w:r w:rsidR="00A51226" w:rsidRPr="003B3265">
        <w:rPr>
          <w:rFonts w:asciiTheme="majorBidi" w:hAnsiTheme="majorBidi" w:cstheme="majorBidi"/>
          <w:sz w:val="22"/>
          <w:szCs w:val="22"/>
        </w:rPr>
        <w:t>%</w:t>
      </w:r>
      <w:r w:rsidR="00CA45D6" w:rsidRPr="003B3265">
        <w:rPr>
          <w:rFonts w:asciiTheme="majorBidi" w:hAnsiTheme="majorBidi" w:cstheme="majorBidi"/>
          <w:sz w:val="22"/>
          <w:szCs w:val="22"/>
        </w:rPr>
        <w:t xml:space="preserve">, des </w:t>
      </w:r>
      <w:r w:rsidR="00E81E75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2"/>
          <w:szCs w:val="22"/>
        </w:rPr>
        <w:t>Loisirs et culture</w:t>
      </w:r>
      <w:r w:rsidR="00E81E75" w:rsidRPr="003B3265">
        <w:rPr>
          <w:rFonts w:asciiTheme="majorBidi" w:hAnsiTheme="majorBidi" w:cstheme="majorBidi"/>
          <w:sz w:val="22"/>
          <w:szCs w:val="22"/>
        </w:rPr>
        <w:t>"</w:t>
      </w:r>
      <w:r w:rsidR="00CA45D6" w:rsidRPr="003B3265">
        <w:rPr>
          <w:rFonts w:asciiTheme="majorBidi" w:hAnsiTheme="majorBidi" w:cstheme="majorBidi"/>
          <w:sz w:val="22"/>
          <w:szCs w:val="22"/>
        </w:rPr>
        <w:t xml:space="preserve"> avec 4,9%, des Articles d’habillement avec 3,8%</w:t>
      </w:r>
      <w:r w:rsidR="00E81E75" w:rsidRPr="003B3265">
        <w:rPr>
          <w:rFonts w:asciiTheme="majorBidi" w:hAnsiTheme="majorBidi" w:cstheme="majorBidi"/>
          <w:sz w:val="22"/>
          <w:szCs w:val="22"/>
        </w:rPr>
        <w:t>, et des "Meubles, articles de ménage et entretien courant du foyer" avec 3,7%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. Pour </w:t>
      </w:r>
      <w:r w:rsidR="00A51226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745DCF" w:rsidRPr="003B3265">
        <w:rPr>
          <w:rFonts w:asciiTheme="majorBidi" w:hAnsiTheme="majorBidi" w:cstheme="majorBidi"/>
          <w:sz w:val="22"/>
          <w:szCs w:val="22"/>
        </w:rPr>
        <w:t>Les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 autres divisions, exception faite </w:t>
      </w:r>
      <w:r w:rsidR="004A1354" w:rsidRPr="003B3265">
        <w:rPr>
          <w:rFonts w:asciiTheme="majorBidi" w:hAnsiTheme="majorBidi" w:cstheme="majorBidi"/>
          <w:sz w:val="22"/>
          <w:szCs w:val="22"/>
        </w:rPr>
        <w:t>des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 </w:t>
      </w:r>
      <w:r w:rsidR="004A1354" w:rsidRPr="003B3265">
        <w:rPr>
          <w:rFonts w:asciiTheme="majorBidi" w:hAnsiTheme="majorBidi" w:cstheme="majorBidi"/>
          <w:sz w:val="22"/>
          <w:szCs w:val="22"/>
        </w:rPr>
        <w:t>"</w:t>
      </w:r>
      <w:r w:rsidR="008C697C" w:rsidRPr="003B3265">
        <w:rPr>
          <w:rFonts w:asciiTheme="majorBidi" w:hAnsiTheme="majorBidi" w:cstheme="majorBidi"/>
          <w:sz w:val="22"/>
          <w:szCs w:val="22"/>
        </w:rPr>
        <w:t>Restaurants et hôtels</w:t>
      </w:r>
      <w:r w:rsidR="004A1354" w:rsidRPr="003B3265">
        <w:rPr>
          <w:rFonts w:asciiTheme="majorBidi" w:hAnsiTheme="majorBidi" w:cstheme="majorBidi"/>
          <w:sz w:val="22"/>
          <w:szCs w:val="22"/>
        </w:rPr>
        <w:t>" dont l’indice a baissé de 1,</w:t>
      </w:r>
      <w:r w:rsidR="00E81E75" w:rsidRPr="003B3265">
        <w:rPr>
          <w:rFonts w:asciiTheme="majorBidi" w:hAnsiTheme="majorBidi" w:cstheme="majorBidi"/>
          <w:sz w:val="22"/>
          <w:szCs w:val="22"/>
        </w:rPr>
        <w:t>6</w:t>
      </w:r>
      <w:r w:rsidR="004A1354" w:rsidRPr="003B3265">
        <w:rPr>
          <w:rFonts w:asciiTheme="majorBidi" w:hAnsiTheme="majorBidi" w:cstheme="majorBidi"/>
          <w:sz w:val="22"/>
          <w:szCs w:val="22"/>
        </w:rPr>
        <w:t>%, les</w:t>
      </w:r>
      <w:r w:rsidR="008C697C" w:rsidRPr="003B3265">
        <w:rPr>
          <w:rFonts w:asciiTheme="majorBidi" w:hAnsiTheme="majorBidi" w:cstheme="majorBidi"/>
          <w:sz w:val="22"/>
          <w:szCs w:val="22"/>
        </w:rPr>
        <w:t xml:space="preserve"> hausses varient entre 0</w:t>
      </w:r>
      <w:r w:rsidR="00A51226" w:rsidRPr="003B3265">
        <w:rPr>
          <w:rFonts w:asciiTheme="majorBidi" w:hAnsiTheme="majorBidi" w:cstheme="majorBidi"/>
          <w:sz w:val="22"/>
          <w:szCs w:val="22"/>
        </w:rPr>
        <w:t>% et 2,</w:t>
      </w:r>
      <w:r w:rsidR="00E81E75" w:rsidRPr="003B3265">
        <w:rPr>
          <w:rFonts w:asciiTheme="majorBidi" w:hAnsiTheme="majorBidi" w:cstheme="majorBidi"/>
          <w:sz w:val="22"/>
          <w:szCs w:val="22"/>
        </w:rPr>
        <w:t>3</w:t>
      </w:r>
      <w:r w:rsidR="00A51226" w:rsidRPr="003B3265">
        <w:rPr>
          <w:rFonts w:asciiTheme="majorBidi" w:hAnsiTheme="majorBidi" w:cstheme="majorBidi"/>
          <w:sz w:val="22"/>
          <w:szCs w:val="22"/>
        </w:rPr>
        <w:t>%.</w:t>
      </w:r>
      <w:r w:rsidRPr="003B3265">
        <w:rPr>
          <w:rFonts w:asciiTheme="majorBidi" w:hAnsiTheme="majorBidi" w:cstheme="majorBidi"/>
          <w:sz w:val="22"/>
          <w:szCs w:val="22"/>
        </w:rPr>
        <w:t xml:space="preserve"> </w:t>
      </w:r>
    </w:p>
    <w:p w:rsidR="00A708BE" w:rsidRPr="003B3265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3B3265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3B3265" w:rsidRPr="003B3265" w:rsidRDefault="002C41D1" w:rsidP="003B326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Entre </w:t>
      </w:r>
      <w:r w:rsidR="004A1354"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Mars </w:t>
      </w:r>
      <w:r w:rsidR="001C4D74"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et Avril 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>202</w:t>
      </w:r>
      <w:r w:rsidR="00745DCF" w:rsidRPr="003B3265">
        <w:rPr>
          <w:rFonts w:ascii="Times New Roman" w:hAnsi="Times New Roman"/>
          <w:spacing w:val="0"/>
          <w:sz w:val="22"/>
          <w:szCs w:val="22"/>
          <w:lang w:eastAsia="fr-FR"/>
        </w:rPr>
        <w:t>2</w:t>
      </w: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, </w:t>
      </w:r>
      <w:r w:rsidR="004A1354" w:rsidRPr="003B3265">
        <w:rPr>
          <w:rFonts w:ascii="Times New Roman" w:hAnsi="Times New Roman"/>
          <w:spacing w:val="0"/>
          <w:sz w:val="22"/>
          <w:szCs w:val="22"/>
          <w:lang w:eastAsia="fr-FR"/>
        </w:rPr>
        <w:t>toutes les villes, objet de l’Indice des Prix à la Consommation base 2017, ont enregistré des taux d’inflation positifs</w:t>
      </w:r>
      <w:r w:rsidR="003B3265"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 allant de 0,6% à Settat à 3,6% à El </w:t>
      </w:r>
      <w:proofErr w:type="spellStart"/>
      <w:r w:rsidR="003B3265" w:rsidRPr="003B3265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="003B3265" w:rsidRPr="003B3265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3B3265" w:rsidRPr="003B3265" w:rsidRDefault="003B3265" w:rsidP="003B326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Il est à signaler qu’il y a autant de villes dont la variation de l’indice se situe au dessous de la moyenne nationale, que de villes dont la variation est supérieure à cette moyenne. Pour cette deuxième catégorie, il s’agit des villes de </w:t>
      </w:r>
      <w:proofErr w:type="spellStart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, Tanger, Oujda, Rabat, Safi, </w:t>
      </w:r>
      <w:proofErr w:type="spellStart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>Errachidia</w:t>
      </w:r>
      <w:proofErr w:type="spellEnd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 xml:space="preserve">, Dakhla, Fès et El </w:t>
      </w:r>
      <w:proofErr w:type="spellStart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Pr="003B3265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F87C7B" w:rsidRPr="0026493E" w:rsidRDefault="00F87C7B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911649" w:rsidRPr="00911649" w:rsidTr="00911649">
        <w:trPr>
          <w:trHeight w:val="510"/>
        </w:trPr>
        <w:tc>
          <w:tcPr>
            <w:tcW w:w="2278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911649" w:rsidRPr="00911649" w:rsidTr="00911649">
        <w:trPr>
          <w:trHeight w:val="525"/>
        </w:trPr>
        <w:tc>
          <w:tcPr>
            <w:tcW w:w="2278" w:type="pct"/>
            <w:vMerge/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100,9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111,1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10,1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3,2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9,8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3,8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3,7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2,3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115,3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119,2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14,6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107,3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4,9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-1,6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112,3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8,6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107,3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6,8</w:t>
            </w:r>
          </w:p>
        </w:tc>
      </w:tr>
      <w:tr w:rsidR="00911649" w:rsidRPr="00911649" w:rsidTr="00911649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</w:tbl>
    <w:p w:rsidR="00307D13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68"/>
        <w:gridCol w:w="1491"/>
        <w:gridCol w:w="795"/>
        <w:gridCol w:w="795"/>
        <w:gridCol w:w="795"/>
        <w:gridCol w:w="1535"/>
        <w:gridCol w:w="908"/>
      </w:tblGrid>
      <w:tr w:rsidR="00911649" w:rsidRPr="00911649" w:rsidTr="00911649">
        <w:trPr>
          <w:trHeight w:val="510"/>
          <w:tblHeader/>
        </w:trPr>
        <w:tc>
          <w:tcPr>
            <w:tcW w:w="180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PONDERATION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 </w:t>
            </w:r>
          </w:p>
        </w:tc>
      </w:tr>
      <w:tr w:rsidR="00911649" w:rsidRPr="00911649" w:rsidTr="00911649">
        <w:trPr>
          <w:trHeight w:val="540"/>
          <w:tblHeader/>
        </w:trPr>
        <w:tc>
          <w:tcPr>
            <w:tcW w:w="180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911649" w:rsidRPr="00911649" w:rsidTr="00911649">
        <w:trPr>
          <w:trHeight w:val="51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100,9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107,5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10,1</w:t>
            </w:r>
          </w:p>
        </w:tc>
      </w:tr>
      <w:tr w:rsidR="00911649" w:rsidRPr="00911649" w:rsidTr="00077965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111,6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10,6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99,3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118,6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19,4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108,4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10,5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9,3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118,3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121,8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3,0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21,4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93,9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6,4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-15,1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98,5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111,4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5,5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19,3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911649" w:rsidRPr="00911649" w:rsidTr="00911649">
        <w:trPr>
          <w:trHeight w:val="54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82,4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90,8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95,3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5,0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15,7</w:t>
            </w:r>
          </w:p>
        </w:tc>
      </w:tr>
      <w:tr w:rsidR="00911649" w:rsidRPr="00911649" w:rsidTr="00077965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2,5</w:t>
            </w:r>
          </w:p>
        </w:tc>
      </w:tr>
      <w:tr w:rsidR="00911649" w:rsidRPr="00911649" w:rsidTr="00911649">
        <w:trPr>
          <w:trHeight w:val="54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911649" w:rsidRPr="00911649" w:rsidTr="00911649">
        <w:trPr>
          <w:trHeight w:val="51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94,5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911649" w:rsidRPr="00911649" w:rsidTr="00077965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911649" w:rsidRPr="00911649" w:rsidTr="00911649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911649" w:rsidRPr="00911649" w:rsidTr="00077965">
        <w:trPr>
          <w:trHeight w:val="300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911649" w:rsidRPr="00911649" w:rsidTr="00911649">
        <w:trPr>
          <w:trHeight w:val="517"/>
        </w:trPr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9,8</w:t>
            </w:r>
          </w:p>
        </w:tc>
      </w:tr>
      <w:tr w:rsidR="00911649" w:rsidRPr="00911649" w:rsidTr="00911649">
        <w:trPr>
          <w:trHeight w:val="469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11649" w:rsidRPr="00911649" w:rsidRDefault="00911649" w:rsidP="009116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GENERAL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11649" w:rsidRPr="00911649" w:rsidRDefault="00911649" w:rsidP="009116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1164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6,8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Pr="00307D13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986F1B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64" w:rsidRDefault="00AA2864">
      <w:r>
        <w:separator/>
      </w:r>
    </w:p>
    <w:p w:rsidR="00AA2864" w:rsidRDefault="00AA2864"/>
  </w:endnote>
  <w:endnote w:type="continuationSeparator" w:id="0">
    <w:p w:rsidR="00AA2864" w:rsidRDefault="00AA2864">
      <w:r>
        <w:continuationSeparator/>
      </w:r>
    </w:p>
    <w:p w:rsidR="00AA2864" w:rsidRDefault="00AA28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613BB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64" w:rsidRDefault="00AA2864">
      <w:r>
        <w:separator/>
      </w:r>
    </w:p>
    <w:p w:rsidR="00AA2864" w:rsidRDefault="00AA2864"/>
  </w:footnote>
  <w:footnote w:type="continuationSeparator" w:id="0">
    <w:p w:rsidR="00AA2864" w:rsidRDefault="00AA2864">
      <w:r>
        <w:continuationSeparator/>
      </w:r>
    </w:p>
    <w:p w:rsidR="00AA2864" w:rsidRDefault="00AA28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B40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3CCD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E7C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77"/>
    <w:rsid w:val="00F83AA7"/>
    <w:rsid w:val="00F84839"/>
    <w:rsid w:val="00F86582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45A0C3-BDD5-4833-9D26-B8270A1F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2022-05-23T09:27:00Z</dcterms:created>
  <dcterms:modified xsi:type="dcterms:W3CDTF">2022-05-25T10:15:00Z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