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7051EF" w:rsidP="00857B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</w:t>
            </w:r>
            <w:r w:rsidR="0054055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i</w:t>
            </w: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520689" w:rsidRDefault="00986F1B" w:rsidP="00CB4E3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L’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onsommation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746443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 du mois d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F84086">
        <w:rPr>
          <w:rFonts w:asciiTheme="majorBidi" w:hAnsiTheme="majorBidi" w:cstheme="majorBidi"/>
          <w:color w:val="000000" w:themeColor="text1"/>
          <w:sz w:val="22"/>
          <w:szCs w:val="22"/>
        </w:rPr>
        <w:t>Ju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F8408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 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2022,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857B95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augmenté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0,5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e Mai</w:t>
      </w:r>
      <w:r w:rsidR="00342D73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57B95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de la même année,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une hausse pareille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l’ensemble national.</w:t>
      </w:r>
    </w:p>
    <w:p w:rsidR="002B4717" w:rsidRPr="00520689" w:rsidRDefault="00986F1B" w:rsidP="00CB4E3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 de l’indice 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est</w:t>
      </w:r>
      <w:r w:rsidR="003B3265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combinaison 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857B95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stagnation de l’indice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 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et de la hausse de celui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non alimentaires</w:t>
      </w:r>
      <w:r w:rsidR="00206DD9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77323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CB4E32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206DD9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C21F9C" w:rsidRDefault="00C21F9C" w:rsidP="003A144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>Les hausses de prix, des produits alimentaires, ayant eu lieu au cours du mois de juin 2022, concernent les classes suivantes : les  « Eaux minérales, boissons rafraichissantes, jus de fruits et de légumes » avec 3,7%, le « Lait, fromage et œufs » avec 2,1%, les « Huiles et graisses » avec 1,8%, le  « Pain et céréales » avec 1,3%, les « Fruits » avec 0,7% et les « Sucre, confiture, miel, chocolat et confiserie » avec 0,1%.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Pour les boissons alcoolisées, on note la hausse de l’indice de la bière avec 4,3%</w:t>
      </w:r>
      <w:r w:rsidR="00A74520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837A46" w:rsidRPr="00520689" w:rsidRDefault="00154BBD" w:rsidP="003A144B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côté </w:t>
      </w:r>
      <w:r w:rsidR="00520FB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des produits non alimentaires, les divisions 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qui ont </w:t>
      </w:r>
      <w:r w:rsidR="009A534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connu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A534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des renchérissements des prix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selon leurs degrés d’importance, 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E5281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sont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A5340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3A144B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"Transports" avec 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3A144B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3A144B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3A144B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3A144B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3A144B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"</w:t>
      </w:r>
      <w:r w:rsidR="003A144B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Biens et services divers</w:t>
      </w:r>
      <w:r w:rsidR="003A144B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"  avec </w:t>
      </w:r>
      <w:r w:rsidR="003A144B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3A144B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3A144B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3% et les </w:t>
      </w:r>
      <w:r w:rsidR="003A144B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9A5340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"Meubles, articles de ménage et entretien courant du foyer" </w:t>
      </w:r>
      <w:r w:rsidR="003A144B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et les</w:t>
      </w:r>
      <w:r w:rsidR="009A5340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"Loisirs et cultures" avec </w:t>
      </w:r>
      <w:r w:rsidR="003A144B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0,2%.</w:t>
      </w:r>
      <w:r w:rsidR="009A5340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Le reste des divisions non alimentaires a connu une stagnation au cours de ce mois.</w:t>
      </w:r>
    </w:p>
    <w:p w:rsidR="004C54F7" w:rsidRPr="00520689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520689" w:rsidRDefault="00717FDA" w:rsidP="00CD614F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En termes 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de variation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annuel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le</w:t>
      </w:r>
      <w:r w:rsidR="004C54F7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4C54F7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a crû</w:t>
      </w:r>
      <w:r w:rsidR="001E528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8</w:t>
      </w:r>
      <w:r w:rsidR="001E528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319FE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1E528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4C54F7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520FB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1E528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20FB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 au mois d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 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Ju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2022 par rapport à son analogue en 2021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l’effet combiné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des produits alimentaires de 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06190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ceux 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produits non alimentaires</w:t>
      </w:r>
      <w:r w:rsidR="003C3AFE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CD614F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3C3AFE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A74520" w:rsidRDefault="00061903" w:rsidP="00A74520">
      <w:pPr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E67A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45405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prix </w:t>
      </w:r>
      <w:r w:rsidR="00E67A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0182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E67A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2B13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produits alimentaires </w:t>
      </w:r>
      <w:r w:rsidR="00616205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fait l’objet 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d’une flambée sans précédent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 cours de l’année écoulée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>Les prix de la majorité des classes des produits alimentaires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ont grimpé significativement. Il s’agit des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Huiles et graisses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dont la hausse a atteint 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35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%, 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suivies d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Pain et céréales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avec  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%,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Légumes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avec 1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%,</w:t>
      </w:r>
      <w:r w:rsidR="00F825C1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Viandes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>9,6</w:t>
      </w:r>
      <w:r w:rsidR="00CA45D6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%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des 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EB10A1">
        <w:rPr>
          <w:rFonts w:asciiTheme="majorBidi" w:hAnsiTheme="majorBidi" w:cstheme="majorBidi"/>
          <w:color w:val="000000" w:themeColor="text1"/>
          <w:sz w:val="24"/>
          <w:szCs w:val="24"/>
        </w:rPr>
        <w:t>Eaux minérales, boissons rafraichissantes et jus de fruits et de légumes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452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8,8%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du 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>Lait, fromage et œufs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avec 5,2% et du 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4520">
        <w:rPr>
          <w:rFonts w:asciiTheme="majorBidi" w:hAnsiTheme="majorBidi" w:cstheme="majorBidi"/>
          <w:color w:val="000000" w:themeColor="text1"/>
          <w:sz w:val="24"/>
          <w:szCs w:val="24"/>
        </w:rPr>
        <w:t>Café, thé et cacao</w:t>
      </w:r>
      <w:r w:rsidR="00A74520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452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5,1%.</w:t>
      </w:r>
    </w:p>
    <w:p w:rsidR="00196902" w:rsidRDefault="00A74520" w:rsidP="00196902">
      <w:pPr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19690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boissons alcoolisées et 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tabac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n’ont pas fait exception 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>à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cette 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>flambée car le prix de la bière a crû de 4,3% et celui du Tabac de 3,4%.</w:t>
      </w:r>
    </w:p>
    <w:p w:rsidR="00F41042" w:rsidRPr="00520689" w:rsidRDefault="00A74520" w:rsidP="00196902">
      <w:pPr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4104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Quant aux </w:t>
      </w:r>
      <w:r w:rsidR="001969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baisses de prix, elles n’ont concerné que les 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F4104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Fruits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F4104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969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mer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respectivement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(-1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,8%) et (-</w:t>
      </w:r>
      <w:r w:rsidR="00196902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,2%)</w:t>
      </w:r>
      <w:r w:rsidR="008C697C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41042" w:rsidRPr="005206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Cette diminution est seulement l’effet de la disponibilité de l’offre de ces produits.</w:t>
      </w:r>
    </w:p>
    <w:p w:rsidR="00A708BE" w:rsidRPr="00520689" w:rsidRDefault="00A708BE" w:rsidP="002A29D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Quant aux produits non alimentaires, 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les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hausse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de prix l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es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plus élevée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ont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été enregistrée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par l</w:t>
      </w:r>
      <w:r w:rsidR="00CA45D6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es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division</w:t>
      </w:r>
      <w:r w:rsidR="00CA45D6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520689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8C697C" w:rsidRPr="00520689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Transports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CA45D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A29D3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des</w:t>
      </w:r>
      <w:r w:rsidR="002A29D3" w:rsidRPr="00520689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2A29D3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A29D3" w:rsidRPr="0052068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Biens et services divers</w:t>
      </w:r>
      <w:r w:rsidR="002A29D3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>avec 9,9%,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"Loisirs et culture" avec 9,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%,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F41042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des "Meubles, articles de ménage et entr</w:t>
      </w:r>
      <w:r w:rsidR="002A29D3">
        <w:rPr>
          <w:rFonts w:asciiTheme="majorBidi" w:hAnsiTheme="majorBidi" w:cstheme="majorBidi"/>
          <w:color w:val="000000" w:themeColor="text1"/>
          <w:sz w:val="22"/>
          <w:szCs w:val="22"/>
        </w:rPr>
        <w:t>etien courant du foyer" avec 8,9%</w:t>
      </w:r>
      <w:r w:rsidR="001539E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. Seule la division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A135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des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A135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Restaurants et hôtels</w:t>
      </w:r>
      <w:r w:rsidR="004A135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</w:t>
      </w:r>
      <w:r w:rsidR="001539E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connu une baisse de son </w:t>
      </w:r>
      <w:r w:rsidR="004A135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indice </w:t>
      </w:r>
      <w:r w:rsidR="001539E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et qui est</w:t>
      </w:r>
      <w:r w:rsidR="004A1354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1,</w:t>
      </w:r>
      <w:r w:rsidR="00E81E75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1539E7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A51226" w:rsidRPr="00520689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Pr="00520689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A708BE" w:rsidRPr="00520689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520689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F87C7B" w:rsidRDefault="002C41D1" w:rsidP="00D72A98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Entre </w:t>
      </w:r>
      <w:r w:rsidR="004A1354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Ma</w:t>
      </w:r>
      <w:r w:rsidR="001539E7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i</w:t>
      </w:r>
      <w:r w:rsidR="004A1354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 w:rsidR="000A59EC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et Juin</w:t>
      </w:r>
      <w:r w:rsidR="001C4D74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202</w:t>
      </w:r>
      <w:r w:rsidR="00745DCF" w:rsidRPr="00520689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2</w:t>
      </w:r>
      <w:r w:rsidR="00D72A98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, </w:t>
      </w:r>
      <w:r w:rsidR="000A59EC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dix villes ont enregistré des taux d’inflation en dessous de la moyenne nationale (0,5%) dont la ville de Kenitra. Il est à signaler que Fès est la seule ville qui a enregistré une variation négative au cours de ce mois</w:t>
      </w:r>
      <w:r w:rsidR="00D72A98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et qui est de l’ordre de (-0,7%)</w:t>
      </w:r>
      <w:r w:rsidR="000A59EC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.</w:t>
      </w:r>
    </w:p>
    <w:p w:rsidR="000A59EC" w:rsidRPr="00520689" w:rsidRDefault="000A59EC" w:rsidP="000A59EC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Les villes dont le taux d’inflation a</w:t>
      </w:r>
      <w:r w:rsidR="00D72A98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dépassé la moyenne nationale, sont : Agadir et Oujda avec 0,6%, Tétouan et L</w:t>
      </w:r>
      <w:r w:rsidR="00D72A98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aayoune avec 0,7%, Casa Blanca et Marrakech avec 0,8% et Meknès et Béni Mellal avec 0,9%.</w:t>
      </w:r>
    </w:p>
    <w:p w:rsidR="00EB10A1" w:rsidRDefault="00EB10A1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D72A98" w:rsidRPr="007051EF" w:rsidTr="00D72A98">
        <w:trPr>
          <w:trHeight w:val="510"/>
        </w:trPr>
        <w:tc>
          <w:tcPr>
            <w:tcW w:w="227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7051EF" w:rsidRDefault="00D72A98" w:rsidP="007051E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10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7051EF" w:rsidRDefault="00D72A98" w:rsidP="007051E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D72A98" w:rsidRPr="007051EF" w:rsidTr="00D72A98">
        <w:trPr>
          <w:trHeight w:val="525"/>
        </w:trPr>
        <w:tc>
          <w:tcPr>
            <w:tcW w:w="227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72A98" w:rsidRPr="007051EF" w:rsidRDefault="00D72A98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F84086" w:rsidRDefault="00D72A98" w:rsidP="00260DE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7051EF" w:rsidRDefault="00D72A98" w:rsidP="007051E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D72A98" w:rsidRPr="007051EF" w:rsidRDefault="00D72A98" w:rsidP="007051EF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111,7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11,8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11,4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3,7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8,9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3,1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123,3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18,2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9,8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-1,6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9,9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6,0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8,3</w:t>
            </w:r>
          </w:p>
        </w:tc>
      </w:tr>
      <w:tr w:rsidR="007051EF" w:rsidRPr="007051EF" w:rsidTr="00D72A98">
        <w:trPr>
          <w:trHeight w:val="499"/>
        </w:trPr>
        <w:tc>
          <w:tcPr>
            <w:tcW w:w="2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7051EF" w:rsidRPr="007051EF" w:rsidRDefault="007051EF" w:rsidP="007051EF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051EF" w:rsidRPr="007051EF" w:rsidRDefault="007051EF" w:rsidP="007051EF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7051EF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7,2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09"/>
        <w:gridCol w:w="1196"/>
        <w:gridCol w:w="918"/>
        <w:gridCol w:w="919"/>
        <w:gridCol w:w="919"/>
        <w:gridCol w:w="1007"/>
        <w:gridCol w:w="919"/>
      </w:tblGrid>
      <w:tr w:rsidR="00F84086" w:rsidRPr="00F84086" w:rsidTr="00F84086">
        <w:trPr>
          <w:trHeight w:val="510"/>
          <w:tblHeader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F84086" w:rsidRPr="00F84086" w:rsidTr="00F84086">
        <w:trPr>
          <w:trHeight w:val="540"/>
          <w:tblHeader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84086" w:rsidRPr="00F84086" w:rsidRDefault="00F84086" w:rsidP="00F84086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F84086" w:rsidRPr="00F84086" w:rsidTr="00F84086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11,8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12,1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119,3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22,0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110,1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9,6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108,5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-4,2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5,2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136,5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138,9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35,2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-10,8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12,7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EB10A1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SUCRE, CONFITURE, MIEL, CHOCOLAT ET CONF</w:t>
            </w:r>
            <w:r w:rsidR="00EB10A1">
              <w:rPr>
                <w:rFonts w:ascii="Times New Roman" w:hAnsi="Times New Roman"/>
                <w:spacing w:val="0"/>
                <w:lang w:eastAsia="fr-FR"/>
              </w:rPr>
              <w:t>I</w:t>
            </w:r>
            <w:r w:rsidRPr="00F84086">
              <w:rPr>
                <w:rFonts w:ascii="Times New Roman" w:hAnsi="Times New Roman"/>
                <w:spacing w:val="0"/>
                <w:lang w:eastAsia="fr-FR"/>
              </w:rPr>
              <w:t>SERIE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3,9</w:t>
            </w:r>
          </w:p>
        </w:tc>
      </w:tr>
      <w:tr w:rsidR="00F84086" w:rsidRPr="00F84086" w:rsidTr="00F84086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82,4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20,4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6,0</w:t>
            </w:r>
          </w:p>
        </w:tc>
      </w:tr>
      <w:tr w:rsidR="00F84086" w:rsidRPr="00F84086" w:rsidTr="00F84086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-0,4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F84086" w:rsidRPr="00F84086" w:rsidTr="00F84086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8,8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0,4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F84086" w:rsidRPr="00F84086" w:rsidTr="00F84086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F84086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F84086" w:rsidRPr="00F84086" w:rsidTr="00F84086">
        <w:trPr>
          <w:trHeight w:val="563"/>
        </w:trPr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112,3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11,4</w:t>
            </w:r>
          </w:p>
        </w:tc>
      </w:tr>
      <w:tr w:rsidR="00F84086" w:rsidRPr="00F84086" w:rsidTr="00F84086">
        <w:trPr>
          <w:trHeight w:val="511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84086" w:rsidRPr="00F84086" w:rsidRDefault="00F84086" w:rsidP="00F8408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F84086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8,3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Pr="00307D13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986F1B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D9" w:rsidRDefault="008E01D9">
      <w:r>
        <w:separator/>
      </w:r>
    </w:p>
    <w:p w:rsidR="008E01D9" w:rsidRDefault="008E01D9"/>
  </w:endnote>
  <w:endnote w:type="continuationSeparator" w:id="0">
    <w:p w:rsidR="008E01D9" w:rsidRDefault="008E01D9">
      <w:r>
        <w:continuationSeparator/>
      </w:r>
    </w:p>
    <w:p w:rsidR="008E01D9" w:rsidRDefault="008E01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261A9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D9" w:rsidRDefault="008E01D9">
      <w:r>
        <w:separator/>
      </w:r>
    </w:p>
    <w:p w:rsidR="008E01D9" w:rsidRDefault="008E01D9"/>
  </w:footnote>
  <w:footnote w:type="continuationSeparator" w:id="0">
    <w:p w:rsidR="008E01D9" w:rsidRDefault="008E01D9">
      <w:r>
        <w:continuationSeparator/>
      </w:r>
    </w:p>
    <w:p w:rsidR="008E01D9" w:rsidRDefault="008E01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7C6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0F0B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44B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3CCD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6F1B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6EC9"/>
    <w:rsid w:val="009B013A"/>
    <w:rsid w:val="009B0917"/>
    <w:rsid w:val="009B0E33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2AB6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45D6"/>
    <w:rsid w:val="00CA52F1"/>
    <w:rsid w:val="00CA7207"/>
    <w:rsid w:val="00CA793C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3B4"/>
    <w:rsid w:val="00F3644B"/>
    <w:rsid w:val="00F37E7C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6582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65E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9E023B-FB60-4A2E-A0C9-66ED3597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2022-07-28T09:51:00Z</dcterms:created>
  <dcterms:modified xsi:type="dcterms:W3CDTF">2022-07-28T11:55:00Z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