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4328F8"/>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F97AE7" w:rsidP="00BC3E6C">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(Base100:2017)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F97AE7"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F97AE7" w:rsidP="00F40446">
                    <w:pPr>
                      <w:pStyle w:val="Sansinterligne"/>
                      <w:rPr>
                        <w:b/>
                        <w:bCs/>
                        <w:color w:val="4F81BD" w:themeColor="accent1"/>
                        <w:sz w:val="24"/>
                        <w:szCs w:val="24"/>
                      </w:rPr>
                    </w:pPr>
                    <w:r>
                      <w:rPr>
                        <w:b/>
                        <w:bCs/>
                        <w:sz w:val="24"/>
                        <w:szCs w:val="24"/>
                      </w:rPr>
                      <w:t>Année 202</w:t>
                    </w:r>
                    <w:r w:rsidR="00F40446">
                      <w:rPr>
                        <w:b/>
                        <w:bCs/>
                        <w:sz w:val="24"/>
                        <w:szCs w:val="24"/>
                      </w:rPr>
                      <w:t>1</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A37E89" w:rsidRDefault="00D87627">
          <w:pPr>
            <w:pStyle w:val="TM1"/>
            <w:tabs>
              <w:tab w:val="right" w:leader="dot" w:pos="9204"/>
            </w:tabs>
            <w:rPr>
              <w:rFonts w:eastAsiaTheme="minorEastAsia"/>
              <w:noProof/>
              <w:lang w:eastAsia="fr-FR"/>
            </w:rPr>
          </w:pPr>
          <w:r>
            <w:fldChar w:fldCharType="begin"/>
          </w:r>
          <w:r w:rsidR="00FC4512">
            <w:instrText xml:space="preserve"> TOC \o "1-4" \h \z \u </w:instrText>
          </w:r>
          <w:r>
            <w:fldChar w:fldCharType="separate"/>
          </w:r>
          <w:hyperlink w:anchor="_Toc68443113" w:history="1">
            <w:r w:rsidR="00A37E89" w:rsidRPr="00046BA0">
              <w:rPr>
                <w:rStyle w:val="Lienhypertexte"/>
                <w:noProof/>
              </w:rPr>
              <w:t>Liste des tableaux</w:t>
            </w:r>
            <w:r w:rsidR="00A37E89">
              <w:rPr>
                <w:noProof/>
                <w:webHidden/>
              </w:rPr>
              <w:tab/>
            </w:r>
            <w:r>
              <w:rPr>
                <w:noProof/>
                <w:webHidden/>
              </w:rPr>
              <w:fldChar w:fldCharType="begin"/>
            </w:r>
            <w:r w:rsidR="00A37E89">
              <w:rPr>
                <w:noProof/>
                <w:webHidden/>
              </w:rPr>
              <w:instrText xml:space="preserve"> PAGEREF _Toc68443113 \h </w:instrText>
            </w:r>
            <w:r>
              <w:rPr>
                <w:noProof/>
                <w:webHidden/>
              </w:rPr>
            </w:r>
            <w:r>
              <w:rPr>
                <w:noProof/>
                <w:webHidden/>
              </w:rPr>
              <w:fldChar w:fldCharType="separate"/>
            </w:r>
            <w:r w:rsidR="00C71CB3">
              <w:rPr>
                <w:noProof/>
                <w:webHidden/>
              </w:rPr>
              <w:t>3</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14" w:history="1">
            <w:r w:rsidR="00A37E89" w:rsidRPr="00046BA0">
              <w:rPr>
                <w:rStyle w:val="Lienhypertexte"/>
                <w:rFonts w:ascii="Cambria" w:hAnsi="Cambria"/>
                <w:noProof/>
              </w:rPr>
              <w:t>Liste des graphiques</w:t>
            </w:r>
            <w:r w:rsidR="00A37E89">
              <w:rPr>
                <w:noProof/>
                <w:webHidden/>
              </w:rPr>
              <w:tab/>
            </w:r>
            <w:r>
              <w:rPr>
                <w:noProof/>
                <w:webHidden/>
              </w:rPr>
              <w:fldChar w:fldCharType="begin"/>
            </w:r>
            <w:r w:rsidR="00A37E89">
              <w:rPr>
                <w:noProof/>
                <w:webHidden/>
              </w:rPr>
              <w:instrText xml:space="preserve"> PAGEREF _Toc68443114 \h </w:instrText>
            </w:r>
            <w:r>
              <w:rPr>
                <w:noProof/>
                <w:webHidden/>
              </w:rPr>
            </w:r>
            <w:r>
              <w:rPr>
                <w:noProof/>
                <w:webHidden/>
              </w:rPr>
              <w:fldChar w:fldCharType="separate"/>
            </w:r>
            <w:r w:rsidR="00C71CB3">
              <w:rPr>
                <w:noProof/>
                <w:webHidden/>
              </w:rPr>
              <w:t>4</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15" w:history="1">
            <w:r w:rsidR="00A37E89" w:rsidRPr="00046BA0">
              <w:rPr>
                <w:rStyle w:val="Lienhypertexte"/>
                <w:rFonts w:asciiTheme="majorBidi" w:hAnsiTheme="majorBidi"/>
                <w:noProof/>
              </w:rPr>
              <w:t>Introduction</w:t>
            </w:r>
            <w:r w:rsidR="00A37E89">
              <w:rPr>
                <w:noProof/>
                <w:webHidden/>
              </w:rPr>
              <w:tab/>
            </w:r>
            <w:r>
              <w:rPr>
                <w:noProof/>
                <w:webHidden/>
              </w:rPr>
              <w:fldChar w:fldCharType="begin"/>
            </w:r>
            <w:r w:rsidR="00A37E89">
              <w:rPr>
                <w:noProof/>
                <w:webHidden/>
              </w:rPr>
              <w:instrText xml:space="preserve"> PAGEREF _Toc68443115 \h </w:instrText>
            </w:r>
            <w:r>
              <w:rPr>
                <w:noProof/>
                <w:webHidden/>
              </w:rPr>
            </w:r>
            <w:r>
              <w:rPr>
                <w:noProof/>
                <w:webHidden/>
              </w:rPr>
              <w:fldChar w:fldCharType="separate"/>
            </w:r>
            <w:r w:rsidR="00C71CB3">
              <w:rPr>
                <w:noProof/>
                <w:webHidden/>
              </w:rPr>
              <w:t>6</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16" w:history="1">
            <w:r w:rsidR="00A37E89" w:rsidRPr="00046BA0">
              <w:rPr>
                <w:rStyle w:val="Lienhypertexte"/>
                <w:rFonts w:asciiTheme="majorBidi" w:hAnsiTheme="majorBidi"/>
                <w:noProof/>
              </w:rPr>
              <w:t>I- Historique du système de suivi des prix de détail</w:t>
            </w:r>
            <w:r w:rsidR="00A37E89">
              <w:rPr>
                <w:noProof/>
                <w:webHidden/>
              </w:rPr>
              <w:tab/>
            </w:r>
            <w:r>
              <w:rPr>
                <w:noProof/>
                <w:webHidden/>
              </w:rPr>
              <w:fldChar w:fldCharType="begin"/>
            </w:r>
            <w:r w:rsidR="00A37E89">
              <w:rPr>
                <w:noProof/>
                <w:webHidden/>
              </w:rPr>
              <w:instrText xml:space="preserve"> PAGEREF _Toc68443116 \h </w:instrText>
            </w:r>
            <w:r>
              <w:rPr>
                <w:noProof/>
                <w:webHidden/>
              </w:rPr>
            </w:r>
            <w:r>
              <w:rPr>
                <w:noProof/>
                <w:webHidden/>
              </w:rPr>
              <w:fldChar w:fldCharType="separate"/>
            </w:r>
            <w:r w:rsidR="00C71CB3">
              <w:rPr>
                <w:noProof/>
                <w:webHidden/>
              </w:rPr>
              <w:t>8</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17" w:history="1">
            <w:r w:rsidR="00A37E89" w:rsidRPr="00046BA0">
              <w:rPr>
                <w:rStyle w:val="Lienhypertexte"/>
                <w:rFonts w:asciiTheme="majorBidi" w:hAnsiTheme="majorBidi"/>
                <w:noProof/>
              </w:rPr>
              <w:t>II- Méthodologie de l’Indice des Prix à la Consommation (Base 100:2017)</w:t>
            </w:r>
            <w:r w:rsidR="00A37E89">
              <w:rPr>
                <w:noProof/>
                <w:webHidden/>
              </w:rPr>
              <w:tab/>
            </w:r>
            <w:r>
              <w:rPr>
                <w:noProof/>
                <w:webHidden/>
              </w:rPr>
              <w:fldChar w:fldCharType="begin"/>
            </w:r>
            <w:r w:rsidR="00A37E89">
              <w:rPr>
                <w:noProof/>
                <w:webHidden/>
              </w:rPr>
              <w:instrText xml:space="preserve"> PAGEREF _Toc68443117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18" w:history="1">
            <w:r w:rsidR="00A37E89" w:rsidRPr="00046BA0">
              <w:rPr>
                <w:rStyle w:val="Lienhypertexte"/>
                <w:rFonts w:asciiTheme="majorBidi" w:hAnsiTheme="majorBidi"/>
                <w:noProof/>
              </w:rPr>
              <w:t>II-1 Définition et objectifs</w:t>
            </w:r>
            <w:r w:rsidR="00A37E89">
              <w:rPr>
                <w:noProof/>
                <w:webHidden/>
              </w:rPr>
              <w:tab/>
            </w:r>
            <w:r>
              <w:rPr>
                <w:noProof/>
                <w:webHidden/>
              </w:rPr>
              <w:fldChar w:fldCharType="begin"/>
            </w:r>
            <w:r w:rsidR="00A37E89">
              <w:rPr>
                <w:noProof/>
                <w:webHidden/>
              </w:rPr>
              <w:instrText xml:space="preserve"> PAGEREF _Toc68443118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19" w:history="1">
            <w:r w:rsidR="00A37E89" w:rsidRPr="00046BA0">
              <w:rPr>
                <w:rStyle w:val="Lienhypertexte"/>
                <w:rFonts w:asciiTheme="majorBidi" w:hAnsiTheme="majorBidi"/>
                <w:noProof/>
              </w:rPr>
              <w:t>II-1-1 Définition</w:t>
            </w:r>
            <w:r w:rsidR="00A37E89">
              <w:rPr>
                <w:noProof/>
                <w:webHidden/>
              </w:rPr>
              <w:tab/>
            </w:r>
            <w:r>
              <w:rPr>
                <w:noProof/>
                <w:webHidden/>
              </w:rPr>
              <w:fldChar w:fldCharType="begin"/>
            </w:r>
            <w:r w:rsidR="00A37E89">
              <w:rPr>
                <w:noProof/>
                <w:webHidden/>
              </w:rPr>
              <w:instrText xml:space="preserve"> PAGEREF _Toc68443119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20" w:history="1">
            <w:r w:rsidR="00A37E89" w:rsidRPr="00046BA0">
              <w:rPr>
                <w:rStyle w:val="Lienhypertexte"/>
                <w:rFonts w:asciiTheme="majorBidi" w:hAnsiTheme="majorBidi"/>
                <w:noProof/>
              </w:rPr>
              <w:t>II-1-2 Objectifs</w:t>
            </w:r>
            <w:r w:rsidR="00A37E89">
              <w:rPr>
                <w:noProof/>
                <w:webHidden/>
              </w:rPr>
              <w:tab/>
            </w:r>
            <w:r>
              <w:rPr>
                <w:noProof/>
                <w:webHidden/>
              </w:rPr>
              <w:fldChar w:fldCharType="begin"/>
            </w:r>
            <w:r w:rsidR="00A37E89">
              <w:rPr>
                <w:noProof/>
                <w:webHidden/>
              </w:rPr>
              <w:instrText xml:space="preserve"> PAGEREF _Toc68443120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21" w:history="1">
            <w:r w:rsidR="00A37E89" w:rsidRPr="00046BA0">
              <w:rPr>
                <w:rStyle w:val="Lienhypertexte"/>
                <w:rFonts w:asciiTheme="majorBidi" w:hAnsiTheme="majorBidi"/>
                <w:noProof/>
              </w:rPr>
              <w:t>II-2 Couverture de l’IPC</w:t>
            </w:r>
            <w:r w:rsidR="00A37E89">
              <w:rPr>
                <w:noProof/>
                <w:webHidden/>
              </w:rPr>
              <w:tab/>
            </w:r>
            <w:r>
              <w:rPr>
                <w:noProof/>
                <w:webHidden/>
              </w:rPr>
              <w:fldChar w:fldCharType="begin"/>
            </w:r>
            <w:r w:rsidR="00A37E89">
              <w:rPr>
                <w:noProof/>
                <w:webHidden/>
              </w:rPr>
              <w:instrText xml:space="preserve"> PAGEREF _Toc68443121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22" w:history="1">
            <w:r w:rsidR="00A37E89" w:rsidRPr="00046BA0">
              <w:rPr>
                <w:rStyle w:val="Lienhypertexte"/>
                <w:rFonts w:asciiTheme="majorBidi" w:hAnsiTheme="majorBidi"/>
                <w:noProof/>
              </w:rPr>
              <w:t>II-3 Panier de l’indice</w:t>
            </w:r>
            <w:r w:rsidR="00A37E89">
              <w:rPr>
                <w:noProof/>
                <w:webHidden/>
              </w:rPr>
              <w:tab/>
            </w:r>
            <w:r>
              <w:rPr>
                <w:noProof/>
                <w:webHidden/>
              </w:rPr>
              <w:fldChar w:fldCharType="begin"/>
            </w:r>
            <w:r w:rsidR="00A37E89">
              <w:rPr>
                <w:noProof/>
                <w:webHidden/>
              </w:rPr>
              <w:instrText xml:space="preserve"> PAGEREF _Toc68443122 \h </w:instrText>
            </w:r>
            <w:r>
              <w:rPr>
                <w:noProof/>
                <w:webHidden/>
              </w:rPr>
            </w:r>
            <w:r>
              <w:rPr>
                <w:noProof/>
                <w:webHidden/>
              </w:rPr>
              <w:fldChar w:fldCharType="separate"/>
            </w:r>
            <w:r w:rsidR="00C71CB3">
              <w:rPr>
                <w:noProof/>
                <w:webHidden/>
              </w:rPr>
              <w:t>11</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23" w:history="1">
            <w:r w:rsidR="00A37E89" w:rsidRPr="00046BA0">
              <w:rPr>
                <w:rStyle w:val="Lienhypertexte"/>
                <w:rFonts w:asciiTheme="majorBidi" w:hAnsiTheme="majorBidi"/>
                <w:noProof/>
                <w:lang w:val="en-US"/>
              </w:rPr>
              <w:t xml:space="preserve">II-4 </w:t>
            </w:r>
            <w:r w:rsidR="00A37E89" w:rsidRPr="00046BA0">
              <w:rPr>
                <w:rStyle w:val="Lienhypertexte"/>
                <w:rFonts w:asciiTheme="majorBidi" w:hAnsiTheme="majorBidi"/>
                <w:noProof/>
              </w:rPr>
              <w:t>Pondérations</w:t>
            </w:r>
            <w:r w:rsidR="00A37E89">
              <w:rPr>
                <w:noProof/>
                <w:webHidden/>
              </w:rPr>
              <w:tab/>
            </w:r>
            <w:r>
              <w:rPr>
                <w:noProof/>
                <w:webHidden/>
              </w:rPr>
              <w:fldChar w:fldCharType="begin"/>
            </w:r>
            <w:r w:rsidR="00A37E89">
              <w:rPr>
                <w:noProof/>
                <w:webHidden/>
              </w:rPr>
              <w:instrText xml:space="preserve"> PAGEREF _Toc68443123 \h </w:instrText>
            </w:r>
            <w:r>
              <w:rPr>
                <w:noProof/>
                <w:webHidden/>
              </w:rPr>
            </w:r>
            <w:r>
              <w:rPr>
                <w:noProof/>
                <w:webHidden/>
              </w:rPr>
              <w:fldChar w:fldCharType="separate"/>
            </w:r>
            <w:r w:rsidR="00C71CB3">
              <w:rPr>
                <w:noProof/>
                <w:webHidden/>
              </w:rPr>
              <w:t>12</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24" w:history="1">
            <w:r w:rsidR="00A37E89" w:rsidRPr="00046BA0">
              <w:rPr>
                <w:rStyle w:val="Lienhypertexte"/>
                <w:rFonts w:asciiTheme="majorBidi" w:hAnsiTheme="majorBidi"/>
                <w:noProof/>
              </w:rPr>
              <w:t>II-5 Collecte des prix</w:t>
            </w:r>
            <w:r w:rsidR="00A37E89">
              <w:rPr>
                <w:noProof/>
                <w:webHidden/>
              </w:rPr>
              <w:tab/>
            </w:r>
            <w:r>
              <w:rPr>
                <w:noProof/>
                <w:webHidden/>
              </w:rPr>
              <w:fldChar w:fldCharType="begin"/>
            </w:r>
            <w:r w:rsidR="00A37E89">
              <w:rPr>
                <w:noProof/>
                <w:webHidden/>
              </w:rPr>
              <w:instrText xml:space="preserve"> PAGEREF _Toc68443124 \h </w:instrText>
            </w:r>
            <w:r>
              <w:rPr>
                <w:noProof/>
                <w:webHidden/>
              </w:rPr>
            </w:r>
            <w:r>
              <w:rPr>
                <w:noProof/>
                <w:webHidden/>
              </w:rPr>
              <w:fldChar w:fldCharType="separate"/>
            </w:r>
            <w:r w:rsidR="00C71CB3">
              <w:rPr>
                <w:noProof/>
                <w:webHidden/>
              </w:rPr>
              <w:t>13</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25" w:history="1">
            <w:r w:rsidR="00A37E89" w:rsidRPr="00046BA0">
              <w:rPr>
                <w:rStyle w:val="Lienhypertexte"/>
                <w:rFonts w:asciiTheme="majorBidi" w:hAnsiTheme="majorBidi"/>
                <w:noProof/>
              </w:rPr>
              <w:t>II-5-3 Périodicité de l’enquête</w:t>
            </w:r>
            <w:r w:rsidR="00A37E89">
              <w:rPr>
                <w:noProof/>
                <w:webHidden/>
              </w:rPr>
              <w:tab/>
            </w:r>
            <w:r>
              <w:rPr>
                <w:noProof/>
                <w:webHidden/>
              </w:rPr>
              <w:fldChar w:fldCharType="begin"/>
            </w:r>
            <w:r w:rsidR="00A37E89">
              <w:rPr>
                <w:noProof/>
                <w:webHidden/>
              </w:rPr>
              <w:instrText xml:space="preserve"> PAGEREF _Toc68443125 \h </w:instrText>
            </w:r>
            <w:r>
              <w:rPr>
                <w:noProof/>
                <w:webHidden/>
              </w:rPr>
            </w:r>
            <w:r>
              <w:rPr>
                <w:noProof/>
                <w:webHidden/>
              </w:rPr>
              <w:fldChar w:fldCharType="separate"/>
            </w:r>
            <w:r w:rsidR="00C71CB3">
              <w:rPr>
                <w:noProof/>
                <w:webHidden/>
              </w:rPr>
              <w:t>15</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26" w:history="1">
            <w:r w:rsidR="00A37E89" w:rsidRPr="00046BA0">
              <w:rPr>
                <w:rStyle w:val="Lienhypertexte"/>
                <w:rFonts w:asciiTheme="majorBidi" w:hAnsiTheme="majorBidi"/>
                <w:noProof/>
              </w:rPr>
              <w:t>II-5-4 Questionnaires de l’enquête</w:t>
            </w:r>
            <w:r w:rsidR="00A37E89">
              <w:rPr>
                <w:noProof/>
                <w:webHidden/>
              </w:rPr>
              <w:tab/>
            </w:r>
            <w:r>
              <w:rPr>
                <w:noProof/>
                <w:webHidden/>
              </w:rPr>
              <w:fldChar w:fldCharType="begin"/>
            </w:r>
            <w:r w:rsidR="00A37E89">
              <w:rPr>
                <w:noProof/>
                <w:webHidden/>
              </w:rPr>
              <w:instrText xml:space="preserve"> PAGEREF _Toc68443126 \h </w:instrText>
            </w:r>
            <w:r>
              <w:rPr>
                <w:noProof/>
                <w:webHidden/>
              </w:rPr>
            </w:r>
            <w:r>
              <w:rPr>
                <w:noProof/>
                <w:webHidden/>
              </w:rPr>
              <w:fldChar w:fldCharType="separate"/>
            </w:r>
            <w:r w:rsidR="00C71CB3">
              <w:rPr>
                <w:noProof/>
                <w:webHidden/>
              </w:rPr>
              <w:t>15</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27" w:history="1">
            <w:r w:rsidR="00A37E89" w:rsidRPr="00046BA0">
              <w:rPr>
                <w:rStyle w:val="Lienhypertexte"/>
                <w:rFonts w:asciiTheme="majorBidi" w:hAnsiTheme="majorBidi"/>
                <w:noProof/>
              </w:rPr>
              <w:t>II-5-5 Problèmes et difficultés d’observation des prix</w:t>
            </w:r>
            <w:r w:rsidR="00A37E89">
              <w:rPr>
                <w:noProof/>
                <w:webHidden/>
              </w:rPr>
              <w:tab/>
            </w:r>
            <w:r>
              <w:rPr>
                <w:noProof/>
                <w:webHidden/>
              </w:rPr>
              <w:fldChar w:fldCharType="begin"/>
            </w:r>
            <w:r w:rsidR="00A37E89">
              <w:rPr>
                <w:noProof/>
                <w:webHidden/>
              </w:rPr>
              <w:instrText xml:space="preserve"> PAGEREF _Toc68443127 \h </w:instrText>
            </w:r>
            <w:r>
              <w:rPr>
                <w:noProof/>
                <w:webHidden/>
              </w:rPr>
            </w:r>
            <w:r>
              <w:rPr>
                <w:noProof/>
                <w:webHidden/>
              </w:rPr>
              <w:fldChar w:fldCharType="separate"/>
            </w:r>
            <w:r w:rsidR="00C71CB3">
              <w:rPr>
                <w:noProof/>
                <w:webHidden/>
              </w:rPr>
              <w:t>15</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28" w:history="1">
            <w:r w:rsidR="00A37E89" w:rsidRPr="00046BA0">
              <w:rPr>
                <w:rStyle w:val="Lienhypertexte"/>
                <w:rFonts w:asciiTheme="majorBidi" w:hAnsiTheme="majorBidi"/>
                <w:noProof/>
              </w:rPr>
              <w:t>III- IPC (Base100 :2017)  de la ville de Kénitra : évolution entre 2017 et 2020</w:t>
            </w:r>
            <w:r w:rsidR="00A37E89">
              <w:rPr>
                <w:noProof/>
                <w:webHidden/>
              </w:rPr>
              <w:tab/>
            </w:r>
            <w:r>
              <w:rPr>
                <w:noProof/>
                <w:webHidden/>
              </w:rPr>
              <w:fldChar w:fldCharType="begin"/>
            </w:r>
            <w:r w:rsidR="00A37E89">
              <w:rPr>
                <w:noProof/>
                <w:webHidden/>
              </w:rPr>
              <w:instrText xml:space="preserve"> PAGEREF _Toc68443128 \h </w:instrText>
            </w:r>
            <w:r>
              <w:rPr>
                <w:noProof/>
                <w:webHidden/>
              </w:rPr>
            </w:r>
            <w:r>
              <w:rPr>
                <w:noProof/>
                <w:webHidden/>
              </w:rPr>
              <w:fldChar w:fldCharType="separate"/>
            </w:r>
            <w:r w:rsidR="00C71CB3">
              <w:rPr>
                <w:noProof/>
                <w:webHidden/>
              </w:rPr>
              <w:t>17</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29" w:history="1">
            <w:r w:rsidR="00A37E89" w:rsidRPr="00046BA0">
              <w:rPr>
                <w:rStyle w:val="Lienhypertexte"/>
                <w:rFonts w:asciiTheme="majorBidi" w:hAnsiTheme="majorBidi"/>
                <w:noProof/>
              </w:rPr>
              <w:t>III-1 IPC général par ville en 2019 et 2020</w:t>
            </w:r>
            <w:r w:rsidR="00A37E89">
              <w:rPr>
                <w:noProof/>
                <w:webHidden/>
              </w:rPr>
              <w:tab/>
            </w:r>
            <w:r>
              <w:rPr>
                <w:noProof/>
                <w:webHidden/>
              </w:rPr>
              <w:fldChar w:fldCharType="begin"/>
            </w:r>
            <w:r w:rsidR="00A37E89">
              <w:rPr>
                <w:noProof/>
                <w:webHidden/>
              </w:rPr>
              <w:instrText xml:space="preserve"> PAGEREF _Toc68443129 \h </w:instrText>
            </w:r>
            <w:r>
              <w:rPr>
                <w:noProof/>
                <w:webHidden/>
              </w:rPr>
            </w:r>
            <w:r>
              <w:rPr>
                <w:noProof/>
                <w:webHidden/>
              </w:rPr>
              <w:fldChar w:fldCharType="separate"/>
            </w:r>
            <w:r w:rsidR="00C71CB3">
              <w:rPr>
                <w:noProof/>
                <w:webHidden/>
              </w:rPr>
              <w:t>17</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30" w:history="1">
            <w:r w:rsidR="00A37E89" w:rsidRPr="00046BA0">
              <w:rPr>
                <w:rStyle w:val="Lienhypertexte"/>
                <w:rFonts w:asciiTheme="majorBidi" w:hAnsiTheme="majorBidi"/>
                <w:noProof/>
              </w:rPr>
              <w:t>III-2 Evolution mensuelle de l’IPC (base100: 2017) en 2020</w:t>
            </w:r>
            <w:r w:rsidR="00A37E89">
              <w:rPr>
                <w:noProof/>
                <w:webHidden/>
              </w:rPr>
              <w:tab/>
            </w:r>
            <w:r>
              <w:rPr>
                <w:noProof/>
                <w:webHidden/>
              </w:rPr>
              <w:fldChar w:fldCharType="begin"/>
            </w:r>
            <w:r w:rsidR="00A37E89">
              <w:rPr>
                <w:noProof/>
                <w:webHidden/>
              </w:rPr>
              <w:instrText xml:space="preserve"> PAGEREF _Toc68443130 \h </w:instrText>
            </w:r>
            <w:r>
              <w:rPr>
                <w:noProof/>
                <w:webHidden/>
              </w:rPr>
            </w:r>
            <w:r>
              <w:rPr>
                <w:noProof/>
                <w:webHidden/>
              </w:rPr>
              <w:fldChar w:fldCharType="separate"/>
            </w:r>
            <w:r w:rsidR="00C71CB3">
              <w:rPr>
                <w:noProof/>
                <w:webHidden/>
              </w:rPr>
              <w:t>19</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31" w:history="1">
            <w:r w:rsidR="00A37E89" w:rsidRPr="00046BA0">
              <w:rPr>
                <w:rStyle w:val="Lienhypertexte"/>
                <w:rFonts w:asciiTheme="majorBidi" w:hAnsiTheme="majorBidi"/>
                <w:noProof/>
              </w:rPr>
              <w:t>III-2-1 Comparaison entre l’IPC général de Kenitra et celui du Maroc en 2020</w:t>
            </w:r>
            <w:r w:rsidR="00A37E89">
              <w:rPr>
                <w:noProof/>
                <w:webHidden/>
              </w:rPr>
              <w:tab/>
            </w:r>
            <w:r>
              <w:rPr>
                <w:noProof/>
                <w:webHidden/>
              </w:rPr>
              <w:fldChar w:fldCharType="begin"/>
            </w:r>
            <w:r w:rsidR="00A37E89">
              <w:rPr>
                <w:noProof/>
                <w:webHidden/>
              </w:rPr>
              <w:instrText xml:space="preserve"> PAGEREF _Toc68443131 \h </w:instrText>
            </w:r>
            <w:r>
              <w:rPr>
                <w:noProof/>
                <w:webHidden/>
              </w:rPr>
            </w:r>
            <w:r>
              <w:rPr>
                <w:noProof/>
                <w:webHidden/>
              </w:rPr>
              <w:fldChar w:fldCharType="separate"/>
            </w:r>
            <w:r w:rsidR="00C71CB3">
              <w:rPr>
                <w:noProof/>
                <w:webHidden/>
              </w:rPr>
              <w:t>19</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32" w:history="1">
            <w:r w:rsidR="00A37E89" w:rsidRPr="00046BA0">
              <w:rPr>
                <w:rStyle w:val="Lienhypertexte"/>
                <w:rFonts w:asciiTheme="majorBidi" w:hAnsiTheme="majorBidi"/>
                <w:noProof/>
              </w:rPr>
              <w:t>III-2-2 Comparaison entre les indices : général, alimentaire et non alimentaire de la ville de Kénitra en 2020</w:t>
            </w:r>
            <w:r w:rsidR="00A37E89">
              <w:rPr>
                <w:noProof/>
                <w:webHidden/>
              </w:rPr>
              <w:tab/>
            </w:r>
            <w:r>
              <w:rPr>
                <w:noProof/>
                <w:webHidden/>
              </w:rPr>
              <w:fldChar w:fldCharType="begin"/>
            </w:r>
            <w:r w:rsidR="00A37E89">
              <w:rPr>
                <w:noProof/>
                <w:webHidden/>
              </w:rPr>
              <w:instrText xml:space="preserve"> PAGEREF _Toc68443132 \h </w:instrText>
            </w:r>
            <w:r>
              <w:rPr>
                <w:noProof/>
                <w:webHidden/>
              </w:rPr>
            </w:r>
            <w:r>
              <w:rPr>
                <w:noProof/>
                <w:webHidden/>
              </w:rPr>
              <w:fldChar w:fldCharType="separate"/>
            </w:r>
            <w:r w:rsidR="00C71CB3">
              <w:rPr>
                <w:noProof/>
                <w:webHidden/>
              </w:rPr>
              <w:t>19</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33" w:history="1">
            <w:r w:rsidR="00A37E89" w:rsidRPr="00046BA0">
              <w:rPr>
                <w:rStyle w:val="Lienhypertexte"/>
                <w:rFonts w:asciiTheme="majorBidi" w:hAnsiTheme="majorBidi"/>
                <w:noProof/>
              </w:rPr>
              <w:t>III-3 Evolution de l’IPC par division, groupe et classe entre 2019 et 2020</w:t>
            </w:r>
            <w:r w:rsidR="00A37E89">
              <w:rPr>
                <w:noProof/>
                <w:webHidden/>
              </w:rPr>
              <w:tab/>
            </w:r>
            <w:r>
              <w:rPr>
                <w:noProof/>
                <w:webHidden/>
              </w:rPr>
              <w:fldChar w:fldCharType="begin"/>
            </w:r>
            <w:r w:rsidR="00A37E89">
              <w:rPr>
                <w:noProof/>
                <w:webHidden/>
              </w:rPr>
              <w:instrText xml:space="preserve"> PAGEREF _Toc68443133 \h </w:instrText>
            </w:r>
            <w:r>
              <w:rPr>
                <w:noProof/>
                <w:webHidden/>
              </w:rPr>
            </w:r>
            <w:r>
              <w:rPr>
                <w:noProof/>
                <w:webHidden/>
              </w:rPr>
              <w:fldChar w:fldCharType="separate"/>
            </w:r>
            <w:r w:rsidR="00C71CB3">
              <w:rPr>
                <w:noProof/>
                <w:webHidden/>
              </w:rPr>
              <w:t>21</w:t>
            </w:r>
            <w:r>
              <w:rPr>
                <w:noProof/>
                <w:webHidden/>
              </w:rPr>
              <w:fldChar w:fldCharType="end"/>
            </w:r>
          </w:hyperlink>
        </w:p>
        <w:p w:rsidR="00A37E89" w:rsidRDefault="00D87627">
          <w:pPr>
            <w:pStyle w:val="TM2"/>
            <w:tabs>
              <w:tab w:val="right" w:leader="dot" w:pos="9204"/>
            </w:tabs>
            <w:rPr>
              <w:rFonts w:eastAsiaTheme="minorEastAsia"/>
              <w:noProof/>
              <w:lang w:eastAsia="fr-FR"/>
            </w:rPr>
          </w:pPr>
          <w:hyperlink w:anchor="_Toc68443134" w:history="1">
            <w:r w:rsidR="00A37E89" w:rsidRPr="00046BA0">
              <w:rPr>
                <w:rStyle w:val="Lienhypertexte"/>
                <w:rFonts w:asciiTheme="majorBidi" w:hAnsiTheme="majorBidi"/>
                <w:noProof/>
              </w:rPr>
              <w:t>III-4 Evolution de l’IPC général de la ville de Kénitra entre 2017 et 2020</w:t>
            </w:r>
            <w:r w:rsidR="00A37E89">
              <w:rPr>
                <w:noProof/>
                <w:webHidden/>
              </w:rPr>
              <w:tab/>
            </w:r>
            <w:r>
              <w:rPr>
                <w:noProof/>
                <w:webHidden/>
              </w:rPr>
              <w:fldChar w:fldCharType="begin"/>
            </w:r>
            <w:r w:rsidR="00A37E89">
              <w:rPr>
                <w:noProof/>
                <w:webHidden/>
              </w:rPr>
              <w:instrText xml:space="preserve"> PAGEREF _Toc68443134 \h </w:instrText>
            </w:r>
            <w:r>
              <w:rPr>
                <w:noProof/>
                <w:webHidden/>
              </w:rPr>
            </w:r>
            <w:r>
              <w:rPr>
                <w:noProof/>
                <w:webHidden/>
              </w:rPr>
              <w:fldChar w:fldCharType="separate"/>
            </w:r>
            <w:r w:rsidR="00C71CB3">
              <w:rPr>
                <w:noProof/>
                <w:webHidden/>
              </w:rPr>
              <w:t>22</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35" w:history="1">
            <w:r w:rsidR="00A37E89" w:rsidRPr="00046BA0">
              <w:rPr>
                <w:rStyle w:val="Lienhypertexte"/>
                <w:rFonts w:asciiTheme="majorBidi" w:hAnsiTheme="majorBidi"/>
                <w:noProof/>
              </w:rPr>
              <w:t>III-4-1 Evolution mensuelle de l’IPC</w:t>
            </w:r>
            <w:r w:rsidR="00A37E89">
              <w:rPr>
                <w:noProof/>
                <w:webHidden/>
              </w:rPr>
              <w:tab/>
            </w:r>
            <w:r>
              <w:rPr>
                <w:noProof/>
                <w:webHidden/>
              </w:rPr>
              <w:fldChar w:fldCharType="begin"/>
            </w:r>
            <w:r w:rsidR="00A37E89">
              <w:rPr>
                <w:noProof/>
                <w:webHidden/>
              </w:rPr>
              <w:instrText xml:space="preserve"> PAGEREF _Toc68443135 \h </w:instrText>
            </w:r>
            <w:r>
              <w:rPr>
                <w:noProof/>
                <w:webHidden/>
              </w:rPr>
            </w:r>
            <w:r>
              <w:rPr>
                <w:noProof/>
                <w:webHidden/>
              </w:rPr>
              <w:fldChar w:fldCharType="separate"/>
            </w:r>
            <w:r w:rsidR="00C71CB3">
              <w:rPr>
                <w:noProof/>
                <w:webHidden/>
              </w:rPr>
              <w:t>22</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36" w:history="1">
            <w:r w:rsidR="00A37E89" w:rsidRPr="00046BA0">
              <w:rPr>
                <w:rStyle w:val="Lienhypertexte"/>
                <w:rFonts w:asciiTheme="majorBidi" w:hAnsiTheme="majorBidi"/>
                <w:noProof/>
              </w:rPr>
              <w:t>III-4-2 Evolution annuelle de l’IPC</w:t>
            </w:r>
            <w:r w:rsidR="00A37E89">
              <w:rPr>
                <w:noProof/>
                <w:webHidden/>
              </w:rPr>
              <w:tab/>
            </w:r>
            <w:r>
              <w:rPr>
                <w:noProof/>
                <w:webHidden/>
              </w:rPr>
              <w:fldChar w:fldCharType="begin"/>
            </w:r>
            <w:r w:rsidR="00A37E89">
              <w:rPr>
                <w:noProof/>
                <w:webHidden/>
              </w:rPr>
              <w:instrText xml:space="preserve"> PAGEREF _Toc68443136 \h </w:instrText>
            </w:r>
            <w:r>
              <w:rPr>
                <w:noProof/>
                <w:webHidden/>
              </w:rPr>
            </w:r>
            <w:r>
              <w:rPr>
                <w:noProof/>
                <w:webHidden/>
              </w:rPr>
              <w:fldChar w:fldCharType="separate"/>
            </w:r>
            <w:r w:rsidR="00C71CB3">
              <w:rPr>
                <w:noProof/>
                <w:webHidden/>
              </w:rPr>
              <w:t>24</w:t>
            </w:r>
            <w:r>
              <w:rPr>
                <w:noProof/>
                <w:webHidden/>
              </w:rPr>
              <w:fldChar w:fldCharType="end"/>
            </w:r>
          </w:hyperlink>
        </w:p>
        <w:p w:rsidR="00A37E89" w:rsidRDefault="00D87627">
          <w:pPr>
            <w:pStyle w:val="TM4"/>
            <w:tabs>
              <w:tab w:val="right" w:leader="dot" w:pos="9204"/>
            </w:tabs>
            <w:rPr>
              <w:rFonts w:eastAsiaTheme="minorEastAsia"/>
              <w:noProof/>
              <w:lang w:eastAsia="fr-FR"/>
            </w:rPr>
          </w:pPr>
          <w:hyperlink w:anchor="_Toc68443137" w:history="1">
            <w:r w:rsidR="00A37E89" w:rsidRPr="00046BA0">
              <w:rPr>
                <w:rStyle w:val="Lienhypertexte"/>
                <w:rFonts w:asciiTheme="majorBidi" w:hAnsiTheme="majorBidi"/>
                <w:noProof/>
              </w:rPr>
              <w:t>III-4-2-1  Evolution annuelle des indices généraux de Kénitra et du Maroc</w:t>
            </w:r>
            <w:r w:rsidR="00A37E89">
              <w:rPr>
                <w:noProof/>
                <w:webHidden/>
              </w:rPr>
              <w:tab/>
            </w:r>
            <w:r>
              <w:rPr>
                <w:noProof/>
                <w:webHidden/>
              </w:rPr>
              <w:fldChar w:fldCharType="begin"/>
            </w:r>
            <w:r w:rsidR="00A37E89">
              <w:rPr>
                <w:noProof/>
                <w:webHidden/>
              </w:rPr>
              <w:instrText xml:space="preserve"> PAGEREF _Toc68443137 \h </w:instrText>
            </w:r>
            <w:r>
              <w:rPr>
                <w:noProof/>
                <w:webHidden/>
              </w:rPr>
            </w:r>
            <w:r>
              <w:rPr>
                <w:noProof/>
                <w:webHidden/>
              </w:rPr>
              <w:fldChar w:fldCharType="separate"/>
            </w:r>
            <w:r w:rsidR="00C71CB3">
              <w:rPr>
                <w:noProof/>
                <w:webHidden/>
              </w:rPr>
              <w:t>24</w:t>
            </w:r>
            <w:r>
              <w:rPr>
                <w:noProof/>
                <w:webHidden/>
              </w:rPr>
              <w:fldChar w:fldCharType="end"/>
            </w:r>
          </w:hyperlink>
        </w:p>
        <w:p w:rsidR="00A37E89" w:rsidRDefault="00D87627">
          <w:pPr>
            <w:pStyle w:val="TM4"/>
            <w:tabs>
              <w:tab w:val="right" w:leader="dot" w:pos="9204"/>
            </w:tabs>
            <w:rPr>
              <w:rFonts w:eastAsiaTheme="minorEastAsia"/>
              <w:noProof/>
              <w:lang w:eastAsia="fr-FR"/>
            </w:rPr>
          </w:pPr>
          <w:hyperlink w:anchor="_Toc68443138" w:history="1">
            <w:r w:rsidR="00A37E89" w:rsidRPr="00046BA0">
              <w:rPr>
                <w:rStyle w:val="Lienhypertexte"/>
                <w:rFonts w:asciiTheme="majorBidi" w:hAnsiTheme="majorBidi"/>
                <w:noProof/>
              </w:rPr>
              <w:t>III-4-2-2 Evolution annuelle des indices : général, alimentaire et non alimentaire de la ville de Kénitra</w:t>
            </w:r>
            <w:r w:rsidR="00A37E89">
              <w:rPr>
                <w:noProof/>
                <w:webHidden/>
              </w:rPr>
              <w:tab/>
            </w:r>
            <w:r>
              <w:rPr>
                <w:noProof/>
                <w:webHidden/>
              </w:rPr>
              <w:fldChar w:fldCharType="begin"/>
            </w:r>
            <w:r w:rsidR="00A37E89">
              <w:rPr>
                <w:noProof/>
                <w:webHidden/>
              </w:rPr>
              <w:instrText xml:space="preserve"> PAGEREF _Toc68443138 \h </w:instrText>
            </w:r>
            <w:r>
              <w:rPr>
                <w:noProof/>
                <w:webHidden/>
              </w:rPr>
            </w:r>
            <w:r>
              <w:rPr>
                <w:noProof/>
                <w:webHidden/>
              </w:rPr>
              <w:fldChar w:fldCharType="separate"/>
            </w:r>
            <w:r w:rsidR="00C71CB3">
              <w:rPr>
                <w:noProof/>
                <w:webHidden/>
              </w:rPr>
              <w:t>25</w:t>
            </w:r>
            <w:r>
              <w:rPr>
                <w:noProof/>
                <w:webHidden/>
              </w:rPr>
              <w:fldChar w:fldCharType="end"/>
            </w:r>
          </w:hyperlink>
        </w:p>
        <w:p w:rsidR="00A37E89" w:rsidRDefault="00D87627">
          <w:pPr>
            <w:pStyle w:val="TM3"/>
            <w:tabs>
              <w:tab w:val="right" w:leader="dot" w:pos="9204"/>
            </w:tabs>
            <w:rPr>
              <w:rFonts w:eastAsiaTheme="minorEastAsia"/>
              <w:noProof/>
              <w:lang w:eastAsia="fr-FR"/>
            </w:rPr>
          </w:pPr>
          <w:hyperlink w:anchor="_Toc68443139" w:history="1">
            <w:r w:rsidR="00A37E89" w:rsidRPr="00046BA0">
              <w:rPr>
                <w:rStyle w:val="Lienhypertexte"/>
                <w:rFonts w:asciiTheme="majorBidi" w:hAnsiTheme="majorBidi"/>
                <w:noProof/>
              </w:rPr>
              <w:t>III-4-3 Evolution de l’inflation générale</w:t>
            </w:r>
            <w:r w:rsidR="00A37E89">
              <w:rPr>
                <w:noProof/>
                <w:webHidden/>
              </w:rPr>
              <w:tab/>
            </w:r>
            <w:r>
              <w:rPr>
                <w:noProof/>
                <w:webHidden/>
              </w:rPr>
              <w:fldChar w:fldCharType="begin"/>
            </w:r>
            <w:r w:rsidR="00A37E89">
              <w:rPr>
                <w:noProof/>
                <w:webHidden/>
              </w:rPr>
              <w:instrText xml:space="preserve"> PAGEREF _Toc68443139 \h </w:instrText>
            </w:r>
            <w:r>
              <w:rPr>
                <w:noProof/>
                <w:webHidden/>
              </w:rPr>
            </w:r>
            <w:r>
              <w:rPr>
                <w:noProof/>
                <w:webHidden/>
              </w:rPr>
              <w:fldChar w:fldCharType="separate"/>
            </w:r>
            <w:r w:rsidR="00C71CB3">
              <w:rPr>
                <w:noProof/>
                <w:webHidden/>
              </w:rPr>
              <w:t>26</w:t>
            </w:r>
            <w:r>
              <w:rPr>
                <w:noProof/>
                <w:webHidden/>
              </w:rPr>
              <w:fldChar w:fldCharType="end"/>
            </w:r>
          </w:hyperlink>
        </w:p>
        <w:p w:rsidR="00A37E89" w:rsidRDefault="00D87627">
          <w:pPr>
            <w:pStyle w:val="TM4"/>
            <w:tabs>
              <w:tab w:val="right" w:leader="dot" w:pos="9204"/>
            </w:tabs>
            <w:rPr>
              <w:rFonts w:eastAsiaTheme="minorEastAsia"/>
              <w:noProof/>
              <w:lang w:eastAsia="fr-FR"/>
            </w:rPr>
          </w:pPr>
          <w:hyperlink w:anchor="_Toc68443140" w:history="1">
            <w:r w:rsidR="00A37E89" w:rsidRPr="00046BA0">
              <w:rPr>
                <w:rStyle w:val="Lienhypertexte"/>
                <w:rFonts w:asciiTheme="majorBidi" w:hAnsiTheme="majorBidi"/>
                <w:noProof/>
              </w:rPr>
              <w:t>III-4-3-1 Evolution annuelle de l’inflation</w:t>
            </w:r>
            <w:r w:rsidR="00A37E89">
              <w:rPr>
                <w:noProof/>
                <w:webHidden/>
              </w:rPr>
              <w:tab/>
            </w:r>
            <w:r>
              <w:rPr>
                <w:noProof/>
                <w:webHidden/>
              </w:rPr>
              <w:fldChar w:fldCharType="begin"/>
            </w:r>
            <w:r w:rsidR="00A37E89">
              <w:rPr>
                <w:noProof/>
                <w:webHidden/>
              </w:rPr>
              <w:instrText xml:space="preserve"> PAGEREF _Toc68443140 \h </w:instrText>
            </w:r>
            <w:r>
              <w:rPr>
                <w:noProof/>
                <w:webHidden/>
              </w:rPr>
            </w:r>
            <w:r>
              <w:rPr>
                <w:noProof/>
                <w:webHidden/>
              </w:rPr>
              <w:fldChar w:fldCharType="separate"/>
            </w:r>
            <w:r w:rsidR="00C71CB3">
              <w:rPr>
                <w:noProof/>
                <w:webHidden/>
              </w:rPr>
              <w:t>26</w:t>
            </w:r>
            <w:r>
              <w:rPr>
                <w:noProof/>
                <w:webHidden/>
              </w:rPr>
              <w:fldChar w:fldCharType="end"/>
            </w:r>
          </w:hyperlink>
        </w:p>
        <w:p w:rsidR="00A37E89" w:rsidRDefault="00D87627">
          <w:pPr>
            <w:pStyle w:val="TM4"/>
            <w:tabs>
              <w:tab w:val="right" w:leader="dot" w:pos="9204"/>
            </w:tabs>
            <w:rPr>
              <w:rFonts w:eastAsiaTheme="minorEastAsia"/>
              <w:noProof/>
              <w:lang w:eastAsia="fr-FR"/>
            </w:rPr>
          </w:pPr>
          <w:hyperlink w:anchor="_Toc68443141" w:history="1">
            <w:r w:rsidR="00A37E89" w:rsidRPr="00046BA0">
              <w:rPr>
                <w:rStyle w:val="Lienhypertexte"/>
                <w:rFonts w:asciiTheme="majorBidi" w:hAnsiTheme="majorBidi"/>
                <w:noProof/>
              </w:rPr>
              <w:t>III-4-3-2 Glissements annuels</w:t>
            </w:r>
            <w:r w:rsidR="00A37E89">
              <w:rPr>
                <w:noProof/>
                <w:webHidden/>
              </w:rPr>
              <w:tab/>
            </w:r>
            <w:r>
              <w:rPr>
                <w:noProof/>
                <w:webHidden/>
              </w:rPr>
              <w:fldChar w:fldCharType="begin"/>
            </w:r>
            <w:r w:rsidR="00A37E89">
              <w:rPr>
                <w:noProof/>
                <w:webHidden/>
              </w:rPr>
              <w:instrText xml:space="preserve"> PAGEREF _Toc68443141 \h </w:instrText>
            </w:r>
            <w:r>
              <w:rPr>
                <w:noProof/>
                <w:webHidden/>
              </w:rPr>
            </w:r>
            <w:r>
              <w:rPr>
                <w:noProof/>
                <w:webHidden/>
              </w:rPr>
              <w:fldChar w:fldCharType="separate"/>
            </w:r>
            <w:r w:rsidR="00C71CB3">
              <w:rPr>
                <w:noProof/>
                <w:webHidden/>
              </w:rPr>
              <w:t>27</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42" w:history="1">
            <w:r w:rsidR="00A37E89" w:rsidRPr="00046BA0">
              <w:rPr>
                <w:rStyle w:val="Lienhypertexte"/>
                <w:rFonts w:asciiTheme="majorBidi" w:hAnsiTheme="majorBidi"/>
                <w:noProof/>
              </w:rPr>
              <w:t>CONCLUSION</w:t>
            </w:r>
            <w:r w:rsidR="00A37E89">
              <w:rPr>
                <w:noProof/>
                <w:webHidden/>
              </w:rPr>
              <w:tab/>
            </w:r>
            <w:r>
              <w:rPr>
                <w:noProof/>
                <w:webHidden/>
              </w:rPr>
              <w:fldChar w:fldCharType="begin"/>
            </w:r>
            <w:r w:rsidR="00A37E89">
              <w:rPr>
                <w:noProof/>
                <w:webHidden/>
              </w:rPr>
              <w:instrText xml:space="preserve"> PAGEREF _Toc68443142 \h </w:instrText>
            </w:r>
            <w:r>
              <w:rPr>
                <w:noProof/>
                <w:webHidden/>
              </w:rPr>
            </w:r>
            <w:r>
              <w:rPr>
                <w:noProof/>
                <w:webHidden/>
              </w:rPr>
              <w:fldChar w:fldCharType="separate"/>
            </w:r>
            <w:r w:rsidR="00C71CB3">
              <w:rPr>
                <w:noProof/>
                <w:webHidden/>
              </w:rPr>
              <w:t>30</w:t>
            </w:r>
            <w:r>
              <w:rPr>
                <w:noProof/>
                <w:webHidden/>
              </w:rPr>
              <w:fldChar w:fldCharType="end"/>
            </w:r>
          </w:hyperlink>
        </w:p>
        <w:p w:rsidR="00A37E89" w:rsidRDefault="00D87627">
          <w:pPr>
            <w:pStyle w:val="TM1"/>
            <w:tabs>
              <w:tab w:val="right" w:leader="dot" w:pos="9204"/>
            </w:tabs>
            <w:rPr>
              <w:rFonts w:eastAsiaTheme="minorEastAsia"/>
              <w:noProof/>
              <w:lang w:eastAsia="fr-FR"/>
            </w:rPr>
          </w:pPr>
          <w:hyperlink w:anchor="_Toc68443143" w:history="1">
            <w:r w:rsidR="00A37E89" w:rsidRPr="00046BA0">
              <w:rPr>
                <w:rStyle w:val="Lienhypertexte"/>
                <w:rFonts w:asciiTheme="majorBidi" w:hAnsiTheme="majorBidi"/>
                <w:noProof/>
              </w:rPr>
              <w:t>ANNEXES</w:t>
            </w:r>
            <w:r w:rsidR="00A37E89">
              <w:rPr>
                <w:noProof/>
                <w:webHidden/>
              </w:rPr>
              <w:tab/>
            </w:r>
            <w:r>
              <w:rPr>
                <w:noProof/>
                <w:webHidden/>
              </w:rPr>
              <w:fldChar w:fldCharType="begin"/>
            </w:r>
            <w:r w:rsidR="00A37E89">
              <w:rPr>
                <w:noProof/>
                <w:webHidden/>
              </w:rPr>
              <w:instrText xml:space="preserve"> PAGEREF _Toc68443143 \h </w:instrText>
            </w:r>
            <w:r>
              <w:rPr>
                <w:noProof/>
                <w:webHidden/>
              </w:rPr>
            </w:r>
            <w:r>
              <w:rPr>
                <w:noProof/>
                <w:webHidden/>
              </w:rPr>
              <w:fldChar w:fldCharType="separate"/>
            </w:r>
            <w:r w:rsidR="00C71CB3">
              <w:rPr>
                <w:noProof/>
                <w:webHidden/>
              </w:rPr>
              <w:t>31</w:t>
            </w:r>
            <w:r>
              <w:rPr>
                <w:noProof/>
                <w:webHidden/>
              </w:rPr>
              <w:fldChar w:fldCharType="end"/>
            </w:r>
          </w:hyperlink>
        </w:p>
        <w:p w:rsidR="008B74DA" w:rsidRDefault="00D87627" w:rsidP="008B74DA">
          <w:r>
            <w:fldChar w:fldCharType="end"/>
          </w:r>
        </w:p>
      </w:sdtContent>
    </w:sdt>
    <w:p w:rsidR="0036690E" w:rsidRPr="005405A4" w:rsidRDefault="00FB3E9B" w:rsidP="005405A4">
      <w:pPr>
        <w:pStyle w:val="Titre1"/>
        <w:rPr>
          <w:color w:val="4F81BD" w:themeColor="accent1"/>
        </w:rPr>
      </w:pPr>
      <w:bookmarkStart w:id="0" w:name="_Toc68443113"/>
      <w:r w:rsidRPr="005405A4">
        <w:rPr>
          <w:color w:val="4F81BD" w:themeColor="accent1"/>
        </w:rPr>
        <w:t>Liste des tableaux</w:t>
      </w:r>
      <w:bookmarkEnd w:id="0"/>
    </w:p>
    <w:p w:rsidR="0036690E" w:rsidRDefault="0036690E" w:rsidP="0036690E"/>
    <w:p w:rsidR="00CB275A" w:rsidRPr="00CB275A" w:rsidRDefault="00D87627">
      <w:pPr>
        <w:pStyle w:val="Tabledesillustrations"/>
        <w:tabs>
          <w:tab w:val="right" w:leader="dot" w:pos="9204"/>
        </w:tabs>
        <w:rPr>
          <w:rFonts w:eastAsiaTheme="minorEastAsia"/>
          <w:noProof/>
          <w:lang w:eastAsia="fr-FR"/>
        </w:rPr>
      </w:pPr>
      <w:r w:rsidRPr="00D87627">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D87627">
        <w:rPr>
          <w:rFonts w:asciiTheme="majorBidi" w:hAnsiTheme="majorBidi" w:cstheme="majorBidi"/>
          <w:color w:val="0070C0"/>
        </w:rPr>
        <w:fldChar w:fldCharType="separate"/>
      </w:r>
      <w:hyperlink w:anchor="_Toc68436327" w:history="1">
        <w:r w:rsidR="00CB275A" w:rsidRPr="00CB275A">
          <w:rPr>
            <w:rStyle w:val="Lienhypertexte"/>
            <w:rFonts w:asciiTheme="majorBidi" w:hAnsiTheme="majorBidi" w:cstheme="majorBidi"/>
            <w:noProof/>
          </w:rPr>
          <w:t>Tableau 1 : Coefficients de pondération des grands groupes de produits en 2014 en (%)</w:t>
        </w:r>
        <w:r w:rsidR="00CB275A" w:rsidRPr="00CB275A">
          <w:rPr>
            <w:noProof/>
            <w:webHidden/>
          </w:rPr>
          <w:tab/>
        </w:r>
        <w:r w:rsidRPr="00CB275A">
          <w:rPr>
            <w:noProof/>
            <w:webHidden/>
          </w:rPr>
          <w:fldChar w:fldCharType="begin"/>
        </w:r>
        <w:r w:rsidR="00CB275A" w:rsidRPr="00CB275A">
          <w:rPr>
            <w:noProof/>
            <w:webHidden/>
          </w:rPr>
          <w:instrText xml:space="preserve"> PAGEREF _Toc68436327 \h </w:instrText>
        </w:r>
        <w:r w:rsidRPr="00CB275A">
          <w:rPr>
            <w:noProof/>
            <w:webHidden/>
          </w:rPr>
        </w:r>
        <w:r w:rsidRPr="00CB275A">
          <w:rPr>
            <w:noProof/>
            <w:webHidden/>
          </w:rPr>
          <w:fldChar w:fldCharType="separate"/>
        </w:r>
        <w:r w:rsidR="00C71CB3">
          <w:rPr>
            <w:noProof/>
            <w:webHidden/>
          </w:rPr>
          <w:t>13</w:t>
        </w:r>
        <w:r w:rsidRPr="00CB275A">
          <w:rPr>
            <w:noProof/>
            <w:webHidden/>
          </w:rPr>
          <w:fldChar w:fldCharType="end"/>
        </w:r>
      </w:hyperlink>
    </w:p>
    <w:p w:rsidR="00CB275A" w:rsidRPr="00CB275A" w:rsidRDefault="00D87627">
      <w:pPr>
        <w:pStyle w:val="Tabledesillustrations"/>
        <w:tabs>
          <w:tab w:val="right" w:leader="dot" w:pos="9204"/>
        </w:tabs>
        <w:rPr>
          <w:rFonts w:eastAsiaTheme="minorEastAsia"/>
          <w:noProof/>
          <w:lang w:eastAsia="fr-FR"/>
        </w:rPr>
      </w:pPr>
      <w:hyperlink w:anchor="_Toc68436328" w:history="1">
        <w:r w:rsidR="00CB275A" w:rsidRPr="00CB275A">
          <w:rPr>
            <w:rStyle w:val="Lienhypertexte"/>
            <w:rFonts w:asciiTheme="majorBidi" w:hAnsiTheme="majorBidi" w:cstheme="majorBidi"/>
            <w:noProof/>
          </w:rPr>
          <w:t>Tableau 2 : Liste des zones d’enquêtes par quartier de concentrations</w:t>
        </w:r>
        <w:r w:rsidR="00CB275A" w:rsidRPr="00CB275A">
          <w:rPr>
            <w:noProof/>
            <w:webHidden/>
          </w:rPr>
          <w:tab/>
        </w:r>
        <w:r w:rsidRPr="00CB275A">
          <w:rPr>
            <w:noProof/>
            <w:webHidden/>
          </w:rPr>
          <w:fldChar w:fldCharType="begin"/>
        </w:r>
        <w:r w:rsidR="00CB275A" w:rsidRPr="00CB275A">
          <w:rPr>
            <w:noProof/>
            <w:webHidden/>
          </w:rPr>
          <w:instrText xml:space="preserve"> PAGEREF _Toc68436328 \h </w:instrText>
        </w:r>
        <w:r w:rsidRPr="00CB275A">
          <w:rPr>
            <w:noProof/>
            <w:webHidden/>
          </w:rPr>
        </w:r>
        <w:r w:rsidRPr="00CB275A">
          <w:rPr>
            <w:noProof/>
            <w:webHidden/>
          </w:rPr>
          <w:fldChar w:fldCharType="separate"/>
        </w:r>
        <w:r w:rsidR="00C71CB3">
          <w:rPr>
            <w:noProof/>
            <w:webHidden/>
          </w:rPr>
          <w:t>14</w:t>
        </w:r>
        <w:r w:rsidRPr="00CB275A">
          <w:rPr>
            <w:noProof/>
            <w:webHidden/>
          </w:rPr>
          <w:fldChar w:fldCharType="end"/>
        </w:r>
      </w:hyperlink>
    </w:p>
    <w:p w:rsidR="00CB275A" w:rsidRPr="00CB275A" w:rsidRDefault="00D87627">
      <w:pPr>
        <w:pStyle w:val="Tabledesillustrations"/>
        <w:tabs>
          <w:tab w:val="right" w:leader="dot" w:pos="9204"/>
        </w:tabs>
        <w:rPr>
          <w:rFonts w:eastAsiaTheme="minorEastAsia"/>
          <w:noProof/>
          <w:lang w:eastAsia="fr-FR"/>
        </w:rPr>
      </w:pPr>
      <w:hyperlink w:anchor="_Toc68436329" w:history="1">
        <w:r w:rsidR="00CB275A" w:rsidRPr="00CB275A">
          <w:rPr>
            <w:rStyle w:val="Lienhypertexte"/>
            <w:rFonts w:asciiTheme="majorBidi" w:hAnsiTheme="majorBidi" w:cstheme="majorBidi"/>
            <w:noProof/>
          </w:rPr>
          <w:t>Tableau 3 : IPC général (Base 100 :2017) par ville en 2019 et 2020</w:t>
        </w:r>
        <w:r w:rsidR="00CB275A" w:rsidRPr="00CB275A">
          <w:rPr>
            <w:noProof/>
            <w:webHidden/>
          </w:rPr>
          <w:tab/>
        </w:r>
        <w:r w:rsidRPr="00CB275A">
          <w:rPr>
            <w:noProof/>
            <w:webHidden/>
          </w:rPr>
          <w:fldChar w:fldCharType="begin"/>
        </w:r>
        <w:r w:rsidR="00CB275A" w:rsidRPr="00CB275A">
          <w:rPr>
            <w:noProof/>
            <w:webHidden/>
          </w:rPr>
          <w:instrText xml:space="preserve"> PAGEREF _Toc68436329 \h </w:instrText>
        </w:r>
        <w:r w:rsidRPr="00CB275A">
          <w:rPr>
            <w:noProof/>
            <w:webHidden/>
          </w:rPr>
        </w:r>
        <w:r w:rsidRPr="00CB275A">
          <w:rPr>
            <w:noProof/>
            <w:webHidden/>
          </w:rPr>
          <w:fldChar w:fldCharType="separate"/>
        </w:r>
        <w:r w:rsidR="00C71CB3">
          <w:rPr>
            <w:noProof/>
            <w:webHidden/>
          </w:rPr>
          <w:t>17</w:t>
        </w:r>
        <w:r w:rsidRPr="00CB275A">
          <w:rPr>
            <w:noProof/>
            <w:webHidden/>
          </w:rPr>
          <w:fldChar w:fldCharType="end"/>
        </w:r>
      </w:hyperlink>
    </w:p>
    <w:p w:rsidR="00CB275A" w:rsidRPr="00CB275A" w:rsidRDefault="00D87627">
      <w:pPr>
        <w:pStyle w:val="Tabledesillustrations"/>
        <w:tabs>
          <w:tab w:val="right" w:leader="dot" w:pos="9204"/>
        </w:tabs>
        <w:rPr>
          <w:rFonts w:eastAsiaTheme="minorEastAsia"/>
          <w:noProof/>
          <w:lang w:eastAsia="fr-FR"/>
        </w:rPr>
      </w:pPr>
      <w:hyperlink w:anchor="_Toc68436330" w:history="1">
        <w:r w:rsidR="00CB275A" w:rsidRPr="00CB275A">
          <w:rPr>
            <w:rStyle w:val="Lienhypertexte"/>
            <w:rFonts w:asciiTheme="majorBidi" w:hAnsiTheme="majorBidi" w:cstheme="majorBidi"/>
            <w:noProof/>
          </w:rPr>
          <w:t>Tableau 4 : IPC général par mois - Année 2020-</w:t>
        </w:r>
        <w:r w:rsidR="00CB275A" w:rsidRPr="00CB275A">
          <w:rPr>
            <w:noProof/>
            <w:webHidden/>
          </w:rPr>
          <w:tab/>
        </w:r>
        <w:r w:rsidRPr="00CB275A">
          <w:rPr>
            <w:noProof/>
            <w:webHidden/>
          </w:rPr>
          <w:fldChar w:fldCharType="begin"/>
        </w:r>
        <w:r w:rsidR="00CB275A" w:rsidRPr="00CB275A">
          <w:rPr>
            <w:noProof/>
            <w:webHidden/>
          </w:rPr>
          <w:instrText xml:space="preserve"> PAGEREF _Toc68436330 \h </w:instrText>
        </w:r>
        <w:r w:rsidRPr="00CB275A">
          <w:rPr>
            <w:noProof/>
            <w:webHidden/>
          </w:rPr>
        </w:r>
        <w:r w:rsidRPr="00CB275A">
          <w:rPr>
            <w:noProof/>
            <w:webHidden/>
          </w:rPr>
          <w:fldChar w:fldCharType="separate"/>
        </w:r>
        <w:r w:rsidR="00C71CB3">
          <w:rPr>
            <w:noProof/>
            <w:webHidden/>
          </w:rPr>
          <w:t>19</w:t>
        </w:r>
        <w:r w:rsidRPr="00CB275A">
          <w:rPr>
            <w:noProof/>
            <w:webHidden/>
          </w:rPr>
          <w:fldChar w:fldCharType="end"/>
        </w:r>
      </w:hyperlink>
    </w:p>
    <w:p w:rsidR="00CB275A" w:rsidRPr="00CB275A" w:rsidRDefault="00D87627">
      <w:pPr>
        <w:pStyle w:val="Tabledesillustrations"/>
        <w:tabs>
          <w:tab w:val="right" w:leader="dot" w:pos="9204"/>
        </w:tabs>
        <w:rPr>
          <w:rFonts w:eastAsiaTheme="minorEastAsia"/>
          <w:b/>
          <w:noProof/>
          <w:lang w:eastAsia="fr-FR"/>
        </w:rPr>
      </w:pPr>
      <w:hyperlink w:anchor="_Toc68436331" w:history="1">
        <w:r w:rsidR="00CB275A" w:rsidRPr="00CB275A">
          <w:rPr>
            <w:rStyle w:val="Lienhypertexte"/>
            <w:rFonts w:asciiTheme="majorBidi" w:hAnsiTheme="majorBidi" w:cstheme="majorBidi"/>
            <w:bCs/>
            <w:noProof/>
          </w:rPr>
          <w:t xml:space="preserve">Tableau 5 : </w:t>
        </w:r>
        <w:r w:rsidR="00CB275A" w:rsidRPr="00CB275A">
          <w:rPr>
            <w:rStyle w:val="Lienhypertexte"/>
            <w:rFonts w:asciiTheme="majorBidi" w:eastAsia="Times New Roman" w:hAnsiTheme="majorBidi" w:cstheme="majorBidi"/>
            <w:bCs/>
            <w:noProof/>
            <w:lang w:eastAsia="fr-FR"/>
          </w:rPr>
          <w:t>Indices : général, alimentaire et non alimentaire de la ville de Kénitra</w:t>
        </w:r>
        <w:r w:rsidR="00CB275A" w:rsidRPr="00CB275A">
          <w:rPr>
            <w:noProof/>
            <w:webHidden/>
          </w:rPr>
          <w:tab/>
        </w:r>
        <w:r w:rsidRPr="00CB275A">
          <w:rPr>
            <w:noProof/>
            <w:webHidden/>
          </w:rPr>
          <w:fldChar w:fldCharType="begin"/>
        </w:r>
        <w:r w:rsidR="00CB275A" w:rsidRPr="00CB275A">
          <w:rPr>
            <w:noProof/>
            <w:webHidden/>
          </w:rPr>
          <w:instrText xml:space="preserve"> PAGEREF _Toc68436331 \h </w:instrText>
        </w:r>
        <w:r w:rsidRPr="00CB275A">
          <w:rPr>
            <w:noProof/>
            <w:webHidden/>
          </w:rPr>
        </w:r>
        <w:r w:rsidRPr="00CB275A">
          <w:rPr>
            <w:noProof/>
            <w:webHidden/>
          </w:rPr>
          <w:fldChar w:fldCharType="separate"/>
        </w:r>
        <w:r w:rsidR="00C71CB3">
          <w:rPr>
            <w:noProof/>
            <w:webHidden/>
          </w:rPr>
          <w:t>20</w:t>
        </w:r>
        <w:r w:rsidRPr="00CB275A">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32" w:history="1">
        <w:r w:rsidR="00CB275A" w:rsidRPr="005230C6">
          <w:rPr>
            <w:rStyle w:val="Lienhypertexte"/>
            <w:rFonts w:asciiTheme="majorBidi" w:hAnsiTheme="majorBidi" w:cstheme="majorBidi"/>
            <w:noProof/>
          </w:rPr>
          <w:t xml:space="preserve">Tableau 6 : </w:t>
        </w:r>
        <w:r w:rsidR="00CB275A" w:rsidRPr="005230C6">
          <w:rPr>
            <w:rStyle w:val="Lienhypertexte"/>
            <w:rFonts w:asciiTheme="majorBidi" w:eastAsia="Times New Roman" w:hAnsiTheme="majorBidi" w:cstheme="majorBidi"/>
            <w:noProof/>
            <w:lang w:eastAsia="fr-FR"/>
          </w:rPr>
          <w:t>Evolution de l'IPC (Base 100: 2017) par division entre 2019 et 2020</w:t>
        </w:r>
        <w:r w:rsidR="00CB275A">
          <w:rPr>
            <w:noProof/>
            <w:webHidden/>
          </w:rPr>
          <w:tab/>
        </w:r>
        <w:r>
          <w:rPr>
            <w:noProof/>
            <w:webHidden/>
          </w:rPr>
          <w:fldChar w:fldCharType="begin"/>
        </w:r>
        <w:r w:rsidR="00CB275A">
          <w:rPr>
            <w:noProof/>
            <w:webHidden/>
          </w:rPr>
          <w:instrText xml:space="preserve"> PAGEREF _Toc68436332 \h </w:instrText>
        </w:r>
        <w:r>
          <w:rPr>
            <w:noProof/>
            <w:webHidden/>
          </w:rPr>
        </w:r>
        <w:r>
          <w:rPr>
            <w:noProof/>
            <w:webHidden/>
          </w:rPr>
          <w:fldChar w:fldCharType="separate"/>
        </w:r>
        <w:r w:rsidR="00C71CB3">
          <w:rPr>
            <w:noProof/>
            <w:webHidden/>
          </w:rPr>
          <w:t>21</w:t>
        </w:r>
        <w:r>
          <w:rPr>
            <w:noProof/>
            <w:webHidden/>
          </w:rPr>
          <w:fldChar w:fldCharType="end"/>
        </w:r>
      </w:hyperlink>
    </w:p>
    <w:p w:rsidR="00BC2DF5" w:rsidRPr="008B74DA" w:rsidRDefault="00D87627"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68443114"/>
      <w:r w:rsidRPr="005405A4">
        <w:rPr>
          <w:rFonts w:ascii="Cambria" w:hAnsi="Cambria"/>
          <w:bCs w:val="0"/>
          <w:color w:val="4F81BD" w:themeColor="accent1"/>
        </w:rPr>
        <w:lastRenderedPageBreak/>
        <w:t>Liste des graphiques</w:t>
      </w:r>
      <w:bookmarkEnd w:id="1"/>
    </w:p>
    <w:p w:rsidR="00462F63" w:rsidRPr="00462F63" w:rsidRDefault="00462F63" w:rsidP="00462F63"/>
    <w:p w:rsidR="00CB275A" w:rsidRDefault="00D87627">
      <w:pPr>
        <w:pStyle w:val="Tabledesillustrations"/>
        <w:tabs>
          <w:tab w:val="right" w:leader="dot" w:pos="9204"/>
        </w:tabs>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68436335" w:history="1">
        <w:r w:rsidR="00CB275A" w:rsidRPr="00226959">
          <w:rPr>
            <w:rStyle w:val="Lienhypertexte"/>
            <w:rFonts w:asciiTheme="majorBidi" w:hAnsiTheme="majorBidi" w:cstheme="majorBidi"/>
            <w:noProof/>
          </w:rPr>
          <w:t>Graphique 1 : IPC général  par ville en 2019 et 2020</w:t>
        </w:r>
        <w:r w:rsidR="00CB275A">
          <w:rPr>
            <w:noProof/>
            <w:webHidden/>
          </w:rPr>
          <w:tab/>
        </w:r>
        <w:r>
          <w:rPr>
            <w:noProof/>
            <w:webHidden/>
          </w:rPr>
          <w:fldChar w:fldCharType="begin"/>
        </w:r>
        <w:r w:rsidR="00CB275A">
          <w:rPr>
            <w:noProof/>
            <w:webHidden/>
          </w:rPr>
          <w:instrText xml:space="preserve"> PAGEREF _Toc68436335 \h </w:instrText>
        </w:r>
        <w:r>
          <w:rPr>
            <w:noProof/>
            <w:webHidden/>
          </w:rPr>
        </w:r>
        <w:r>
          <w:rPr>
            <w:noProof/>
            <w:webHidden/>
          </w:rPr>
          <w:fldChar w:fldCharType="separate"/>
        </w:r>
        <w:r w:rsidR="00C71CB3">
          <w:rPr>
            <w:noProof/>
            <w:webHidden/>
          </w:rPr>
          <w:t>18</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36" w:history="1">
        <w:r w:rsidR="00CB275A" w:rsidRPr="00226959">
          <w:rPr>
            <w:rStyle w:val="Lienhypertexte"/>
            <w:rFonts w:asciiTheme="majorBidi" w:hAnsiTheme="majorBidi" w:cstheme="majorBidi"/>
            <w:noProof/>
          </w:rPr>
          <w:t>Graphique 2</w:t>
        </w:r>
        <w:r w:rsidR="00CB275A" w:rsidRPr="00226959">
          <w:rPr>
            <w:rStyle w:val="Lienhypertexte"/>
            <w:rFonts w:ascii="Times New Roman" w:hAnsi="Times New Roman"/>
            <w:noProof/>
          </w:rPr>
          <w:t xml:space="preserve"> : </w:t>
        </w:r>
        <w:r w:rsidR="00CB275A" w:rsidRPr="00226959">
          <w:rPr>
            <w:rStyle w:val="Lienhypertexte"/>
            <w:rFonts w:ascii="Times New Roman" w:hAnsi="Times New Roman" w:cstheme="majorBidi"/>
            <w:noProof/>
          </w:rPr>
          <w:t>Inflation générale par ville (en %) -Année 2020-</w:t>
        </w:r>
        <w:r w:rsidR="00CB275A">
          <w:rPr>
            <w:noProof/>
            <w:webHidden/>
          </w:rPr>
          <w:tab/>
        </w:r>
        <w:r>
          <w:rPr>
            <w:noProof/>
            <w:webHidden/>
          </w:rPr>
          <w:fldChar w:fldCharType="begin"/>
        </w:r>
        <w:r w:rsidR="00CB275A">
          <w:rPr>
            <w:noProof/>
            <w:webHidden/>
          </w:rPr>
          <w:instrText xml:space="preserve"> PAGEREF _Toc68436336 \h </w:instrText>
        </w:r>
        <w:r>
          <w:rPr>
            <w:noProof/>
            <w:webHidden/>
          </w:rPr>
        </w:r>
        <w:r>
          <w:rPr>
            <w:noProof/>
            <w:webHidden/>
          </w:rPr>
          <w:fldChar w:fldCharType="separate"/>
        </w:r>
        <w:r w:rsidR="00C71CB3">
          <w:rPr>
            <w:noProof/>
            <w:webHidden/>
          </w:rPr>
          <w:t>18</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37" w:history="1">
        <w:r w:rsidR="00CB275A" w:rsidRPr="00226959">
          <w:rPr>
            <w:rStyle w:val="Lienhypertexte"/>
            <w:rFonts w:ascii="Times New Roman" w:hAnsi="Times New Roman"/>
            <w:noProof/>
          </w:rPr>
          <w:t xml:space="preserve">Graphique 3 : </w:t>
        </w:r>
        <w:r w:rsidR="00CB275A" w:rsidRPr="00226959">
          <w:rPr>
            <w:rStyle w:val="Lienhypertexte"/>
            <w:rFonts w:ascii="Times New Roman" w:hAnsi="Times New Roman" w:cstheme="majorBidi"/>
            <w:noProof/>
          </w:rPr>
          <w:t>IPC général de la ville de Kénitra et du Maroc -Année 2020-</w:t>
        </w:r>
        <w:r w:rsidR="00CB275A">
          <w:rPr>
            <w:noProof/>
            <w:webHidden/>
          </w:rPr>
          <w:tab/>
        </w:r>
        <w:r>
          <w:rPr>
            <w:noProof/>
            <w:webHidden/>
          </w:rPr>
          <w:fldChar w:fldCharType="begin"/>
        </w:r>
        <w:r w:rsidR="00CB275A">
          <w:rPr>
            <w:noProof/>
            <w:webHidden/>
          </w:rPr>
          <w:instrText xml:space="preserve"> PAGEREF _Toc68436337 \h </w:instrText>
        </w:r>
        <w:r>
          <w:rPr>
            <w:noProof/>
            <w:webHidden/>
          </w:rPr>
        </w:r>
        <w:r>
          <w:rPr>
            <w:noProof/>
            <w:webHidden/>
          </w:rPr>
          <w:fldChar w:fldCharType="separate"/>
        </w:r>
        <w:r w:rsidR="00C71CB3">
          <w:rPr>
            <w:noProof/>
            <w:webHidden/>
          </w:rPr>
          <w:t>19</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38" w:history="1">
        <w:r w:rsidR="00CB275A" w:rsidRPr="00226959">
          <w:rPr>
            <w:rStyle w:val="Lienhypertexte"/>
            <w:rFonts w:ascii="Times New Roman" w:hAnsi="Times New Roman"/>
            <w:noProof/>
          </w:rPr>
          <w:t xml:space="preserve">Graphique 4: </w:t>
        </w:r>
        <w:r w:rsidR="00CB275A" w:rsidRPr="00226959">
          <w:rPr>
            <w:rStyle w:val="Lienhypertexte"/>
            <w:rFonts w:ascii="Times New Roman" w:hAnsi="Times New Roman" w:cstheme="majorBidi"/>
            <w:noProof/>
          </w:rPr>
          <w:t>Indices  Général, alimentaire et non alimentaire de la ville de Kénitra - Année 2020-</w:t>
        </w:r>
        <w:r w:rsidR="00CB275A">
          <w:rPr>
            <w:noProof/>
            <w:webHidden/>
          </w:rPr>
          <w:tab/>
        </w:r>
        <w:r>
          <w:rPr>
            <w:noProof/>
            <w:webHidden/>
          </w:rPr>
          <w:fldChar w:fldCharType="begin"/>
        </w:r>
        <w:r w:rsidR="00CB275A">
          <w:rPr>
            <w:noProof/>
            <w:webHidden/>
          </w:rPr>
          <w:instrText xml:space="preserve"> PAGEREF _Toc68436338 \h </w:instrText>
        </w:r>
        <w:r>
          <w:rPr>
            <w:noProof/>
            <w:webHidden/>
          </w:rPr>
        </w:r>
        <w:r>
          <w:rPr>
            <w:noProof/>
            <w:webHidden/>
          </w:rPr>
          <w:fldChar w:fldCharType="separate"/>
        </w:r>
        <w:r w:rsidR="00C71CB3">
          <w:rPr>
            <w:noProof/>
            <w:webHidden/>
          </w:rPr>
          <w:t>20</w:t>
        </w:r>
        <w:r>
          <w:rPr>
            <w:noProof/>
            <w:webHidden/>
          </w:rPr>
          <w:fldChar w:fldCharType="end"/>
        </w:r>
      </w:hyperlink>
    </w:p>
    <w:p w:rsidR="00CB275A" w:rsidRPr="00A60E53" w:rsidRDefault="00D87627">
      <w:pPr>
        <w:pStyle w:val="Tabledesillustrations"/>
        <w:tabs>
          <w:tab w:val="right" w:leader="dot" w:pos="9204"/>
        </w:tabs>
        <w:rPr>
          <w:rFonts w:eastAsiaTheme="minorEastAsia"/>
          <w:noProof/>
          <w:lang w:eastAsia="fr-FR"/>
        </w:rPr>
      </w:pPr>
      <w:hyperlink w:anchor="_Toc68436339" w:history="1">
        <w:r w:rsidR="00CB275A" w:rsidRPr="00A60E53">
          <w:rPr>
            <w:rStyle w:val="Lienhypertexte"/>
            <w:rFonts w:ascii="Times New Roman" w:hAnsi="Times New Roman"/>
            <w:noProof/>
          </w:rPr>
          <w:t xml:space="preserve">Graphique 5 : </w:t>
        </w:r>
        <w:r w:rsidR="00CB275A" w:rsidRPr="00A60E53">
          <w:rPr>
            <w:rStyle w:val="Lienhypertexte"/>
            <w:rFonts w:ascii="Times New Roman" w:hAnsi="Times New Roman" w:cstheme="majorBidi"/>
            <w:noProof/>
          </w:rPr>
          <w:t>Evolution de l'IPC de la ville de Kenitra entre 2017 et 2020</w:t>
        </w:r>
        <w:r w:rsidR="00CB275A" w:rsidRPr="00A60E53">
          <w:rPr>
            <w:noProof/>
            <w:webHidden/>
          </w:rPr>
          <w:tab/>
        </w:r>
        <w:r w:rsidRPr="00A60E53">
          <w:rPr>
            <w:noProof/>
            <w:webHidden/>
          </w:rPr>
          <w:fldChar w:fldCharType="begin"/>
        </w:r>
        <w:r w:rsidR="00CB275A" w:rsidRPr="00A60E53">
          <w:rPr>
            <w:noProof/>
            <w:webHidden/>
          </w:rPr>
          <w:instrText xml:space="preserve"> PAGEREF _Toc68436339 \h </w:instrText>
        </w:r>
        <w:r w:rsidRPr="00A60E53">
          <w:rPr>
            <w:noProof/>
            <w:webHidden/>
          </w:rPr>
        </w:r>
        <w:r w:rsidRPr="00A60E53">
          <w:rPr>
            <w:noProof/>
            <w:webHidden/>
          </w:rPr>
          <w:fldChar w:fldCharType="separate"/>
        </w:r>
        <w:r w:rsidR="00C71CB3">
          <w:rPr>
            <w:noProof/>
            <w:webHidden/>
          </w:rPr>
          <w:t>24</w:t>
        </w:r>
        <w:r w:rsidRPr="00A60E53">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40" w:history="1">
        <w:r w:rsidR="00CB275A" w:rsidRPr="00226959">
          <w:rPr>
            <w:rStyle w:val="Lienhypertexte"/>
            <w:rFonts w:ascii="Times New Roman" w:hAnsi="Times New Roman"/>
            <w:noProof/>
          </w:rPr>
          <w:t xml:space="preserve">Graphique 6 : </w:t>
        </w:r>
        <w:r w:rsidR="00CB275A" w:rsidRPr="00226959">
          <w:rPr>
            <w:rStyle w:val="Lienhypertexte"/>
            <w:rFonts w:ascii="Times New Roman" w:hAnsi="Times New Roman" w:cstheme="majorBidi"/>
            <w:noProof/>
          </w:rPr>
          <w:t>Evolution de l'IPC  général de la ville de  Kénitra et du Maroc entre 2017 et 2020</w:t>
        </w:r>
        <w:r w:rsidR="00CB275A">
          <w:rPr>
            <w:noProof/>
            <w:webHidden/>
          </w:rPr>
          <w:tab/>
        </w:r>
        <w:r>
          <w:rPr>
            <w:noProof/>
            <w:webHidden/>
          </w:rPr>
          <w:fldChar w:fldCharType="begin"/>
        </w:r>
        <w:r w:rsidR="00CB275A">
          <w:rPr>
            <w:noProof/>
            <w:webHidden/>
          </w:rPr>
          <w:instrText xml:space="preserve"> PAGEREF _Toc68436340 \h </w:instrText>
        </w:r>
        <w:r>
          <w:rPr>
            <w:noProof/>
            <w:webHidden/>
          </w:rPr>
        </w:r>
        <w:r>
          <w:rPr>
            <w:noProof/>
            <w:webHidden/>
          </w:rPr>
          <w:fldChar w:fldCharType="separate"/>
        </w:r>
        <w:r w:rsidR="00C71CB3">
          <w:rPr>
            <w:noProof/>
            <w:webHidden/>
          </w:rPr>
          <w:t>25</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41" w:history="1">
        <w:r w:rsidR="00CB275A" w:rsidRPr="00226959">
          <w:rPr>
            <w:rStyle w:val="Lienhypertexte"/>
            <w:rFonts w:ascii="Times New Roman" w:hAnsi="Times New Roman"/>
            <w:noProof/>
          </w:rPr>
          <w:t xml:space="preserve">Graphique 7 : </w:t>
        </w:r>
        <w:r w:rsidR="00CB275A" w:rsidRPr="00226959">
          <w:rPr>
            <w:rStyle w:val="Lienhypertexte"/>
            <w:rFonts w:ascii="Times New Roman" w:hAnsi="Times New Roman" w:cstheme="majorBidi"/>
            <w:noProof/>
          </w:rPr>
          <w:t>Evolution des indices alimentaire, non alimentaire et général entre 2017 et 2020</w:t>
        </w:r>
        <w:r w:rsidR="00CB275A">
          <w:rPr>
            <w:noProof/>
            <w:webHidden/>
          </w:rPr>
          <w:tab/>
        </w:r>
        <w:r>
          <w:rPr>
            <w:noProof/>
            <w:webHidden/>
          </w:rPr>
          <w:fldChar w:fldCharType="begin"/>
        </w:r>
        <w:r w:rsidR="00CB275A">
          <w:rPr>
            <w:noProof/>
            <w:webHidden/>
          </w:rPr>
          <w:instrText xml:space="preserve"> PAGEREF _Toc68436341 \h </w:instrText>
        </w:r>
        <w:r>
          <w:rPr>
            <w:noProof/>
            <w:webHidden/>
          </w:rPr>
        </w:r>
        <w:r>
          <w:rPr>
            <w:noProof/>
            <w:webHidden/>
          </w:rPr>
          <w:fldChar w:fldCharType="separate"/>
        </w:r>
        <w:r w:rsidR="00C71CB3">
          <w:rPr>
            <w:noProof/>
            <w:webHidden/>
          </w:rPr>
          <w:t>26</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42" w:history="1">
        <w:r w:rsidR="00CB275A" w:rsidRPr="00226959">
          <w:rPr>
            <w:rStyle w:val="Lienhypertexte"/>
            <w:rFonts w:ascii="Times New Roman" w:hAnsi="Times New Roman"/>
            <w:noProof/>
          </w:rPr>
          <w:t xml:space="preserve">Graphique 8 : </w:t>
        </w:r>
        <w:r w:rsidR="00CB275A" w:rsidRPr="00226959">
          <w:rPr>
            <w:rStyle w:val="Lienhypertexte"/>
            <w:rFonts w:ascii="Times New Roman" w:hAnsi="Times New Roman" w:cstheme="majorBidi"/>
            <w:noProof/>
          </w:rPr>
          <w:t>Evolution de l'inflation générale entre 2017 et 2020</w:t>
        </w:r>
        <w:r w:rsidR="00CB275A">
          <w:rPr>
            <w:noProof/>
            <w:webHidden/>
          </w:rPr>
          <w:tab/>
        </w:r>
        <w:r>
          <w:rPr>
            <w:noProof/>
            <w:webHidden/>
          </w:rPr>
          <w:fldChar w:fldCharType="begin"/>
        </w:r>
        <w:r w:rsidR="00CB275A">
          <w:rPr>
            <w:noProof/>
            <w:webHidden/>
          </w:rPr>
          <w:instrText xml:space="preserve"> PAGEREF _Toc68436342 \h </w:instrText>
        </w:r>
        <w:r>
          <w:rPr>
            <w:noProof/>
            <w:webHidden/>
          </w:rPr>
        </w:r>
        <w:r>
          <w:rPr>
            <w:noProof/>
            <w:webHidden/>
          </w:rPr>
          <w:fldChar w:fldCharType="separate"/>
        </w:r>
        <w:r w:rsidR="00C71CB3">
          <w:rPr>
            <w:noProof/>
            <w:webHidden/>
          </w:rPr>
          <w:t>27</w:t>
        </w:r>
        <w:r>
          <w:rPr>
            <w:noProof/>
            <w:webHidden/>
          </w:rPr>
          <w:fldChar w:fldCharType="end"/>
        </w:r>
      </w:hyperlink>
    </w:p>
    <w:p w:rsidR="00CB275A" w:rsidRDefault="00D87627">
      <w:pPr>
        <w:pStyle w:val="Tabledesillustrations"/>
        <w:tabs>
          <w:tab w:val="right" w:leader="dot" w:pos="9204"/>
        </w:tabs>
        <w:rPr>
          <w:rFonts w:eastAsiaTheme="minorEastAsia"/>
          <w:noProof/>
          <w:lang w:eastAsia="fr-FR"/>
        </w:rPr>
      </w:pPr>
      <w:hyperlink w:anchor="_Toc68436343" w:history="1">
        <w:r w:rsidR="00CB275A" w:rsidRPr="00226959">
          <w:rPr>
            <w:rStyle w:val="Lienhypertexte"/>
            <w:rFonts w:asciiTheme="majorBidi" w:hAnsiTheme="majorBidi" w:cstheme="majorBidi"/>
            <w:noProof/>
          </w:rPr>
          <w:t>Graphique 9 : IPC de la ville de Kénitra et du Maroc : glissements annuels entre 2017 et 2020</w:t>
        </w:r>
        <w:r w:rsidR="00CB275A">
          <w:rPr>
            <w:noProof/>
            <w:webHidden/>
          </w:rPr>
          <w:tab/>
        </w:r>
        <w:r>
          <w:rPr>
            <w:noProof/>
            <w:webHidden/>
          </w:rPr>
          <w:fldChar w:fldCharType="begin"/>
        </w:r>
        <w:r w:rsidR="00CB275A">
          <w:rPr>
            <w:noProof/>
            <w:webHidden/>
          </w:rPr>
          <w:instrText xml:space="preserve"> PAGEREF _Toc68436343 \h </w:instrText>
        </w:r>
        <w:r>
          <w:rPr>
            <w:noProof/>
            <w:webHidden/>
          </w:rPr>
        </w:r>
        <w:r>
          <w:rPr>
            <w:noProof/>
            <w:webHidden/>
          </w:rPr>
          <w:fldChar w:fldCharType="separate"/>
        </w:r>
        <w:r w:rsidR="00C71CB3">
          <w:rPr>
            <w:noProof/>
            <w:webHidden/>
          </w:rPr>
          <w:t>28</w:t>
        </w:r>
        <w:r>
          <w:rPr>
            <w:noProof/>
            <w:webHidden/>
          </w:rPr>
          <w:fldChar w:fldCharType="end"/>
        </w:r>
      </w:hyperlink>
    </w:p>
    <w:p w:rsidR="00BC2DF5" w:rsidRDefault="00D87627"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C4542D" w:rsidRDefault="00C4542D" w:rsidP="00C4542D">
      <w:pPr>
        <w:jc w:val="center"/>
        <w:rPr>
          <w:rFonts w:asciiTheme="majorBidi" w:hAnsiTheme="majorBidi"/>
          <w:b/>
          <w:bCs/>
          <w:color w:val="0070C0"/>
          <w:sz w:val="72"/>
          <w:szCs w:val="72"/>
        </w:rPr>
      </w:pPr>
      <w:r w:rsidRPr="00C4542D">
        <w:rPr>
          <w:rFonts w:asciiTheme="majorBidi" w:hAnsiTheme="majorBidi"/>
          <w:b/>
          <w:bCs/>
          <w:color w:val="0070C0"/>
          <w:sz w:val="72"/>
          <w:szCs w:val="72"/>
        </w:rPr>
        <w:t>INTRODUCTION</w:t>
      </w:r>
    </w:p>
    <w:p w:rsidR="007B49E0" w:rsidRDefault="007B49E0" w:rsidP="008B74DA"/>
    <w:p w:rsidR="007B49E0" w:rsidRDefault="007B49E0" w:rsidP="00764ECF">
      <w:r>
        <w:br w:type="page"/>
      </w:r>
    </w:p>
    <w:p w:rsidR="007B49E0" w:rsidRPr="00A15D45" w:rsidRDefault="007B49E0" w:rsidP="00A15D45">
      <w:pPr>
        <w:pStyle w:val="Titre1"/>
        <w:rPr>
          <w:rFonts w:asciiTheme="majorBidi" w:hAnsiTheme="majorBidi"/>
        </w:rPr>
      </w:pPr>
      <w:bookmarkStart w:id="2" w:name="_Toc68443115"/>
      <w:r w:rsidRPr="00A15D45">
        <w:rPr>
          <w:rFonts w:asciiTheme="majorBidi" w:hAnsiTheme="majorBidi"/>
        </w:rPr>
        <w:lastRenderedPageBreak/>
        <w:t>I</w:t>
      </w:r>
      <w:r w:rsidR="00A15D45" w:rsidRPr="00A15D45">
        <w:rPr>
          <w:rFonts w:asciiTheme="majorBidi" w:hAnsiTheme="majorBidi"/>
        </w:rPr>
        <w:t>ntroduction</w:t>
      </w:r>
      <w:bookmarkEnd w:id="2"/>
    </w:p>
    <w:p w:rsidR="005863A5" w:rsidRDefault="0002091A" w:rsidP="004328F8">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863A5">
        <w:rPr>
          <w:rFonts w:asciiTheme="majorBidi" w:hAnsiTheme="majorBidi" w:cstheme="majorBidi"/>
          <w:sz w:val="24"/>
          <w:szCs w:val="24"/>
        </w:rPr>
        <w:t>.</w:t>
      </w:r>
    </w:p>
    <w:p w:rsidR="0002091A" w:rsidRPr="00612B9A" w:rsidRDefault="005863A5" w:rsidP="004328F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Le HCP a procédé à la publication du nouvel indice base 2017 à partir du 20 Mai 2020 en application du </w:t>
      </w:r>
      <w:r w:rsidR="0056229E">
        <w:rPr>
          <w:rFonts w:asciiTheme="majorBidi" w:hAnsiTheme="majorBidi" w:cstheme="majorBidi"/>
          <w:sz w:val="24"/>
          <w:szCs w:val="24"/>
        </w:rPr>
        <w:t>décret n°2-</w:t>
      </w:r>
      <w:r>
        <w:rPr>
          <w:rFonts w:asciiTheme="majorBidi" w:hAnsiTheme="majorBidi" w:cstheme="majorBidi"/>
          <w:sz w:val="24"/>
          <w:szCs w:val="24"/>
        </w:rPr>
        <w:t>1</w:t>
      </w:r>
      <w:r w:rsidR="0056229E">
        <w:rPr>
          <w:rFonts w:asciiTheme="majorBidi" w:hAnsiTheme="majorBidi" w:cstheme="majorBidi"/>
          <w:sz w:val="24"/>
          <w:szCs w:val="24"/>
        </w:rPr>
        <w:t>9-</w:t>
      </w:r>
      <w:r>
        <w:rPr>
          <w:rFonts w:asciiTheme="majorBidi" w:hAnsiTheme="majorBidi" w:cstheme="majorBidi"/>
          <w:sz w:val="24"/>
          <w:szCs w:val="24"/>
        </w:rPr>
        <w:t>1083</w:t>
      </w:r>
      <w:r w:rsidR="0056229E">
        <w:rPr>
          <w:rFonts w:asciiTheme="majorBidi" w:hAnsiTheme="majorBidi" w:cstheme="majorBidi"/>
          <w:sz w:val="24"/>
          <w:szCs w:val="24"/>
        </w:rPr>
        <w:t xml:space="preserve"> </w:t>
      </w:r>
      <w:r>
        <w:rPr>
          <w:rFonts w:asciiTheme="majorBidi" w:hAnsiTheme="majorBidi" w:cstheme="majorBidi"/>
          <w:sz w:val="24"/>
          <w:szCs w:val="24"/>
        </w:rPr>
        <w:t>publié au BO n°6880 du 7 mai 2020</w:t>
      </w:r>
      <w:r w:rsidR="006A3E0C">
        <w:rPr>
          <w:rFonts w:asciiTheme="majorBidi" w:hAnsiTheme="majorBidi" w:cstheme="majorBidi"/>
          <w:sz w:val="24"/>
          <w:szCs w:val="24"/>
        </w:rPr>
        <w:t xml:space="preserve"> et qui abroge le décret n°2-09-529 relatif à l’IPC base 2006</w:t>
      </w:r>
      <w:r w:rsidR="0002091A"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F4044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w:t>
      </w:r>
      <w:r w:rsidR="00E95877">
        <w:rPr>
          <w:rFonts w:asciiTheme="majorBidi" w:hAnsiTheme="majorBidi" w:cstheme="majorBidi"/>
          <w:sz w:val="24"/>
          <w:szCs w:val="24"/>
        </w:rPr>
        <w:t>,</w:t>
      </w:r>
      <w:r>
        <w:rPr>
          <w:rFonts w:asciiTheme="majorBidi" w:hAnsiTheme="majorBidi" w:cstheme="majorBidi"/>
          <w:sz w:val="24"/>
          <w:szCs w:val="24"/>
        </w:rPr>
        <w:t xml:space="preserve"> pour la période allant de 20</w:t>
      </w:r>
      <w:r w:rsidR="006A3E0C">
        <w:rPr>
          <w:rFonts w:asciiTheme="majorBidi" w:hAnsiTheme="majorBidi" w:cstheme="majorBidi"/>
          <w:sz w:val="24"/>
          <w:szCs w:val="24"/>
        </w:rPr>
        <w:t>1</w:t>
      </w:r>
      <w:r>
        <w:rPr>
          <w:rFonts w:asciiTheme="majorBidi" w:hAnsiTheme="majorBidi" w:cstheme="majorBidi"/>
          <w:sz w:val="24"/>
          <w:szCs w:val="24"/>
        </w:rPr>
        <w:t>7 à 20</w:t>
      </w:r>
      <w:r w:rsidR="006A3E0C">
        <w:rPr>
          <w:rFonts w:asciiTheme="majorBidi" w:hAnsiTheme="majorBidi" w:cstheme="majorBidi"/>
          <w:sz w:val="24"/>
          <w:szCs w:val="24"/>
        </w:rPr>
        <w:t>2</w:t>
      </w:r>
      <w:r w:rsidR="00F40446">
        <w:rPr>
          <w:rFonts w:asciiTheme="majorBidi" w:hAnsiTheme="majorBidi" w:cstheme="majorBidi"/>
          <w:sz w:val="24"/>
          <w:szCs w:val="24"/>
        </w:rPr>
        <w:t>1</w:t>
      </w:r>
      <w:r>
        <w:rPr>
          <w:rFonts w:asciiTheme="majorBidi" w:hAnsiTheme="majorBidi" w:cstheme="majorBidi"/>
          <w:sz w:val="24"/>
          <w:szCs w:val="24"/>
        </w:rPr>
        <w:t>.</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CHAPITRE I</w:t>
      </w:r>
    </w:p>
    <w:p w:rsidR="00C4542D"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HISTORIQUE DU SYSTEME DE SUIVI DES PRIX DE DETAIL</w: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B432FD" w:rsidRDefault="00170E99" w:rsidP="009C5270">
      <w:pPr>
        <w:pStyle w:val="Titre1"/>
        <w:rPr>
          <w:rFonts w:asciiTheme="majorBidi" w:hAnsiTheme="majorBidi"/>
          <w:color w:val="0070C0"/>
        </w:rPr>
      </w:pPr>
      <w:r w:rsidRPr="00B432FD">
        <w:lastRenderedPageBreak/>
        <w:t xml:space="preserve"> </w:t>
      </w:r>
      <w:bookmarkStart w:id="3" w:name="_Toc68443116"/>
      <w:r w:rsidR="00725E87" w:rsidRPr="00B432FD">
        <w:rPr>
          <w:rFonts w:asciiTheme="majorBidi" w:hAnsiTheme="majorBidi"/>
          <w:color w:val="0070C0"/>
        </w:rPr>
        <w:t xml:space="preserve">I- </w:t>
      </w:r>
      <w:r w:rsidR="00612B9A" w:rsidRPr="00B432FD">
        <w:rPr>
          <w:rFonts w:asciiTheme="majorBidi" w:hAnsiTheme="majorBidi"/>
          <w:color w:val="0070C0"/>
        </w:rPr>
        <w:t>Historique du système de suivi des prix de détail</w:t>
      </w:r>
      <w:bookmarkEnd w:id="3"/>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Après l’indépendance, un nouvel indice a vu le jour et a remplacé l’ancien </w:t>
      </w:r>
      <w:r w:rsidR="008B1B4C">
        <w:rPr>
          <w:rFonts w:asciiTheme="majorBidi" w:hAnsiTheme="majorBidi" w:cstheme="majorBidi"/>
          <w:sz w:val="24"/>
          <w:szCs w:val="24"/>
        </w:rPr>
        <w:t xml:space="preserve">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1972, l’indice (base 100 : </w:t>
      </w:r>
      <w:r w:rsidR="00477549">
        <w:rPr>
          <w:rFonts w:asciiTheme="majorBidi" w:hAnsiTheme="majorBidi" w:cstheme="majorBidi"/>
          <w:sz w:val="24"/>
          <w:szCs w:val="24"/>
        </w:rPr>
        <w:t>M</w:t>
      </w:r>
      <w:r>
        <w:rPr>
          <w:rFonts w:asciiTheme="majorBidi" w:hAnsiTheme="majorBidi" w:cstheme="majorBidi"/>
          <w:sz w:val="24"/>
          <w:szCs w:val="24"/>
        </w:rPr>
        <w:t>ai72-</w:t>
      </w:r>
      <w:r w:rsidR="00477549">
        <w:rPr>
          <w:rFonts w:asciiTheme="majorBidi" w:hAnsiTheme="majorBidi" w:cstheme="majorBidi"/>
          <w:sz w:val="24"/>
          <w:szCs w:val="24"/>
        </w:rPr>
        <w:t>A</w:t>
      </w:r>
      <w:r>
        <w:rPr>
          <w:rFonts w:asciiTheme="majorBidi" w:hAnsiTheme="majorBidi" w:cstheme="majorBidi"/>
          <w:sz w:val="24"/>
          <w:szCs w:val="24"/>
        </w:rPr>
        <w:t>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w:t>
      </w:r>
      <w:r w:rsidR="00477549">
        <w:rPr>
          <w:rFonts w:asciiTheme="majorBidi" w:hAnsiTheme="majorBidi" w:cstheme="majorBidi"/>
          <w:sz w:val="24"/>
          <w:szCs w:val="24"/>
        </w:rPr>
        <w:t xml:space="preserve">ir : Agadir, Casablanca, Fès, </w:t>
      </w:r>
      <w:proofErr w:type="spellStart"/>
      <w:r w:rsidR="00477549">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Marrakech, Oujda, Rabat et Této</w:t>
      </w:r>
      <w:r w:rsidR="00477549">
        <w:rPr>
          <w:rFonts w:asciiTheme="majorBidi" w:hAnsiTheme="majorBidi" w:cstheme="majorBidi"/>
          <w:sz w:val="24"/>
          <w:szCs w:val="24"/>
        </w:rPr>
        <w:t>uan. La population de référence</w:t>
      </w:r>
      <w:r>
        <w:rPr>
          <w:rFonts w:asciiTheme="majorBidi" w:hAnsiTheme="majorBidi" w:cstheme="majorBidi"/>
          <w:sz w:val="24"/>
          <w:szCs w:val="24"/>
        </w:rPr>
        <w:t xml:space="preserve">, elle aussi, </w:t>
      </w:r>
      <w:r w:rsidR="00477549">
        <w:rPr>
          <w:rFonts w:asciiTheme="majorBidi" w:hAnsiTheme="majorBidi" w:cstheme="majorBidi"/>
          <w:sz w:val="24"/>
          <w:szCs w:val="24"/>
        </w:rPr>
        <w:t xml:space="preserve">a </w:t>
      </w:r>
      <w:r>
        <w:rPr>
          <w:rFonts w:asciiTheme="majorBidi" w:hAnsiTheme="majorBidi" w:cstheme="majorBidi"/>
          <w:sz w:val="24"/>
          <w:szCs w:val="24"/>
        </w:rPr>
        <w:t xml:space="preserve">été élargie pour englober toute la classe moyenne </w:t>
      </w:r>
      <w:r w:rsidR="00CC4351">
        <w:rPr>
          <w:rFonts w:asciiTheme="majorBidi" w:hAnsiTheme="majorBidi" w:cstheme="majorBidi"/>
          <w:sz w:val="24"/>
          <w:szCs w:val="24"/>
        </w:rPr>
        <w:t>(</w:t>
      </w:r>
      <w:r w:rsidR="00477549">
        <w:rPr>
          <w:rFonts w:asciiTheme="majorBidi" w:hAnsiTheme="majorBidi" w:cstheme="majorBidi"/>
          <w:sz w:val="24"/>
          <w:szCs w:val="24"/>
        </w:rPr>
        <w:t>C</w:t>
      </w:r>
      <w:r w:rsidR="00CC4351">
        <w:rPr>
          <w:rFonts w:asciiTheme="majorBidi" w:hAnsiTheme="majorBidi" w:cstheme="majorBidi"/>
          <w:sz w:val="24"/>
          <w:szCs w:val="24"/>
        </w:rPr>
        <w:t>adres</w:t>
      </w:r>
      <w:r>
        <w:rPr>
          <w:rFonts w:asciiTheme="majorBidi" w:hAnsiTheme="majorBidi" w:cstheme="majorBidi"/>
          <w:sz w:val="24"/>
          <w:szCs w:val="24"/>
        </w:rPr>
        <w:t xml:space="preserve"> moyens, </w:t>
      </w:r>
      <w:r w:rsidR="00477549">
        <w:rPr>
          <w:rFonts w:asciiTheme="majorBidi" w:hAnsiTheme="majorBidi" w:cstheme="majorBidi"/>
          <w:sz w:val="24"/>
          <w:szCs w:val="24"/>
        </w:rPr>
        <w:t>C</w:t>
      </w:r>
      <w:r w:rsidR="00CC4351">
        <w:rPr>
          <w:rFonts w:asciiTheme="majorBidi" w:hAnsiTheme="majorBidi" w:cstheme="majorBidi"/>
          <w:sz w:val="24"/>
          <w:szCs w:val="24"/>
        </w:rPr>
        <w:t>ommerçants,</w:t>
      </w:r>
      <w:r>
        <w:rPr>
          <w:rFonts w:asciiTheme="majorBidi" w:hAnsiTheme="majorBidi" w:cstheme="majorBidi"/>
          <w:sz w:val="24"/>
          <w:szCs w:val="24"/>
        </w:rPr>
        <w:t xml:space="preserve"> </w:t>
      </w:r>
      <w:r w:rsidR="00477549">
        <w:rPr>
          <w:rFonts w:asciiTheme="majorBidi" w:hAnsiTheme="majorBidi" w:cstheme="majorBidi"/>
          <w:sz w:val="24"/>
          <w:szCs w:val="24"/>
        </w:rPr>
        <w:t>I</w:t>
      </w:r>
      <w:r>
        <w:rPr>
          <w:rFonts w:asciiTheme="majorBidi" w:hAnsiTheme="majorBidi" w:cstheme="majorBidi"/>
          <w:sz w:val="24"/>
          <w:szCs w:val="24"/>
        </w:rPr>
        <w:t xml:space="preserve">ndépendants non agricoles, </w:t>
      </w:r>
      <w:r w:rsidR="00477549">
        <w:rPr>
          <w:rFonts w:asciiTheme="majorBidi" w:hAnsiTheme="majorBidi" w:cstheme="majorBidi"/>
          <w:sz w:val="24"/>
          <w:szCs w:val="24"/>
        </w:rPr>
        <w:t>E</w:t>
      </w:r>
      <w:r>
        <w:rPr>
          <w:rFonts w:asciiTheme="majorBidi" w:hAnsiTheme="majorBidi" w:cstheme="majorBidi"/>
          <w:sz w:val="24"/>
          <w:szCs w:val="24"/>
        </w:rPr>
        <w:t>mployés d</w:t>
      </w:r>
      <w:r w:rsidR="00477549">
        <w:rPr>
          <w:rFonts w:asciiTheme="majorBidi" w:hAnsiTheme="majorBidi" w:cstheme="majorBidi"/>
          <w:sz w:val="24"/>
          <w:szCs w:val="24"/>
        </w:rPr>
        <w:t>ans les</w:t>
      </w:r>
      <w:r>
        <w:rPr>
          <w:rFonts w:asciiTheme="majorBidi" w:hAnsiTheme="majorBidi" w:cstheme="majorBidi"/>
          <w:sz w:val="24"/>
          <w:szCs w:val="24"/>
        </w:rPr>
        <w:t xml:space="preserve"> bureaux et les services et </w:t>
      </w:r>
      <w:r w:rsidR="00477549">
        <w:rPr>
          <w:rFonts w:asciiTheme="majorBidi" w:hAnsiTheme="majorBidi" w:cstheme="majorBidi"/>
          <w:sz w:val="24"/>
          <w:szCs w:val="24"/>
        </w:rPr>
        <w:t>O</w:t>
      </w:r>
      <w:r>
        <w:rPr>
          <w:rFonts w:asciiTheme="majorBidi" w:hAnsiTheme="majorBidi" w:cstheme="majorBidi"/>
          <w:sz w:val="24"/>
          <w:szCs w:val="24"/>
        </w:rPr>
        <w:t>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w:t>
      </w:r>
      <w:r w:rsidR="00E95877">
        <w:rPr>
          <w:rFonts w:asciiTheme="majorBidi" w:hAnsiTheme="majorBidi" w:cstheme="majorBidi"/>
          <w:sz w:val="24"/>
          <w:szCs w:val="24"/>
        </w:rPr>
        <w:t> :</w:t>
      </w:r>
      <w:r>
        <w:rPr>
          <w:rFonts w:asciiTheme="majorBidi" w:hAnsiTheme="majorBidi" w:cstheme="majorBidi"/>
          <w:sz w:val="24"/>
          <w:szCs w:val="24"/>
        </w:rPr>
        <w:t xml:space="preserve"> Meknès, Tanger et </w:t>
      </w:r>
      <w:proofErr w:type="spellStart"/>
      <w:r>
        <w:rPr>
          <w:rFonts w:asciiTheme="majorBidi" w:hAnsiTheme="majorBidi" w:cstheme="majorBidi"/>
          <w:sz w:val="24"/>
          <w:szCs w:val="24"/>
        </w:rPr>
        <w:t>L</w:t>
      </w:r>
      <w:r w:rsidR="003C05C9">
        <w:rPr>
          <w:rFonts w:asciiTheme="majorBidi" w:hAnsiTheme="majorBidi" w:cstheme="majorBidi"/>
          <w:sz w:val="24"/>
          <w:szCs w:val="24"/>
        </w:rPr>
        <w:t>â</w:t>
      </w:r>
      <w:r>
        <w:rPr>
          <w:rFonts w:asciiTheme="majorBidi" w:hAnsiTheme="majorBidi" w:cstheme="majorBidi"/>
          <w:sz w:val="24"/>
          <w:szCs w:val="24"/>
        </w:rPr>
        <w:t>ayoune</w:t>
      </w:r>
      <w:proofErr w:type="spellEnd"/>
      <w:r>
        <w:rPr>
          <w:rFonts w:asciiTheme="majorBidi" w:hAnsiTheme="majorBidi" w:cstheme="majorBidi"/>
          <w:sz w:val="24"/>
          <w:szCs w:val="24"/>
        </w:rPr>
        <w:t>).</w:t>
      </w:r>
    </w:p>
    <w:p w:rsidR="00CC4351" w:rsidRDefault="00CC4351"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w:t>
      </w:r>
      <w:r w:rsidR="00477549">
        <w:rPr>
          <w:rFonts w:asciiTheme="majorBidi" w:hAnsiTheme="majorBidi" w:cstheme="majorBidi"/>
          <w:sz w:val="24"/>
          <w:szCs w:val="24"/>
        </w:rPr>
        <w:t>E</w:t>
      </w:r>
      <w:r>
        <w:rPr>
          <w:rFonts w:asciiTheme="majorBidi" w:hAnsiTheme="majorBidi" w:cstheme="majorBidi"/>
          <w:sz w:val="24"/>
          <w:szCs w:val="24"/>
        </w:rPr>
        <w:t xml:space="preserve">nquête </w:t>
      </w:r>
      <w:r w:rsidR="00477549">
        <w:rPr>
          <w:rFonts w:asciiTheme="majorBidi" w:hAnsiTheme="majorBidi" w:cstheme="majorBidi"/>
          <w:sz w:val="24"/>
          <w:szCs w:val="24"/>
        </w:rPr>
        <w:t>N</w:t>
      </w:r>
      <w:r>
        <w:rPr>
          <w:rFonts w:asciiTheme="majorBidi" w:hAnsiTheme="majorBidi" w:cstheme="majorBidi"/>
          <w:sz w:val="24"/>
          <w:szCs w:val="24"/>
        </w:rPr>
        <w:t xml:space="preserve">ationale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w:t>
      </w:r>
      <w:r w:rsidR="00477549">
        <w:rPr>
          <w:rFonts w:asciiTheme="majorBidi" w:hAnsiTheme="majorBidi" w:cstheme="majorBidi"/>
          <w:sz w:val="24"/>
          <w:szCs w:val="24"/>
        </w:rPr>
        <w:t>E</w:t>
      </w:r>
      <w:r w:rsidR="00754997">
        <w:rPr>
          <w:rFonts w:asciiTheme="majorBidi" w:hAnsiTheme="majorBidi" w:cstheme="majorBidi"/>
          <w:sz w:val="24"/>
          <w:szCs w:val="24"/>
        </w:rPr>
        <w:t>nquête</w:t>
      </w:r>
      <w:r>
        <w:rPr>
          <w:rFonts w:asciiTheme="majorBidi" w:hAnsiTheme="majorBidi" w:cstheme="majorBidi"/>
          <w:sz w:val="24"/>
          <w:szCs w:val="24"/>
        </w:rPr>
        <w:t xml:space="preserve"> </w:t>
      </w:r>
      <w:r w:rsidR="00477549">
        <w:rPr>
          <w:rFonts w:asciiTheme="majorBidi" w:hAnsiTheme="majorBidi" w:cstheme="majorBidi"/>
          <w:sz w:val="24"/>
          <w:szCs w:val="24"/>
        </w:rPr>
        <w:t>N</w:t>
      </w:r>
      <w:r w:rsidR="00754997">
        <w:rPr>
          <w:rFonts w:asciiTheme="majorBidi" w:hAnsiTheme="majorBidi" w:cstheme="majorBidi"/>
          <w:sz w:val="24"/>
          <w:szCs w:val="24"/>
        </w:rPr>
        <w:t xml:space="preserve">ationale sur la </w:t>
      </w:r>
      <w:r w:rsidR="00477549">
        <w:rPr>
          <w:rFonts w:asciiTheme="majorBidi" w:hAnsiTheme="majorBidi" w:cstheme="majorBidi"/>
          <w:sz w:val="24"/>
          <w:szCs w:val="24"/>
        </w:rPr>
        <w:t>C</w:t>
      </w:r>
      <w:r w:rsidR="00754997">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754997">
        <w:rPr>
          <w:rFonts w:asciiTheme="majorBidi" w:hAnsiTheme="majorBidi" w:cstheme="majorBidi"/>
          <w:sz w:val="24"/>
          <w:szCs w:val="24"/>
        </w:rPr>
        <w:t>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w:t>
      </w:r>
      <w:r w:rsidR="007C44A4">
        <w:rPr>
          <w:rFonts w:asciiTheme="majorBidi" w:hAnsiTheme="majorBidi" w:cstheme="majorBidi"/>
          <w:sz w:val="24"/>
          <w:szCs w:val="24"/>
        </w:rPr>
        <w:t xml:space="preserve"> </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xml:space="preserve">, Settat,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Mellal, Safi, </w:t>
      </w:r>
      <w:proofErr w:type="spellStart"/>
      <w:r>
        <w:rPr>
          <w:rFonts w:asciiTheme="majorBidi" w:hAnsiTheme="majorBidi" w:cstheme="majorBidi"/>
          <w:sz w:val="24"/>
          <w:szCs w:val="24"/>
        </w:rPr>
        <w:t>Guelmim</w:t>
      </w:r>
      <w:proofErr w:type="spellEnd"/>
      <w:r>
        <w:rPr>
          <w:rFonts w:asciiTheme="majorBidi" w:hAnsiTheme="majorBidi" w:cstheme="majorBidi"/>
          <w:sz w:val="24"/>
          <w:szCs w:val="24"/>
        </w:rPr>
        <w:t xml:space="preserve">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7C44A4" w:rsidP="00DE0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Soucieux de la qualité des données statistiques publiées, le HCP procède régulièrement à leur mise à jour afin qu’elles soient conformes aux clauses de la NSDD (Norme Spéciale de Diffusion des Données). Ainsi, à</w:t>
      </w:r>
      <w:r w:rsidR="00F7495D">
        <w:rPr>
          <w:rFonts w:asciiTheme="majorBidi" w:hAnsiTheme="majorBidi" w:cstheme="majorBidi"/>
          <w:sz w:val="24"/>
          <w:szCs w:val="24"/>
        </w:rPr>
        <w:t xml:space="preserve"> partir de </w:t>
      </w:r>
      <w:r>
        <w:rPr>
          <w:rFonts w:asciiTheme="majorBidi" w:hAnsiTheme="majorBidi" w:cstheme="majorBidi"/>
          <w:sz w:val="24"/>
          <w:szCs w:val="24"/>
        </w:rPr>
        <w:t>fin</w:t>
      </w:r>
      <w:r w:rsidR="00DE0E05">
        <w:rPr>
          <w:rFonts w:asciiTheme="majorBidi" w:hAnsiTheme="majorBidi" w:cstheme="majorBidi"/>
          <w:sz w:val="24"/>
          <w:szCs w:val="24"/>
        </w:rPr>
        <w:t xml:space="preserve"> </w:t>
      </w:r>
      <w:r w:rsidR="00F7495D">
        <w:rPr>
          <w:rFonts w:asciiTheme="majorBidi" w:hAnsiTheme="majorBidi" w:cstheme="majorBidi"/>
          <w:sz w:val="24"/>
          <w:szCs w:val="24"/>
        </w:rPr>
        <w:t>201</w:t>
      </w:r>
      <w:r w:rsidR="00DE0E05">
        <w:rPr>
          <w:rFonts w:asciiTheme="majorBidi" w:hAnsiTheme="majorBidi" w:cstheme="majorBidi"/>
          <w:sz w:val="24"/>
          <w:szCs w:val="24"/>
        </w:rPr>
        <w:t>6</w:t>
      </w:r>
      <w:r w:rsidR="00F7495D">
        <w:rPr>
          <w:rFonts w:asciiTheme="majorBidi" w:hAnsiTheme="majorBidi" w:cstheme="majorBidi"/>
          <w:sz w:val="24"/>
          <w:szCs w:val="24"/>
        </w:rPr>
        <w:t xml:space="preserve">,  </w:t>
      </w:r>
      <w:r w:rsidR="00DE0E05">
        <w:rPr>
          <w:rFonts w:asciiTheme="majorBidi" w:hAnsiTheme="majorBidi" w:cstheme="majorBidi"/>
          <w:sz w:val="24"/>
          <w:szCs w:val="24"/>
        </w:rPr>
        <w:t>il</w:t>
      </w:r>
      <w:r w:rsidR="00F7495D">
        <w:rPr>
          <w:rFonts w:asciiTheme="majorBidi" w:hAnsiTheme="majorBidi" w:cstheme="majorBidi"/>
          <w:sz w:val="24"/>
          <w:szCs w:val="24"/>
        </w:rPr>
        <w:t xml:space="preserve">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w:t>
      </w:r>
      <w:proofErr w:type="spellStart"/>
      <w:r w:rsidR="00C76BFB">
        <w:rPr>
          <w:rFonts w:asciiTheme="majorBidi" w:hAnsiTheme="majorBidi" w:cstheme="majorBidi"/>
          <w:sz w:val="24"/>
          <w:szCs w:val="24"/>
        </w:rPr>
        <w:t>Errachidia</w:t>
      </w:r>
      <w:proofErr w:type="spellEnd"/>
      <w:r w:rsidR="00C76BFB">
        <w:rPr>
          <w:rFonts w:asciiTheme="majorBidi" w:hAnsiTheme="majorBidi" w:cstheme="majorBidi"/>
          <w:sz w:val="24"/>
          <w:szCs w:val="24"/>
        </w:rPr>
        <w:t xml:space="preserve">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DF65E2" w:rsidRPr="00051130" w:rsidRDefault="00E30AD8" w:rsidP="00586B08">
      <w:pPr>
        <w:pStyle w:val="Paragraphedeliste"/>
        <w:numPr>
          <w:ilvl w:val="0"/>
          <w:numId w:val="44"/>
        </w:numPr>
        <w:spacing w:before="240" w:after="240" w:line="240" w:lineRule="auto"/>
        <w:jc w:val="both"/>
        <w:rPr>
          <w:rFonts w:asciiTheme="majorBidi" w:hAnsiTheme="majorBidi"/>
          <w:color w:val="0070C0"/>
        </w:rPr>
      </w:pPr>
      <w:r w:rsidRPr="00051130">
        <w:rPr>
          <w:rFonts w:asciiTheme="majorBidi" w:hAnsiTheme="majorBidi" w:cstheme="majorBidi"/>
          <w:sz w:val="24"/>
          <w:szCs w:val="24"/>
        </w:rPr>
        <w:lastRenderedPageBreak/>
        <w:t xml:space="preserve">Disponibilité des données </w:t>
      </w:r>
      <w:r w:rsidR="00C76BFB" w:rsidRPr="00051130">
        <w:rPr>
          <w:rFonts w:asciiTheme="majorBidi" w:hAnsiTheme="majorBidi" w:cstheme="majorBidi"/>
          <w:sz w:val="24"/>
          <w:szCs w:val="24"/>
        </w:rPr>
        <w:t xml:space="preserve">de l’Enquête Nationale sur la </w:t>
      </w:r>
      <w:r w:rsidR="00477549" w:rsidRPr="00051130">
        <w:rPr>
          <w:rFonts w:asciiTheme="majorBidi" w:hAnsiTheme="majorBidi" w:cstheme="majorBidi"/>
          <w:sz w:val="24"/>
          <w:szCs w:val="24"/>
        </w:rPr>
        <w:t>C</w:t>
      </w:r>
      <w:r w:rsidR="00C76BFB" w:rsidRPr="00051130">
        <w:rPr>
          <w:rFonts w:asciiTheme="majorBidi" w:hAnsiTheme="majorBidi" w:cstheme="majorBidi"/>
          <w:sz w:val="24"/>
          <w:szCs w:val="24"/>
        </w:rPr>
        <w:t xml:space="preserve">onsommation et les </w:t>
      </w:r>
      <w:r w:rsidR="00477549" w:rsidRPr="00051130">
        <w:rPr>
          <w:rFonts w:asciiTheme="majorBidi" w:hAnsiTheme="majorBidi" w:cstheme="majorBidi"/>
          <w:sz w:val="24"/>
          <w:szCs w:val="24"/>
        </w:rPr>
        <w:t>D</w:t>
      </w:r>
      <w:r w:rsidR="00C76BFB" w:rsidRPr="00051130">
        <w:rPr>
          <w:rFonts w:asciiTheme="majorBidi" w:hAnsiTheme="majorBidi" w:cstheme="majorBidi"/>
          <w:sz w:val="24"/>
          <w:szCs w:val="24"/>
        </w:rPr>
        <w:t xml:space="preserve">épenses des </w:t>
      </w:r>
      <w:r w:rsidR="00477549" w:rsidRPr="00051130">
        <w:rPr>
          <w:rFonts w:asciiTheme="majorBidi" w:hAnsiTheme="majorBidi" w:cstheme="majorBidi"/>
          <w:sz w:val="24"/>
          <w:szCs w:val="24"/>
        </w:rPr>
        <w:t>M</w:t>
      </w:r>
      <w:r w:rsidR="00C76BFB" w:rsidRPr="00051130">
        <w:rPr>
          <w:rFonts w:asciiTheme="majorBidi" w:hAnsiTheme="majorBidi" w:cstheme="majorBidi"/>
          <w:sz w:val="24"/>
          <w:szCs w:val="24"/>
        </w:rPr>
        <w:t xml:space="preserve">énages </w:t>
      </w:r>
      <w:r w:rsidRPr="00051130">
        <w:rPr>
          <w:rFonts w:asciiTheme="majorBidi" w:hAnsiTheme="majorBidi" w:cstheme="majorBidi"/>
          <w:sz w:val="24"/>
          <w:szCs w:val="24"/>
        </w:rPr>
        <w:t>de</w:t>
      </w:r>
      <w:r w:rsidR="00C76BFB" w:rsidRPr="00051130">
        <w:rPr>
          <w:rFonts w:asciiTheme="majorBidi" w:hAnsiTheme="majorBidi" w:cstheme="majorBidi"/>
          <w:sz w:val="24"/>
          <w:szCs w:val="24"/>
        </w:rPr>
        <w:t xml:space="preserve"> 2014 </w:t>
      </w:r>
      <w:r w:rsidRPr="00051130">
        <w:rPr>
          <w:rFonts w:asciiTheme="majorBidi" w:hAnsiTheme="majorBidi" w:cstheme="majorBidi"/>
          <w:sz w:val="24"/>
          <w:szCs w:val="24"/>
        </w:rPr>
        <w:t>qui met à jour le</w:t>
      </w:r>
      <w:r w:rsidR="00C76BFB" w:rsidRPr="00051130">
        <w:rPr>
          <w:rFonts w:asciiTheme="majorBidi" w:hAnsiTheme="majorBidi" w:cstheme="majorBidi"/>
          <w:sz w:val="24"/>
          <w:szCs w:val="24"/>
        </w:rPr>
        <w:t xml:space="preserve"> panier de biens et services</w:t>
      </w:r>
      <w:r w:rsidR="00F93525" w:rsidRPr="00051130">
        <w:rPr>
          <w:rFonts w:asciiTheme="majorBidi" w:hAnsiTheme="majorBidi" w:cstheme="majorBidi"/>
          <w:sz w:val="24"/>
          <w:szCs w:val="24"/>
        </w:rPr>
        <w:t xml:space="preserve"> consommés par la population marocaine</w:t>
      </w:r>
      <w:r w:rsidR="00C76BFB" w:rsidRPr="00051130">
        <w:rPr>
          <w:rFonts w:asciiTheme="majorBidi" w:hAnsiTheme="majorBidi" w:cstheme="majorBidi"/>
          <w:sz w:val="24"/>
          <w:szCs w:val="24"/>
        </w:rPr>
        <w:t xml:space="preserve">. Ce dernier fait </w:t>
      </w:r>
      <w:r w:rsidR="00F93525" w:rsidRPr="00051130">
        <w:rPr>
          <w:rFonts w:asciiTheme="majorBidi" w:hAnsiTheme="majorBidi" w:cstheme="majorBidi"/>
          <w:sz w:val="24"/>
          <w:szCs w:val="24"/>
        </w:rPr>
        <w:t xml:space="preserve">ressortir </w:t>
      </w:r>
      <w:r w:rsidR="00C76BFB" w:rsidRPr="00051130">
        <w:rPr>
          <w:rFonts w:asciiTheme="majorBidi" w:hAnsiTheme="majorBidi" w:cstheme="majorBidi"/>
          <w:sz w:val="24"/>
          <w:szCs w:val="24"/>
        </w:rPr>
        <w:t>de nouvelles pondérations des produits</w:t>
      </w:r>
      <w:r w:rsidR="00051130">
        <w:rPr>
          <w:rFonts w:asciiTheme="majorBidi" w:hAnsiTheme="majorBidi" w:cstheme="majorBidi"/>
          <w:sz w:val="24"/>
          <w:szCs w:val="24"/>
        </w:rPr>
        <w:t>.</w:t>
      </w:r>
    </w:p>
    <w:p w:rsidR="00051130" w:rsidRPr="00051130" w:rsidRDefault="00051130" w:rsidP="00051130">
      <w:pPr>
        <w:spacing w:before="240" w:after="240" w:line="240" w:lineRule="auto"/>
        <w:jc w:val="both"/>
        <w:rPr>
          <w:rFonts w:asciiTheme="majorBidi" w:hAnsiTheme="majorBidi" w:cstheme="majorBidi"/>
          <w:sz w:val="24"/>
          <w:szCs w:val="24"/>
        </w:rPr>
      </w:pPr>
      <w:r w:rsidRPr="00051130">
        <w:rPr>
          <w:rFonts w:asciiTheme="majorBidi" w:hAnsiTheme="majorBidi" w:cstheme="majorBidi"/>
          <w:sz w:val="24"/>
          <w:szCs w:val="24"/>
        </w:rPr>
        <w:t>Ainsi</w:t>
      </w:r>
      <w:r>
        <w:rPr>
          <w:rFonts w:asciiTheme="majorBidi" w:hAnsiTheme="majorBidi" w:cstheme="majorBidi"/>
          <w:sz w:val="24"/>
          <w:szCs w:val="24"/>
        </w:rPr>
        <w:t>, le HCP a</w:t>
      </w:r>
      <w:r w:rsidR="005317F6">
        <w:rPr>
          <w:rFonts w:asciiTheme="majorBidi" w:hAnsiTheme="majorBidi" w:cstheme="majorBidi"/>
          <w:sz w:val="24"/>
          <w:szCs w:val="24"/>
        </w:rPr>
        <w:t xml:space="preserve"> achevé les travaux de réforme de l’indice </w:t>
      </w:r>
      <w:r w:rsidR="00DD5D35">
        <w:rPr>
          <w:rFonts w:asciiTheme="majorBidi" w:hAnsiTheme="majorBidi" w:cstheme="majorBidi"/>
          <w:sz w:val="24"/>
          <w:szCs w:val="24"/>
        </w:rPr>
        <w:t>des prix à la consommation base 2006 et a</w:t>
      </w:r>
      <w:r>
        <w:rPr>
          <w:rFonts w:asciiTheme="majorBidi" w:hAnsiTheme="majorBidi" w:cstheme="majorBidi"/>
          <w:sz w:val="24"/>
          <w:szCs w:val="24"/>
        </w:rPr>
        <w:t xml:space="preserve"> procédé à la publication du nouvel indice base 2017</w:t>
      </w:r>
      <w:r w:rsidR="005317F6">
        <w:rPr>
          <w:rFonts w:asciiTheme="majorBidi" w:hAnsiTheme="majorBidi" w:cstheme="majorBidi"/>
          <w:sz w:val="24"/>
          <w:szCs w:val="24"/>
        </w:rPr>
        <w:t xml:space="preserve"> à partir du 20 Mai 2020.</w:t>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CHAPITRE II</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METHODOLOGIE DE L’INDICE DES PRIX A</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LA CONSOMMATION</w:t>
      </w:r>
    </w:p>
    <w:p w:rsidR="00C4542D"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(BASE 100 : 20</w:t>
      </w:r>
      <w:r w:rsidR="00F70A11">
        <w:rPr>
          <w:rFonts w:asciiTheme="majorBidi" w:hAnsiTheme="majorBidi" w:hint="cs"/>
          <w:color w:val="0070C0"/>
          <w:sz w:val="72"/>
          <w:szCs w:val="72"/>
          <w:rtl/>
        </w:rPr>
        <w:t>17</w:t>
      </w:r>
      <w:r w:rsidRPr="00C4542D">
        <w:rPr>
          <w:rFonts w:asciiTheme="majorBidi" w:hAnsiTheme="majorBidi"/>
          <w:color w:val="0070C0"/>
          <w:sz w:val="72"/>
          <w:szCs w:val="72"/>
        </w:rPr>
        <w:t>)</w: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A24939">
      <w:pPr>
        <w:pStyle w:val="Titre1"/>
        <w:rPr>
          <w:rFonts w:asciiTheme="majorBidi" w:hAnsiTheme="majorBidi"/>
          <w:color w:val="0070C0"/>
        </w:rPr>
      </w:pPr>
      <w:bookmarkStart w:id="4" w:name="_Toc68443117"/>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w:t>
      </w:r>
      <w:r w:rsidR="00A24939">
        <w:rPr>
          <w:rFonts w:asciiTheme="majorBidi" w:hAnsiTheme="majorBidi"/>
          <w:color w:val="0070C0"/>
        </w:rPr>
        <w:t>17</w:t>
      </w:r>
      <w:r w:rsidR="000937FE" w:rsidRPr="00FC4512">
        <w:rPr>
          <w:rFonts w:asciiTheme="majorBidi" w:hAnsiTheme="majorBidi"/>
          <w:color w:val="0070C0"/>
        </w:rPr>
        <w:t>)</w:t>
      </w:r>
      <w:bookmarkEnd w:id="4"/>
    </w:p>
    <w:p w:rsidR="0088739E" w:rsidRPr="00FC4512" w:rsidRDefault="0088739E" w:rsidP="00586B08">
      <w:pPr>
        <w:pStyle w:val="Titre2"/>
        <w:rPr>
          <w:rFonts w:asciiTheme="majorBidi" w:hAnsiTheme="majorBidi"/>
          <w:color w:val="0070C0"/>
          <w:sz w:val="28"/>
          <w:szCs w:val="28"/>
        </w:rPr>
      </w:pPr>
      <w:bookmarkStart w:id="5" w:name="_Toc68443118"/>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68443119"/>
      <w:r w:rsidRPr="00FC4512">
        <w:rPr>
          <w:rFonts w:asciiTheme="majorBidi" w:hAnsiTheme="majorBidi"/>
          <w:color w:val="0070C0"/>
          <w:sz w:val="24"/>
          <w:szCs w:val="24"/>
        </w:rPr>
        <w:t>II-1-1 Définition</w:t>
      </w:r>
      <w:bookmarkEnd w:id="6"/>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w:t>
      </w:r>
      <w:r w:rsidR="00D5577B">
        <w:rPr>
          <w:rFonts w:asciiTheme="majorBidi" w:hAnsiTheme="majorBidi" w:cstheme="majorBidi"/>
          <w:sz w:val="24"/>
          <w:szCs w:val="24"/>
        </w:rPr>
        <w:t>, à qualité constante,</w:t>
      </w:r>
      <w:r>
        <w:rPr>
          <w:rFonts w:asciiTheme="majorBidi" w:hAnsiTheme="majorBidi" w:cstheme="majorBidi"/>
          <w:sz w:val="24"/>
          <w:szCs w:val="24"/>
        </w:rPr>
        <w:t xml:space="preserve"> représentatifs de la consommation des ménages, </w:t>
      </w:r>
      <w:r w:rsidR="00D5577B">
        <w:rPr>
          <w:rFonts w:asciiTheme="majorBidi" w:hAnsiTheme="majorBidi" w:cstheme="majorBidi"/>
          <w:sz w:val="24"/>
          <w:szCs w:val="24"/>
        </w:rPr>
        <w:t>entre deux périodes données</w:t>
      </w:r>
      <w:r>
        <w:rPr>
          <w:rFonts w:asciiTheme="majorBidi" w:hAnsiTheme="majorBidi" w:cstheme="majorBidi"/>
          <w:sz w:val="24"/>
          <w:szCs w:val="24"/>
        </w:rPr>
        <w:t>.</w:t>
      </w:r>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w:t>
      </w:r>
      <w:r w:rsidR="00A36821">
        <w:rPr>
          <w:rFonts w:asciiTheme="majorBidi" w:hAnsiTheme="majorBidi" w:cstheme="majorBidi"/>
          <w:sz w:val="24"/>
          <w:szCs w:val="24"/>
        </w:rPr>
        <w:t>19-1083 publié au BO N° 6880 du 7 Mai</w:t>
      </w:r>
      <w:r>
        <w:rPr>
          <w:rFonts w:asciiTheme="majorBidi" w:hAnsiTheme="majorBidi" w:cstheme="majorBidi"/>
          <w:sz w:val="24"/>
          <w:szCs w:val="24"/>
        </w:rPr>
        <w:t xml:space="preserve"> 20</w:t>
      </w:r>
      <w:r w:rsidR="00A36821">
        <w:rPr>
          <w:rFonts w:asciiTheme="majorBidi" w:hAnsiTheme="majorBidi" w:cstheme="majorBidi"/>
          <w:sz w:val="24"/>
          <w:szCs w:val="24"/>
        </w:rPr>
        <w:t>20)</w:t>
      </w:r>
      <w:r>
        <w:rPr>
          <w:rFonts w:asciiTheme="majorBidi" w:hAnsiTheme="majorBidi" w:cstheme="majorBidi"/>
          <w:sz w:val="24"/>
          <w:szCs w:val="24"/>
        </w:rPr>
        <w:t>.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68443120"/>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68443121"/>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w:t>
      </w:r>
      <w:r w:rsidR="00A36821">
        <w:rPr>
          <w:rFonts w:asciiTheme="majorBidi" w:hAnsiTheme="majorBidi" w:cstheme="majorBidi"/>
          <w:sz w:val="24"/>
          <w:szCs w:val="24"/>
        </w:rPr>
        <w:t>17</w:t>
      </w:r>
      <w:r w:rsidR="00E30AD8">
        <w:rPr>
          <w:rFonts w:asciiTheme="majorBidi" w:hAnsiTheme="majorBidi" w:cstheme="majorBidi"/>
          <w:sz w:val="24"/>
          <w:szCs w:val="24"/>
        </w:rPr>
        <w:t xml:space="preserve">) </w:t>
      </w:r>
      <w:r>
        <w:rPr>
          <w:rFonts w:asciiTheme="majorBidi" w:hAnsiTheme="majorBidi" w:cstheme="majorBidi"/>
          <w:sz w:val="24"/>
          <w:szCs w:val="24"/>
        </w:rPr>
        <w:t>couvre l’ensemble de la population urbaine des dix-</w:t>
      </w:r>
      <w:r w:rsidR="00A36821">
        <w:rPr>
          <w:rFonts w:asciiTheme="majorBidi" w:hAnsiTheme="majorBidi" w:cstheme="majorBidi"/>
          <w:sz w:val="24"/>
          <w:szCs w:val="24"/>
        </w:rPr>
        <w:t>hui</w:t>
      </w:r>
      <w:r>
        <w:rPr>
          <w:rFonts w:asciiTheme="majorBidi" w:hAnsiTheme="majorBidi" w:cstheme="majorBidi"/>
          <w:sz w:val="24"/>
          <w:szCs w:val="24"/>
        </w:rPr>
        <w:t>t villes </w:t>
      </w:r>
      <w:r w:rsidR="00F7495D">
        <w:rPr>
          <w:rFonts w:asciiTheme="majorBidi" w:hAnsiTheme="majorBidi" w:cstheme="majorBidi"/>
          <w:sz w:val="24"/>
          <w:szCs w:val="24"/>
        </w:rPr>
        <w:t xml:space="preserve">représentant les </w:t>
      </w:r>
      <w:r w:rsidR="00A36821">
        <w:rPr>
          <w:rFonts w:asciiTheme="majorBidi" w:hAnsiTheme="majorBidi" w:cstheme="majorBidi"/>
          <w:sz w:val="24"/>
          <w:szCs w:val="24"/>
        </w:rPr>
        <w:t>12</w:t>
      </w:r>
      <w:r w:rsidR="00F7495D">
        <w:rPr>
          <w:rFonts w:asciiTheme="majorBidi" w:hAnsiTheme="majorBidi" w:cstheme="majorBidi"/>
          <w:sz w:val="24"/>
          <w:szCs w:val="24"/>
        </w:rPr>
        <w:t xml:space="preserve"> régions économiques</w:t>
      </w:r>
      <w:r w:rsidR="00C32398">
        <w:rPr>
          <w:rFonts w:asciiTheme="majorBidi" w:hAnsiTheme="majorBidi" w:cstheme="majorBidi"/>
          <w:sz w:val="24"/>
          <w:szCs w:val="24"/>
        </w:rPr>
        <w:t xml:space="preserve"> issues du dernier découpage administratif. I</w:t>
      </w:r>
      <w:r w:rsidR="00F7495D">
        <w:rPr>
          <w:rFonts w:asciiTheme="majorBidi" w:hAnsiTheme="majorBidi" w:cstheme="majorBidi"/>
          <w:sz w:val="24"/>
          <w:szCs w:val="24"/>
        </w:rPr>
        <w:t>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w:t>
      </w:r>
      <w:r w:rsidR="00D5577B">
        <w:rPr>
          <w:rFonts w:asciiTheme="majorBidi" w:hAnsiTheme="majorBidi" w:cstheme="majorBidi"/>
          <w:sz w:val="24"/>
          <w:szCs w:val="24"/>
        </w:rPr>
        <w:t xml:space="preserve"> Tanger,</w:t>
      </w:r>
      <w:r>
        <w:rPr>
          <w:rFonts w:asciiTheme="majorBidi" w:hAnsiTheme="majorBidi" w:cstheme="majorBidi"/>
          <w:sz w:val="24"/>
          <w:szCs w:val="24"/>
        </w:rPr>
        <w:t xml:space="preserve"> Tétouan, Meknès</w:t>
      </w:r>
      <w:r w:rsidR="00302B0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Laâyoune</w:t>
      </w:r>
      <w:proofErr w:type="spellEnd"/>
      <w:r>
        <w:rPr>
          <w:rFonts w:asciiTheme="majorBidi" w:hAnsiTheme="majorBidi" w:cstheme="majorBidi"/>
          <w:sz w:val="24"/>
          <w:szCs w:val="24"/>
        </w:rPr>
        <w:t xml:space="preserve">,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Set</w:t>
      </w:r>
      <w:r w:rsidR="00C32398">
        <w:rPr>
          <w:rFonts w:asciiTheme="majorBidi" w:hAnsiTheme="majorBidi" w:cstheme="majorBidi"/>
          <w:sz w:val="24"/>
          <w:szCs w:val="24"/>
        </w:rPr>
        <w:t xml:space="preserve">tat, </w:t>
      </w:r>
      <w:proofErr w:type="spellStart"/>
      <w:r w:rsidR="00C32398">
        <w:rPr>
          <w:rFonts w:asciiTheme="majorBidi" w:hAnsiTheme="majorBidi" w:cstheme="majorBidi"/>
          <w:sz w:val="24"/>
          <w:szCs w:val="24"/>
        </w:rPr>
        <w:t>Beni</w:t>
      </w:r>
      <w:proofErr w:type="spellEnd"/>
      <w:r w:rsidR="00C32398">
        <w:rPr>
          <w:rFonts w:asciiTheme="majorBidi" w:hAnsiTheme="majorBidi" w:cstheme="majorBidi"/>
          <w:sz w:val="24"/>
          <w:szCs w:val="24"/>
        </w:rPr>
        <w:t xml:space="preserve"> Mellal, Safi, </w:t>
      </w:r>
      <w:proofErr w:type="spellStart"/>
      <w:r w:rsidR="00C32398">
        <w:rPr>
          <w:rFonts w:asciiTheme="majorBidi" w:hAnsiTheme="majorBidi" w:cstheme="majorBidi"/>
          <w:sz w:val="24"/>
          <w:szCs w:val="24"/>
        </w:rPr>
        <w:t>Guelmim</w:t>
      </w:r>
      <w:proofErr w:type="spellEnd"/>
      <w:r w:rsidR="00C32398">
        <w:rPr>
          <w:rFonts w:asciiTheme="majorBidi" w:hAnsiTheme="majorBidi" w:cstheme="majorBidi"/>
          <w:sz w:val="24"/>
          <w:szCs w:val="24"/>
        </w:rPr>
        <w:t>,</w:t>
      </w:r>
      <w:r>
        <w:rPr>
          <w:rFonts w:asciiTheme="majorBidi" w:hAnsiTheme="majorBidi" w:cstheme="majorBidi"/>
          <w:sz w:val="24"/>
          <w:szCs w:val="24"/>
        </w:rPr>
        <w:t xml:space="preserve"> Dakhla</w:t>
      </w:r>
      <w:r w:rsidR="00C32398">
        <w:rPr>
          <w:rFonts w:asciiTheme="majorBidi" w:hAnsiTheme="majorBidi" w:cstheme="majorBidi"/>
          <w:sz w:val="24"/>
          <w:szCs w:val="24"/>
        </w:rPr>
        <w:t xml:space="preserve"> et </w:t>
      </w:r>
      <w:proofErr w:type="spellStart"/>
      <w:r w:rsidR="00C32398">
        <w:rPr>
          <w:rFonts w:asciiTheme="majorBidi" w:hAnsiTheme="majorBidi" w:cstheme="majorBidi"/>
          <w:sz w:val="24"/>
          <w:szCs w:val="24"/>
        </w:rPr>
        <w:t>Errachidia</w:t>
      </w:r>
      <w:proofErr w:type="spellEnd"/>
      <w:r>
        <w:rPr>
          <w:rFonts w:asciiTheme="majorBidi" w:hAnsiTheme="majorBidi" w:cstheme="majorBidi"/>
          <w:sz w:val="24"/>
          <w:szCs w:val="24"/>
        </w:rPr>
        <w:t>.</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w:t>
      </w:r>
    </w:p>
    <w:p w:rsidR="0088739E" w:rsidRPr="00FC4512" w:rsidRDefault="0088739E" w:rsidP="00586B08">
      <w:pPr>
        <w:pStyle w:val="Titre2"/>
        <w:rPr>
          <w:rFonts w:asciiTheme="majorBidi" w:hAnsiTheme="majorBidi"/>
          <w:color w:val="0070C0"/>
        </w:rPr>
      </w:pPr>
      <w:bookmarkStart w:id="9" w:name="_Toc68443122"/>
      <w:r w:rsidRPr="00FC4512">
        <w:rPr>
          <w:rFonts w:asciiTheme="majorBidi" w:hAnsiTheme="majorBidi"/>
          <w:color w:val="0070C0"/>
        </w:rPr>
        <w:t>II-3 Panier de l’indice</w:t>
      </w:r>
      <w:bookmarkEnd w:id="9"/>
    </w:p>
    <w:p w:rsidR="0088739E" w:rsidRDefault="0088739E"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w:t>
      </w:r>
      <w:r w:rsidR="00B01C51">
        <w:rPr>
          <w:rFonts w:asciiTheme="majorBidi" w:hAnsiTheme="majorBidi" w:cstheme="majorBidi"/>
          <w:sz w:val="24"/>
          <w:szCs w:val="24"/>
        </w:rPr>
        <w:t>17</w:t>
      </w:r>
      <w:r>
        <w:rPr>
          <w:rFonts w:asciiTheme="majorBidi" w:hAnsiTheme="majorBidi" w:cstheme="majorBidi"/>
          <w:sz w:val="24"/>
          <w:szCs w:val="24"/>
        </w:rPr>
        <w:t>) se fait selon leur importance dans la dépense totale des ménages. Cette information est obtenue à partir de l’</w:t>
      </w:r>
      <w:r w:rsidR="00477549">
        <w:rPr>
          <w:rFonts w:asciiTheme="majorBidi" w:hAnsiTheme="majorBidi" w:cstheme="majorBidi"/>
          <w:sz w:val="24"/>
          <w:szCs w:val="24"/>
        </w:rPr>
        <w:t>E</w:t>
      </w:r>
      <w:r>
        <w:rPr>
          <w:rFonts w:asciiTheme="majorBidi" w:hAnsiTheme="majorBidi" w:cstheme="majorBidi"/>
          <w:sz w:val="24"/>
          <w:szCs w:val="24"/>
        </w:rPr>
        <w:t xml:space="preserve">nquête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w:t>
      </w:r>
      <w:r w:rsidR="00B01C51">
        <w:rPr>
          <w:rFonts w:asciiTheme="majorBidi" w:hAnsiTheme="majorBidi" w:cstheme="majorBidi"/>
          <w:sz w:val="24"/>
          <w:szCs w:val="24"/>
        </w:rPr>
        <w:t>14</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AB5696"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88739E">
        <w:rPr>
          <w:rFonts w:asciiTheme="majorBidi" w:hAnsiTheme="majorBidi" w:cstheme="majorBidi"/>
          <w:sz w:val="24"/>
          <w:szCs w:val="24"/>
        </w:rPr>
        <w:t>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w:t>
      </w:r>
      <w:proofErr w:type="spellStart"/>
      <w:r w:rsidR="00E30AD8" w:rsidRPr="005677DF">
        <w:rPr>
          <w:rFonts w:asciiTheme="majorBidi" w:hAnsiTheme="majorBidi" w:cstheme="majorBidi"/>
          <w:sz w:val="24"/>
          <w:szCs w:val="24"/>
        </w:rPr>
        <w:t>Individual</w:t>
      </w:r>
      <w:proofErr w:type="spellEnd"/>
      <w:r w:rsidR="00E30AD8" w:rsidRPr="005677DF">
        <w:rPr>
          <w:rFonts w:asciiTheme="majorBidi" w:hAnsiTheme="majorBidi" w:cstheme="majorBidi"/>
          <w:sz w:val="24"/>
          <w:szCs w:val="24"/>
        </w:rPr>
        <w:t xml:space="preserve"> </w:t>
      </w:r>
      <w:proofErr w:type="spellStart"/>
      <w:r w:rsidR="00E30AD8" w:rsidRPr="005677DF">
        <w:rPr>
          <w:rFonts w:asciiTheme="majorBidi" w:hAnsiTheme="majorBidi" w:cstheme="majorBidi"/>
          <w:sz w:val="24"/>
          <w:szCs w:val="24"/>
        </w:rPr>
        <w:t>Consumption</w:t>
      </w:r>
      <w:proofErr w:type="spellEnd"/>
      <w:r w:rsidR="00E30AD8" w:rsidRPr="005677DF">
        <w:rPr>
          <w:rFonts w:asciiTheme="majorBidi" w:hAnsiTheme="majorBidi" w:cstheme="majorBidi"/>
          <w:sz w:val="24"/>
          <w:szCs w:val="24"/>
        </w:rPr>
        <w:t xml:space="preserve"> by </w:t>
      </w:r>
      <w:proofErr w:type="spellStart"/>
      <w:r w:rsidR="00E30AD8" w:rsidRPr="005677DF">
        <w:rPr>
          <w:rFonts w:asciiTheme="majorBidi" w:hAnsiTheme="majorBidi" w:cstheme="majorBidi"/>
          <w:sz w:val="24"/>
          <w:szCs w:val="24"/>
        </w:rPr>
        <w:t>Purpose</w:t>
      </w:r>
      <w:proofErr w:type="spellEnd"/>
      <w:r w:rsidR="00E30AD8" w:rsidRPr="005677DF">
        <w:rPr>
          <w:rFonts w:asciiTheme="majorBidi" w:hAnsiTheme="majorBidi" w:cstheme="majorBidi"/>
          <w:sz w:val="24"/>
          <w:szCs w:val="24"/>
        </w:rPr>
        <w:t xml:space="preserve">). Celle-ci est structurée en 12 divisions, 41 groupes, 88 classes et 112 sections. </w:t>
      </w: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w:t>
      </w:r>
      <w:r w:rsidR="00767BA0">
        <w:rPr>
          <w:rFonts w:asciiTheme="majorBidi" w:hAnsiTheme="majorBidi" w:cstheme="majorBidi"/>
          <w:sz w:val="24"/>
          <w:szCs w:val="24"/>
        </w:rPr>
        <w:t>plus de 500</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68443123"/>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477549">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w:t>
      </w:r>
      <w:proofErr w:type="spellStart"/>
      <w:r w:rsidR="0086253C">
        <w:rPr>
          <w:rFonts w:asciiTheme="majorBidi" w:hAnsiTheme="majorBidi" w:cstheme="majorBidi"/>
          <w:sz w:val="24"/>
          <w:szCs w:val="24"/>
          <w:lang w:val="en-US"/>
        </w:rPr>
        <w:t>sur</w:t>
      </w:r>
      <w:proofErr w:type="spellEnd"/>
      <w:r w:rsidR="0086253C">
        <w:rPr>
          <w:rFonts w:asciiTheme="majorBidi" w:hAnsiTheme="majorBidi" w:cstheme="majorBidi"/>
          <w:sz w:val="24"/>
          <w:szCs w:val="24"/>
          <w:lang w:val="en-US"/>
        </w:rPr>
        <w:t xml:space="preserve"> la base de </w:t>
      </w:r>
      <w:proofErr w:type="spellStart"/>
      <w:r w:rsidR="0086253C">
        <w:rPr>
          <w:rFonts w:asciiTheme="majorBidi" w:hAnsiTheme="majorBidi" w:cstheme="majorBidi"/>
          <w:sz w:val="24"/>
          <w:szCs w:val="24"/>
          <w:lang w:val="en-US"/>
        </w:rPr>
        <w:t>l’</w:t>
      </w:r>
      <w:r w:rsidR="00477549">
        <w:rPr>
          <w:rFonts w:asciiTheme="majorBidi" w:hAnsiTheme="majorBidi" w:cstheme="majorBidi"/>
          <w:sz w:val="24"/>
          <w:szCs w:val="24"/>
          <w:lang w:val="en-US"/>
        </w:rPr>
        <w:t>E</w:t>
      </w:r>
      <w:r w:rsidR="0086253C">
        <w:rPr>
          <w:rFonts w:asciiTheme="majorBidi" w:hAnsiTheme="majorBidi" w:cstheme="majorBidi"/>
          <w:sz w:val="24"/>
          <w:szCs w:val="24"/>
          <w:lang w:val="en-US"/>
        </w:rPr>
        <w:t>nquête</w:t>
      </w:r>
      <w:proofErr w:type="spellEnd"/>
      <w:r w:rsidR="0086253C">
        <w:rPr>
          <w:rFonts w:asciiTheme="majorBidi" w:hAnsiTheme="majorBidi" w:cstheme="majorBidi"/>
          <w:sz w:val="24"/>
          <w:szCs w:val="24"/>
          <w:lang w:val="en-US"/>
        </w:rPr>
        <w:t xml:space="preserve"> de </w:t>
      </w:r>
      <w:proofErr w:type="spellStart"/>
      <w:r w:rsidR="00477549">
        <w:rPr>
          <w:rFonts w:asciiTheme="majorBidi" w:hAnsiTheme="majorBidi" w:cstheme="majorBidi"/>
          <w:sz w:val="24"/>
          <w:szCs w:val="24"/>
          <w:lang w:val="en-US"/>
        </w:rPr>
        <w:t>C</w:t>
      </w:r>
      <w:r w:rsidR="0086253C">
        <w:rPr>
          <w:rFonts w:asciiTheme="majorBidi" w:hAnsiTheme="majorBidi" w:cstheme="majorBidi"/>
          <w:sz w:val="24"/>
          <w:szCs w:val="24"/>
          <w:lang w:val="en-US"/>
        </w:rPr>
        <w:t>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w:t>
      </w:r>
      <w:proofErr w:type="spellEnd"/>
      <w:r w:rsidR="0086253C">
        <w:rPr>
          <w:rFonts w:asciiTheme="majorBidi" w:hAnsiTheme="majorBidi" w:cstheme="majorBidi"/>
          <w:sz w:val="24"/>
          <w:szCs w:val="24"/>
          <w:lang w:val="en-US"/>
        </w:rPr>
        <w:t xml:space="preserve"> de 2014 pour </w:t>
      </w:r>
      <w:proofErr w:type="spellStart"/>
      <w:r w:rsidR="0086253C">
        <w:rPr>
          <w:rFonts w:asciiTheme="majorBidi" w:hAnsiTheme="majorBidi" w:cstheme="majorBidi"/>
          <w:sz w:val="24"/>
          <w:szCs w:val="24"/>
          <w:lang w:val="en-US"/>
        </w:rPr>
        <w:t>l’IPC</w:t>
      </w:r>
      <w:proofErr w:type="spellEnd"/>
      <w:r w:rsidR="00FD0F9A">
        <w:rPr>
          <w:rFonts w:asciiTheme="majorBidi" w:hAnsiTheme="majorBidi" w:cstheme="majorBidi"/>
          <w:sz w:val="24"/>
          <w:szCs w:val="24"/>
          <w:lang w:val="en-US"/>
        </w:rPr>
        <w:t xml:space="preserve"> (base100:</w:t>
      </w:r>
      <w:r w:rsidR="0086253C">
        <w:rPr>
          <w:rFonts w:asciiTheme="majorBidi" w:hAnsiTheme="majorBidi" w:cstheme="majorBidi"/>
          <w:sz w:val="24"/>
          <w:szCs w:val="24"/>
          <w:lang w:val="en-US"/>
        </w:rPr>
        <w:t>2017</w:t>
      </w:r>
      <w:r w:rsidR="00FD0F9A">
        <w:rPr>
          <w:rFonts w:asciiTheme="majorBidi" w:hAnsiTheme="majorBidi" w:cstheme="majorBidi"/>
          <w:sz w:val="24"/>
          <w:szCs w:val="24"/>
          <w:lang w:val="en-US"/>
        </w:rPr>
        <w:t>)</w:t>
      </w:r>
      <w:r w:rsidR="00AF307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cette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dernière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enquête</w:t>
      </w:r>
      <w:proofErr w:type="spellEnd"/>
      <w:r>
        <w:rPr>
          <w:rFonts w:asciiTheme="majorBidi" w:hAnsiTheme="majorBidi" w:cstheme="majorBidi"/>
          <w:sz w:val="24"/>
          <w:szCs w:val="24"/>
          <w:lang w:val="en-US"/>
        </w:rPr>
        <w:t xml:space="preserve">, les coefficients de </w:t>
      </w:r>
      <w:proofErr w:type="spellStart"/>
      <w:r>
        <w:rPr>
          <w:rFonts w:asciiTheme="majorBidi" w:hAnsiTheme="majorBidi" w:cstheme="majorBidi"/>
          <w:sz w:val="24"/>
          <w:szCs w:val="24"/>
          <w:lang w:val="en-US"/>
        </w:rPr>
        <w:t>pondération</w:t>
      </w:r>
      <w:proofErr w:type="spellEnd"/>
      <w:r>
        <w:rPr>
          <w:rFonts w:asciiTheme="majorBidi" w:hAnsiTheme="majorBidi" w:cstheme="majorBidi"/>
          <w:sz w:val="24"/>
          <w:szCs w:val="24"/>
          <w:lang w:val="en-US"/>
        </w:rPr>
        <w:t xml:space="preserve"> des </w:t>
      </w:r>
      <w:proofErr w:type="spellStart"/>
      <w:r>
        <w:rPr>
          <w:rFonts w:asciiTheme="majorBidi" w:hAnsiTheme="majorBidi" w:cstheme="majorBidi"/>
          <w:sz w:val="24"/>
          <w:szCs w:val="24"/>
          <w:lang w:val="en-US"/>
        </w:rPr>
        <w:t>produits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alimentaires</w:t>
      </w:r>
      <w:proofErr w:type="spellEnd"/>
      <w:r>
        <w:rPr>
          <w:rFonts w:asciiTheme="majorBidi" w:hAnsiTheme="majorBidi" w:cstheme="majorBidi"/>
          <w:sz w:val="24"/>
          <w:szCs w:val="24"/>
          <w:lang w:val="en-US"/>
        </w:rPr>
        <w:t xml:space="preserve"> et </w:t>
      </w:r>
      <w:proofErr w:type="spellStart"/>
      <w:r>
        <w:rPr>
          <w:rFonts w:asciiTheme="majorBidi" w:hAnsiTheme="majorBidi" w:cstheme="majorBidi"/>
          <w:sz w:val="24"/>
          <w:szCs w:val="24"/>
          <w:lang w:val="en-US"/>
        </w:rPr>
        <w:t>boissons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ont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atteint</w:t>
      </w:r>
      <w:proofErr w:type="spellEnd"/>
      <w:r>
        <w:rPr>
          <w:rFonts w:asciiTheme="majorBidi" w:hAnsiTheme="majorBidi" w:cstheme="majorBidi"/>
          <w:sz w:val="24"/>
          <w:szCs w:val="24"/>
          <w:lang w:val="en-US"/>
        </w:rPr>
        <w:t xml:space="preserve"> </w:t>
      </w:r>
      <w:r w:rsidR="00FD0F9A">
        <w:rPr>
          <w:rFonts w:asciiTheme="majorBidi" w:hAnsiTheme="majorBidi" w:cstheme="majorBidi"/>
          <w:sz w:val="24"/>
          <w:szCs w:val="24"/>
          <w:lang w:val="en-US"/>
        </w:rPr>
        <w:t>39</w:t>
      </w:r>
      <w:r>
        <w:rPr>
          <w:rFonts w:asciiTheme="majorBidi" w:hAnsiTheme="majorBidi" w:cstheme="majorBidi"/>
          <w:sz w:val="24"/>
          <w:szCs w:val="24"/>
          <w:lang w:val="en-US"/>
        </w:rPr>
        <w:t>%</w:t>
      </w:r>
      <w:r w:rsidR="00FD0F9A">
        <w:rPr>
          <w:rFonts w:asciiTheme="majorBidi" w:hAnsiTheme="majorBidi" w:cstheme="majorBidi"/>
          <w:sz w:val="24"/>
          <w:szCs w:val="24"/>
          <w:lang w:val="en-US"/>
        </w:rPr>
        <w:t xml:space="preserve"> pour </w:t>
      </w:r>
      <w:proofErr w:type="spellStart"/>
      <w:r w:rsidR="00FD0F9A">
        <w:rPr>
          <w:rFonts w:asciiTheme="majorBidi" w:hAnsiTheme="majorBidi" w:cstheme="majorBidi"/>
          <w:sz w:val="24"/>
          <w:szCs w:val="24"/>
          <w:lang w:val="en-US"/>
        </w:rPr>
        <w:t>l’ensemble</w:t>
      </w:r>
      <w:proofErr w:type="spellEnd"/>
      <w:r w:rsidR="00FD0F9A">
        <w:rPr>
          <w:rFonts w:asciiTheme="majorBidi" w:hAnsiTheme="majorBidi" w:cstheme="majorBidi"/>
          <w:sz w:val="24"/>
          <w:szCs w:val="24"/>
          <w:lang w:val="en-US"/>
        </w:rPr>
        <w:t xml:space="preserve"> du pays </w:t>
      </w:r>
      <w:proofErr w:type="spellStart"/>
      <w:r w:rsidR="00FD0F9A">
        <w:rPr>
          <w:rFonts w:asciiTheme="majorBidi" w:hAnsiTheme="majorBidi" w:cstheme="majorBidi"/>
          <w:sz w:val="24"/>
          <w:szCs w:val="24"/>
          <w:lang w:val="en-US"/>
        </w:rPr>
        <w:t>contre</w:t>
      </w:r>
      <w:proofErr w:type="spellEnd"/>
      <w:r w:rsidR="00FD0F9A">
        <w:rPr>
          <w:rFonts w:asciiTheme="majorBidi" w:hAnsiTheme="majorBidi" w:cstheme="majorBidi"/>
          <w:sz w:val="24"/>
          <w:szCs w:val="24"/>
          <w:lang w:val="en-US"/>
        </w:rPr>
        <w:t xml:space="preserve"> 42,7% pour la </w:t>
      </w:r>
      <w:proofErr w:type="spellStart"/>
      <w:r w:rsidR="00FD0F9A">
        <w:rPr>
          <w:rFonts w:asciiTheme="majorBidi" w:hAnsiTheme="majorBidi" w:cstheme="majorBidi"/>
          <w:sz w:val="24"/>
          <w:szCs w:val="24"/>
          <w:lang w:val="en-US"/>
        </w:rPr>
        <w:t>ville</w:t>
      </w:r>
      <w:proofErr w:type="spellEnd"/>
      <w:r w:rsidR="00FD0F9A">
        <w:rPr>
          <w:rFonts w:asciiTheme="majorBidi" w:hAnsiTheme="majorBidi" w:cstheme="majorBidi"/>
          <w:sz w:val="24"/>
          <w:szCs w:val="24"/>
          <w:lang w:val="en-US"/>
        </w:rPr>
        <w:t xml:space="preserve"> de </w:t>
      </w:r>
      <w:proofErr w:type="spellStart"/>
      <w:r w:rsidR="00FD0F9A">
        <w:rPr>
          <w:rFonts w:asciiTheme="majorBidi" w:hAnsiTheme="majorBidi" w:cstheme="majorBidi"/>
          <w:sz w:val="24"/>
          <w:szCs w:val="24"/>
          <w:lang w:val="en-US"/>
        </w:rPr>
        <w:t>Kénitra</w:t>
      </w:r>
      <w:proofErr w:type="spellEnd"/>
      <w:r w:rsidR="00AB553C">
        <w:rPr>
          <w:rFonts w:asciiTheme="majorBidi" w:hAnsiTheme="majorBidi" w:cstheme="majorBidi"/>
          <w:sz w:val="24"/>
          <w:szCs w:val="24"/>
          <w:lang w:val="fr-MA"/>
        </w:rPr>
        <w:t xml:space="preserve">. </w:t>
      </w:r>
      <w:r w:rsidR="007D43FD">
        <w:rPr>
          <w:rFonts w:asciiTheme="majorBidi" w:hAnsiTheme="majorBidi" w:cstheme="majorBidi"/>
          <w:sz w:val="24"/>
          <w:szCs w:val="24"/>
          <w:lang w:val="fr-MA"/>
        </w:rPr>
        <w:t xml:space="preserve">Ce qui signifie que les dépenses alimentaires de la population urbaine </w:t>
      </w:r>
      <w:r w:rsidR="00AB38D1">
        <w:rPr>
          <w:rFonts w:asciiTheme="majorBidi" w:hAnsiTheme="majorBidi" w:cstheme="majorBidi"/>
          <w:sz w:val="24"/>
          <w:szCs w:val="24"/>
          <w:lang w:val="fr-MA"/>
        </w:rPr>
        <w:t>de la ville de Kenitra</w:t>
      </w:r>
      <w:r w:rsidR="007D43FD">
        <w:rPr>
          <w:rFonts w:asciiTheme="majorBidi" w:hAnsiTheme="majorBidi" w:cstheme="majorBidi"/>
          <w:sz w:val="24"/>
          <w:szCs w:val="24"/>
          <w:lang w:val="fr-MA"/>
        </w:rPr>
        <w:t xml:space="preserve"> sont supérieures à celles nationales de 9,5%</w:t>
      </w:r>
      <w:r w:rsidR="00AB38D1">
        <w:rPr>
          <w:rFonts w:asciiTheme="majorBidi" w:hAnsiTheme="majorBidi" w:cstheme="majorBidi"/>
          <w:sz w:val="24"/>
          <w:szCs w:val="24"/>
          <w:lang w:val="fr-MA"/>
        </w:rPr>
        <w:t>. Cet écart est réalisé au détriment d’autres dépenses à caractère qualitatif, notamment la Santé</w:t>
      </w:r>
      <w:r w:rsidR="003A073F">
        <w:rPr>
          <w:rFonts w:asciiTheme="majorBidi" w:hAnsiTheme="majorBidi" w:cstheme="majorBidi"/>
          <w:sz w:val="24"/>
          <w:szCs w:val="24"/>
          <w:lang w:val="fr-MA"/>
        </w:rPr>
        <w:t xml:space="preserve"> et</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l’Enseignement </w:t>
      </w:r>
      <w:r w:rsidR="00AB38D1">
        <w:rPr>
          <w:rFonts w:asciiTheme="majorBidi" w:hAnsiTheme="majorBidi" w:cstheme="majorBidi"/>
          <w:sz w:val="24"/>
          <w:szCs w:val="24"/>
          <w:lang w:val="fr-MA"/>
        </w:rPr>
        <w:t xml:space="preserve">avec </w:t>
      </w:r>
      <w:r w:rsidR="003A073F">
        <w:rPr>
          <w:rFonts w:asciiTheme="majorBidi" w:hAnsiTheme="majorBidi" w:cstheme="majorBidi"/>
          <w:sz w:val="24"/>
          <w:szCs w:val="24"/>
          <w:lang w:val="fr-MA"/>
        </w:rPr>
        <w:t xml:space="preserve">respectivement </w:t>
      </w:r>
      <w:r w:rsidR="00AB38D1">
        <w:rPr>
          <w:rFonts w:asciiTheme="majorBidi" w:hAnsiTheme="majorBidi" w:cstheme="majorBidi"/>
          <w:sz w:val="24"/>
          <w:szCs w:val="24"/>
          <w:lang w:val="fr-MA"/>
        </w:rPr>
        <w:t>6,4%</w:t>
      </w:r>
      <w:r w:rsidR="003A073F" w:rsidRPr="003A073F">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et  4,7%</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pour la ville de </w:t>
      </w:r>
      <w:proofErr w:type="spellStart"/>
      <w:r w:rsidR="003A073F">
        <w:rPr>
          <w:rFonts w:asciiTheme="majorBidi" w:hAnsiTheme="majorBidi" w:cstheme="majorBidi"/>
          <w:sz w:val="24"/>
          <w:szCs w:val="24"/>
          <w:lang w:val="fr-MA"/>
        </w:rPr>
        <w:t>Kénitra</w:t>
      </w:r>
      <w:proofErr w:type="spellEnd"/>
      <w:r w:rsidR="003A073F">
        <w:rPr>
          <w:rFonts w:asciiTheme="majorBidi" w:hAnsiTheme="majorBidi" w:cstheme="majorBidi"/>
          <w:sz w:val="24"/>
          <w:szCs w:val="24"/>
          <w:lang w:val="fr-MA"/>
        </w:rPr>
        <w:t xml:space="preserve"> </w:t>
      </w:r>
      <w:r w:rsidR="00AB38D1">
        <w:rPr>
          <w:rFonts w:asciiTheme="majorBidi" w:hAnsiTheme="majorBidi" w:cstheme="majorBidi"/>
          <w:sz w:val="24"/>
          <w:szCs w:val="24"/>
          <w:lang w:val="fr-MA"/>
        </w:rPr>
        <w:t xml:space="preserve">contre 7,7% </w:t>
      </w:r>
      <w:r w:rsidR="003A073F">
        <w:rPr>
          <w:rFonts w:asciiTheme="majorBidi" w:hAnsiTheme="majorBidi" w:cstheme="majorBidi"/>
          <w:sz w:val="24"/>
          <w:szCs w:val="24"/>
          <w:lang w:val="fr-MA"/>
        </w:rPr>
        <w:t xml:space="preserve">et 5,6% </w:t>
      </w:r>
      <w:r w:rsidR="00AB38D1">
        <w:rPr>
          <w:rFonts w:asciiTheme="majorBidi" w:hAnsiTheme="majorBidi" w:cstheme="majorBidi"/>
          <w:sz w:val="24"/>
          <w:szCs w:val="24"/>
          <w:lang w:val="fr-MA"/>
        </w:rPr>
        <w:t>pour l’ensemble du pays</w:t>
      </w:r>
      <w:r w:rsidR="003A073F">
        <w:rPr>
          <w:rFonts w:asciiTheme="majorBidi" w:hAnsiTheme="majorBidi" w:cstheme="majorBidi"/>
          <w:sz w:val="24"/>
          <w:szCs w:val="24"/>
          <w:lang w:val="fr-MA"/>
        </w:rPr>
        <w:t xml:space="preserve">.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La structure</w:t>
      </w:r>
      <w:r w:rsidR="001E3F22">
        <w:rPr>
          <w:rFonts w:asciiTheme="majorBidi" w:hAnsiTheme="majorBidi" w:cstheme="majorBidi"/>
          <w:sz w:val="24"/>
          <w:szCs w:val="24"/>
          <w:lang w:val="fr-MA"/>
        </w:rPr>
        <w:t xml:space="preserve"> </w:t>
      </w:r>
      <w:r>
        <w:rPr>
          <w:rFonts w:asciiTheme="majorBidi" w:hAnsiTheme="majorBidi" w:cstheme="majorBidi"/>
          <w:sz w:val="24"/>
          <w:szCs w:val="24"/>
          <w:lang w:val="fr-MA"/>
        </w:rPr>
        <w:t xml:space="preserve">des coefficients budgétaires de l’ensemble des biens et services du panier de l’indice, </w:t>
      </w:r>
      <w:r w:rsidR="00C2411B">
        <w:rPr>
          <w:rFonts w:asciiTheme="majorBidi" w:hAnsiTheme="majorBidi" w:cstheme="majorBidi"/>
          <w:sz w:val="24"/>
          <w:szCs w:val="24"/>
          <w:lang w:val="fr-MA"/>
        </w:rPr>
        <w:t xml:space="preserve">selon </w:t>
      </w:r>
      <w:r w:rsidR="003A073F">
        <w:rPr>
          <w:rFonts w:asciiTheme="majorBidi" w:hAnsiTheme="majorBidi" w:cstheme="majorBidi"/>
          <w:sz w:val="24"/>
          <w:szCs w:val="24"/>
          <w:lang w:val="fr-MA"/>
        </w:rPr>
        <w:t>l’enquête de consommation 2014</w:t>
      </w:r>
      <w:r w:rsidR="00C2411B">
        <w:rPr>
          <w:rFonts w:asciiTheme="majorBidi" w:hAnsiTheme="majorBidi" w:cstheme="majorBidi"/>
          <w:sz w:val="24"/>
          <w:szCs w:val="24"/>
          <w:lang w:val="fr-MA"/>
        </w:rPr>
        <w:t xml:space="preserve">,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0A6B5F">
      <w:pPr>
        <w:pStyle w:val="Lgende"/>
        <w:spacing w:after="0"/>
        <w:rPr>
          <w:rFonts w:asciiTheme="majorBidi" w:hAnsiTheme="majorBidi" w:cstheme="majorBidi"/>
          <w:sz w:val="22"/>
          <w:szCs w:val="22"/>
        </w:rPr>
      </w:pPr>
      <w:bookmarkStart w:id="12" w:name="_Toc68436327"/>
      <w:r w:rsidRPr="006A40CB">
        <w:rPr>
          <w:rFonts w:asciiTheme="majorBidi" w:hAnsiTheme="majorBidi" w:cstheme="majorBidi"/>
          <w:sz w:val="22"/>
          <w:szCs w:val="22"/>
        </w:rPr>
        <w:lastRenderedPageBreak/>
        <w:t xml:space="preserve">Tableau </w:t>
      </w:r>
      <w:r w:rsidR="00D87627"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D87627"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D87627"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2014</w:t>
      </w:r>
      <w:bookmarkEnd w:id="11"/>
      <w:r w:rsidR="000A6B5F">
        <w:rPr>
          <w:rFonts w:asciiTheme="majorBidi" w:hAnsiTheme="majorBidi" w:cstheme="majorBidi"/>
          <w:color w:val="0070C0"/>
          <w:sz w:val="22"/>
          <w:szCs w:val="22"/>
        </w:rPr>
        <w:t xml:space="preserve"> en (%)</w:t>
      </w:r>
      <w:bookmarkEnd w:id="12"/>
    </w:p>
    <w:tbl>
      <w:tblPr>
        <w:tblW w:w="5000" w:type="pct"/>
        <w:tblCellMar>
          <w:left w:w="70" w:type="dxa"/>
          <w:right w:w="70" w:type="dxa"/>
        </w:tblCellMar>
        <w:tblLook w:val="04A0"/>
      </w:tblPr>
      <w:tblGrid>
        <w:gridCol w:w="7195"/>
        <w:gridCol w:w="1035"/>
        <w:gridCol w:w="1124"/>
      </w:tblGrid>
      <w:tr w:rsidR="000A6B5F" w:rsidRPr="00FE3C0E" w:rsidTr="00FE291C">
        <w:trPr>
          <w:trHeight w:val="375"/>
        </w:trPr>
        <w:tc>
          <w:tcPr>
            <w:tcW w:w="3846" w:type="pct"/>
            <w:tcBorders>
              <w:top w:val="single" w:sz="12" w:space="0" w:color="auto"/>
              <w:left w:val="nil"/>
              <w:right w:val="nil"/>
            </w:tcBorders>
            <w:shd w:val="clear" w:color="000000" w:fill="A5A5A5"/>
            <w:noWrap/>
            <w:vAlign w:val="center"/>
            <w:hideMark/>
          </w:tcPr>
          <w:p w:rsidR="000A6B5F" w:rsidRPr="0066312D" w:rsidRDefault="000A6B5F" w:rsidP="000A6B5F">
            <w:pPr>
              <w:spacing w:after="0" w:line="240" w:lineRule="auto"/>
              <w:rPr>
                <w:rFonts w:ascii="Times New Roman" w:eastAsia="Times New Roman" w:hAnsi="Times New Roman" w:cs="Times New Roman"/>
                <w:b/>
                <w:bCs/>
                <w:sz w:val="24"/>
                <w:szCs w:val="24"/>
                <w:lang w:eastAsia="fr-FR"/>
              </w:rPr>
            </w:pPr>
            <w:r w:rsidRPr="0066312D">
              <w:rPr>
                <w:rFonts w:ascii="Times New Roman" w:eastAsia="Times New Roman" w:hAnsi="Times New Roman" w:cs="Times New Roman"/>
                <w:b/>
                <w:bCs/>
                <w:sz w:val="24"/>
                <w:szCs w:val="24"/>
                <w:lang w:eastAsia="fr-FR"/>
              </w:rPr>
              <w:t>DIVISIONS</w:t>
            </w:r>
          </w:p>
        </w:tc>
        <w:tc>
          <w:tcPr>
            <w:tcW w:w="553" w:type="pct"/>
            <w:tcBorders>
              <w:top w:val="single" w:sz="12" w:space="0" w:color="auto"/>
              <w:left w:val="nil"/>
              <w:right w:val="nil"/>
            </w:tcBorders>
            <w:shd w:val="clear" w:color="000000" w:fill="A5A5A5"/>
            <w:vAlign w:val="center"/>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proofErr w:type="spellStart"/>
            <w:r>
              <w:rPr>
                <w:rFonts w:ascii="Times New Roman" w:eastAsia="Times New Roman" w:hAnsi="Times New Roman" w:cs="Times New Roman"/>
                <w:b/>
                <w:bCs/>
                <w:color w:val="000000"/>
                <w:sz w:val="24"/>
                <w:szCs w:val="24"/>
                <w:lang w:eastAsia="fr-FR"/>
              </w:rPr>
              <w:t>Kénitra</w:t>
            </w:r>
            <w:proofErr w:type="spellEnd"/>
          </w:p>
        </w:tc>
        <w:tc>
          <w:tcPr>
            <w:tcW w:w="601" w:type="pct"/>
            <w:tcBorders>
              <w:top w:val="single" w:sz="12" w:space="0" w:color="auto"/>
              <w:left w:val="nil"/>
              <w:right w:val="nil"/>
            </w:tcBorders>
            <w:shd w:val="clear" w:color="000000" w:fill="A5A5A5"/>
            <w:noWrap/>
            <w:vAlign w:val="center"/>
            <w:hideMark/>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National</w:t>
            </w:r>
          </w:p>
        </w:tc>
      </w:tr>
      <w:tr w:rsidR="000A6B5F" w:rsidRPr="00FE3C0E" w:rsidTr="00FE291C">
        <w:trPr>
          <w:trHeight w:val="315"/>
        </w:trPr>
        <w:tc>
          <w:tcPr>
            <w:tcW w:w="3846" w:type="pct"/>
            <w:tcBorders>
              <w:top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et Boissons </w:t>
            </w:r>
            <w:r>
              <w:rPr>
                <w:rFonts w:ascii="Times New Roman" w:eastAsia="Times New Roman" w:hAnsi="Times New Roman" w:cs="Times New Roman"/>
                <w:lang w:eastAsia="fr-FR"/>
              </w:rPr>
              <w:t>n</w:t>
            </w:r>
            <w:r w:rsidRPr="004B1065">
              <w:rPr>
                <w:rFonts w:ascii="Times New Roman" w:eastAsia="Times New Roman" w:hAnsi="Times New Roman" w:cs="Times New Roman"/>
                <w:lang w:eastAsia="fr-FR"/>
              </w:rPr>
              <w:t>on Alcoolisées</w:t>
            </w:r>
          </w:p>
        </w:tc>
        <w:tc>
          <w:tcPr>
            <w:tcW w:w="553" w:type="pct"/>
            <w:tcBorders>
              <w:top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41,2</w:t>
            </w:r>
          </w:p>
        </w:tc>
        <w:tc>
          <w:tcPr>
            <w:tcW w:w="601" w:type="pct"/>
            <w:tcBorders>
              <w:top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37,5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Boissons Alcoolisées, Tabac et Stupéfiants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Articles D'habillement et Chaussures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Logement, Eau, Gaz, Electricité et Autres Combustibles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13,6</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Ménage et Entretien Courant </w:t>
            </w:r>
            <w:r>
              <w:rPr>
                <w:rFonts w:ascii="Times New Roman" w:eastAsia="Times New Roman" w:hAnsi="Times New Roman" w:cs="Times New Roman"/>
                <w:lang w:eastAsia="fr-FR"/>
              </w:rPr>
              <w:t>d</w:t>
            </w:r>
            <w:r w:rsidRPr="004B1065">
              <w:rPr>
                <w:rFonts w:ascii="Times New Roman" w:eastAsia="Times New Roman" w:hAnsi="Times New Roman" w:cs="Times New Roman"/>
                <w:lang w:eastAsia="fr-FR"/>
              </w:rPr>
              <w:t>u Foyer</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6,4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9,2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10,0</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Loisirs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Culture</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4,7</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Restaurants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Hôtels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30"/>
        </w:trPr>
        <w:tc>
          <w:tcPr>
            <w:tcW w:w="3846" w:type="pct"/>
            <w:tcBorders>
              <w:bottom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Biens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Services Divers</w:t>
            </w:r>
          </w:p>
        </w:tc>
        <w:tc>
          <w:tcPr>
            <w:tcW w:w="553" w:type="pct"/>
            <w:tcBorders>
              <w:bottom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7,0</w:t>
            </w:r>
          </w:p>
        </w:tc>
        <w:tc>
          <w:tcPr>
            <w:tcW w:w="601" w:type="pct"/>
            <w:tcBorders>
              <w:bottom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7,1</w:t>
            </w:r>
          </w:p>
        </w:tc>
      </w:tr>
    </w:tbl>
    <w:p w:rsidR="001959A7" w:rsidRPr="00A37E89" w:rsidRDefault="007E29B6" w:rsidP="007C0BAE">
      <w:pPr>
        <w:rPr>
          <w:rFonts w:asciiTheme="majorBidi" w:hAnsiTheme="majorBidi"/>
          <w:i/>
          <w:color w:val="4F81BD" w:themeColor="accent1"/>
        </w:rPr>
      </w:pPr>
      <w:r w:rsidRPr="00A37E89">
        <w:rPr>
          <w:rFonts w:asciiTheme="majorBidi" w:hAnsiTheme="majorBidi"/>
          <w:i/>
          <w:color w:val="4F81BD" w:themeColor="accent1"/>
        </w:rPr>
        <w:t>Source : HCP</w:t>
      </w:r>
    </w:p>
    <w:p w:rsidR="00C2411B" w:rsidRDefault="009860E6" w:rsidP="00E95877">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A noter qu’il y a eu un changement</w:t>
      </w:r>
      <w:r w:rsidR="00C2411B">
        <w:rPr>
          <w:rFonts w:asciiTheme="majorBidi" w:hAnsiTheme="majorBidi" w:cstheme="majorBidi"/>
          <w:sz w:val="24"/>
          <w:szCs w:val="24"/>
          <w:lang w:val="fr-MA"/>
        </w:rPr>
        <w:t xml:space="preserve"> dans la structure des dépenses des ménages </w:t>
      </w:r>
      <w:r>
        <w:rPr>
          <w:rFonts w:asciiTheme="majorBidi" w:hAnsiTheme="majorBidi" w:cstheme="majorBidi"/>
          <w:sz w:val="24"/>
          <w:szCs w:val="24"/>
          <w:lang w:val="fr-MA"/>
        </w:rPr>
        <w:t>en 2014 par rapport à 2007 qui émane d’une</w:t>
      </w:r>
      <w:r w:rsidR="00C2411B">
        <w:rPr>
          <w:rFonts w:asciiTheme="majorBidi" w:hAnsiTheme="majorBidi" w:cstheme="majorBidi"/>
          <w:sz w:val="24"/>
          <w:szCs w:val="24"/>
          <w:lang w:val="fr-MA"/>
        </w:rPr>
        <w:t xml:space="preserve"> vraie mutation dans les habitudes de consommation de la population marocaine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68443124"/>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 xml:space="preserve">Le prix se définit comme la valeur unitaire (TTC) du produit qui est effectivement payé par les ménages. Cependant, pour des raisons pratiques, les prix des </w:t>
      </w:r>
      <w:r w:rsidR="009860E6">
        <w:rPr>
          <w:rFonts w:asciiTheme="majorBidi" w:hAnsiTheme="majorBidi" w:cstheme="majorBidi"/>
          <w:sz w:val="24"/>
          <w:szCs w:val="24"/>
        </w:rPr>
        <w:t>500</w:t>
      </w:r>
      <w:r w:rsidRPr="00C372E4">
        <w:rPr>
          <w:rFonts w:asciiTheme="majorBidi" w:hAnsiTheme="majorBidi" w:cstheme="majorBidi"/>
          <w:sz w:val="24"/>
          <w:szCs w:val="24"/>
        </w:rPr>
        <w:t xml:space="preserve">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68436328"/>
      <w:r w:rsidRPr="006A40CB">
        <w:rPr>
          <w:rFonts w:asciiTheme="majorBidi" w:hAnsiTheme="majorBidi" w:cstheme="majorBidi"/>
          <w:sz w:val="22"/>
          <w:szCs w:val="22"/>
        </w:rPr>
        <w:t xml:space="preserve">Tableau </w:t>
      </w:r>
      <w:r w:rsidR="00D87627"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D87627"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D87627"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2251E1">
            <w:pPr>
              <w:rPr>
                <w:rFonts w:asciiTheme="majorBidi" w:hAnsiTheme="majorBidi" w:cstheme="majorBidi"/>
              </w:rPr>
            </w:pPr>
            <w:proofErr w:type="spellStart"/>
            <w:r w:rsidRPr="004B1065">
              <w:rPr>
                <w:rFonts w:asciiTheme="majorBidi" w:hAnsiTheme="majorBidi" w:cstheme="majorBidi"/>
              </w:rPr>
              <w:t>Ouled</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Oujih</w:t>
            </w:r>
            <w:proofErr w:type="spellEnd"/>
            <w:r w:rsidRPr="004B1065">
              <w:rPr>
                <w:rFonts w:asciiTheme="majorBidi" w:hAnsiTheme="majorBidi" w:cstheme="majorBidi"/>
              </w:rPr>
              <w:t xml:space="preserve"> –  La ville haute –  Marché central –  </w:t>
            </w: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nafora</w:t>
            </w:r>
            <w:proofErr w:type="spellEnd"/>
            <w:r w:rsidRPr="004B1065">
              <w:rPr>
                <w:rFonts w:asciiTheme="majorBidi" w:hAnsiTheme="majorBidi" w:cstheme="majorBidi"/>
              </w:rPr>
              <w:t xml:space="preserve"> –  Avenue Med V – 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Errahba</w:t>
            </w:r>
            <w:proofErr w:type="spellEnd"/>
            <w:r w:rsidRPr="004B1065">
              <w:rPr>
                <w:rFonts w:asciiTheme="majorBidi" w:hAnsiTheme="majorBidi" w:cstheme="majorBidi"/>
              </w:rPr>
              <w:t xml:space="preserve"> –  Centre commercial </w:t>
            </w:r>
            <w:proofErr w:type="spellStart"/>
            <w:r w:rsidRPr="004B1065">
              <w:rPr>
                <w:rFonts w:asciiTheme="majorBidi" w:hAnsiTheme="majorBidi" w:cstheme="majorBidi"/>
              </w:rPr>
              <w:t>Maamora</w:t>
            </w:r>
            <w:proofErr w:type="spellEnd"/>
            <w:r w:rsidRPr="004B1065">
              <w:rPr>
                <w:rFonts w:asciiTheme="majorBidi" w:hAnsiTheme="majorBidi" w:cstheme="majorBidi"/>
              </w:rPr>
              <w:t xml:space="preserve"> –  El Mellah –  </w:t>
            </w:r>
            <w:proofErr w:type="spellStart"/>
            <w:r w:rsidRPr="004B1065">
              <w:rPr>
                <w:rFonts w:asciiTheme="majorBidi" w:hAnsiTheme="majorBidi" w:cstheme="majorBidi"/>
              </w:rPr>
              <w:t>Bab</w:t>
            </w:r>
            <w:proofErr w:type="spellEnd"/>
            <w:r w:rsidRPr="004B1065">
              <w:rPr>
                <w:rFonts w:asciiTheme="majorBidi" w:hAnsiTheme="majorBidi" w:cstheme="majorBidi"/>
              </w:rPr>
              <w:t xml:space="preserve">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Khabbazate</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Seniak</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Anzarane</w:t>
            </w:r>
            <w:proofErr w:type="spellEnd"/>
            <w:r w:rsidRPr="004B1065">
              <w:rPr>
                <w:rFonts w:asciiTheme="majorBidi" w:hAnsiTheme="majorBidi" w:cstheme="majorBidi"/>
              </w:rPr>
              <w:t xml:space="preserve"> – Rue 36 – Marché </w:t>
            </w:r>
            <w:proofErr w:type="spellStart"/>
            <w:r w:rsidRPr="004B1065">
              <w:rPr>
                <w:rFonts w:asciiTheme="majorBidi" w:hAnsiTheme="majorBidi" w:cstheme="majorBidi"/>
              </w:rPr>
              <w:t>Hourriya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Bidansi</w:t>
            </w:r>
            <w:proofErr w:type="spellEnd"/>
            <w:r w:rsidRPr="004B1065">
              <w:rPr>
                <w:rFonts w:asciiTheme="majorBidi" w:hAnsiTheme="majorBidi" w:cstheme="majorBidi"/>
              </w:rPr>
              <w:t xml:space="preserve">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Oued </w:t>
            </w:r>
            <w:proofErr w:type="spellStart"/>
            <w:r w:rsidRPr="004B1065">
              <w:rPr>
                <w:rFonts w:asciiTheme="majorBidi" w:hAnsiTheme="majorBidi" w:cstheme="majorBidi"/>
              </w:rPr>
              <w:t>Eddahab</w:t>
            </w:r>
            <w:proofErr w:type="spellEnd"/>
            <w:r w:rsidRPr="004B1065">
              <w:rPr>
                <w:rFonts w:asciiTheme="majorBidi" w:hAnsiTheme="majorBidi" w:cstheme="majorBidi"/>
              </w:rPr>
              <w:t xml:space="preserve"> -  Marché </w:t>
            </w:r>
            <w:proofErr w:type="spellStart"/>
            <w:r w:rsidRPr="004B1065">
              <w:rPr>
                <w:rFonts w:asciiTheme="majorBidi" w:hAnsiTheme="majorBidi" w:cstheme="majorBidi"/>
              </w:rPr>
              <w:t>Massira</w:t>
            </w:r>
            <w:proofErr w:type="spellEnd"/>
            <w:r w:rsidRPr="004B1065">
              <w:rPr>
                <w:rFonts w:asciiTheme="majorBidi" w:hAnsiTheme="majorBidi" w:cstheme="majorBidi"/>
              </w:rPr>
              <w:t xml:space="preserve"> –  Marché l’habitat –  El </w:t>
            </w:r>
            <w:proofErr w:type="spellStart"/>
            <w:r w:rsidRPr="004B1065">
              <w:rPr>
                <w:rFonts w:asciiTheme="majorBidi" w:hAnsiTheme="majorBidi" w:cstheme="majorBidi"/>
              </w:rPr>
              <w:t>Aalama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Achralaf</w:t>
            </w:r>
            <w:proofErr w:type="spellEnd"/>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Bir</w:t>
            </w:r>
            <w:proofErr w:type="spellEnd"/>
            <w:r w:rsidRPr="004B1065">
              <w:rPr>
                <w:rFonts w:asciiTheme="majorBidi" w:hAnsiTheme="majorBidi" w:cstheme="majorBidi"/>
              </w:rPr>
              <w:t xml:space="preserve">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Ainsi, au niveau de la ville de Kenitra, </w:t>
      </w:r>
      <w:r w:rsidR="004D1B47">
        <w:rPr>
          <w:rFonts w:asciiTheme="majorBidi" w:hAnsiTheme="majorBidi" w:cstheme="majorBidi"/>
          <w:sz w:val="24"/>
          <w:szCs w:val="24"/>
        </w:rPr>
        <w:t>près de 500</w:t>
      </w:r>
      <w:r>
        <w:rPr>
          <w:rFonts w:asciiTheme="majorBidi" w:hAnsiTheme="majorBidi" w:cstheme="majorBidi"/>
          <w:sz w:val="24"/>
          <w:szCs w:val="24"/>
        </w:rPr>
        <w:t xml:space="preserve"> points de vente ont été choisis pour y relever les prix des variétés.</w:t>
      </w:r>
      <w:r w:rsidR="00FC4512">
        <w:rPr>
          <w:rFonts w:asciiTheme="majorBidi" w:hAnsiTheme="majorBidi" w:cstheme="majorBidi"/>
          <w:sz w:val="24"/>
          <w:szCs w:val="24"/>
        </w:rPr>
        <w:t xml:space="preserve"> </w:t>
      </w:r>
    </w:p>
    <w:p w:rsidR="004C6096"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suite à l’entrée en vigueur du confinement sanitaire le 20 mars 2020, plusieurs activités ont dû cesser pour limiter la propagation du virus COVID-19. </w:t>
      </w:r>
      <w:r w:rsidR="00AB5696">
        <w:rPr>
          <w:rFonts w:asciiTheme="majorBidi" w:hAnsiTheme="majorBidi" w:cstheme="majorBidi"/>
          <w:sz w:val="24"/>
          <w:szCs w:val="24"/>
        </w:rPr>
        <w:t>Par conséquent</w:t>
      </w:r>
      <w:r>
        <w:rPr>
          <w:rFonts w:asciiTheme="majorBidi" w:hAnsiTheme="majorBidi" w:cstheme="majorBidi"/>
          <w:sz w:val="24"/>
          <w:szCs w:val="24"/>
        </w:rPr>
        <w:t>, l’enquête sur les prix de détail a connu la fermeture de plusieurs points de vente au cours de cette période</w:t>
      </w:r>
      <w:r w:rsidR="00334B3A">
        <w:rPr>
          <w:rFonts w:asciiTheme="majorBidi" w:hAnsiTheme="majorBidi" w:cstheme="majorBidi"/>
          <w:sz w:val="24"/>
          <w:szCs w:val="24"/>
        </w:rPr>
        <w:t xml:space="preserve">, d’où la réduction du </w:t>
      </w:r>
      <w:r>
        <w:rPr>
          <w:rFonts w:asciiTheme="majorBidi" w:hAnsiTheme="majorBidi" w:cstheme="majorBidi"/>
          <w:sz w:val="24"/>
          <w:szCs w:val="24"/>
        </w:rPr>
        <w:t>taux de réalisation de l’enquête</w:t>
      </w:r>
      <w:r w:rsidR="004C6096">
        <w:rPr>
          <w:rFonts w:asciiTheme="majorBidi" w:hAnsiTheme="majorBidi" w:cstheme="majorBidi"/>
          <w:sz w:val="24"/>
          <w:szCs w:val="24"/>
        </w:rPr>
        <w:t xml:space="preserve"> </w:t>
      </w:r>
      <w:r w:rsidR="00334B3A">
        <w:rPr>
          <w:rFonts w:asciiTheme="majorBidi" w:hAnsiTheme="majorBidi" w:cstheme="majorBidi"/>
          <w:sz w:val="24"/>
          <w:szCs w:val="24"/>
        </w:rPr>
        <w:t>comme suit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Avril-2020 : 57,4 %,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Mai-2020 : 66,9%,</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Juin-2020 : 80,4%.</w:t>
      </w:r>
    </w:p>
    <w:p w:rsidR="00334B3A" w:rsidRPr="00334B3A" w:rsidRDefault="00334B3A" w:rsidP="00334B3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Avec la levée progressive des restrictions sanitaires, </w:t>
      </w:r>
      <w:r w:rsidR="0066598F">
        <w:rPr>
          <w:rFonts w:asciiTheme="majorBidi" w:hAnsiTheme="majorBidi" w:cstheme="majorBidi"/>
          <w:sz w:val="24"/>
          <w:szCs w:val="24"/>
        </w:rPr>
        <w:t>la majorité des points de vente a repris son activité ramenant ainsi le taux de réalisation de l’enquête à la normale.</w:t>
      </w:r>
    </w:p>
    <w:p w:rsidR="004D1B47"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8739E" w:rsidRPr="00FC4512" w:rsidRDefault="0088739E" w:rsidP="006A40CB">
      <w:pPr>
        <w:pStyle w:val="Titre3"/>
        <w:ind w:firstLine="708"/>
        <w:rPr>
          <w:rFonts w:asciiTheme="majorBidi" w:hAnsiTheme="majorBidi"/>
          <w:color w:val="0070C0"/>
          <w:sz w:val="24"/>
          <w:szCs w:val="24"/>
        </w:rPr>
      </w:pPr>
      <w:bookmarkStart w:id="15" w:name="_Toc68443125"/>
      <w:r w:rsidRPr="00FC4512">
        <w:rPr>
          <w:rFonts w:asciiTheme="majorBidi" w:hAnsiTheme="majorBidi"/>
          <w:color w:val="0070C0"/>
          <w:sz w:val="24"/>
          <w:szCs w:val="24"/>
        </w:rPr>
        <w:lastRenderedPageBreak/>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B9288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w:t>
      </w:r>
      <w:r w:rsidR="00B9288C">
        <w:rPr>
          <w:rFonts w:asciiTheme="majorBidi" w:hAnsiTheme="majorBidi" w:cstheme="majorBidi"/>
          <w:sz w:val="24"/>
          <w:szCs w:val="24"/>
        </w:rPr>
        <w:t xml:space="preserve"> dans les quatre zones,</w:t>
      </w:r>
      <w:r>
        <w:rPr>
          <w:rFonts w:asciiTheme="majorBidi" w:hAnsiTheme="majorBidi" w:cstheme="majorBidi"/>
          <w:sz w:val="24"/>
          <w:szCs w:val="24"/>
        </w:rPr>
        <w:t xml:space="preserve">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w:t>
      </w:r>
      <w:r w:rsidR="00B9288C">
        <w:rPr>
          <w:rFonts w:asciiTheme="majorBidi" w:hAnsiTheme="majorBidi" w:cstheme="majorBidi"/>
          <w:sz w:val="24"/>
          <w:szCs w:val="24"/>
        </w:rPr>
        <w:t xml:space="preserve"> seulement dans deux zones</w:t>
      </w:r>
      <w:r>
        <w:rPr>
          <w:rFonts w:asciiTheme="majorBidi" w:hAnsiTheme="majorBidi" w:cstheme="majorBidi"/>
          <w:sz w:val="24"/>
          <w:szCs w:val="24"/>
        </w:rPr>
        <w:t>,</w:t>
      </w:r>
      <w:r w:rsidR="00B9288C">
        <w:rPr>
          <w:rFonts w:asciiTheme="majorBidi" w:hAnsiTheme="majorBidi" w:cstheme="majorBidi"/>
          <w:sz w:val="24"/>
          <w:szCs w:val="24"/>
        </w:rPr>
        <w:t xml:space="preserve"> tandis que dans les deux autres zones,</w:t>
      </w:r>
      <w:r>
        <w:rPr>
          <w:rFonts w:asciiTheme="majorBidi" w:hAnsiTheme="majorBidi" w:cstheme="majorBidi"/>
          <w:sz w:val="24"/>
          <w:szCs w:val="24"/>
        </w:rPr>
        <w:t xml:space="preserve"> on procède au report des </w:t>
      </w:r>
      <w:r w:rsidR="00B9288C">
        <w:rPr>
          <w:rFonts w:asciiTheme="majorBidi" w:hAnsiTheme="majorBidi" w:cstheme="majorBidi"/>
          <w:sz w:val="24"/>
          <w:szCs w:val="24"/>
        </w:rPr>
        <w:t>prix</w:t>
      </w:r>
      <w:r>
        <w:rPr>
          <w:rFonts w:asciiTheme="majorBidi" w:hAnsiTheme="majorBidi" w:cstheme="majorBidi"/>
          <w:sz w:val="24"/>
          <w:szCs w:val="24"/>
        </w:rPr>
        <w:t xml:space="preserve"> du mois précédent.</w:t>
      </w:r>
      <w:r w:rsidR="00B9288C">
        <w:rPr>
          <w:rFonts w:asciiTheme="majorBidi" w:hAnsiTheme="majorBidi" w:cstheme="majorBidi"/>
          <w:sz w:val="24"/>
          <w:szCs w:val="24"/>
        </w:rPr>
        <w:t xml:space="preserve"> Cette opération est inversée le mois d’après.</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tab/>
      </w:r>
      <w:bookmarkStart w:id="16" w:name="_Toc68443126"/>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68443127"/>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EB48A0"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EB48A0" w:rsidRPr="004B1065" w:rsidRDefault="00EB48A0" w:rsidP="00EB48A0">
      <w:pPr>
        <w:spacing w:before="240" w:after="240" w:line="240" w:lineRule="auto"/>
        <w:jc w:val="both"/>
        <w:rPr>
          <w:rFonts w:asciiTheme="majorBidi" w:hAnsiTheme="majorBidi"/>
          <w:color w:val="0070C0"/>
          <w:sz w:val="24"/>
          <w:szCs w:val="24"/>
        </w:rPr>
      </w:pPr>
      <w:r>
        <w:rPr>
          <w:rFonts w:asciiTheme="majorBidi" w:hAnsiTheme="majorBidi" w:cstheme="majorBidi"/>
          <w:sz w:val="24"/>
          <w:szCs w:val="24"/>
        </w:rPr>
        <w:t xml:space="preserve">Il est à souligner qu’en plus de ces problèmes, l’année 2020 a présenté un certain  nombre de difficultés relatives aux mesures sanitaires appliquées par le gouvernement marocain pour faire </w:t>
      </w:r>
      <w:r w:rsidR="00145925">
        <w:rPr>
          <w:rFonts w:asciiTheme="majorBidi" w:hAnsiTheme="majorBidi" w:cstheme="majorBidi"/>
          <w:sz w:val="24"/>
          <w:szCs w:val="24"/>
        </w:rPr>
        <w:t xml:space="preserve">face </w:t>
      </w:r>
      <w:r>
        <w:rPr>
          <w:rFonts w:asciiTheme="majorBidi" w:hAnsiTheme="majorBidi" w:cstheme="majorBidi"/>
          <w:sz w:val="24"/>
          <w:szCs w:val="24"/>
        </w:rPr>
        <w:t>à la pandémie COVID-19</w:t>
      </w:r>
      <w:r w:rsidR="00145925">
        <w:rPr>
          <w:rFonts w:asciiTheme="majorBidi" w:hAnsiTheme="majorBidi" w:cstheme="majorBidi"/>
          <w:sz w:val="24"/>
          <w:szCs w:val="24"/>
        </w:rPr>
        <w:t>. On cite, notamment, la fermeture d’un nombre important de points de vente, le risque de contamination des enquêteurs par le virus</w:t>
      </w:r>
      <w:r w:rsidR="00D02128">
        <w:rPr>
          <w:rFonts w:asciiTheme="majorBidi" w:hAnsiTheme="majorBidi" w:cstheme="majorBidi"/>
          <w:sz w:val="24"/>
          <w:szCs w:val="24"/>
        </w:rPr>
        <w:t>, attente prolongée devant les points de vente à cause des longues files d’attente,…..etc.</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A279D5" w:rsidRDefault="00A279D5" w:rsidP="00764ECF">
      <w:pPr>
        <w:rPr>
          <w:rFonts w:asciiTheme="majorBidi" w:hAnsiTheme="majorBidi"/>
          <w:color w:val="4F81BD" w:themeColor="accent1"/>
        </w:rPr>
      </w:pPr>
    </w:p>
    <w:p w:rsidR="00A279D5" w:rsidRDefault="00A279D5" w:rsidP="00764ECF">
      <w:pPr>
        <w:rPr>
          <w:rFonts w:asciiTheme="majorBidi" w:hAnsiTheme="majorBidi" w:cstheme="majorBidi"/>
          <w:b/>
          <w:bCs/>
          <w:color w:val="4F81BD" w:themeColor="accent1"/>
          <w:sz w:val="72"/>
          <w:szCs w:val="72"/>
        </w:rPr>
      </w:pP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CHAPITRE III</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IPC (BASE 100 : 20</w:t>
      </w:r>
      <w:r w:rsidR="00F70A11">
        <w:rPr>
          <w:rFonts w:asciiTheme="majorBidi" w:hAnsiTheme="majorBidi" w:cstheme="majorBidi" w:hint="cs"/>
          <w:b/>
          <w:bCs/>
          <w:color w:val="4F81BD" w:themeColor="accent1"/>
          <w:sz w:val="72"/>
          <w:szCs w:val="72"/>
          <w:rtl/>
        </w:rPr>
        <w:t>17</w:t>
      </w:r>
      <w:r w:rsidRPr="00A279D5">
        <w:rPr>
          <w:rFonts w:asciiTheme="majorBidi" w:hAnsiTheme="majorBidi" w:cstheme="majorBidi"/>
          <w:b/>
          <w:bCs/>
          <w:color w:val="4F81BD" w:themeColor="accent1"/>
          <w:sz w:val="72"/>
          <w:szCs w:val="72"/>
        </w:rPr>
        <w:t>) DE LA VILLE DE KENITRA</w:t>
      </w:r>
    </w:p>
    <w:p w:rsidR="00A37E89"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EVOLUTION ENTRE</w:t>
      </w:r>
    </w:p>
    <w:p w:rsidR="00A279D5" w:rsidRPr="00A279D5" w:rsidRDefault="00A279D5" w:rsidP="00F40446">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 xml:space="preserve"> 20</w:t>
      </w:r>
      <w:r w:rsidR="00F70A11">
        <w:rPr>
          <w:rFonts w:asciiTheme="majorBidi" w:hAnsiTheme="majorBidi" w:cstheme="majorBidi" w:hint="cs"/>
          <w:b/>
          <w:bCs/>
          <w:color w:val="4F81BD" w:themeColor="accent1"/>
          <w:sz w:val="72"/>
          <w:szCs w:val="72"/>
          <w:rtl/>
        </w:rPr>
        <w:t>1</w:t>
      </w:r>
      <w:r w:rsidRPr="00A279D5">
        <w:rPr>
          <w:rFonts w:asciiTheme="majorBidi" w:hAnsiTheme="majorBidi" w:cstheme="majorBidi"/>
          <w:b/>
          <w:bCs/>
          <w:color w:val="4F81BD" w:themeColor="accent1"/>
          <w:sz w:val="72"/>
          <w:szCs w:val="72"/>
        </w:rPr>
        <w:t>7 ET 20</w:t>
      </w:r>
      <w:r w:rsidR="00F70A11">
        <w:rPr>
          <w:rFonts w:asciiTheme="majorBidi" w:hAnsiTheme="majorBidi" w:cstheme="majorBidi" w:hint="cs"/>
          <w:b/>
          <w:bCs/>
          <w:color w:val="4F81BD" w:themeColor="accent1"/>
          <w:sz w:val="72"/>
          <w:szCs w:val="72"/>
          <w:rtl/>
        </w:rPr>
        <w:t>2</w:t>
      </w:r>
      <w:r w:rsidR="00F40446">
        <w:rPr>
          <w:rFonts w:asciiTheme="majorBidi" w:hAnsiTheme="majorBidi" w:cstheme="majorBidi"/>
          <w:b/>
          <w:bCs/>
          <w:color w:val="4F81BD" w:themeColor="accent1"/>
          <w:sz w:val="72"/>
          <w:szCs w:val="72"/>
        </w:rPr>
        <w:t>1</w:t>
      </w:r>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3122FC">
      <w:pPr>
        <w:pStyle w:val="Titre1"/>
        <w:spacing w:before="0"/>
        <w:rPr>
          <w:rFonts w:asciiTheme="majorBidi" w:hAnsiTheme="majorBidi"/>
          <w:color w:val="4F81BD" w:themeColor="accent1"/>
        </w:rPr>
      </w:pPr>
      <w:bookmarkStart w:id="18" w:name="_Toc68443128"/>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w:t>
      </w:r>
      <w:r w:rsidR="00DE657D">
        <w:rPr>
          <w:rFonts w:asciiTheme="majorBidi" w:hAnsiTheme="majorBidi"/>
          <w:color w:val="4F81BD" w:themeColor="accent1"/>
        </w:rPr>
        <w:t>17</w:t>
      </w:r>
      <w:r w:rsidR="001D68BF" w:rsidRPr="00864A16">
        <w:rPr>
          <w:rFonts w:asciiTheme="majorBidi" w:hAnsiTheme="majorBidi"/>
          <w:color w:val="4F81BD" w:themeColor="accent1"/>
        </w:rPr>
        <w:t xml:space="preserve">) </w:t>
      </w:r>
      <w:r w:rsidR="007E29B6">
        <w:rPr>
          <w:rFonts w:asciiTheme="majorBidi" w:hAnsiTheme="majorBidi"/>
          <w:color w:val="4F81BD" w:themeColor="accent1"/>
        </w:rPr>
        <w:t xml:space="preserve"> de la ville de </w:t>
      </w:r>
      <w:proofErr w:type="spellStart"/>
      <w:r w:rsidR="007E29B6">
        <w:rPr>
          <w:rFonts w:asciiTheme="majorBidi" w:hAnsiTheme="majorBidi"/>
          <w:color w:val="4F81BD" w:themeColor="accent1"/>
        </w:rPr>
        <w:t>Ké</w:t>
      </w:r>
      <w:r w:rsidRPr="00864A16">
        <w:rPr>
          <w:rFonts w:asciiTheme="majorBidi" w:hAnsiTheme="majorBidi"/>
          <w:color w:val="4F81BD" w:themeColor="accent1"/>
        </w:rPr>
        <w:t>nitra</w:t>
      </w:r>
      <w:proofErr w:type="spellEnd"/>
      <w:r w:rsidRPr="00864A16">
        <w:rPr>
          <w:rFonts w:asciiTheme="majorBidi" w:hAnsiTheme="majorBidi"/>
          <w:color w:val="4F81BD" w:themeColor="accent1"/>
        </w:rPr>
        <w:t xml:space="preserve"> : </w:t>
      </w:r>
      <w:r w:rsidR="00777D90" w:rsidRPr="00864A16">
        <w:rPr>
          <w:rFonts w:asciiTheme="majorBidi" w:hAnsiTheme="majorBidi"/>
          <w:color w:val="4F81BD" w:themeColor="accent1"/>
        </w:rPr>
        <w:t>évolution entre 20</w:t>
      </w:r>
      <w:r w:rsidR="00DE657D">
        <w:rPr>
          <w:rFonts w:asciiTheme="majorBidi" w:hAnsiTheme="majorBidi"/>
          <w:color w:val="4F81BD" w:themeColor="accent1"/>
        </w:rPr>
        <w:t>1</w:t>
      </w:r>
      <w:r w:rsidR="00777D90" w:rsidRPr="00864A16">
        <w:rPr>
          <w:rFonts w:asciiTheme="majorBidi" w:hAnsiTheme="majorBidi"/>
          <w:color w:val="4F81BD" w:themeColor="accent1"/>
        </w:rPr>
        <w:t>7 et 20</w:t>
      </w:r>
      <w:r w:rsidR="00DE657D">
        <w:rPr>
          <w:rFonts w:asciiTheme="majorBidi" w:hAnsiTheme="majorBidi"/>
          <w:color w:val="4F81BD" w:themeColor="accent1"/>
        </w:rPr>
        <w:t>2</w:t>
      </w:r>
      <w:bookmarkEnd w:id="18"/>
      <w:r w:rsidR="003122FC">
        <w:rPr>
          <w:rFonts w:asciiTheme="majorBidi" w:hAnsiTheme="majorBidi"/>
          <w:color w:val="4F81BD" w:themeColor="accent1"/>
        </w:rPr>
        <w:t>1</w:t>
      </w:r>
    </w:p>
    <w:p w:rsidR="00777D90" w:rsidRPr="00864A16" w:rsidRDefault="006536C2" w:rsidP="003122FC">
      <w:pPr>
        <w:pStyle w:val="Titre2"/>
        <w:rPr>
          <w:rFonts w:asciiTheme="majorBidi" w:hAnsiTheme="majorBidi"/>
        </w:rPr>
      </w:pPr>
      <w:bookmarkStart w:id="19" w:name="_Toc68443129"/>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w:t>
      </w:r>
      <w:r w:rsidR="003122FC">
        <w:rPr>
          <w:rFonts w:asciiTheme="majorBidi" w:hAnsiTheme="majorBidi"/>
        </w:rPr>
        <w:t>20</w:t>
      </w:r>
      <w:r w:rsidR="00A12EEA">
        <w:rPr>
          <w:rFonts w:asciiTheme="majorBidi" w:hAnsiTheme="majorBidi"/>
        </w:rPr>
        <w:t xml:space="preserve"> et 20</w:t>
      </w:r>
      <w:r w:rsidR="00DE657D">
        <w:rPr>
          <w:rFonts w:asciiTheme="majorBidi" w:hAnsiTheme="majorBidi"/>
        </w:rPr>
        <w:t>2</w:t>
      </w:r>
      <w:bookmarkEnd w:id="19"/>
      <w:r w:rsidR="003122FC">
        <w:rPr>
          <w:rFonts w:asciiTheme="majorBidi" w:hAnsiTheme="majorBidi"/>
        </w:rPr>
        <w:t>1</w:t>
      </w:r>
    </w:p>
    <w:p w:rsidR="00777D90" w:rsidRDefault="00777D90" w:rsidP="007D720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F821A1">
        <w:rPr>
          <w:rFonts w:asciiTheme="majorBidi" w:hAnsiTheme="majorBidi" w:cstheme="majorBidi"/>
          <w:sz w:val="24"/>
          <w:szCs w:val="24"/>
        </w:rPr>
        <w:t>2</w:t>
      </w:r>
      <w:r w:rsidR="007D720B">
        <w:rPr>
          <w:rFonts w:asciiTheme="majorBidi" w:hAnsiTheme="majorBidi" w:cstheme="majorBidi"/>
          <w:sz w:val="24"/>
          <w:szCs w:val="24"/>
        </w:rPr>
        <w:t>1</w:t>
      </w:r>
      <w:r>
        <w:rPr>
          <w:rFonts w:asciiTheme="majorBidi" w:hAnsiTheme="majorBidi" w:cstheme="majorBidi"/>
          <w:sz w:val="24"/>
          <w:szCs w:val="24"/>
        </w:rPr>
        <w:t xml:space="preserve">, la comparaison de l’IPC général par ville montre que </w:t>
      </w:r>
      <w:proofErr w:type="spellStart"/>
      <w:r w:rsidR="007D720B">
        <w:rPr>
          <w:rFonts w:asciiTheme="majorBidi" w:hAnsiTheme="majorBidi" w:cstheme="majorBidi"/>
          <w:sz w:val="24"/>
          <w:szCs w:val="24"/>
        </w:rPr>
        <w:t>Kénitra</w:t>
      </w:r>
      <w:proofErr w:type="spellEnd"/>
      <w:r w:rsidR="007D720B">
        <w:rPr>
          <w:rFonts w:asciiTheme="majorBidi" w:hAnsiTheme="majorBidi" w:cstheme="majorBidi"/>
          <w:sz w:val="24"/>
          <w:szCs w:val="24"/>
        </w:rPr>
        <w:t xml:space="preserve"> est située parmi les villes </w:t>
      </w:r>
      <w:r w:rsidR="00F821A1">
        <w:rPr>
          <w:rFonts w:asciiTheme="majorBidi" w:hAnsiTheme="majorBidi" w:cstheme="majorBidi"/>
          <w:sz w:val="24"/>
          <w:szCs w:val="24"/>
        </w:rPr>
        <w:t>affich</w:t>
      </w:r>
      <w:r w:rsidR="007D720B">
        <w:rPr>
          <w:rFonts w:asciiTheme="majorBidi" w:hAnsiTheme="majorBidi" w:cstheme="majorBidi"/>
          <w:sz w:val="24"/>
          <w:szCs w:val="24"/>
        </w:rPr>
        <w:t>ant</w:t>
      </w:r>
      <w:r w:rsidR="00F821A1">
        <w:rPr>
          <w:rFonts w:asciiTheme="majorBidi" w:hAnsiTheme="majorBidi" w:cstheme="majorBidi"/>
          <w:sz w:val="24"/>
          <w:szCs w:val="24"/>
        </w:rPr>
        <w:t xml:space="preserve"> le niveau le plus bas</w:t>
      </w:r>
      <w:r w:rsidR="007D720B">
        <w:rPr>
          <w:rFonts w:asciiTheme="majorBidi" w:hAnsiTheme="majorBidi" w:cstheme="majorBidi"/>
          <w:sz w:val="24"/>
          <w:szCs w:val="24"/>
        </w:rPr>
        <w:t>, à savoir Tétouan et Oujda</w:t>
      </w:r>
      <w:r w:rsidR="00F821A1">
        <w:rPr>
          <w:rFonts w:asciiTheme="majorBidi" w:hAnsiTheme="majorBidi" w:cstheme="majorBidi"/>
          <w:sz w:val="24"/>
          <w:szCs w:val="24"/>
        </w:rPr>
        <w:t xml:space="preserve"> avec 10</w:t>
      </w:r>
      <w:r w:rsidR="007D720B">
        <w:rPr>
          <w:rFonts w:asciiTheme="majorBidi" w:hAnsiTheme="majorBidi" w:cstheme="majorBidi"/>
          <w:sz w:val="24"/>
          <w:szCs w:val="24"/>
        </w:rPr>
        <w:t>2</w:t>
      </w:r>
      <w:r w:rsidR="00F821A1">
        <w:rPr>
          <w:rFonts w:asciiTheme="majorBidi" w:hAnsiTheme="majorBidi" w:cstheme="majorBidi"/>
          <w:sz w:val="24"/>
          <w:szCs w:val="24"/>
        </w:rPr>
        <w:t>,</w:t>
      </w:r>
      <w:r w:rsidR="007D720B">
        <w:rPr>
          <w:rFonts w:asciiTheme="majorBidi" w:hAnsiTheme="majorBidi" w:cstheme="majorBidi"/>
          <w:sz w:val="24"/>
          <w:szCs w:val="24"/>
        </w:rPr>
        <w:t>9</w:t>
      </w:r>
      <w:r w:rsidR="00F821A1">
        <w:rPr>
          <w:rFonts w:asciiTheme="majorBidi" w:hAnsiTheme="majorBidi" w:cstheme="majorBidi"/>
          <w:sz w:val="24"/>
          <w:szCs w:val="24"/>
        </w:rPr>
        <w:t xml:space="preserve"> contre 10</w:t>
      </w:r>
      <w:r w:rsidR="007D720B">
        <w:rPr>
          <w:rFonts w:asciiTheme="majorBidi" w:hAnsiTheme="majorBidi" w:cstheme="majorBidi"/>
          <w:sz w:val="24"/>
          <w:szCs w:val="24"/>
        </w:rPr>
        <w:t>3</w:t>
      </w:r>
      <w:r w:rsidR="00F821A1">
        <w:rPr>
          <w:rFonts w:asciiTheme="majorBidi" w:hAnsiTheme="majorBidi" w:cstheme="majorBidi"/>
          <w:sz w:val="24"/>
          <w:szCs w:val="24"/>
        </w:rPr>
        <w:t>,</w:t>
      </w:r>
      <w:r w:rsidR="007D720B">
        <w:rPr>
          <w:rFonts w:asciiTheme="majorBidi" w:hAnsiTheme="majorBidi" w:cstheme="majorBidi"/>
          <w:sz w:val="24"/>
          <w:szCs w:val="24"/>
        </w:rPr>
        <w:t>9</w:t>
      </w:r>
      <w:r w:rsidR="00F821A1">
        <w:rPr>
          <w:rFonts w:asciiTheme="majorBidi" w:hAnsiTheme="majorBidi" w:cstheme="majorBidi"/>
          <w:sz w:val="24"/>
          <w:szCs w:val="24"/>
        </w:rPr>
        <w:t xml:space="preserve"> pour l’ensemble </w:t>
      </w:r>
      <w:r>
        <w:rPr>
          <w:rFonts w:asciiTheme="majorBidi" w:hAnsiTheme="majorBidi" w:cstheme="majorBidi"/>
          <w:sz w:val="24"/>
          <w:szCs w:val="24"/>
        </w:rPr>
        <w:t>national.</w:t>
      </w:r>
      <w:r w:rsidR="00F821A1">
        <w:rPr>
          <w:rFonts w:asciiTheme="majorBidi" w:hAnsiTheme="majorBidi" w:cstheme="majorBidi"/>
          <w:sz w:val="24"/>
          <w:szCs w:val="24"/>
        </w:rPr>
        <w:t xml:space="preserve"> A noter que </w:t>
      </w:r>
      <w:r w:rsidR="007D720B">
        <w:rPr>
          <w:rFonts w:asciiTheme="majorBidi" w:hAnsiTheme="majorBidi" w:cstheme="majorBidi"/>
          <w:sz w:val="24"/>
          <w:szCs w:val="24"/>
        </w:rPr>
        <w:t>onze</w:t>
      </w:r>
      <w:r w:rsidR="00F821A1">
        <w:rPr>
          <w:rFonts w:asciiTheme="majorBidi" w:hAnsiTheme="majorBidi" w:cstheme="majorBidi"/>
          <w:sz w:val="24"/>
          <w:szCs w:val="24"/>
        </w:rPr>
        <w:t xml:space="preserve"> villes ont enregistré des niveaux inférieurs à la moyenne nationale, </w:t>
      </w:r>
      <w:r w:rsidR="00A9472A">
        <w:rPr>
          <w:rFonts w:asciiTheme="majorBidi" w:hAnsiTheme="majorBidi" w:cstheme="majorBidi"/>
          <w:sz w:val="24"/>
          <w:szCs w:val="24"/>
        </w:rPr>
        <w:t xml:space="preserve">contre </w:t>
      </w:r>
      <w:r w:rsidR="007D720B">
        <w:rPr>
          <w:rFonts w:asciiTheme="majorBidi" w:hAnsiTheme="majorBidi" w:cstheme="majorBidi"/>
          <w:sz w:val="24"/>
          <w:szCs w:val="24"/>
        </w:rPr>
        <w:t>sep</w:t>
      </w:r>
      <w:r w:rsidR="00A9472A">
        <w:rPr>
          <w:rFonts w:asciiTheme="majorBidi" w:hAnsiTheme="majorBidi" w:cstheme="majorBidi"/>
          <w:sz w:val="24"/>
          <w:szCs w:val="24"/>
        </w:rPr>
        <w:t>t dont les indices sont su</w:t>
      </w:r>
      <w:r w:rsidR="007D720B">
        <w:rPr>
          <w:rFonts w:asciiTheme="majorBidi" w:hAnsiTheme="majorBidi" w:cstheme="majorBidi"/>
          <w:sz w:val="24"/>
          <w:szCs w:val="24"/>
        </w:rPr>
        <w:t>p</w:t>
      </w:r>
      <w:r w:rsidR="00A9472A">
        <w:rPr>
          <w:rFonts w:asciiTheme="majorBidi" w:hAnsiTheme="majorBidi" w:cstheme="majorBidi"/>
          <w:sz w:val="24"/>
          <w:szCs w:val="24"/>
        </w:rPr>
        <w:t>é</w:t>
      </w:r>
      <w:r w:rsidR="007D720B">
        <w:rPr>
          <w:rFonts w:asciiTheme="majorBidi" w:hAnsiTheme="majorBidi" w:cstheme="majorBidi"/>
          <w:sz w:val="24"/>
          <w:szCs w:val="24"/>
        </w:rPr>
        <w:t xml:space="preserve">rieurs à </w:t>
      </w:r>
      <w:r w:rsidR="00A9472A">
        <w:rPr>
          <w:rFonts w:asciiTheme="majorBidi" w:hAnsiTheme="majorBidi" w:cstheme="majorBidi"/>
          <w:sz w:val="24"/>
          <w:szCs w:val="24"/>
        </w:rPr>
        <w:t>la moyenne.</w:t>
      </w:r>
    </w:p>
    <w:p w:rsidR="00777D90" w:rsidRDefault="00DF65E2" w:rsidP="003122FC">
      <w:pPr>
        <w:pStyle w:val="Lgende"/>
        <w:rPr>
          <w:rFonts w:asciiTheme="majorBidi" w:hAnsiTheme="majorBidi" w:cstheme="majorBidi"/>
          <w:sz w:val="22"/>
          <w:szCs w:val="22"/>
          <w:rtl/>
        </w:rPr>
      </w:pPr>
      <w:bookmarkStart w:id="20" w:name="_Toc68436329"/>
      <w:r w:rsidRPr="00864A16">
        <w:rPr>
          <w:rFonts w:asciiTheme="majorBidi" w:hAnsiTheme="majorBidi" w:cstheme="majorBidi"/>
          <w:sz w:val="22"/>
          <w:szCs w:val="22"/>
        </w:rPr>
        <w:t xml:space="preserve">Tableau </w:t>
      </w:r>
      <w:r w:rsidR="00D87627"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D87627" w:rsidRPr="00864A16">
        <w:rPr>
          <w:rFonts w:asciiTheme="majorBidi" w:hAnsiTheme="majorBidi" w:cstheme="majorBidi"/>
          <w:sz w:val="22"/>
          <w:szCs w:val="22"/>
        </w:rPr>
        <w:fldChar w:fldCharType="separate"/>
      </w:r>
      <w:r w:rsidR="00794CED">
        <w:rPr>
          <w:rFonts w:asciiTheme="majorBidi" w:hAnsiTheme="majorBidi" w:cstheme="majorBidi"/>
          <w:noProof/>
          <w:sz w:val="22"/>
          <w:szCs w:val="22"/>
        </w:rPr>
        <w:t>3</w:t>
      </w:r>
      <w:r w:rsidR="00D87627"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(Base 100 :20</w:t>
      </w:r>
      <w:r w:rsidR="00DE657D">
        <w:rPr>
          <w:rFonts w:asciiTheme="majorBidi" w:hAnsiTheme="majorBidi" w:cstheme="majorBidi"/>
          <w:sz w:val="22"/>
          <w:szCs w:val="22"/>
        </w:rPr>
        <w:t>17</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par ville en 201</w:t>
      </w:r>
      <w:r w:rsidR="003122FC">
        <w:rPr>
          <w:rFonts w:asciiTheme="majorBidi" w:hAnsiTheme="majorBidi" w:cstheme="majorBidi"/>
          <w:sz w:val="22"/>
          <w:szCs w:val="22"/>
        </w:rPr>
        <w:t>0</w:t>
      </w:r>
      <w:r w:rsidR="00D562EA"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et 20</w:t>
      </w:r>
      <w:r w:rsidR="00DE657D">
        <w:rPr>
          <w:rFonts w:asciiTheme="majorBidi" w:hAnsiTheme="majorBidi" w:cstheme="majorBidi"/>
          <w:sz w:val="22"/>
          <w:szCs w:val="22"/>
        </w:rPr>
        <w:t>2</w:t>
      </w:r>
      <w:bookmarkEnd w:id="20"/>
      <w:r w:rsidR="003122FC">
        <w:rPr>
          <w:rFonts w:asciiTheme="majorBidi" w:hAnsiTheme="majorBidi" w:cstheme="majorBidi"/>
          <w:sz w:val="22"/>
          <w:szCs w:val="22"/>
        </w:rPr>
        <w:t>1</w:t>
      </w:r>
    </w:p>
    <w:tbl>
      <w:tblPr>
        <w:tblW w:w="5000" w:type="pct"/>
        <w:tblCellMar>
          <w:left w:w="70" w:type="dxa"/>
          <w:right w:w="70" w:type="dxa"/>
        </w:tblCellMar>
        <w:tblLook w:val="04A0"/>
      </w:tblPr>
      <w:tblGrid>
        <w:gridCol w:w="2454"/>
        <w:gridCol w:w="2453"/>
        <w:gridCol w:w="1994"/>
        <w:gridCol w:w="2453"/>
      </w:tblGrid>
      <w:tr w:rsidR="003122FC" w:rsidRPr="003122FC" w:rsidTr="003122FC">
        <w:trPr>
          <w:trHeight w:val="315"/>
        </w:trPr>
        <w:tc>
          <w:tcPr>
            <w:tcW w:w="1311" w:type="pct"/>
            <w:tcBorders>
              <w:top w:val="nil"/>
              <w:left w:val="nil"/>
              <w:bottom w:val="nil"/>
              <w:right w:val="nil"/>
            </w:tcBorders>
            <w:shd w:val="clear" w:color="000000" w:fill="C0C0C0"/>
            <w:noWrap/>
            <w:vAlign w:val="bottom"/>
            <w:hideMark/>
          </w:tcPr>
          <w:p w:rsidR="003122FC" w:rsidRPr="003122FC" w:rsidRDefault="003122FC" w:rsidP="003122FC">
            <w:pPr>
              <w:spacing w:after="0" w:line="240" w:lineRule="auto"/>
              <w:rPr>
                <w:rFonts w:ascii="Times New Roman" w:eastAsia="Times New Roman" w:hAnsi="Times New Roman" w:cs="Times New Roman"/>
                <w:b/>
                <w:bCs/>
                <w:sz w:val="24"/>
                <w:szCs w:val="24"/>
                <w:lang w:eastAsia="fr-FR"/>
              </w:rPr>
            </w:pPr>
            <w:r w:rsidRPr="003122FC">
              <w:rPr>
                <w:rFonts w:ascii="Times New Roman" w:eastAsia="Times New Roman" w:hAnsi="Times New Roman" w:cs="Times New Roman"/>
                <w:b/>
                <w:bCs/>
                <w:sz w:val="24"/>
                <w:szCs w:val="24"/>
                <w:lang w:eastAsia="fr-FR"/>
              </w:rPr>
              <w:t>NOM VILLE</w:t>
            </w:r>
          </w:p>
        </w:tc>
        <w:tc>
          <w:tcPr>
            <w:tcW w:w="1311" w:type="pct"/>
            <w:tcBorders>
              <w:top w:val="nil"/>
              <w:left w:val="nil"/>
              <w:bottom w:val="nil"/>
              <w:right w:val="nil"/>
            </w:tcBorders>
            <w:shd w:val="clear" w:color="000000" w:fill="C0C0C0"/>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sz w:val="24"/>
                <w:szCs w:val="24"/>
                <w:lang w:eastAsia="fr-FR"/>
              </w:rPr>
            </w:pPr>
            <w:r w:rsidRPr="003122FC">
              <w:rPr>
                <w:rFonts w:ascii="Times New Roman" w:eastAsia="Times New Roman" w:hAnsi="Times New Roman" w:cs="Times New Roman"/>
                <w:b/>
                <w:bCs/>
                <w:sz w:val="24"/>
                <w:szCs w:val="24"/>
                <w:lang w:eastAsia="fr-FR"/>
              </w:rPr>
              <w:t>2020</w:t>
            </w:r>
          </w:p>
        </w:tc>
        <w:tc>
          <w:tcPr>
            <w:tcW w:w="1066" w:type="pct"/>
            <w:tcBorders>
              <w:top w:val="nil"/>
              <w:left w:val="nil"/>
              <w:bottom w:val="nil"/>
              <w:right w:val="nil"/>
            </w:tcBorders>
            <w:shd w:val="clear" w:color="000000" w:fill="C0C0C0"/>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sz w:val="24"/>
                <w:szCs w:val="24"/>
                <w:lang w:eastAsia="fr-FR"/>
              </w:rPr>
            </w:pPr>
            <w:r w:rsidRPr="003122FC">
              <w:rPr>
                <w:rFonts w:ascii="Times New Roman" w:eastAsia="Times New Roman" w:hAnsi="Times New Roman" w:cs="Times New Roman"/>
                <w:b/>
                <w:bCs/>
                <w:sz w:val="24"/>
                <w:szCs w:val="24"/>
                <w:lang w:eastAsia="fr-FR"/>
              </w:rPr>
              <w:t>2021</w:t>
            </w:r>
          </w:p>
        </w:tc>
        <w:tc>
          <w:tcPr>
            <w:tcW w:w="1311" w:type="pct"/>
            <w:tcBorders>
              <w:top w:val="nil"/>
              <w:left w:val="nil"/>
              <w:bottom w:val="nil"/>
              <w:right w:val="nil"/>
            </w:tcBorders>
            <w:shd w:val="clear" w:color="000000" w:fill="C0C0C0"/>
            <w:noWrap/>
            <w:vAlign w:val="bottom"/>
            <w:hideMark/>
          </w:tcPr>
          <w:p w:rsidR="003122FC" w:rsidRPr="003122FC" w:rsidRDefault="003122FC" w:rsidP="003122FC">
            <w:pPr>
              <w:spacing w:after="0" w:line="240" w:lineRule="auto"/>
              <w:rPr>
                <w:rFonts w:ascii="Times New Roman" w:eastAsia="Times New Roman" w:hAnsi="Times New Roman" w:cs="Times New Roman"/>
                <w:b/>
                <w:bCs/>
                <w:sz w:val="24"/>
                <w:szCs w:val="24"/>
                <w:lang w:eastAsia="fr-FR"/>
              </w:rPr>
            </w:pPr>
            <w:r w:rsidRPr="003122FC">
              <w:rPr>
                <w:rFonts w:ascii="Times New Roman" w:eastAsia="Times New Roman" w:hAnsi="Times New Roman" w:cs="Times New Roman"/>
                <w:b/>
                <w:bCs/>
                <w:sz w:val="24"/>
                <w:szCs w:val="24"/>
                <w:lang w:eastAsia="fr-FR"/>
              </w:rPr>
              <w:t>Variation (%)</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Tétouan</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101,7</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0,8</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Oujda</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101,7</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102,8</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1,1</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color w:val="FF0000"/>
                <w:lang w:eastAsia="fr-FR"/>
              </w:rPr>
            </w:pPr>
            <w:r w:rsidRPr="003122FC">
              <w:rPr>
                <w:rFonts w:ascii="Times New Roman" w:eastAsia="Times New Roman" w:hAnsi="Times New Roman" w:cs="Times New Roman"/>
                <w:b/>
                <w:bCs/>
                <w:color w:val="FF0000"/>
                <w:lang w:eastAsia="fr-FR"/>
              </w:rPr>
              <w:t>Kenitra</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lang w:eastAsia="fr-FR"/>
              </w:rPr>
            </w:pPr>
            <w:r w:rsidRPr="003122FC">
              <w:rPr>
                <w:rFonts w:ascii="Times New Roman" w:eastAsia="Times New Roman" w:hAnsi="Times New Roman" w:cs="Times New Roman"/>
                <w:b/>
                <w:bCs/>
                <w:color w:val="FF0000"/>
                <w:lang w:eastAsia="fr-FR"/>
              </w:rPr>
              <w:t>101,6</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lang w:eastAsia="fr-FR"/>
              </w:rPr>
            </w:pPr>
            <w:r w:rsidRPr="003122FC">
              <w:rPr>
                <w:rFonts w:ascii="Times New Roman" w:eastAsia="Times New Roman" w:hAnsi="Times New Roman" w:cs="Times New Roman"/>
                <w:b/>
                <w:bCs/>
                <w:color w:val="FF0000"/>
                <w:lang w:eastAsia="fr-FR"/>
              </w:rPr>
              <w:t>102,9</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lang w:eastAsia="fr-FR"/>
              </w:rPr>
            </w:pPr>
            <w:r w:rsidRPr="003122FC">
              <w:rPr>
                <w:rFonts w:ascii="Times New Roman" w:eastAsia="Times New Roman" w:hAnsi="Times New Roman" w:cs="Times New Roman"/>
                <w:b/>
                <w:bCs/>
                <w:color w:val="FF0000"/>
                <w:lang w:eastAsia="fr-FR"/>
              </w:rPr>
              <w:t>1,2</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Errachidia</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101,5</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103,0</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1,5</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Settat</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101,8</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103,5</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1,7</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 xml:space="preserve">El </w:t>
            </w:r>
            <w:proofErr w:type="spellStart"/>
            <w:r w:rsidRPr="003122FC">
              <w:rPr>
                <w:rFonts w:ascii="Times New Roman" w:eastAsia="Times New Roman" w:hAnsi="Times New Roman" w:cs="Times New Roman"/>
                <w:b/>
                <w:bCs/>
                <w:lang w:eastAsia="fr-FR"/>
              </w:rPr>
              <w:t>houceima</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102,2</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103,5</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1,3</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Meknes</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102,2</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103,6</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1,4</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Tanger</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102,4</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103,7</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1,3</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Agadir</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102,7</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103,8</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1,1</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Rabat</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102,5</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103,8</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1,3</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Marrakech</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102,3</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103,9</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1,5</w:t>
            </w:r>
          </w:p>
        </w:tc>
      </w:tr>
      <w:tr w:rsidR="003122FC" w:rsidRPr="003122FC" w:rsidTr="003122FC">
        <w:trPr>
          <w:trHeight w:val="315"/>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color w:val="FF0000"/>
                <w:sz w:val="24"/>
                <w:szCs w:val="24"/>
                <w:lang w:eastAsia="fr-FR"/>
              </w:rPr>
            </w:pPr>
            <w:r w:rsidRPr="003122FC">
              <w:rPr>
                <w:rFonts w:ascii="Times New Roman" w:eastAsia="Times New Roman" w:hAnsi="Times New Roman" w:cs="Times New Roman"/>
                <w:b/>
                <w:bCs/>
                <w:color w:val="FF0000"/>
                <w:sz w:val="24"/>
                <w:szCs w:val="24"/>
                <w:lang w:eastAsia="fr-FR"/>
              </w:rPr>
              <w:t>Ensemble</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sz w:val="24"/>
                <w:szCs w:val="24"/>
                <w:lang w:eastAsia="fr-FR"/>
              </w:rPr>
            </w:pPr>
            <w:r w:rsidRPr="003122FC">
              <w:rPr>
                <w:rFonts w:ascii="Times New Roman" w:eastAsia="Times New Roman" w:hAnsi="Times New Roman" w:cs="Times New Roman"/>
                <w:b/>
                <w:bCs/>
                <w:color w:val="FF0000"/>
                <w:sz w:val="24"/>
                <w:szCs w:val="24"/>
                <w:lang w:eastAsia="fr-FR"/>
              </w:rPr>
              <w:t>102,5</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sz w:val="24"/>
                <w:szCs w:val="24"/>
                <w:lang w:eastAsia="fr-FR"/>
              </w:rPr>
            </w:pPr>
            <w:r w:rsidRPr="003122FC">
              <w:rPr>
                <w:rFonts w:ascii="Times New Roman" w:eastAsia="Times New Roman" w:hAnsi="Times New Roman" w:cs="Times New Roman"/>
                <w:b/>
                <w:bCs/>
                <w:color w:val="FF0000"/>
                <w:sz w:val="24"/>
                <w:szCs w:val="24"/>
                <w:lang w:eastAsia="fr-FR"/>
              </w:rPr>
              <w:t>103,9</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b/>
                <w:bCs/>
                <w:color w:val="FF0000"/>
                <w:sz w:val="24"/>
                <w:szCs w:val="24"/>
                <w:lang w:eastAsia="fr-FR"/>
              </w:rPr>
            </w:pPr>
            <w:r w:rsidRPr="003122FC">
              <w:rPr>
                <w:rFonts w:ascii="Times New Roman" w:eastAsia="Times New Roman" w:hAnsi="Times New Roman" w:cs="Times New Roman"/>
                <w:b/>
                <w:bCs/>
                <w:color w:val="FF0000"/>
                <w:sz w:val="24"/>
                <w:szCs w:val="24"/>
                <w:lang w:eastAsia="fr-FR"/>
              </w:rPr>
              <w:t>1,4</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Fes</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102,9</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104,0</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Dakhla</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103,4</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104,0</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0,6</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Laayoune</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103,8</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104,2</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0,4</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Casa</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102,5</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104,4</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1,8</w:t>
            </w:r>
          </w:p>
        </w:tc>
      </w:tr>
      <w:tr w:rsidR="003122FC" w:rsidRPr="003122FC" w:rsidTr="003122FC">
        <w:trPr>
          <w:trHeight w:val="300"/>
        </w:trPr>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Beni</w:t>
            </w:r>
            <w:proofErr w:type="spellEnd"/>
            <w:r w:rsidRPr="003122FC">
              <w:rPr>
                <w:rFonts w:ascii="Times New Roman" w:eastAsia="Times New Roman" w:hAnsi="Times New Roman" w:cs="Times New Roman"/>
                <w:b/>
                <w:bCs/>
                <w:lang w:eastAsia="fr-FR"/>
              </w:rPr>
              <w:t xml:space="preserve"> </w:t>
            </w:r>
            <w:proofErr w:type="spellStart"/>
            <w:r w:rsidRPr="003122FC">
              <w:rPr>
                <w:rFonts w:ascii="Times New Roman" w:eastAsia="Times New Roman" w:hAnsi="Times New Roman" w:cs="Times New Roman"/>
                <w:b/>
                <w:bCs/>
                <w:lang w:eastAsia="fr-FR"/>
              </w:rPr>
              <w:t>mellal</w:t>
            </w:r>
            <w:proofErr w:type="spellEnd"/>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102,5</w:t>
            </w:r>
          </w:p>
        </w:tc>
        <w:tc>
          <w:tcPr>
            <w:tcW w:w="1066"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104,5</w:t>
            </w:r>
          </w:p>
        </w:tc>
        <w:tc>
          <w:tcPr>
            <w:tcW w:w="1311" w:type="pct"/>
            <w:tcBorders>
              <w:top w:val="nil"/>
              <w:left w:val="nil"/>
              <w:bottom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1,9</w:t>
            </w:r>
          </w:p>
        </w:tc>
      </w:tr>
      <w:tr w:rsidR="003122FC" w:rsidRPr="003122FC" w:rsidTr="003122FC">
        <w:trPr>
          <w:trHeight w:val="300"/>
        </w:trPr>
        <w:tc>
          <w:tcPr>
            <w:tcW w:w="1311" w:type="pct"/>
            <w:tcBorders>
              <w:top w:val="nil"/>
              <w:left w:val="nil"/>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proofErr w:type="spellStart"/>
            <w:r w:rsidRPr="003122FC">
              <w:rPr>
                <w:rFonts w:ascii="Times New Roman" w:eastAsia="Times New Roman" w:hAnsi="Times New Roman" w:cs="Times New Roman"/>
                <w:b/>
                <w:bCs/>
                <w:lang w:eastAsia="fr-FR"/>
              </w:rPr>
              <w:t>Guelmim</w:t>
            </w:r>
            <w:proofErr w:type="spellEnd"/>
          </w:p>
        </w:tc>
        <w:tc>
          <w:tcPr>
            <w:tcW w:w="1311" w:type="pct"/>
            <w:tcBorders>
              <w:top w:val="nil"/>
              <w:left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105,2</w:t>
            </w:r>
          </w:p>
        </w:tc>
        <w:tc>
          <w:tcPr>
            <w:tcW w:w="1066" w:type="pct"/>
            <w:tcBorders>
              <w:top w:val="nil"/>
              <w:left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105,9</w:t>
            </w:r>
          </w:p>
        </w:tc>
        <w:tc>
          <w:tcPr>
            <w:tcW w:w="1311" w:type="pct"/>
            <w:tcBorders>
              <w:top w:val="nil"/>
              <w:left w:val="nil"/>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0,7</w:t>
            </w:r>
          </w:p>
        </w:tc>
      </w:tr>
      <w:tr w:rsidR="003122FC" w:rsidRPr="003122FC" w:rsidTr="003122FC">
        <w:trPr>
          <w:trHeight w:val="300"/>
        </w:trPr>
        <w:tc>
          <w:tcPr>
            <w:tcW w:w="1311" w:type="pct"/>
            <w:tcBorders>
              <w:top w:val="nil"/>
              <w:left w:val="nil"/>
              <w:bottom w:val="single" w:sz="4" w:space="0" w:color="auto"/>
              <w:right w:val="nil"/>
            </w:tcBorders>
            <w:shd w:val="clear" w:color="auto" w:fill="auto"/>
            <w:noWrap/>
            <w:vAlign w:val="bottom"/>
            <w:hideMark/>
          </w:tcPr>
          <w:p w:rsidR="003122FC" w:rsidRPr="003122FC" w:rsidRDefault="003122FC" w:rsidP="003122FC">
            <w:pPr>
              <w:spacing w:after="0" w:line="240" w:lineRule="auto"/>
              <w:rPr>
                <w:rFonts w:ascii="Times New Roman" w:eastAsia="Times New Roman" w:hAnsi="Times New Roman" w:cs="Times New Roman"/>
                <w:b/>
                <w:bCs/>
                <w:lang w:eastAsia="fr-FR"/>
              </w:rPr>
            </w:pPr>
            <w:r w:rsidRPr="003122FC">
              <w:rPr>
                <w:rFonts w:ascii="Times New Roman" w:eastAsia="Times New Roman" w:hAnsi="Times New Roman" w:cs="Times New Roman"/>
                <w:b/>
                <w:bCs/>
                <w:lang w:eastAsia="fr-FR"/>
              </w:rPr>
              <w:t>Safi</w:t>
            </w:r>
          </w:p>
        </w:tc>
        <w:tc>
          <w:tcPr>
            <w:tcW w:w="1311" w:type="pct"/>
            <w:tcBorders>
              <w:top w:val="nil"/>
              <w:left w:val="nil"/>
              <w:bottom w:val="single" w:sz="4" w:space="0" w:color="auto"/>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104,8</w:t>
            </w:r>
          </w:p>
        </w:tc>
        <w:tc>
          <w:tcPr>
            <w:tcW w:w="1066" w:type="pct"/>
            <w:tcBorders>
              <w:top w:val="nil"/>
              <w:left w:val="nil"/>
              <w:bottom w:val="single" w:sz="4" w:space="0" w:color="auto"/>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106,5</w:t>
            </w:r>
          </w:p>
        </w:tc>
        <w:tc>
          <w:tcPr>
            <w:tcW w:w="1311" w:type="pct"/>
            <w:tcBorders>
              <w:top w:val="nil"/>
              <w:left w:val="nil"/>
              <w:bottom w:val="single" w:sz="4" w:space="0" w:color="auto"/>
              <w:right w:val="nil"/>
            </w:tcBorders>
            <w:shd w:val="clear" w:color="auto" w:fill="auto"/>
            <w:noWrap/>
            <w:vAlign w:val="bottom"/>
            <w:hideMark/>
          </w:tcPr>
          <w:p w:rsidR="003122FC" w:rsidRPr="003122FC" w:rsidRDefault="003122FC" w:rsidP="003122FC">
            <w:pPr>
              <w:spacing w:after="0" w:line="240" w:lineRule="auto"/>
              <w:jc w:val="right"/>
              <w:rPr>
                <w:rFonts w:ascii="Times New Roman" w:eastAsia="Times New Roman" w:hAnsi="Times New Roman" w:cs="Times New Roman"/>
                <w:color w:val="000000"/>
                <w:lang w:eastAsia="fr-FR"/>
              </w:rPr>
            </w:pPr>
            <w:r w:rsidRPr="003122FC">
              <w:rPr>
                <w:rFonts w:ascii="Times New Roman" w:eastAsia="Times New Roman" w:hAnsi="Times New Roman" w:cs="Times New Roman"/>
                <w:color w:val="000000"/>
                <w:lang w:eastAsia="fr-FR"/>
              </w:rPr>
              <w:t>1,6</w:t>
            </w:r>
          </w:p>
        </w:tc>
      </w:tr>
    </w:tbl>
    <w:p w:rsidR="000665DB" w:rsidRPr="00BA0527" w:rsidRDefault="00E26CAA" w:rsidP="00BA0527">
      <w:pPr>
        <w:rPr>
          <w:rFonts w:asciiTheme="majorBidi" w:hAnsiTheme="majorBidi"/>
          <w:i/>
          <w:color w:val="4F81BD" w:themeColor="accent1"/>
        </w:rPr>
      </w:pPr>
      <w:r w:rsidRPr="00BA0527">
        <w:rPr>
          <w:rFonts w:asciiTheme="majorBidi" w:hAnsiTheme="majorBidi"/>
          <w:i/>
          <w:color w:val="4F81BD" w:themeColor="accent1"/>
        </w:rPr>
        <w:t>Source : HCP.</w:t>
      </w:r>
    </w:p>
    <w:p w:rsidR="00864A16" w:rsidRPr="008A51D4" w:rsidRDefault="00F301B0" w:rsidP="00301364">
      <w:pPr>
        <w:pStyle w:val="Lgende"/>
        <w:spacing w:before="120"/>
        <w:rPr>
          <w:rFonts w:asciiTheme="majorBidi" w:hAnsiTheme="majorBidi" w:cstheme="majorBidi"/>
          <w:b w:val="0"/>
          <w:bCs w:val="0"/>
          <w:color w:val="auto"/>
          <w:sz w:val="24"/>
          <w:szCs w:val="24"/>
        </w:rPr>
      </w:pPr>
      <w:r w:rsidRPr="008A51D4">
        <w:rPr>
          <w:rFonts w:asciiTheme="majorBidi" w:hAnsiTheme="majorBidi" w:cstheme="majorBidi"/>
          <w:b w:val="0"/>
          <w:bCs w:val="0"/>
          <w:color w:val="auto"/>
          <w:sz w:val="24"/>
          <w:szCs w:val="24"/>
        </w:rPr>
        <w:t>On note que le niveau général des prix le plus élevé au Maroc en 20</w:t>
      </w:r>
      <w:r w:rsidR="00A9472A">
        <w:rPr>
          <w:rFonts w:asciiTheme="majorBidi" w:hAnsiTheme="majorBidi" w:cstheme="majorBidi"/>
          <w:b w:val="0"/>
          <w:bCs w:val="0"/>
          <w:color w:val="auto"/>
          <w:sz w:val="24"/>
          <w:szCs w:val="24"/>
        </w:rPr>
        <w:t>2</w:t>
      </w:r>
      <w:r w:rsidR="007D720B">
        <w:rPr>
          <w:rFonts w:asciiTheme="majorBidi" w:hAnsiTheme="majorBidi" w:cstheme="majorBidi"/>
          <w:b w:val="0"/>
          <w:bCs w:val="0"/>
          <w:color w:val="auto"/>
          <w:sz w:val="24"/>
          <w:szCs w:val="24"/>
        </w:rPr>
        <w:t>1</w:t>
      </w:r>
      <w:r w:rsidRPr="008A51D4">
        <w:rPr>
          <w:rFonts w:asciiTheme="majorBidi" w:hAnsiTheme="majorBidi" w:cstheme="majorBidi"/>
          <w:b w:val="0"/>
          <w:bCs w:val="0"/>
          <w:color w:val="auto"/>
          <w:sz w:val="24"/>
          <w:szCs w:val="24"/>
        </w:rPr>
        <w:t xml:space="preserve">, est celui enregistré par la ville de </w:t>
      </w:r>
      <w:r w:rsidR="00301364">
        <w:rPr>
          <w:rFonts w:asciiTheme="majorBidi" w:hAnsiTheme="majorBidi" w:cstheme="majorBidi"/>
          <w:b w:val="0"/>
          <w:bCs w:val="0"/>
          <w:color w:val="auto"/>
          <w:sz w:val="24"/>
          <w:szCs w:val="24"/>
        </w:rPr>
        <w:t>Safi</w:t>
      </w:r>
      <w:r w:rsidRPr="008A51D4">
        <w:rPr>
          <w:rFonts w:asciiTheme="majorBidi" w:hAnsiTheme="majorBidi" w:cstheme="majorBidi"/>
          <w:b w:val="0"/>
          <w:bCs w:val="0"/>
          <w:color w:val="auto"/>
          <w:sz w:val="24"/>
          <w:szCs w:val="24"/>
        </w:rPr>
        <w:t xml:space="preserve"> qui </w:t>
      </w:r>
      <w:r w:rsidR="0066312D" w:rsidRPr="008A51D4">
        <w:rPr>
          <w:rFonts w:asciiTheme="majorBidi" w:hAnsiTheme="majorBidi" w:cstheme="majorBidi"/>
          <w:b w:val="0"/>
          <w:bCs w:val="0"/>
          <w:color w:val="auto"/>
          <w:sz w:val="24"/>
          <w:szCs w:val="24"/>
        </w:rPr>
        <w:t xml:space="preserve">a dépassé la moyenne nationale de </w:t>
      </w:r>
      <w:r w:rsidR="006A6E55">
        <w:rPr>
          <w:rFonts w:asciiTheme="majorBidi" w:hAnsiTheme="majorBidi" w:cstheme="majorBidi"/>
          <w:b w:val="0"/>
          <w:bCs w:val="0"/>
          <w:color w:val="auto"/>
          <w:sz w:val="24"/>
          <w:szCs w:val="24"/>
        </w:rPr>
        <w:t>2</w:t>
      </w:r>
      <w:r w:rsidR="0066312D" w:rsidRPr="008A51D4">
        <w:rPr>
          <w:rFonts w:asciiTheme="majorBidi" w:hAnsiTheme="majorBidi" w:cstheme="majorBidi"/>
          <w:b w:val="0"/>
          <w:bCs w:val="0"/>
          <w:color w:val="auto"/>
          <w:sz w:val="24"/>
          <w:szCs w:val="24"/>
        </w:rPr>
        <w:t>,</w:t>
      </w:r>
      <w:r w:rsidR="00301364">
        <w:rPr>
          <w:rFonts w:asciiTheme="majorBidi" w:hAnsiTheme="majorBidi" w:cstheme="majorBidi"/>
          <w:b w:val="0"/>
          <w:bCs w:val="0"/>
          <w:color w:val="auto"/>
          <w:sz w:val="24"/>
          <w:szCs w:val="24"/>
        </w:rPr>
        <w:t>6</w:t>
      </w:r>
      <w:r w:rsidR="006A6E55">
        <w:rPr>
          <w:rFonts w:asciiTheme="majorBidi" w:hAnsiTheme="majorBidi" w:cstheme="majorBidi"/>
          <w:b w:val="0"/>
          <w:bCs w:val="0"/>
          <w:color w:val="auto"/>
          <w:sz w:val="24"/>
          <w:szCs w:val="24"/>
        </w:rPr>
        <w:t xml:space="preserve"> points</w:t>
      </w:r>
      <w:r w:rsidR="0066312D" w:rsidRPr="008A51D4">
        <w:rPr>
          <w:rFonts w:asciiTheme="majorBidi" w:hAnsiTheme="majorBidi" w:cstheme="majorBidi"/>
          <w:b w:val="0"/>
          <w:bCs w:val="0"/>
          <w:color w:val="auto"/>
          <w:sz w:val="24"/>
          <w:szCs w:val="24"/>
        </w:rPr>
        <w:t>.</w:t>
      </w: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0665DB" w:rsidRPr="00DF65E2" w:rsidRDefault="0036690E" w:rsidP="003122FC">
      <w:pPr>
        <w:pStyle w:val="Lgende"/>
        <w:rPr>
          <w:rFonts w:asciiTheme="majorBidi" w:hAnsiTheme="majorBidi" w:cstheme="majorBidi"/>
          <w:sz w:val="22"/>
          <w:szCs w:val="22"/>
        </w:rPr>
      </w:pPr>
      <w:bookmarkStart w:id="21" w:name="_Toc68436335"/>
      <w:r w:rsidRPr="00DF65E2">
        <w:rPr>
          <w:rFonts w:asciiTheme="majorBidi" w:hAnsiTheme="majorBidi" w:cstheme="majorBidi"/>
          <w:sz w:val="22"/>
          <w:szCs w:val="22"/>
        </w:rPr>
        <w:lastRenderedPageBreak/>
        <w:t xml:space="preserve">Graphique </w:t>
      </w:r>
      <w:r w:rsidR="00D87627"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D87627"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D87627"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w:t>
      </w:r>
      <w:r w:rsidR="003122FC">
        <w:rPr>
          <w:rFonts w:asciiTheme="majorBidi" w:hAnsiTheme="majorBidi" w:cstheme="majorBidi"/>
          <w:sz w:val="22"/>
          <w:szCs w:val="22"/>
        </w:rPr>
        <w:t>20</w:t>
      </w:r>
      <w:r w:rsidR="000665DB" w:rsidRPr="00DF65E2">
        <w:rPr>
          <w:rFonts w:asciiTheme="majorBidi" w:hAnsiTheme="majorBidi" w:cstheme="majorBidi"/>
          <w:sz w:val="22"/>
          <w:szCs w:val="22"/>
        </w:rPr>
        <w:t xml:space="preserve"> et 20</w:t>
      </w:r>
      <w:r w:rsidR="00DE657D">
        <w:rPr>
          <w:rFonts w:asciiTheme="majorBidi" w:hAnsiTheme="majorBidi" w:cstheme="majorBidi"/>
          <w:sz w:val="22"/>
          <w:szCs w:val="22"/>
        </w:rPr>
        <w:t>2</w:t>
      </w:r>
      <w:bookmarkEnd w:id="21"/>
      <w:r w:rsidR="003122FC">
        <w:rPr>
          <w:rFonts w:asciiTheme="majorBidi" w:hAnsiTheme="majorBidi" w:cstheme="majorBidi"/>
          <w:sz w:val="22"/>
          <w:szCs w:val="22"/>
        </w:rPr>
        <w:t>1</w:t>
      </w:r>
    </w:p>
    <w:p w:rsidR="00363237" w:rsidRDefault="003122FC" w:rsidP="00777D90">
      <w:pPr>
        <w:spacing w:before="240" w:after="240" w:line="240" w:lineRule="auto"/>
        <w:jc w:val="both"/>
        <w:rPr>
          <w:rFonts w:asciiTheme="majorBidi" w:hAnsiTheme="majorBidi" w:cstheme="majorBidi"/>
          <w:sz w:val="24"/>
          <w:szCs w:val="24"/>
        </w:rPr>
      </w:pPr>
      <w:r w:rsidRPr="003122FC">
        <w:rPr>
          <w:rFonts w:asciiTheme="majorBidi" w:hAnsiTheme="majorBidi" w:cstheme="majorBidi"/>
          <w:noProof/>
          <w:sz w:val="24"/>
          <w:szCs w:val="24"/>
          <w:lang w:eastAsia="fr-FR"/>
        </w:rPr>
        <w:drawing>
          <wp:inline distT="0" distB="0" distL="0" distR="0">
            <wp:extent cx="5850890" cy="3124200"/>
            <wp:effectExtent l="19050" t="0" r="1651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301364" w:rsidRDefault="006B2FBA" w:rsidP="00301364">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 xml:space="preserve">En termes d’inflation générale, </w:t>
      </w:r>
      <w:r w:rsidR="007156BC">
        <w:rPr>
          <w:rFonts w:asciiTheme="majorBidi" w:hAnsiTheme="majorBidi" w:cstheme="majorBidi"/>
          <w:sz w:val="24"/>
          <w:szCs w:val="24"/>
        </w:rPr>
        <w:t xml:space="preserve">la ville de </w:t>
      </w:r>
      <w:proofErr w:type="spellStart"/>
      <w:r w:rsidR="00301364">
        <w:rPr>
          <w:rFonts w:asciiTheme="majorBidi" w:hAnsiTheme="majorBidi" w:cstheme="majorBidi"/>
          <w:sz w:val="24"/>
          <w:szCs w:val="24"/>
        </w:rPr>
        <w:t>Beni</w:t>
      </w:r>
      <w:proofErr w:type="spellEnd"/>
      <w:r w:rsidR="00301364">
        <w:rPr>
          <w:rFonts w:asciiTheme="majorBidi" w:hAnsiTheme="majorBidi" w:cstheme="majorBidi"/>
          <w:sz w:val="24"/>
          <w:szCs w:val="24"/>
        </w:rPr>
        <w:t xml:space="preserve"> Mellal</w:t>
      </w:r>
      <w:r w:rsidR="0065655F">
        <w:rPr>
          <w:rFonts w:asciiTheme="majorBidi" w:hAnsiTheme="majorBidi" w:cstheme="majorBidi"/>
          <w:sz w:val="24"/>
          <w:szCs w:val="24"/>
        </w:rPr>
        <w:t xml:space="preserve"> </w:t>
      </w:r>
      <w:r w:rsidR="007156BC">
        <w:rPr>
          <w:rFonts w:asciiTheme="majorBidi" w:hAnsiTheme="majorBidi" w:cstheme="majorBidi"/>
          <w:sz w:val="24"/>
          <w:szCs w:val="24"/>
        </w:rPr>
        <w:t xml:space="preserve">a enregistré le taux d’inflation le plus élevé au Maroc avec </w:t>
      </w:r>
      <w:r w:rsidR="00DE4E35">
        <w:rPr>
          <w:rFonts w:asciiTheme="majorBidi" w:hAnsiTheme="majorBidi" w:cstheme="majorBidi"/>
          <w:sz w:val="24"/>
          <w:szCs w:val="24"/>
        </w:rPr>
        <w:t>1</w:t>
      </w:r>
      <w:r w:rsidR="00301364">
        <w:rPr>
          <w:rFonts w:asciiTheme="majorBidi" w:hAnsiTheme="majorBidi" w:cstheme="majorBidi"/>
          <w:sz w:val="24"/>
          <w:szCs w:val="24"/>
        </w:rPr>
        <w:t>,9</w:t>
      </w:r>
      <w:r w:rsidR="007156BC">
        <w:rPr>
          <w:rFonts w:asciiTheme="majorBidi" w:hAnsiTheme="majorBidi" w:cstheme="majorBidi"/>
          <w:sz w:val="24"/>
          <w:szCs w:val="24"/>
        </w:rPr>
        <w:t>%</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65655F">
        <w:rPr>
          <w:rFonts w:asciiTheme="majorBidi" w:hAnsiTheme="majorBidi" w:cstheme="majorBidi"/>
          <w:sz w:val="24"/>
          <w:szCs w:val="24"/>
        </w:rPr>
        <w:t>20</w:t>
      </w:r>
      <w:r w:rsidR="00301364">
        <w:rPr>
          <w:rFonts w:asciiTheme="majorBidi" w:hAnsiTheme="majorBidi" w:cstheme="majorBidi"/>
          <w:sz w:val="24"/>
          <w:szCs w:val="24"/>
        </w:rPr>
        <w:t>20</w:t>
      </w:r>
      <w:r w:rsidR="00F52873">
        <w:rPr>
          <w:rFonts w:asciiTheme="majorBidi" w:hAnsiTheme="majorBidi" w:cstheme="majorBidi"/>
          <w:sz w:val="24"/>
          <w:szCs w:val="24"/>
        </w:rPr>
        <w:t xml:space="preserve"> et 20</w:t>
      </w:r>
      <w:r w:rsidR="00301364">
        <w:rPr>
          <w:rFonts w:asciiTheme="majorBidi" w:hAnsiTheme="majorBidi" w:cstheme="majorBidi"/>
          <w:sz w:val="24"/>
          <w:szCs w:val="24"/>
        </w:rPr>
        <w:t>21</w:t>
      </w:r>
      <w:r w:rsidR="00F52873">
        <w:rPr>
          <w:rFonts w:asciiTheme="majorBidi" w:hAnsiTheme="majorBidi" w:cstheme="majorBidi"/>
          <w:sz w:val="24"/>
          <w:szCs w:val="24"/>
        </w:rPr>
        <w:t xml:space="preserve">. </w:t>
      </w:r>
      <w:r w:rsidR="00301364">
        <w:rPr>
          <w:rFonts w:asciiTheme="majorBidi" w:hAnsiTheme="majorBidi" w:cstheme="majorBidi"/>
          <w:sz w:val="24"/>
          <w:szCs w:val="24"/>
        </w:rPr>
        <w:t xml:space="preserve">A l’opposé, la ville de Laayoune s’est attribuée le taux le plus faible avec 0,4%. </w:t>
      </w:r>
    </w:p>
    <w:p w:rsidR="006B2FBA" w:rsidRDefault="006B2FBA" w:rsidP="00F057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301364">
        <w:rPr>
          <w:rFonts w:asciiTheme="majorBidi" w:hAnsiTheme="majorBidi" w:cstheme="majorBidi"/>
          <w:sz w:val="24"/>
          <w:szCs w:val="24"/>
        </w:rPr>
        <w:t>six</w:t>
      </w:r>
      <w:r>
        <w:rPr>
          <w:rFonts w:asciiTheme="majorBidi" w:hAnsiTheme="majorBidi" w:cstheme="majorBidi"/>
          <w:sz w:val="24"/>
          <w:szCs w:val="24"/>
        </w:rPr>
        <w:t xml:space="preserve"> villes</w:t>
      </w:r>
      <w:r w:rsidR="00F05705">
        <w:rPr>
          <w:rFonts w:asciiTheme="majorBidi" w:hAnsiTheme="majorBidi" w:cstheme="majorBidi"/>
          <w:sz w:val="24"/>
          <w:szCs w:val="24"/>
        </w:rPr>
        <w:t xml:space="preserve">, à savoir </w:t>
      </w:r>
      <w:proofErr w:type="spellStart"/>
      <w:r w:rsidR="00F05705">
        <w:rPr>
          <w:rFonts w:asciiTheme="majorBidi" w:hAnsiTheme="majorBidi" w:cstheme="majorBidi"/>
          <w:sz w:val="24"/>
          <w:szCs w:val="24"/>
        </w:rPr>
        <w:t>Errachidia</w:t>
      </w:r>
      <w:proofErr w:type="spellEnd"/>
      <w:r w:rsidR="00F05705">
        <w:rPr>
          <w:rFonts w:asciiTheme="majorBidi" w:hAnsiTheme="majorBidi" w:cstheme="majorBidi"/>
          <w:sz w:val="24"/>
          <w:szCs w:val="24"/>
        </w:rPr>
        <w:t xml:space="preserve">, Marrakech, Safi, Settat, Casablanca et </w:t>
      </w:r>
      <w:proofErr w:type="spellStart"/>
      <w:r w:rsidR="00F05705">
        <w:rPr>
          <w:rFonts w:asciiTheme="majorBidi" w:hAnsiTheme="majorBidi" w:cstheme="majorBidi"/>
          <w:sz w:val="24"/>
          <w:szCs w:val="24"/>
        </w:rPr>
        <w:t>Beni</w:t>
      </w:r>
      <w:proofErr w:type="spellEnd"/>
      <w:r w:rsidR="00F05705">
        <w:rPr>
          <w:rFonts w:asciiTheme="majorBidi" w:hAnsiTheme="majorBidi" w:cstheme="majorBidi"/>
          <w:sz w:val="24"/>
          <w:szCs w:val="24"/>
        </w:rPr>
        <w:t xml:space="preserve"> Mellal,</w:t>
      </w:r>
      <w:r>
        <w:rPr>
          <w:rFonts w:asciiTheme="majorBidi" w:hAnsiTheme="majorBidi" w:cstheme="majorBidi"/>
          <w:sz w:val="24"/>
          <w:szCs w:val="24"/>
        </w:rPr>
        <w:t xml:space="preserve"> tandis qu</w:t>
      </w:r>
      <w:r w:rsidR="00F05705">
        <w:rPr>
          <w:rFonts w:asciiTheme="majorBidi" w:hAnsiTheme="majorBidi" w:cstheme="majorBidi"/>
          <w:sz w:val="24"/>
          <w:szCs w:val="24"/>
        </w:rPr>
        <w:t>e dans le reste des villes, e</w:t>
      </w:r>
      <w:r w:rsidR="00AF6D2F">
        <w:rPr>
          <w:rFonts w:asciiTheme="majorBidi" w:hAnsiTheme="majorBidi" w:cstheme="majorBidi"/>
          <w:sz w:val="24"/>
          <w:szCs w:val="24"/>
        </w:rPr>
        <w:t xml:space="preserv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w:t>
      </w:r>
      <w:r w:rsidR="004A49D7">
        <w:rPr>
          <w:rFonts w:asciiTheme="majorBidi" w:hAnsiTheme="majorBidi" w:cstheme="majorBidi"/>
          <w:sz w:val="24"/>
          <w:szCs w:val="24"/>
        </w:rPr>
        <w:t>0</w:t>
      </w:r>
      <w:r w:rsidR="00F05705">
        <w:rPr>
          <w:rFonts w:asciiTheme="majorBidi" w:hAnsiTheme="majorBidi" w:cstheme="majorBidi"/>
          <w:sz w:val="24"/>
          <w:szCs w:val="24"/>
        </w:rPr>
        <w:t>,4%</w:t>
      </w:r>
      <w:r w:rsidR="004A49D7">
        <w:rPr>
          <w:rFonts w:asciiTheme="majorBidi" w:hAnsiTheme="majorBidi" w:cstheme="majorBidi"/>
          <w:sz w:val="24"/>
          <w:szCs w:val="24"/>
        </w:rPr>
        <w:t xml:space="preserve"> </w:t>
      </w:r>
      <w:r>
        <w:rPr>
          <w:rFonts w:asciiTheme="majorBidi" w:hAnsiTheme="majorBidi" w:cstheme="majorBidi"/>
          <w:sz w:val="24"/>
          <w:szCs w:val="24"/>
        </w:rPr>
        <w:t xml:space="preserve">et </w:t>
      </w:r>
      <w:r w:rsidR="00F05705">
        <w:rPr>
          <w:rFonts w:asciiTheme="majorBidi" w:hAnsiTheme="majorBidi" w:cstheme="majorBidi"/>
          <w:sz w:val="24"/>
          <w:szCs w:val="24"/>
        </w:rPr>
        <w:t>1</w:t>
      </w:r>
      <w:r>
        <w:rPr>
          <w:rFonts w:asciiTheme="majorBidi" w:hAnsiTheme="majorBidi" w:cstheme="majorBidi"/>
          <w:sz w:val="24"/>
          <w:szCs w:val="24"/>
        </w:rPr>
        <w:t>,</w:t>
      </w:r>
      <w:r w:rsidR="00F05705">
        <w:rPr>
          <w:rFonts w:asciiTheme="majorBidi" w:hAnsiTheme="majorBidi" w:cstheme="majorBidi"/>
          <w:sz w:val="24"/>
          <w:szCs w:val="24"/>
        </w:rPr>
        <w:t>4</w:t>
      </w:r>
      <w:r>
        <w:rPr>
          <w:rFonts w:asciiTheme="majorBidi" w:hAnsiTheme="majorBidi" w:cstheme="majorBidi"/>
          <w:sz w:val="24"/>
          <w:szCs w:val="24"/>
        </w:rPr>
        <w:t>%.</w:t>
      </w:r>
    </w:p>
    <w:p w:rsidR="000536BF" w:rsidRPr="000536BF" w:rsidRDefault="00002361" w:rsidP="003122FC">
      <w:pPr>
        <w:pStyle w:val="Lgende"/>
        <w:rPr>
          <w:lang w:eastAsia="fr-FR"/>
        </w:rPr>
      </w:pPr>
      <w:bookmarkStart w:id="22" w:name="_Toc68436336"/>
      <w:r w:rsidRPr="009755AE">
        <w:rPr>
          <w:rFonts w:asciiTheme="majorBidi" w:hAnsiTheme="majorBidi" w:cstheme="majorBidi"/>
          <w:sz w:val="22"/>
          <w:szCs w:val="22"/>
        </w:rPr>
        <w:t xml:space="preserve">Graphique </w:t>
      </w:r>
      <w:r w:rsidR="00D87627" w:rsidRPr="009755AE">
        <w:rPr>
          <w:rFonts w:asciiTheme="majorBidi" w:hAnsiTheme="majorBidi" w:cstheme="majorBidi"/>
          <w:sz w:val="22"/>
          <w:szCs w:val="22"/>
        </w:rPr>
        <w:fldChar w:fldCharType="begin"/>
      </w:r>
      <w:r w:rsidR="00414E1F" w:rsidRPr="009755AE">
        <w:rPr>
          <w:rFonts w:asciiTheme="majorBidi" w:hAnsiTheme="majorBidi" w:cstheme="majorBidi"/>
          <w:sz w:val="22"/>
          <w:szCs w:val="22"/>
        </w:rPr>
        <w:instrText xml:space="preserve"> SEQ Graphique \* ARABIC </w:instrText>
      </w:r>
      <w:r w:rsidR="00D87627" w:rsidRPr="009755AE">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D87627" w:rsidRPr="009755AE">
        <w:rPr>
          <w:rFonts w:asciiTheme="majorBidi" w:hAnsiTheme="majorBidi" w:cstheme="majorBidi"/>
          <w:sz w:val="22"/>
          <w:szCs w:val="22"/>
        </w:rPr>
        <w:fldChar w:fldCharType="end"/>
      </w:r>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w:t>
      </w:r>
      <w:r w:rsidR="00DE657D">
        <w:rPr>
          <w:rFonts w:ascii="Times New Roman" w:hAnsi="Times New Roman" w:cstheme="majorBidi"/>
          <w:bCs w:val="0"/>
          <w:color w:val="548DD4" w:themeColor="text2" w:themeTint="99"/>
          <w:sz w:val="22"/>
          <w:szCs w:val="24"/>
        </w:rPr>
        <w:t>2</w:t>
      </w:r>
      <w:r w:rsidR="003122FC">
        <w:rPr>
          <w:rFonts w:ascii="Times New Roman" w:hAnsi="Times New Roman" w:cstheme="majorBidi"/>
          <w:bCs w:val="0"/>
          <w:color w:val="548DD4" w:themeColor="text2" w:themeTint="99"/>
          <w:sz w:val="22"/>
          <w:szCs w:val="24"/>
        </w:rPr>
        <w:t>1</w:t>
      </w:r>
      <w:r w:rsidRPr="00DF65E2">
        <w:rPr>
          <w:rFonts w:ascii="Times New Roman" w:hAnsi="Times New Roman" w:cstheme="majorBidi"/>
          <w:bCs w:val="0"/>
          <w:color w:val="548DD4" w:themeColor="text2" w:themeTint="99"/>
          <w:sz w:val="22"/>
          <w:szCs w:val="24"/>
        </w:rPr>
        <w:t>-</w:t>
      </w:r>
      <w:bookmarkEnd w:id="22"/>
      <w:r w:rsidR="003122FC" w:rsidRPr="003122FC">
        <w:rPr>
          <w:rFonts w:ascii="Times New Roman" w:hAnsi="Times New Roman" w:cstheme="majorBidi"/>
          <w:bCs w:val="0"/>
          <w:noProof/>
          <w:color w:val="548DD4" w:themeColor="text2" w:themeTint="99"/>
          <w:sz w:val="22"/>
          <w:szCs w:val="24"/>
          <w:lang w:eastAsia="fr-FR"/>
        </w:rPr>
        <w:drawing>
          <wp:inline distT="0" distB="0" distL="0" distR="0">
            <wp:extent cx="5850890" cy="2705100"/>
            <wp:effectExtent l="19050" t="0" r="1651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754C35" w:rsidRPr="000665DB" w:rsidRDefault="00754C35" w:rsidP="00A03298">
      <w:pPr>
        <w:pStyle w:val="Titre2"/>
        <w:rPr>
          <w:rFonts w:asciiTheme="majorBidi" w:hAnsiTheme="majorBidi"/>
          <w:color w:val="0070C0"/>
        </w:rPr>
      </w:pPr>
      <w:bookmarkStart w:id="23" w:name="_Toc68443130"/>
      <w:r w:rsidRPr="000665DB">
        <w:rPr>
          <w:rFonts w:asciiTheme="majorBidi" w:hAnsiTheme="majorBidi"/>
          <w:color w:val="0070C0"/>
        </w:rPr>
        <w:lastRenderedPageBreak/>
        <w:t>II</w:t>
      </w:r>
      <w:r w:rsidR="00586B08" w:rsidRPr="000665DB">
        <w:rPr>
          <w:rFonts w:asciiTheme="majorBidi" w:hAnsiTheme="majorBidi"/>
          <w:color w:val="0070C0"/>
        </w:rPr>
        <w:t>I</w:t>
      </w:r>
      <w:r w:rsidRPr="000665DB">
        <w:rPr>
          <w:rFonts w:asciiTheme="majorBidi" w:hAnsiTheme="majorBidi"/>
          <w:color w:val="0070C0"/>
        </w:rPr>
        <w:t>-2 Evolution mensuelle de l’IPC (base100:</w:t>
      </w:r>
      <w:r w:rsidR="00060240">
        <w:rPr>
          <w:rFonts w:asciiTheme="majorBidi" w:hAnsiTheme="majorBidi"/>
          <w:color w:val="0070C0"/>
        </w:rPr>
        <w:t xml:space="preserve"> </w:t>
      </w:r>
      <w:r w:rsidRPr="000665DB">
        <w:rPr>
          <w:rFonts w:asciiTheme="majorBidi" w:hAnsiTheme="majorBidi"/>
          <w:color w:val="0070C0"/>
        </w:rPr>
        <w:t>20</w:t>
      </w:r>
      <w:r w:rsidR="00B03C01">
        <w:rPr>
          <w:rFonts w:asciiTheme="majorBidi" w:hAnsiTheme="majorBidi"/>
          <w:color w:val="0070C0"/>
        </w:rPr>
        <w:t>17</w:t>
      </w:r>
      <w:r w:rsidRPr="000665DB">
        <w:rPr>
          <w:rFonts w:asciiTheme="majorBidi" w:hAnsiTheme="majorBidi"/>
          <w:color w:val="0070C0"/>
        </w:rPr>
        <w:t>) en 20</w:t>
      </w:r>
      <w:r w:rsidR="00B03C01">
        <w:rPr>
          <w:rFonts w:asciiTheme="majorBidi" w:hAnsiTheme="majorBidi"/>
          <w:color w:val="0070C0"/>
        </w:rPr>
        <w:t>2</w:t>
      </w:r>
      <w:bookmarkEnd w:id="23"/>
      <w:r w:rsidR="00A03298">
        <w:rPr>
          <w:rFonts w:asciiTheme="majorBidi" w:hAnsiTheme="majorBidi"/>
          <w:color w:val="0070C0"/>
        </w:rPr>
        <w:t>1</w:t>
      </w:r>
    </w:p>
    <w:p w:rsidR="00754C35" w:rsidRPr="000665DB" w:rsidRDefault="00754C35" w:rsidP="00A03298">
      <w:pPr>
        <w:pStyle w:val="Titre3"/>
        <w:rPr>
          <w:rFonts w:asciiTheme="majorBidi" w:hAnsiTheme="majorBidi"/>
          <w:color w:val="0070C0"/>
          <w:sz w:val="24"/>
          <w:szCs w:val="24"/>
        </w:rPr>
      </w:pPr>
      <w:bookmarkStart w:id="24" w:name="_Toc68443131"/>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w:t>
      </w:r>
      <w:r w:rsidR="00B03C01">
        <w:rPr>
          <w:rFonts w:asciiTheme="majorBidi" w:hAnsiTheme="majorBidi"/>
          <w:color w:val="0070C0"/>
          <w:sz w:val="24"/>
          <w:szCs w:val="24"/>
        </w:rPr>
        <w:t>2</w:t>
      </w:r>
      <w:bookmarkEnd w:id="24"/>
      <w:r w:rsidR="00A03298">
        <w:rPr>
          <w:rFonts w:asciiTheme="majorBidi" w:hAnsiTheme="majorBidi"/>
          <w:color w:val="0070C0"/>
          <w:sz w:val="24"/>
          <w:szCs w:val="24"/>
        </w:rPr>
        <w:t>1</w:t>
      </w:r>
    </w:p>
    <w:p w:rsidR="00E15ABD" w:rsidRDefault="00754C35" w:rsidP="00060A0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w:t>
      </w:r>
      <w:r w:rsidR="00060240">
        <w:rPr>
          <w:rFonts w:asciiTheme="majorBidi" w:hAnsiTheme="majorBidi" w:cstheme="majorBidi"/>
          <w:sz w:val="24"/>
          <w:szCs w:val="24"/>
        </w:rPr>
        <w:t>2</w:t>
      </w:r>
      <w:r w:rsidR="004E16BA">
        <w:rPr>
          <w:rFonts w:asciiTheme="majorBidi" w:hAnsiTheme="majorBidi" w:cstheme="majorBidi"/>
          <w:sz w:val="24"/>
          <w:szCs w:val="24"/>
        </w:rPr>
        <w:t>1</w:t>
      </w:r>
      <w:r>
        <w:rPr>
          <w:rFonts w:asciiTheme="majorBidi" w:hAnsiTheme="majorBidi" w:cstheme="majorBidi"/>
          <w:sz w:val="24"/>
          <w:szCs w:val="24"/>
        </w:rPr>
        <w:t>, l’IPC général du Maroc a atteint</w:t>
      </w:r>
      <w:r w:rsidR="004E16BA">
        <w:rPr>
          <w:rFonts w:asciiTheme="majorBidi" w:hAnsiTheme="majorBidi" w:cstheme="majorBidi"/>
          <w:sz w:val="24"/>
          <w:szCs w:val="24"/>
        </w:rPr>
        <w:t>, par mois</w:t>
      </w:r>
      <w:r w:rsidR="00060A0A">
        <w:rPr>
          <w:rFonts w:asciiTheme="majorBidi" w:hAnsiTheme="majorBidi" w:cstheme="majorBidi"/>
          <w:sz w:val="24"/>
          <w:szCs w:val="24"/>
        </w:rPr>
        <w:t>,</w:t>
      </w:r>
      <w:r>
        <w:rPr>
          <w:rFonts w:asciiTheme="majorBidi" w:hAnsiTheme="majorBidi" w:cstheme="majorBidi"/>
          <w:sz w:val="24"/>
          <w:szCs w:val="24"/>
        </w:rPr>
        <w:t xml:space="preserve"> des niveaux supérieurs à ceux enre</w:t>
      </w:r>
      <w:r w:rsidR="00964184">
        <w:rPr>
          <w:rFonts w:asciiTheme="majorBidi" w:hAnsiTheme="majorBidi" w:cstheme="majorBidi"/>
          <w:sz w:val="24"/>
          <w:szCs w:val="24"/>
        </w:rPr>
        <w:t xml:space="preserve">gistrés </w:t>
      </w:r>
      <w:r w:rsidR="00F079F4">
        <w:rPr>
          <w:rFonts w:asciiTheme="majorBidi" w:hAnsiTheme="majorBidi" w:cstheme="majorBidi"/>
          <w:sz w:val="24"/>
          <w:szCs w:val="24"/>
        </w:rPr>
        <w:t>dans</w:t>
      </w:r>
      <w:r w:rsidR="00964184">
        <w:rPr>
          <w:rFonts w:asciiTheme="majorBidi" w:hAnsiTheme="majorBidi" w:cstheme="majorBidi"/>
          <w:sz w:val="24"/>
          <w:szCs w:val="24"/>
        </w:rPr>
        <w:t xml:space="preserve"> la ville de Kenitra, soit, en moyenne</w:t>
      </w:r>
      <w:r w:rsidR="00E15ABD">
        <w:rPr>
          <w:rFonts w:asciiTheme="majorBidi" w:hAnsiTheme="majorBidi" w:cstheme="majorBidi"/>
          <w:sz w:val="24"/>
          <w:szCs w:val="24"/>
        </w:rPr>
        <w:t xml:space="preserve"> 1</w:t>
      </w:r>
      <w:r w:rsidR="00060240">
        <w:rPr>
          <w:rFonts w:asciiTheme="majorBidi" w:hAnsiTheme="majorBidi" w:cstheme="majorBidi"/>
          <w:sz w:val="24"/>
          <w:szCs w:val="24"/>
        </w:rPr>
        <w:t>0</w:t>
      </w:r>
      <w:r w:rsidR="004E16BA">
        <w:rPr>
          <w:rFonts w:asciiTheme="majorBidi" w:hAnsiTheme="majorBidi" w:cstheme="majorBidi"/>
          <w:sz w:val="24"/>
          <w:szCs w:val="24"/>
        </w:rPr>
        <w:t>3</w:t>
      </w:r>
      <w:r w:rsidR="00E15ABD">
        <w:rPr>
          <w:rFonts w:asciiTheme="majorBidi" w:hAnsiTheme="majorBidi" w:cstheme="majorBidi"/>
          <w:sz w:val="24"/>
          <w:szCs w:val="24"/>
        </w:rPr>
        <w:t>,</w:t>
      </w:r>
      <w:r w:rsidR="004E16BA">
        <w:rPr>
          <w:rFonts w:asciiTheme="majorBidi" w:hAnsiTheme="majorBidi" w:cstheme="majorBidi"/>
          <w:sz w:val="24"/>
          <w:szCs w:val="24"/>
        </w:rPr>
        <w:t>9</w:t>
      </w:r>
      <w:r w:rsidR="00E15ABD">
        <w:rPr>
          <w:rFonts w:asciiTheme="majorBidi" w:hAnsiTheme="majorBidi" w:cstheme="majorBidi"/>
          <w:sz w:val="24"/>
          <w:szCs w:val="24"/>
        </w:rPr>
        <w:t xml:space="preserve"> contre 1</w:t>
      </w:r>
      <w:r w:rsidR="00060240">
        <w:rPr>
          <w:rFonts w:asciiTheme="majorBidi" w:hAnsiTheme="majorBidi" w:cstheme="majorBidi"/>
          <w:sz w:val="24"/>
          <w:szCs w:val="24"/>
        </w:rPr>
        <w:t>0</w:t>
      </w:r>
      <w:r w:rsidR="004E16BA">
        <w:rPr>
          <w:rFonts w:asciiTheme="majorBidi" w:hAnsiTheme="majorBidi" w:cstheme="majorBidi"/>
          <w:sz w:val="24"/>
          <w:szCs w:val="24"/>
        </w:rPr>
        <w:t>2</w:t>
      </w:r>
      <w:r w:rsidR="00E15ABD">
        <w:rPr>
          <w:rFonts w:asciiTheme="majorBidi" w:hAnsiTheme="majorBidi" w:cstheme="majorBidi"/>
          <w:sz w:val="24"/>
          <w:szCs w:val="24"/>
        </w:rPr>
        <w:t>,</w:t>
      </w:r>
      <w:r w:rsidR="004E16BA">
        <w:rPr>
          <w:rFonts w:asciiTheme="majorBidi" w:hAnsiTheme="majorBidi" w:cstheme="majorBidi"/>
          <w:sz w:val="24"/>
          <w:szCs w:val="24"/>
        </w:rPr>
        <w:t>9</w:t>
      </w:r>
      <w:r w:rsidR="00E15ABD">
        <w:rPr>
          <w:rFonts w:asciiTheme="majorBidi" w:hAnsiTheme="majorBidi" w:cstheme="majorBidi"/>
          <w:sz w:val="24"/>
          <w:szCs w:val="24"/>
        </w:rPr>
        <w:t xml:space="preserve"> respectivement. Cependant, les deux indices </w:t>
      </w:r>
      <w:r w:rsidR="00F079F4">
        <w:rPr>
          <w:rFonts w:asciiTheme="majorBidi" w:hAnsiTheme="majorBidi" w:cstheme="majorBidi"/>
          <w:sz w:val="24"/>
          <w:szCs w:val="24"/>
        </w:rPr>
        <w:t xml:space="preserve">ont </w:t>
      </w:r>
      <w:r w:rsidR="00E15ABD">
        <w:rPr>
          <w:rFonts w:asciiTheme="majorBidi" w:hAnsiTheme="majorBidi" w:cstheme="majorBidi"/>
          <w:sz w:val="24"/>
          <w:szCs w:val="24"/>
        </w:rPr>
        <w:t>affich</w:t>
      </w:r>
      <w:r w:rsidR="00F079F4">
        <w:rPr>
          <w:rFonts w:asciiTheme="majorBidi" w:hAnsiTheme="majorBidi" w:cstheme="majorBidi"/>
          <w:sz w:val="24"/>
          <w:szCs w:val="24"/>
        </w:rPr>
        <w:t>é</w:t>
      </w:r>
      <w:r w:rsidR="00E15ABD">
        <w:rPr>
          <w:rFonts w:asciiTheme="majorBidi" w:hAnsiTheme="majorBidi" w:cstheme="majorBidi"/>
          <w:sz w:val="24"/>
          <w:szCs w:val="24"/>
        </w:rPr>
        <w:t xml:space="preserve"> la même tendance, au cours de l’année</w:t>
      </w:r>
      <w:r w:rsidR="00F079F4">
        <w:rPr>
          <w:rFonts w:asciiTheme="majorBidi" w:hAnsiTheme="majorBidi" w:cstheme="majorBidi"/>
          <w:sz w:val="24"/>
          <w:szCs w:val="24"/>
        </w:rPr>
        <w:t xml:space="preserve"> 20</w:t>
      </w:r>
      <w:r w:rsidR="00060240">
        <w:rPr>
          <w:rFonts w:asciiTheme="majorBidi" w:hAnsiTheme="majorBidi" w:cstheme="majorBidi"/>
          <w:sz w:val="24"/>
          <w:szCs w:val="24"/>
        </w:rPr>
        <w:t>2</w:t>
      </w:r>
      <w:r w:rsidR="004E16BA">
        <w:rPr>
          <w:rFonts w:asciiTheme="majorBidi" w:hAnsiTheme="majorBidi" w:cstheme="majorBidi"/>
          <w:sz w:val="24"/>
          <w:szCs w:val="24"/>
        </w:rPr>
        <w:t>1</w:t>
      </w:r>
      <w:r w:rsidR="00060240">
        <w:rPr>
          <w:rFonts w:asciiTheme="majorBidi" w:hAnsiTheme="majorBidi" w:cstheme="majorBidi"/>
          <w:sz w:val="24"/>
          <w:szCs w:val="24"/>
        </w:rPr>
        <w:t>.</w:t>
      </w:r>
      <w:r w:rsidR="00E15ABD">
        <w:rPr>
          <w:rFonts w:asciiTheme="majorBidi" w:hAnsiTheme="majorBidi" w:cstheme="majorBidi"/>
          <w:sz w:val="24"/>
          <w:szCs w:val="24"/>
        </w:rPr>
        <w:t xml:space="preserve"> </w:t>
      </w:r>
      <w:r w:rsidR="00060240">
        <w:rPr>
          <w:rFonts w:asciiTheme="majorBidi" w:hAnsiTheme="majorBidi" w:cstheme="majorBidi"/>
          <w:sz w:val="24"/>
          <w:szCs w:val="24"/>
        </w:rPr>
        <w:t xml:space="preserve">En effet, le niveau général des prix, aussi bien dans l’ensemble du pays que dans la ville de </w:t>
      </w:r>
      <w:proofErr w:type="spellStart"/>
      <w:r w:rsidR="00060240">
        <w:rPr>
          <w:rFonts w:asciiTheme="majorBidi" w:hAnsiTheme="majorBidi" w:cstheme="majorBidi"/>
          <w:sz w:val="24"/>
          <w:szCs w:val="24"/>
        </w:rPr>
        <w:t>Kénitra</w:t>
      </w:r>
      <w:proofErr w:type="spellEnd"/>
      <w:r w:rsidR="00060240">
        <w:rPr>
          <w:rFonts w:asciiTheme="majorBidi" w:hAnsiTheme="majorBidi" w:cstheme="majorBidi"/>
          <w:sz w:val="24"/>
          <w:szCs w:val="24"/>
        </w:rPr>
        <w:t xml:space="preserve"> a connu </w:t>
      </w:r>
      <w:r w:rsidR="004E16BA">
        <w:rPr>
          <w:rFonts w:asciiTheme="majorBidi" w:hAnsiTheme="majorBidi" w:cstheme="majorBidi"/>
          <w:sz w:val="24"/>
          <w:szCs w:val="24"/>
        </w:rPr>
        <w:t>une tendance haussière au cours de l’année</w:t>
      </w:r>
      <w:r w:rsidR="00060240">
        <w:rPr>
          <w:rFonts w:asciiTheme="majorBidi" w:hAnsiTheme="majorBidi" w:cstheme="majorBidi"/>
          <w:sz w:val="24"/>
          <w:szCs w:val="24"/>
        </w:rPr>
        <w:t>. Notant que le niveau le plus élevé de toute l’année 202</w:t>
      </w:r>
      <w:r w:rsidR="004E16BA">
        <w:rPr>
          <w:rFonts w:asciiTheme="majorBidi" w:hAnsiTheme="majorBidi" w:cstheme="majorBidi"/>
          <w:sz w:val="24"/>
          <w:szCs w:val="24"/>
        </w:rPr>
        <w:t>1 a été enregistré au mois de Déc</w:t>
      </w:r>
      <w:r w:rsidR="00060240">
        <w:rPr>
          <w:rFonts w:asciiTheme="majorBidi" w:hAnsiTheme="majorBidi" w:cstheme="majorBidi"/>
          <w:sz w:val="24"/>
          <w:szCs w:val="24"/>
        </w:rPr>
        <w:t>embre</w:t>
      </w:r>
      <w:r w:rsidR="00060A0A">
        <w:rPr>
          <w:rFonts w:asciiTheme="majorBidi" w:hAnsiTheme="majorBidi" w:cstheme="majorBidi"/>
          <w:sz w:val="24"/>
          <w:szCs w:val="24"/>
        </w:rPr>
        <w:t xml:space="preserve"> pour</w:t>
      </w:r>
      <w:r w:rsidR="00060240">
        <w:rPr>
          <w:rFonts w:asciiTheme="majorBidi" w:hAnsiTheme="majorBidi" w:cstheme="majorBidi"/>
          <w:sz w:val="24"/>
          <w:szCs w:val="24"/>
        </w:rPr>
        <w:t xml:space="preserve"> </w:t>
      </w:r>
      <w:r w:rsidR="00060A0A">
        <w:rPr>
          <w:rFonts w:asciiTheme="majorBidi" w:hAnsiTheme="majorBidi" w:cstheme="majorBidi"/>
          <w:sz w:val="24"/>
          <w:szCs w:val="24"/>
        </w:rPr>
        <w:t xml:space="preserve">l’ensemble national </w:t>
      </w:r>
      <w:r w:rsidR="00FD620E">
        <w:rPr>
          <w:rFonts w:asciiTheme="majorBidi" w:hAnsiTheme="majorBidi" w:cstheme="majorBidi"/>
          <w:sz w:val="24"/>
          <w:szCs w:val="24"/>
        </w:rPr>
        <w:t>avec 10</w:t>
      </w:r>
      <w:r w:rsidR="00060A0A">
        <w:rPr>
          <w:rFonts w:asciiTheme="majorBidi" w:hAnsiTheme="majorBidi" w:cstheme="majorBidi"/>
          <w:sz w:val="24"/>
          <w:szCs w:val="24"/>
        </w:rPr>
        <w:t>5</w:t>
      </w:r>
      <w:r w:rsidR="00FD620E">
        <w:rPr>
          <w:rFonts w:asciiTheme="majorBidi" w:hAnsiTheme="majorBidi" w:cstheme="majorBidi"/>
          <w:sz w:val="24"/>
          <w:szCs w:val="24"/>
        </w:rPr>
        <w:t>,</w:t>
      </w:r>
      <w:r w:rsidR="00060A0A">
        <w:rPr>
          <w:rFonts w:asciiTheme="majorBidi" w:hAnsiTheme="majorBidi" w:cstheme="majorBidi"/>
          <w:sz w:val="24"/>
          <w:szCs w:val="24"/>
        </w:rPr>
        <w:t>5</w:t>
      </w:r>
      <w:r w:rsidR="00FD620E">
        <w:rPr>
          <w:rFonts w:asciiTheme="majorBidi" w:hAnsiTheme="majorBidi" w:cstheme="majorBidi"/>
          <w:sz w:val="24"/>
          <w:szCs w:val="24"/>
        </w:rPr>
        <w:t xml:space="preserve"> et au mois d’octobre </w:t>
      </w:r>
      <w:r w:rsidR="00060A0A">
        <w:rPr>
          <w:rFonts w:asciiTheme="majorBidi" w:hAnsiTheme="majorBidi" w:cstheme="majorBidi"/>
          <w:sz w:val="24"/>
          <w:szCs w:val="24"/>
        </w:rPr>
        <w:t xml:space="preserve">pour la ville de </w:t>
      </w:r>
      <w:proofErr w:type="spellStart"/>
      <w:r w:rsidR="00060A0A">
        <w:rPr>
          <w:rFonts w:asciiTheme="majorBidi" w:hAnsiTheme="majorBidi" w:cstheme="majorBidi"/>
          <w:sz w:val="24"/>
          <w:szCs w:val="24"/>
        </w:rPr>
        <w:t>Kénitra</w:t>
      </w:r>
      <w:proofErr w:type="spellEnd"/>
      <w:r w:rsidR="00FD620E">
        <w:rPr>
          <w:rFonts w:asciiTheme="majorBidi" w:hAnsiTheme="majorBidi" w:cstheme="majorBidi"/>
          <w:sz w:val="24"/>
          <w:szCs w:val="24"/>
        </w:rPr>
        <w:t xml:space="preserve"> avec 10</w:t>
      </w:r>
      <w:r w:rsidR="00060A0A">
        <w:rPr>
          <w:rFonts w:asciiTheme="majorBidi" w:hAnsiTheme="majorBidi" w:cstheme="majorBidi"/>
          <w:sz w:val="24"/>
          <w:szCs w:val="24"/>
        </w:rPr>
        <w:t>4</w:t>
      </w:r>
      <w:r w:rsidR="00FD620E">
        <w:rPr>
          <w:rFonts w:asciiTheme="majorBidi" w:hAnsiTheme="majorBidi" w:cstheme="majorBidi"/>
          <w:sz w:val="24"/>
          <w:szCs w:val="24"/>
        </w:rPr>
        <w:t>,</w:t>
      </w:r>
      <w:r w:rsidR="00060A0A">
        <w:rPr>
          <w:rFonts w:asciiTheme="majorBidi" w:hAnsiTheme="majorBidi" w:cstheme="majorBidi"/>
          <w:sz w:val="24"/>
          <w:szCs w:val="24"/>
        </w:rPr>
        <w:t>8</w:t>
      </w:r>
      <w:r w:rsidR="00FD620E">
        <w:rPr>
          <w:rFonts w:asciiTheme="majorBidi" w:hAnsiTheme="majorBidi" w:cstheme="majorBidi"/>
          <w:sz w:val="24"/>
          <w:szCs w:val="24"/>
        </w:rPr>
        <w:t>.</w:t>
      </w:r>
    </w:p>
    <w:p w:rsidR="00DF65E2" w:rsidRPr="00DF65E2" w:rsidRDefault="00DF65E2" w:rsidP="00A03298">
      <w:pPr>
        <w:pStyle w:val="Lgende"/>
        <w:rPr>
          <w:rFonts w:asciiTheme="majorBidi" w:hAnsiTheme="majorBidi" w:cstheme="majorBidi"/>
          <w:sz w:val="22"/>
          <w:szCs w:val="22"/>
        </w:rPr>
      </w:pPr>
      <w:bookmarkStart w:id="25" w:name="_Toc68436330"/>
      <w:r w:rsidRPr="00DF65E2">
        <w:rPr>
          <w:rFonts w:asciiTheme="majorBidi" w:hAnsiTheme="majorBidi" w:cstheme="majorBidi"/>
          <w:sz w:val="22"/>
          <w:szCs w:val="22"/>
        </w:rPr>
        <w:t xml:space="preserve">Tableau </w:t>
      </w:r>
      <w:r w:rsidR="00D87627"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D87627"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4</w:t>
      </w:r>
      <w:r w:rsidR="00D87627"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w:t>
      </w:r>
      <w:r w:rsidR="006A6E55">
        <w:rPr>
          <w:rFonts w:asciiTheme="majorBidi" w:hAnsiTheme="majorBidi" w:cstheme="majorBidi"/>
          <w:sz w:val="22"/>
          <w:szCs w:val="22"/>
        </w:rPr>
        <w:t xml:space="preserve">(base 100 : 2017) </w:t>
      </w:r>
      <w:r w:rsidRPr="00DF65E2">
        <w:rPr>
          <w:rFonts w:asciiTheme="majorBidi" w:hAnsiTheme="majorBidi" w:cstheme="majorBidi"/>
          <w:sz w:val="22"/>
          <w:szCs w:val="22"/>
        </w:rPr>
        <w:t xml:space="preserve">par mois </w:t>
      </w:r>
      <w:r>
        <w:rPr>
          <w:rFonts w:asciiTheme="majorBidi" w:hAnsiTheme="majorBidi" w:cstheme="majorBidi"/>
          <w:sz w:val="22"/>
          <w:szCs w:val="22"/>
        </w:rPr>
        <w:t>-</w:t>
      </w:r>
      <w:r w:rsidRPr="00DF65E2">
        <w:rPr>
          <w:rFonts w:asciiTheme="majorBidi" w:hAnsiTheme="majorBidi" w:cstheme="majorBidi"/>
          <w:sz w:val="22"/>
          <w:szCs w:val="22"/>
        </w:rPr>
        <w:t xml:space="preserve"> Année 20</w:t>
      </w:r>
      <w:r w:rsidR="00A24939">
        <w:rPr>
          <w:rFonts w:asciiTheme="majorBidi" w:hAnsiTheme="majorBidi" w:cstheme="majorBidi"/>
          <w:sz w:val="22"/>
          <w:szCs w:val="22"/>
        </w:rPr>
        <w:t>2</w:t>
      </w:r>
      <w:r w:rsidR="00A03298">
        <w:rPr>
          <w:rFonts w:asciiTheme="majorBidi" w:hAnsiTheme="majorBidi" w:cstheme="majorBidi"/>
          <w:sz w:val="22"/>
          <w:szCs w:val="22"/>
        </w:rPr>
        <w:t>1</w:t>
      </w:r>
      <w:r w:rsidRPr="00DF65E2">
        <w:rPr>
          <w:rFonts w:asciiTheme="majorBidi" w:hAnsiTheme="majorBidi" w:cstheme="majorBidi"/>
          <w:sz w:val="22"/>
          <w:szCs w:val="22"/>
        </w:rPr>
        <w:t>-</w:t>
      </w:r>
      <w:bookmarkEnd w:id="25"/>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A03298"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Fev</w:t>
            </w:r>
            <w:proofErr w:type="spellEnd"/>
          </w:p>
        </w:tc>
        <w:tc>
          <w:tcPr>
            <w:tcW w:w="319"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Avr</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Jul</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Oct</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Nov</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proofErr w:type="spellStart"/>
            <w:r w:rsidRPr="00A03298">
              <w:rPr>
                <w:rFonts w:asciiTheme="majorBidi" w:hAnsiTheme="majorBidi" w:cstheme="majorBidi"/>
                <w:b/>
                <w:bCs/>
                <w:sz w:val="18"/>
                <w:szCs w:val="18"/>
              </w:rPr>
              <w:t>Dec</w:t>
            </w:r>
            <w:proofErr w:type="spellEnd"/>
          </w:p>
        </w:tc>
        <w:tc>
          <w:tcPr>
            <w:tcW w:w="519" w:type="pct"/>
            <w:tcBorders>
              <w:top w:val="single" w:sz="12" w:space="0" w:color="000000" w:themeColor="text1"/>
              <w:bottom w:val="single" w:sz="12" w:space="0" w:color="000000" w:themeColor="text1"/>
            </w:tcBorders>
            <w:shd w:val="clear" w:color="000000" w:fill="C0C0C0"/>
            <w:noWrap/>
            <w:vAlign w:val="center"/>
            <w:hideMark/>
          </w:tcPr>
          <w:p w:rsidR="00A03298" w:rsidRPr="00A03298" w:rsidRDefault="00A03298">
            <w:pPr>
              <w:jc w:val="center"/>
              <w:rPr>
                <w:rFonts w:asciiTheme="majorBidi" w:hAnsiTheme="majorBidi" w:cstheme="majorBidi"/>
                <w:b/>
                <w:bCs/>
                <w:sz w:val="18"/>
                <w:szCs w:val="18"/>
              </w:rPr>
            </w:pPr>
            <w:r w:rsidRPr="00A03298">
              <w:rPr>
                <w:rFonts w:asciiTheme="majorBidi" w:hAnsiTheme="majorBidi" w:cstheme="majorBidi"/>
                <w:b/>
                <w:bCs/>
                <w:sz w:val="18"/>
                <w:szCs w:val="18"/>
              </w:rPr>
              <w:t>Moyenne</w:t>
            </w:r>
          </w:p>
        </w:tc>
      </w:tr>
      <w:tr w:rsidR="00A03298" w:rsidRPr="00761596" w:rsidTr="00F51D94">
        <w:trPr>
          <w:trHeight w:val="630"/>
        </w:trPr>
        <w:tc>
          <w:tcPr>
            <w:tcW w:w="578" w:type="pct"/>
            <w:tcBorders>
              <w:top w:val="single" w:sz="12" w:space="0" w:color="000000" w:themeColor="text1"/>
            </w:tcBorders>
            <w:shd w:val="clear" w:color="auto" w:fill="auto"/>
            <w:noWrap/>
            <w:vAlign w:val="center"/>
            <w:hideMark/>
          </w:tcPr>
          <w:p w:rsidR="00A03298" w:rsidRPr="00A03298" w:rsidRDefault="00A03298">
            <w:pPr>
              <w:rPr>
                <w:rFonts w:asciiTheme="majorBidi" w:hAnsiTheme="majorBidi" w:cstheme="majorBidi"/>
                <w:b/>
                <w:bCs/>
                <w:sz w:val="16"/>
                <w:szCs w:val="16"/>
              </w:rPr>
            </w:pPr>
            <w:r w:rsidRPr="00A03298">
              <w:rPr>
                <w:rFonts w:asciiTheme="majorBidi" w:hAnsiTheme="majorBidi" w:cstheme="majorBidi"/>
                <w:b/>
                <w:bCs/>
                <w:sz w:val="16"/>
                <w:szCs w:val="16"/>
              </w:rPr>
              <w:t>KENITRA</w:t>
            </w:r>
          </w:p>
        </w:tc>
        <w:tc>
          <w:tcPr>
            <w:tcW w:w="424"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101,4</w:t>
            </w:r>
          </w:p>
        </w:tc>
        <w:tc>
          <w:tcPr>
            <w:tcW w:w="315"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101,3</w:t>
            </w:r>
          </w:p>
        </w:tc>
        <w:tc>
          <w:tcPr>
            <w:tcW w:w="319"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101,8</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102,8</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103,0</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102,5</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102,8</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102,1</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103,2</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104,8</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104,6</w:t>
            </w:r>
          </w:p>
        </w:tc>
        <w:tc>
          <w:tcPr>
            <w:tcW w:w="316"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104,6</w:t>
            </w:r>
          </w:p>
        </w:tc>
        <w:tc>
          <w:tcPr>
            <w:tcW w:w="519" w:type="pct"/>
            <w:tcBorders>
              <w:top w:val="single" w:sz="12" w:space="0" w:color="000000" w:themeColor="text1"/>
            </w:tcBorders>
            <w:shd w:val="clear" w:color="auto" w:fill="auto"/>
            <w:noWrap/>
            <w:vAlign w:val="bottom"/>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102,9</w:t>
            </w:r>
          </w:p>
        </w:tc>
      </w:tr>
      <w:tr w:rsidR="00A03298"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A03298" w:rsidRPr="00A03298" w:rsidRDefault="00A03298">
            <w:pPr>
              <w:rPr>
                <w:rFonts w:asciiTheme="majorBidi" w:hAnsiTheme="majorBidi" w:cstheme="majorBidi"/>
                <w:b/>
                <w:bCs/>
                <w:sz w:val="16"/>
                <w:szCs w:val="16"/>
              </w:rPr>
            </w:pPr>
            <w:r w:rsidRPr="00A03298">
              <w:rPr>
                <w:rFonts w:asciiTheme="majorBidi" w:hAnsiTheme="majorBidi" w:cstheme="majorBidi"/>
                <w:b/>
                <w:bCs/>
                <w:sz w:val="16"/>
                <w:szCs w:val="16"/>
              </w:rPr>
              <w:t>NATIONAL</w:t>
            </w:r>
          </w:p>
        </w:tc>
        <w:tc>
          <w:tcPr>
            <w:tcW w:w="424"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102,3</w:t>
            </w:r>
          </w:p>
        </w:tc>
        <w:tc>
          <w:tcPr>
            <w:tcW w:w="315"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102,4</w:t>
            </w:r>
          </w:p>
        </w:tc>
        <w:tc>
          <w:tcPr>
            <w:tcW w:w="319"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102,6</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103,8</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104,1</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103,4</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103,8</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103,8</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104,5</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105,2</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105,4</w:t>
            </w:r>
          </w:p>
        </w:tc>
        <w:tc>
          <w:tcPr>
            <w:tcW w:w="316"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105,5</w:t>
            </w:r>
          </w:p>
        </w:tc>
        <w:tc>
          <w:tcPr>
            <w:tcW w:w="519" w:type="pct"/>
            <w:tcBorders>
              <w:top w:val="nil"/>
              <w:bottom w:val="single" w:sz="12" w:space="0" w:color="000000" w:themeColor="text1"/>
            </w:tcBorders>
            <w:shd w:val="clear" w:color="auto" w:fill="auto"/>
            <w:noWrap/>
            <w:vAlign w:val="center"/>
            <w:hideMark/>
          </w:tcPr>
          <w:p w:rsidR="00A03298" w:rsidRPr="00A03298" w:rsidRDefault="00A03298">
            <w:pPr>
              <w:jc w:val="right"/>
              <w:rPr>
                <w:rFonts w:asciiTheme="majorBidi" w:hAnsiTheme="majorBidi" w:cstheme="majorBidi"/>
                <w:b/>
                <w:bCs/>
                <w:sz w:val="18"/>
                <w:szCs w:val="18"/>
              </w:rPr>
            </w:pPr>
            <w:r w:rsidRPr="00A03298">
              <w:rPr>
                <w:rFonts w:asciiTheme="majorBidi" w:hAnsiTheme="majorBidi" w:cstheme="majorBidi"/>
                <w:b/>
                <w:bCs/>
                <w:sz w:val="18"/>
                <w:szCs w:val="18"/>
              </w:rPr>
              <w:t>103,9</w:t>
            </w:r>
          </w:p>
        </w:tc>
      </w:tr>
    </w:tbl>
    <w:p w:rsidR="00483003" w:rsidRPr="00483003" w:rsidRDefault="00483003" w:rsidP="000F66F0">
      <w:pPr>
        <w:pStyle w:val="Lgende"/>
        <w:rPr>
          <w:rFonts w:ascii="Times New Roman" w:hAnsi="Times New Roman"/>
          <w:i/>
          <w:iCs/>
          <w:sz w:val="22"/>
        </w:rPr>
      </w:pPr>
      <w:r w:rsidRPr="00483003">
        <w:rPr>
          <w:rFonts w:ascii="Times New Roman" w:hAnsi="Times New Roman"/>
          <w:i/>
          <w:iCs/>
          <w:sz w:val="22"/>
        </w:rPr>
        <w:t>Source : HCP</w:t>
      </w:r>
    </w:p>
    <w:p w:rsidR="00754C35" w:rsidRPr="00DF65E2" w:rsidRDefault="00DF65E2" w:rsidP="00D11775">
      <w:pPr>
        <w:pStyle w:val="Lgende"/>
        <w:rPr>
          <w:rFonts w:ascii="Times New Roman" w:hAnsi="Times New Roman" w:cstheme="majorBidi"/>
          <w:sz w:val="22"/>
          <w:szCs w:val="24"/>
        </w:rPr>
      </w:pPr>
      <w:r>
        <w:rPr>
          <w:rFonts w:ascii="Times New Roman" w:hAnsi="Times New Roman"/>
          <w:sz w:val="22"/>
        </w:rPr>
        <w:t xml:space="preserve"> </w:t>
      </w:r>
      <w:bookmarkStart w:id="26" w:name="_Toc68436337"/>
      <w:r w:rsidRPr="00DF65E2">
        <w:rPr>
          <w:rFonts w:ascii="Times New Roman" w:hAnsi="Times New Roman"/>
          <w:sz w:val="22"/>
        </w:rPr>
        <w:t xml:space="preserve">Graphique </w:t>
      </w:r>
      <w:r w:rsidR="00D87627"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D87627" w:rsidRPr="00DF65E2">
        <w:rPr>
          <w:rFonts w:ascii="Times New Roman" w:hAnsi="Times New Roman"/>
          <w:sz w:val="22"/>
        </w:rPr>
        <w:fldChar w:fldCharType="separate"/>
      </w:r>
      <w:r w:rsidR="00794CED">
        <w:rPr>
          <w:rFonts w:ascii="Times New Roman" w:hAnsi="Times New Roman"/>
          <w:noProof/>
          <w:sz w:val="22"/>
        </w:rPr>
        <w:t>3</w:t>
      </w:r>
      <w:r w:rsidR="00D87627"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IPC général</w:t>
      </w:r>
      <w:r w:rsidR="006A6E55">
        <w:rPr>
          <w:rFonts w:ascii="Times New Roman" w:hAnsi="Times New Roman" w:cstheme="majorBidi"/>
          <w:bCs w:val="0"/>
          <w:color w:val="548DD4" w:themeColor="text2" w:themeTint="99"/>
          <w:sz w:val="22"/>
          <w:szCs w:val="24"/>
        </w:rPr>
        <w:t xml:space="preserve"> </w:t>
      </w:r>
      <w:r w:rsidR="006A6E55">
        <w:rPr>
          <w:rFonts w:asciiTheme="majorBidi" w:hAnsiTheme="majorBidi" w:cstheme="majorBidi"/>
          <w:sz w:val="22"/>
          <w:szCs w:val="22"/>
        </w:rPr>
        <w:t>(base 100 : 2017)</w:t>
      </w:r>
      <w:r w:rsidR="004F39E8" w:rsidRPr="00DF65E2">
        <w:rPr>
          <w:rFonts w:ascii="Times New Roman" w:hAnsi="Times New Roman" w:cstheme="majorBidi"/>
          <w:bCs w:val="0"/>
          <w:color w:val="548DD4" w:themeColor="text2" w:themeTint="99"/>
          <w:sz w:val="22"/>
          <w:szCs w:val="24"/>
        </w:rPr>
        <w:t xml:space="preserv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et du Maroc -Année 20</w:t>
      </w:r>
      <w:r w:rsidR="00BF3B56">
        <w:rPr>
          <w:rFonts w:ascii="Times New Roman" w:hAnsi="Times New Roman" w:cstheme="majorBidi"/>
          <w:bCs w:val="0"/>
          <w:color w:val="548DD4" w:themeColor="text2" w:themeTint="99"/>
          <w:sz w:val="22"/>
          <w:szCs w:val="24"/>
        </w:rPr>
        <w:t>2</w:t>
      </w:r>
      <w:r w:rsidR="00D11775">
        <w:rPr>
          <w:rFonts w:ascii="Times New Roman" w:hAnsi="Times New Roman" w:cstheme="majorBidi"/>
          <w:bCs w:val="0"/>
          <w:color w:val="548DD4" w:themeColor="text2" w:themeTint="99"/>
          <w:sz w:val="22"/>
          <w:szCs w:val="24"/>
        </w:rPr>
        <w:t>1</w:t>
      </w:r>
      <w:r w:rsidR="004F39E8" w:rsidRPr="00DF65E2">
        <w:rPr>
          <w:rFonts w:ascii="Times New Roman" w:hAnsi="Times New Roman" w:cstheme="majorBidi"/>
          <w:bCs w:val="0"/>
          <w:color w:val="548DD4" w:themeColor="text2" w:themeTint="99"/>
          <w:sz w:val="22"/>
          <w:szCs w:val="24"/>
        </w:rPr>
        <w:t>-</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D11775" w:rsidP="007E29B6">
      <w:pPr>
        <w:spacing w:before="240" w:after="0" w:line="240" w:lineRule="auto"/>
        <w:jc w:val="both"/>
        <w:rPr>
          <w:rFonts w:asciiTheme="majorBidi" w:hAnsiTheme="majorBidi" w:cstheme="majorBidi"/>
          <w:sz w:val="24"/>
          <w:szCs w:val="24"/>
        </w:rPr>
      </w:pPr>
      <w:r w:rsidRPr="00D11775">
        <w:rPr>
          <w:rFonts w:asciiTheme="majorBidi" w:hAnsiTheme="majorBidi" w:cstheme="majorBidi"/>
          <w:noProof/>
          <w:sz w:val="24"/>
          <w:szCs w:val="24"/>
          <w:lang w:eastAsia="fr-FR"/>
        </w:rPr>
        <w:drawing>
          <wp:inline distT="0" distB="0" distL="0" distR="0">
            <wp:extent cx="5850890" cy="2085975"/>
            <wp:effectExtent l="19050" t="0" r="16510"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6536C2" w:rsidRPr="004F39E8" w:rsidRDefault="006536C2" w:rsidP="004107D0">
      <w:pPr>
        <w:pStyle w:val="Titre3"/>
        <w:rPr>
          <w:rFonts w:asciiTheme="majorBidi" w:hAnsiTheme="majorBidi"/>
          <w:color w:val="0070C0"/>
          <w:sz w:val="24"/>
          <w:szCs w:val="24"/>
        </w:rPr>
      </w:pPr>
      <w:bookmarkStart w:id="27" w:name="_Toc68443132"/>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de la ville de </w:t>
      </w:r>
      <w:proofErr w:type="spellStart"/>
      <w:r w:rsidRPr="004F39E8">
        <w:rPr>
          <w:rFonts w:asciiTheme="majorBidi" w:hAnsiTheme="majorBidi"/>
          <w:color w:val="0070C0"/>
          <w:sz w:val="24"/>
          <w:szCs w:val="24"/>
        </w:rPr>
        <w:t>K</w:t>
      </w:r>
      <w:r w:rsidR="00AF6D2F">
        <w:rPr>
          <w:rFonts w:asciiTheme="majorBidi" w:hAnsiTheme="majorBidi"/>
          <w:color w:val="0070C0"/>
          <w:sz w:val="24"/>
          <w:szCs w:val="24"/>
        </w:rPr>
        <w:t>é</w:t>
      </w:r>
      <w:r w:rsidRPr="004F39E8">
        <w:rPr>
          <w:rFonts w:asciiTheme="majorBidi" w:hAnsiTheme="majorBidi"/>
          <w:color w:val="0070C0"/>
          <w:sz w:val="24"/>
          <w:szCs w:val="24"/>
        </w:rPr>
        <w:t>nitra</w:t>
      </w:r>
      <w:proofErr w:type="spellEnd"/>
      <w:r w:rsidR="005B044B" w:rsidRPr="004F39E8">
        <w:rPr>
          <w:rFonts w:asciiTheme="majorBidi" w:hAnsiTheme="majorBidi"/>
          <w:color w:val="0070C0"/>
          <w:sz w:val="24"/>
          <w:szCs w:val="24"/>
        </w:rPr>
        <w:t xml:space="preserve"> en 20</w:t>
      </w:r>
      <w:r w:rsidR="00601279">
        <w:rPr>
          <w:rFonts w:asciiTheme="majorBidi" w:hAnsiTheme="majorBidi"/>
          <w:color w:val="0070C0"/>
          <w:sz w:val="24"/>
          <w:szCs w:val="24"/>
        </w:rPr>
        <w:t>2</w:t>
      </w:r>
      <w:bookmarkEnd w:id="27"/>
      <w:r w:rsidR="004107D0">
        <w:rPr>
          <w:rFonts w:asciiTheme="majorBidi" w:hAnsiTheme="majorBidi"/>
          <w:color w:val="0070C0"/>
          <w:sz w:val="24"/>
          <w:szCs w:val="24"/>
        </w:rPr>
        <w:t>1</w:t>
      </w:r>
    </w:p>
    <w:p w:rsidR="006536C2" w:rsidRDefault="00FE1193" w:rsidP="00F84A2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Etant donné la nature fluctuante des prix des biens et services, l’indice général des prix à la consommation subit des variations cycliques au cours de l’année. Celles-ci </w:t>
      </w:r>
      <w:r w:rsidR="00F84A22">
        <w:rPr>
          <w:rFonts w:asciiTheme="majorBidi" w:hAnsiTheme="majorBidi" w:cstheme="majorBidi"/>
          <w:sz w:val="24"/>
          <w:szCs w:val="24"/>
        </w:rPr>
        <w:t>son</w:t>
      </w:r>
      <w:r>
        <w:rPr>
          <w:rFonts w:asciiTheme="majorBidi" w:hAnsiTheme="majorBidi" w:cstheme="majorBidi"/>
          <w:sz w:val="24"/>
          <w:szCs w:val="24"/>
        </w:rPr>
        <w:t>t tributaires de la conjoncture nationale et mondiale.</w:t>
      </w:r>
    </w:p>
    <w:p w:rsidR="0052758D" w:rsidRDefault="0052758D"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l’évolution de l’Indice Général est essentiellement impactée par l’Indice Alimentaire</w:t>
      </w:r>
      <w:r w:rsidR="00F84A22">
        <w:rPr>
          <w:rFonts w:asciiTheme="majorBidi" w:hAnsiTheme="majorBidi" w:cstheme="majorBidi"/>
          <w:sz w:val="24"/>
          <w:szCs w:val="24"/>
        </w:rPr>
        <w:t xml:space="preserve"> (IA) </w:t>
      </w:r>
      <w:r>
        <w:rPr>
          <w:rFonts w:asciiTheme="majorBidi" w:hAnsiTheme="majorBidi" w:cstheme="majorBidi"/>
          <w:sz w:val="24"/>
          <w:szCs w:val="24"/>
        </w:rPr>
        <w:t xml:space="preserve"> dont les niveaux sont affectés </w:t>
      </w:r>
      <w:r w:rsidR="00BF48B4">
        <w:rPr>
          <w:rFonts w:asciiTheme="majorBidi" w:hAnsiTheme="majorBidi" w:cstheme="majorBidi"/>
          <w:sz w:val="24"/>
          <w:szCs w:val="24"/>
        </w:rPr>
        <w:t xml:space="preserve">notamment </w:t>
      </w:r>
      <w:r>
        <w:rPr>
          <w:rFonts w:asciiTheme="majorBidi" w:hAnsiTheme="majorBidi" w:cstheme="majorBidi"/>
          <w:sz w:val="24"/>
          <w:szCs w:val="24"/>
        </w:rPr>
        <w:t xml:space="preserve">par </w:t>
      </w:r>
      <w:r w:rsidR="00BF48B4">
        <w:rPr>
          <w:rFonts w:asciiTheme="majorBidi" w:hAnsiTheme="majorBidi" w:cstheme="majorBidi"/>
          <w:sz w:val="24"/>
          <w:szCs w:val="24"/>
        </w:rPr>
        <w:t>le phénomène de saisonnalité et des événements religieux.</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Toutefois, en examinant la courbe de l’indice général, on constate que cette dernière est beaucoup plus tirée vers celle de l’Indice Non Alimentaire</w:t>
      </w:r>
      <w:r w:rsidR="00F84A22">
        <w:rPr>
          <w:rFonts w:asciiTheme="majorBidi" w:hAnsiTheme="majorBidi" w:cstheme="majorBidi"/>
          <w:sz w:val="24"/>
          <w:szCs w:val="24"/>
        </w:rPr>
        <w:t xml:space="preserve"> (INA)</w:t>
      </w:r>
      <w:r>
        <w:rPr>
          <w:rFonts w:asciiTheme="majorBidi" w:hAnsiTheme="majorBidi" w:cstheme="majorBidi"/>
          <w:sz w:val="24"/>
          <w:szCs w:val="24"/>
        </w:rPr>
        <w:t>. Ceci peut être expliqué par l’effet de pondération des produits non ali</w:t>
      </w:r>
      <w:r w:rsidR="00E1172F">
        <w:rPr>
          <w:rFonts w:asciiTheme="majorBidi" w:hAnsiTheme="majorBidi" w:cstheme="majorBidi"/>
          <w:sz w:val="24"/>
          <w:szCs w:val="24"/>
        </w:rPr>
        <w:t>mentaires qui constituaient 57,3</w:t>
      </w:r>
      <w:r>
        <w:rPr>
          <w:rFonts w:asciiTheme="majorBidi" w:hAnsiTheme="majorBidi" w:cstheme="majorBidi"/>
          <w:sz w:val="24"/>
          <w:szCs w:val="24"/>
        </w:rPr>
        <w:t xml:space="preserve">% des dépenses des ménages </w:t>
      </w:r>
      <w:r w:rsidR="00E1172F">
        <w:rPr>
          <w:rFonts w:asciiTheme="majorBidi" w:hAnsiTheme="majorBidi" w:cstheme="majorBidi"/>
          <w:sz w:val="24"/>
          <w:szCs w:val="24"/>
        </w:rPr>
        <w:t xml:space="preserve">de la ville de </w:t>
      </w:r>
      <w:proofErr w:type="spellStart"/>
      <w:r w:rsidR="00E1172F">
        <w:rPr>
          <w:rFonts w:asciiTheme="majorBidi" w:hAnsiTheme="majorBidi" w:cstheme="majorBidi"/>
          <w:sz w:val="24"/>
          <w:szCs w:val="24"/>
        </w:rPr>
        <w:t>Kénitra</w:t>
      </w:r>
      <w:proofErr w:type="spellEnd"/>
      <w:r w:rsidR="00E1172F">
        <w:rPr>
          <w:rFonts w:asciiTheme="majorBidi" w:hAnsiTheme="majorBidi" w:cstheme="majorBidi"/>
          <w:sz w:val="24"/>
          <w:szCs w:val="24"/>
        </w:rPr>
        <w:t xml:space="preserve"> </w:t>
      </w:r>
      <w:r>
        <w:rPr>
          <w:rFonts w:asciiTheme="majorBidi" w:hAnsiTheme="majorBidi" w:cstheme="majorBidi"/>
          <w:sz w:val="24"/>
          <w:szCs w:val="24"/>
        </w:rPr>
        <w:t xml:space="preserve"> en 2014.</w:t>
      </w:r>
    </w:p>
    <w:p w:rsidR="00BF48B4" w:rsidRDefault="00BF48B4" w:rsidP="00676D1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A noter,</w:t>
      </w:r>
      <w:r w:rsidR="00E1172F">
        <w:rPr>
          <w:rFonts w:asciiTheme="majorBidi" w:hAnsiTheme="majorBidi" w:cstheme="majorBidi"/>
          <w:sz w:val="24"/>
          <w:szCs w:val="24"/>
        </w:rPr>
        <w:t xml:space="preserve"> cependant, que l’INA a enregistré une tendance moins fluctuante que celle de l’IA </w:t>
      </w:r>
      <w:r>
        <w:rPr>
          <w:rFonts w:asciiTheme="majorBidi" w:hAnsiTheme="majorBidi" w:cstheme="majorBidi"/>
          <w:sz w:val="24"/>
          <w:szCs w:val="24"/>
        </w:rPr>
        <w:t>au cours de l’année</w:t>
      </w:r>
      <w:r w:rsidR="00E1172F">
        <w:rPr>
          <w:rFonts w:asciiTheme="majorBidi" w:hAnsiTheme="majorBidi" w:cstheme="majorBidi"/>
          <w:sz w:val="24"/>
          <w:szCs w:val="24"/>
        </w:rPr>
        <w:t xml:space="preserve"> 202</w:t>
      </w:r>
      <w:r w:rsidR="00676D18">
        <w:rPr>
          <w:rFonts w:asciiTheme="majorBidi" w:hAnsiTheme="majorBidi" w:cstheme="majorBidi"/>
          <w:sz w:val="24"/>
          <w:szCs w:val="24"/>
        </w:rPr>
        <w:t>1</w:t>
      </w:r>
      <w:r>
        <w:rPr>
          <w:rFonts w:asciiTheme="majorBidi" w:hAnsiTheme="majorBidi" w:cstheme="majorBidi"/>
          <w:sz w:val="24"/>
          <w:szCs w:val="24"/>
        </w:rPr>
        <w:t xml:space="preserve">, caractérisée par </w:t>
      </w:r>
      <w:r w:rsidR="00E1172F">
        <w:rPr>
          <w:rFonts w:asciiTheme="majorBidi" w:hAnsiTheme="majorBidi" w:cstheme="majorBidi"/>
          <w:sz w:val="24"/>
          <w:szCs w:val="24"/>
        </w:rPr>
        <w:t>un écart absolu</w:t>
      </w:r>
      <w:r w:rsidR="002E6062">
        <w:rPr>
          <w:rFonts w:asciiTheme="majorBidi" w:hAnsiTheme="majorBidi" w:cstheme="majorBidi"/>
          <w:sz w:val="24"/>
          <w:szCs w:val="24"/>
        </w:rPr>
        <w:t xml:space="preserve">  de </w:t>
      </w:r>
      <w:r w:rsidR="00676D18">
        <w:rPr>
          <w:rFonts w:asciiTheme="majorBidi" w:hAnsiTheme="majorBidi" w:cstheme="majorBidi"/>
          <w:sz w:val="24"/>
          <w:szCs w:val="24"/>
        </w:rPr>
        <w:t>2</w:t>
      </w:r>
      <w:r w:rsidR="002E6062">
        <w:rPr>
          <w:rFonts w:asciiTheme="majorBidi" w:hAnsiTheme="majorBidi" w:cstheme="majorBidi"/>
          <w:sz w:val="24"/>
          <w:szCs w:val="24"/>
        </w:rPr>
        <w:t>,</w:t>
      </w:r>
      <w:r w:rsidR="00676D18">
        <w:rPr>
          <w:rFonts w:asciiTheme="majorBidi" w:hAnsiTheme="majorBidi" w:cstheme="majorBidi"/>
          <w:sz w:val="24"/>
          <w:szCs w:val="24"/>
        </w:rPr>
        <w:t>3 point contre 5</w:t>
      </w:r>
      <w:r w:rsidR="002E6062">
        <w:rPr>
          <w:rFonts w:asciiTheme="majorBidi" w:hAnsiTheme="majorBidi" w:cstheme="majorBidi"/>
          <w:sz w:val="24"/>
          <w:szCs w:val="24"/>
        </w:rPr>
        <w:t>,</w:t>
      </w:r>
      <w:r w:rsidR="00676D18">
        <w:rPr>
          <w:rFonts w:asciiTheme="majorBidi" w:hAnsiTheme="majorBidi" w:cstheme="majorBidi"/>
          <w:sz w:val="24"/>
          <w:szCs w:val="24"/>
        </w:rPr>
        <w:t>8</w:t>
      </w:r>
      <w:r w:rsidR="002E6062">
        <w:rPr>
          <w:rFonts w:asciiTheme="majorBidi" w:hAnsiTheme="majorBidi" w:cstheme="majorBidi"/>
          <w:sz w:val="24"/>
          <w:szCs w:val="24"/>
        </w:rPr>
        <w:t xml:space="preserve"> </w:t>
      </w:r>
      <w:r w:rsidR="00FB6DAC">
        <w:rPr>
          <w:rFonts w:asciiTheme="majorBidi" w:hAnsiTheme="majorBidi" w:cstheme="majorBidi"/>
          <w:sz w:val="24"/>
          <w:szCs w:val="24"/>
        </w:rPr>
        <w:t>respectivement.</w:t>
      </w:r>
    </w:p>
    <w:p w:rsidR="00FB6DAC" w:rsidRDefault="00FB6DAC" w:rsidP="00676D1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l’IA, les oscillations qu’ont connues les prix au cours de l’année</w:t>
      </w:r>
      <w:r w:rsidR="008A219D">
        <w:rPr>
          <w:rFonts w:asciiTheme="majorBidi" w:hAnsiTheme="majorBidi" w:cstheme="majorBidi"/>
          <w:sz w:val="24"/>
          <w:szCs w:val="24"/>
        </w:rPr>
        <w:t xml:space="preserve"> 202</w:t>
      </w:r>
      <w:r w:rsidR="00676D18">
        <w:rPr>
          <w:rFonts w:asciiTheme="majorBidi" w:hAnsiTheme="majorBidi" w:cstheme="majorBidi"/>
          <w:sz w:val="24"/>
          <w:szCs w:val="24"/>
        </w:rPr>
        <w:t>1</w:t>
      </w:r>
      <w:r>
        <w:rPr>
          <w:rFonts w:asciiTheme="majorBidi" w:hAnsiTheme="majorBidi" w:cstheme="majorBidi"/>
          <w:sz w:val="24"/>
          <w:szCs w:val="24"/>
        </w:rPr>
        <w:t>, sont beaucoup plus importantes</w:t>
      </w:r>
      <w:r w:rsidR="008A219D">
        <w:rPr>
          <w:rFonts w:asciiTheme="majorBidi" w:hAnsiTheme="majorBidi" w:cstheme="majorBidi"/>
          <w:sz w:val="24"/>
          <w:szCs w:val="24"/>
        </w:rPr>
        <w:t xml:space="preserve"> et ce à cause des répercussions de la crise sanitaire sur l’offre et la demande des produits alimentaires</w:t>
      </w:r>
      <w:r>
        <w:rPr>
          <w:rFonts w:asciiTheme="majorBidi" w:hAnsiTheme="majorBidi" w:cstheme="majorBidi"/>
          <w:sz w:val="24"/>
          <w:szCs w:val="24"/>
        </w:rPr>
        <w:t>.</w:t>
      </w:r>
    </w:p>
    <w:tbl>
      <w:tblPr>
        <w:tblW w:w="5000" w:type="pct"/>
        <w:tblCellMar>
          <w:left w:w="70" w:type="dxa"/>
          <w:right w:w="70" w:type="dxa"/>
        </w:tblCellMar>
        <w:tblLook w:val="04A0"/>
      </w:tblPr>
      <w:tblGrid>
        <w:gridCol w:w="2274"/>
        <w:gridCol w:w="590"/>
        <w:gridCol w:w="590"/>
        <w:gridCol w:w="590"/>
        <w:gridCol w:w="590"/>
        <w:gridCol w:w="590"/>
        <w:gridCol w:w="590"/>
        <w:gridCol w:w="590"/>
        <w:gridCol w:w="590"/>
        <w:gridCol w:w="590"/>
        <w:gridCol w:w="590"/>
        <w:gridCol w:w="590"/>
        <w:gridCol w:w="590"/>
      </w:tblGrid>
      <w:tr w:rsidR="00635FC5" w:rsidRPr="00635FC5" w:rsidTr="00103942">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8" w:name="_Toc68436331"/>
            <w:r w:rsidRPr="00DF65E2">
              <w:rPr>
                <w:rFonts w:asciiTheme="majorBidi" w:hAnsiTheme="majorBidi" w:cstheme="majorBidi"/>
                <w:b/>
                <w:bCs/>
                <w:color w:val="4F81BD" w:themeColor="accent1"/>
              </w:rPr>
              <w:t xml:space="preserve">Tableau </w:t>
            </w:r>
            <w:r w:rsidR="00D87627"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D87627" w:rsidRPr="00DF65E2">
              <w:rPr>
                <w:rFonts w:asciiTheme="majorBidi" w:hAnsiTheme="majorBidi" w:cstheme="majorBidi"/>
                <w:b/>
                <w:bCs/>
                <w:color w:val="4F81BD" w:themeColor="accent1"/>
              </w:rPr>
              <w:fldChar w:fldCharType="separate"/>
            </w:r>
            <w:r w:rsidR="00794CED">
              <w:rPr>
                <w:rFonts w:asciiTheme="majorBidi" w:hAnsiTheme="majorBidi" w:cstheme="majorBidi"/>
                <w:b/>
                <w:bCs/>
                <w:noProof/>
                <w:color w:val="4F81BD" w:themeColor="accent1"/>
              </w:rPr>
              <w:t>5</w:t>
            </w:r>
            <w:r w:rsidR="00D87627"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 xml:space="preserve">énéral, alimentaire et non alimentaire de la ville de </w:t>
            </w:r>
            <w:proofErr w:type="spellStart"/>
            <w:r w:rsidR="00635FC5" w:rsidRPr="00DF65E2">
              <w:rPr>
                <w:rFonts w:asciiTheme="majorBidi" w:eastAsia="Times New Roman" w:hAnsiTheme="majorBidi" w:cstheme="majorBidi"/>
                <w:b/>
                <w:bCs/>
                <w:color w:val="4F81BD" w:themeColor="accent1"/>
                <w:sz w:val="24"/>
                <w:szCs w:val="24"/>
                <w:lang w:eastAsia="fr-FR"/>
              </w:rPr>
              <w:t>Kénitra</w:t>
            </w:r>
            <w:bookmarkEnd w:id="28"/>
            <w:proofErr w:type="spellEnd"/>
          </w:p>
          <w:p w:rsidR="00635FC5" w:rsidRPr="00DF65E2" w:rsidRDefault="00DF65E2" w:rsidP="00103942">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w:t>
            </w:r>
            <w:r w:rsidR="00601279">
              <w:rPr>
                <w:rFonts w:asciiTheme="majorBidi" w:eastAsia="Times New Roman" w:hAnsiTheme="majorBidi" w:cstheme="majorBidi"/>
                <w:b/>
                <w:bCs/>
                <w:color w:val="4F81BD" w:themeColor="accent1"/>
                <w:sz w:val="24"/>
                <w:szCs w:val="24"/>
                <w:lang w:eastAsia="fr-FR"/>
              </w:rPr>
              <w:t>2</w:t>
            </w:r>
            <w:r w:rsidR="00103942">
              <w:rPr>
                <w:rFonts w:asciiTheme="majorBidi" w:eastAsia="Times New Roman" w:hAnsiTheme="majorBidi" w:cstheme="majorBidi"/>
                <w:b/>
                <w:bCs/>
                <w:color w:val="4F81BD" w:themeColor="accent1"/>
                <w:sz w:val="24"/>
                <w:szCs w:val="24"/>
                <w:lang w:eastAsia="fr-FR"/>
              </w:rPr>
              <w:t>1</w:t>
            </w:r>
            <w:r w:rsidR="00635FC5" w:rsidRPr="00DF65E2">
              <w:rPr>
                <w:rFonts w:asciiTheme="majorBidi" w:eastAsia="Times New Roman" w:hAnsiTheme="majorBidi" w:cstheme="majorBidi"/>
                <w:b/>
                <w:bCs/>
                <w:color w:val="4F81BD" w:themeColor="accent1"/>
                <w:sz w:val="24"/>
                <w:szCs w:val="24"/>
                <w:lang w:eastAsia="fr-FR"/>
              </w:rPr>
              <w:t xml:space="preserve"> -</w:t>
            </w:r>
          </w:p>
        </w:tc>
      </w:tr>
      <w:tr w:rsidR="00103942" w:rsidRPr="00635FC5" w:rsidTr="00103942">
        <w:trPr>
          <w:trHeight w:val="463"/>
        </w:trPr>
        <w:tc>
          <w:tcPr>
            <w:tcW w:w="1487"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 xml:space="preserve"> DIVISIONS</w:t>
            </w:r>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Jan</w:t>
            </w:r>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Fev</w:t>
            </w:r>
            <w:proofErr w:type="spellEnd"/>
          </w:p>
        </w:tc>
        <w:tc>
          <w:tcPr>
            <w:tcW w:w="295"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Mars</w:t>
            </w:r>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Avr</w:t>
            </w:r>
            <w:proofErr w:type="spellEnd"/>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Mai</w:t>
            </w:r>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Juin</w:t>
            </w:r>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Jul</w:t>
            </w:r>
            <w:proofErr w:type="spellEnd"/>
          </w:p>
        </w:tc>
        <w:tc>
          <w:tcPr>
            <w:tcW w:w="292"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Août</w:t>
            </w:r>
          </w:p>
        </w:tc>
        <w:tc>
          <w:tcPr>
            <w:tcW w:w="291"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r w:rsidRPr="00103942">
              <w:rPr>
                <w:rFonts w:asciiTheme="majorBidi" w:hAnsiTheme="majorBidi" w:cstheme="majorBidi"/>
                <w:b/>
                <w:bCs/>
                <w:sz w:val="18"/>
                <w:szCs w:val="18"/>
              </w:rPr>
              <w:t>Sep</w:t>
            </w:r>
          </w:p>
        </w:tc>
        <w:tc>
          <w:tcPr>
            <w:tcW w:w="291"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Oct</w:t>
            </w:r>
            <w:proofErr w:type="spellEnd"/>
          </w:p>
        </w:tc>
        <w:tc>
          <w:tcPr>
            <w:tcW w:w="291" w:type="pct"/>
            <w:tcBorders>
              <w:top w:val="single" w:sz="12" w:space="0" w:color="000000" w:themeColor="text1"/>
              <w:bottom w:val="single" w:sz="12" w:space="0" w:color="000000" w:themeColor="text1"/>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Nov</w:t>
            </w:r>
            <w:proofErr w:type="spellEnd"/>
          </w:p>
        </w:tc>
        <w:tc>
          <w:tcPr>
            <w:tcW w:w="301" w:type="pct"/>
            <w:tcBorders>
              <w:top w:val="single" w:sz="12" w:space="0" w:color="000000" w:themeColor="text1"/>
              <w:bottom w:val="single" w:sz="12" w:space="0" w:color="000000" w:themeColor="text1"/>
              <w:right w:val="nil"/>
            </w:tcBorders>
            <w:shd w:val="clear" w:color="000000" w:fill="C0C0C0"/>
            <w:noWrap/>
            <w:vAlign w:val="bottom"/>
            <w:hideMark/>
          </w:tcPr>
          <w:p w:rsidR="00103942" w:rsidRPr="00103942" w:rsidRDefault="00103942">
            <w:pPr>
              <w:jc w:val="center"/>
              <w:rPr>
                <w:rFonts w:asciiTheme="majorBidi" w:hAnsiTheme="majorBidi" w:cstheme="majorBidi"/>
                <w:b/>
                <w:bCs/>
                <w:sz w:val="18"/>
                <w:szCs w:val="18"/>
              </w:rPr>
            </w:pPr>
            <w:proofErr w:type="spellStart"/>
            <w:r w:rsidRPr="00103942">
              <w:rPr>
                <w:rFonts w:asciiTheme="majorBidi" w:hAnsiTheme="majorBidi" w:cstheme="majorBidi"/>
                <w:b/>
                <w:bCs/>
                <w:sz w:val="18"/>
                <w:szCs w:val="18"/>
              </w:rPr>
              <w:t>Dec</w:t>
            </w:r>
            <w:proofErr w:type="spellEnd"/>
          </w:p>
        </w:tc>
      </w:tr>
      <w:tr w:rsidR="00103942" w:rsidRPr="00635FC5" w:rsidTr="00103942">
        <w:trPr>
          <w:trHeight w:val="465"/>
        </w:trPr>
        <w:tc>
          <w:tcPr>
            <w:tcW w:w="1487" w:type="pct"/>
            <w:tcBorders>
              <w:top w:val="single" w:sz="12" w:space="0" w:color="000000" w:themeColor="text1"/>
            </w:tcBorders>
            <w:shd w:val="clear" w:color="000000" w:fill="FFFFFF"/>
            <w:noWrap/>
            <w:vAlign w:val="bottom"/>
            <w:hideMark/>
          </w:tcPr>
          <w:p w:rsidR="00103942" w:rsidRPr="00103942" w:rsidRDefault="00103942">
            <w:pPr>
              <w:rPr>
                <w:rFonts w:asciiTheme="majorBidi" w:hAnsiTheme="majorBidi" w:cstheme="majorBidi"/>
                <w:b/>
                <w:bCs/>
                <w:sz w:val="20"/>
                <w:szCs w:val="20"/>
              </w:rPr>
            </w:pPr>
            <w:r w:rsidRPr="00103942">
              <w:rPr>
                <w:rFonts w:asciiTheme="majorBidi" w:hAnsiTheme="majorBidi" w:cstheme="majorBidi"/>
                <w:b/>
                <w:bCs/>
                <w:sz w:val="20"/>
                <w:szCs w:val="20"/>
              </w:rPr>
              <w:t>IP Alimentaire</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98,4</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98,0</w:t>
            </w:r>
          </w:p>
        </w:tc>
        <w:tc>
          <w:tcPr>
            <w:tcW w:w="295"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98,9</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101,7</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102,0</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100,8</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101,1</w:t>
            </w:r>
          </w:p>
        </w:tc>
        <w:tc>
          <w:tcPr>
            <w:tcW w:w="292"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99,0</w:t>
            </w:r>
          </w:p>
        </w:tc>
        <w:tc>
          <w:tcPr>
            <w:tcW w:w="291"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101,7</w:t>
            </w:r>
          </w:p>
        </w:tc>
        <w:tc>
          <w:tcPr>
            <w:tcW w:w="291"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103,8</w:t>
            </w:r>
          </w:p>
        </w:tc>
        <w:tc>
          <w:tcPr>
            <w:tcW w:w="291"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103,0</w:t>
            </w:r>
          </w:p>
        </w:tc>
        <w:tc>
          <w:tcPr>
            <w:tcW w:w="301" w:type="pct"/>
            <w:tcBorders>
              <w:top w:val="single" w:sz="12" w:space="0" w:color="000000" w:themeColor="text1"/>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102,9</w:t>
            </w:r>
          </w:p>
        </w:tc>
      </w:tr>
      <w:tr w:rsidR="00103942" w:rsidRPr="00635FC5" w:rsidTr="00103942">
        <w:trPr>
          <w:trHeight w:val="600"/>
        </w:trPr>
        <w:tc>
          <w:tcPr>
            <w:tcW w:w="1487" w:type="pct"/>
            <w:tcBorders>
              <w:top w:val="nil"/>
              <w:bottom w:val="single" w:sz="12" w:space="0" w:color="auto"/>
            </w:tcBorders>
            <w:shd w:val="clear" w:color="000000" w:fill="FFFFFF"/>
            <w:noWrap/>
            <w:vAlign w:val="bottom"/>
            <w:hideMark/>
          </w:tcPr>
          <w:p w:rsidR="00103942" w:rsidRPr="00103942" w:rsidRDefault="00103942" w:rsidP="00103942">
            <w:pPr>
              <w:rPr>
                <w:rFonts w:asciiTheme="majorBidi" w:hAnsiTheme="majorBidi" w:cstheme="majorBidi"/>
                <w:b/>
                <w:bCs/>
                <w:sz w:val="20"/>
                <w:szCs w:val="20"/>
              </w:rPr>
            </w:pPr>
            <w:r w:rsidRPr="00103942">
              <w:rPr>
                <w:rFonts w:asciiTheme="majorBidi" w:hAnsiTheme="majorBidi" w:cstheme="majorBidi"/>
                <w:b/>
                <w:bCs/>
                <w:sz w:val="20"/>
                <w:szCs w:val="20"/>
              </w:rPr>
              <w:t>IP Non Alimentaire</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103,7</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103,8</w:t>
            </w:r>
          </w:p>
        </w:tc>
        <w:tc>
          <w:tcPr>
            <w:tcW w:w="295"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103,9</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103,6</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103,7</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103,8</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104,1</w:t>
            </w:r>
          </w:p>
        </w:tc>
        <w:tc>
          <w:tcPr>
            <w:tcW w:w="292"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104,4</w:t>
            </w:r>
          </w:p>
        </w:tc>
        <w:tc>
          <w:tcPr>
            <w:tcW w:w="291"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104,3</w:t>
            </w:r>
          </w:p>
        </w:tc>
        <w:tc>
          <w:tcPr>
            <w:tcW w:w="291"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105,6</w:t>
            </w:r>
          </w:p>
        </w:tc>
        <w:tc>
          <w:tcPr>
            <w:tcW w:w="291"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105,8</w:t>
            </w:r>
          </w:p>
        </w:tc>
        <w:tc>
          <w:tcPr>
            <w:tcW w:w="301" w:type="pct"/>
            <w:tcBorders>
              <w:top w:val="nil"/>
              <w:bottom w:val="single" w:sz="12" w:space="0" w:color="auto"/>
            </w:tcBorders>
            <w:shd w:val="clear" w:color="auto" w:fill="auto"/>
            <w:noWrap/>
            <w:vAlign w:val="bottom"/>
            <w:hideMark/>
          </w:tcPr>
          <w:p w:rsidR="00103942" w:rsidRPr="00961982" w:rsidRDefault="00103942">
            <w:pPr>
              <w:jc w:val="right"/>
              <w:rPr>
                <w:rFonts w:asciiTheme="majorBidi" w:hAnsiTheme="majorBidi" w:cstheme="majorBidi"/>
                <w:sz w:val="20"/>
                <w:szCs w:val="20"/>
              </w:rPr>
            </w:pPr>
            <w:r w:rsidRPr="00961982">
              <w:rPr>
                <w:rFonts w:asciiTheme="majorBidi" w:hAnsiTheme="majorBidi" w:cstheme="majorBidi"/>
                <w:sz w:val="20"/>
                <w:szCs w:val="20"/>
              </w:rPr>
              <w:t>105,9</w:t>
            </w:r>
          </w:p>
        </w:tc>
      </w:tr>
      <w:tr w:rsidR="00103942" w:rsidRPr="00961982" w:rsidTr="00103942">
        <w:trPr>
          <w:trHeight w:val="525"/>
        </w:trPr>
        <w:tc>
          <w:tcPr>
            <w:tcW w:w="1487"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rPr>
                <w:rFonts w:asciiTheme="majorBidi" w:hAnsiTheme="majorBidi" w:cstheme="majorBidi"/>
                <w:b/>
                <w:bCs/>
              </w:rPr>
            </w:pPr>
            <w:r w:rsidRPr="00961982">
              <w:rPr>
                <w:rFonts w:asciiTheme="majorBidi" w:hAnsiTheme="majorBidi" w:cstheme="majorBidi"/>
                <w:b/>
                <w:bCs/>
              </w:rPr>
              <w:t>Indice Général</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101,4</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101,3</w:t>
            </w:r>
          </w:p>
        </w:tc>
        <w:tc>
          <w:tcPr>
            <w:tcW w:w="295"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101,8</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102,8</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103,0</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102,5</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102,8</w:t>
            </w:r>
          </w:p>
        </w:tc>
        <w:tc>
          <w:tcPr>
            <w:tcW w:w="292"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102,1</w:t>
            </w:r>
          </w:p>
        </w:tc>
        <w:tc>
          <w:tcPr>
            <w:tcW w:w="291"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103,2</w:t>
            </w:r>
          </w:p>
        </w:tc>
        <w:tc>
          <w:tcPr>
            <w:tcW w:w="291"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104,8</w:t>
            </w:r>
          </w:p>
        </w:tc>
        <w:tc>
          <w:tcPr>
            <w:tcW w:w="291"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104,6</w:t>
            </w:r>
          </w:p>
        </w:tc>
        <w:tc>
          <w:tcPr>
            <w:tcW w:w="301" w:type="pct"/>
            <w:tcBorders>
              <w:top w:val="single" w:sz="12" w:space="0" w:color="auto"/>
              <w:bottom w:val="single" w:sz="12" w:space="0" w:color="000000" w:themeColor="text1"/>
            </w:tcBorders>
            <w:shd w:val="clear" w:color="000000" w:fill="C0C0C0"/>
            <w:noWrap/>
            <w:vAlign w:val="bottom"/>
            <w:hideMark/>
          </w:tcPr>
          <w:p w:rsidR="00103942" w:rsidRPr="00961982" w:rsidRDefault="00103942">
            <w:pPr>
              <w:jc w:val="right"/>
              <w:rPr>
                <w:rFonts w:asciiTheme="majorBidi" w:hAnsiTheme="majorBidi" w:cstheme="majorBidi"/>
                <w:b/>
                <w:bCs/>
                <w:sz w:val="20"/>
                <w:szCs w:val="20"/>
              </w:rPr>
            </w:pPr>
            <w:r w:rsidRPr="00961982">
              <w:rPr>
                <w:rFonts w:asciiTheme="majorBidi" w:hAnsiTheme="majorBidi" w:cstheme="majorBidi"/>
                <w:b/>
                <w:bCs/>
                <w:sz w:val="20"/>
                <w:szCs w:val="20"/>
              </w:rPr>
              <w:t>104,6</w:t>
            </w:r>
          </w:p>
        </w:tc>
      </w:tr>
    </w:tbl>
    <w:p w:rsidR="004A7CCA" w:rsidRPr="00483003" w:rsidRDefault="004A7CCA" w:rsidP="004A7CCA">
      <w:pPr>
        <w:pStyle w:val="Lgende"/>
        <w:rPr>
          <w:rFonts w:ascii="Times New Roman" w:hAnsi="Times New Roman"/>
          <w:i/>
          <w:iCs/>
          <w:sz w:val="22"/>
        </w:rPr>
      </w:pPr>
      <w:r w:rsidRPr="00483003">
        <w:rPr>
          <w:rFonts w:ascii="Times New Roman" w:hAnsi="Times New Roman"/>
          <w:i/>
          <w:iCs/>
          <w:sz w:val="22"/>
        </w:rPr>
        <w:t>Source : HCP</w:t>
      </w:r>
    </w:p>
    <w:p w:rsidR="006536C2" w:rsidRPr="007E04CF" w:rsidRDefault="00DF65E2" w:rsidP="00D07B41">
      <w:pPr>
        <w:pStyle w:val="Lgende"/>
        <w:rPr>
          <w:rFonts w:asciiTheme="majorBidi" w:hAnsiTheme="majorBidi" w:cstheme="majorBidi"/>
          <w:sz w:val="24"/>
          <w:szCs w:val="24"/>
        </w:rPr>
      </w:pPr>
      <w:bookmarkStart w:id="29" w:name="_Toc68436338"/>
      <w:r w:rsidRPr="00DF65E2">
        <w:rPr>
          <w:rFonts w:ascii="Times New Roman" w:hAnsi="Times New Roman"/>
          <w:sz w:val="22"/>
        </w:rPr>
        <w:t xml:space="preserve">Graphique </w:t>
      </w:r>
      <w:r w:rsidR="00D87627"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D87627" w:rsidRPr="00DF65E2">
        <w:rPr>
          <w:rFonts w:ascii="Times New Roman" w:hAnsi="Times New Roman"/>
          <w:sz w:val="22"/>
        </w:rPr>
        <w:fldChar w:fldCharType="separate"/>
      </w:r>
      <w:r w:rsidR="00794CED">
        <w:rPr>
          <w:rFonts w:ascii="Times New Roman" w:hAnsi="Times New Roman"/>
          <w:noProof/>
          <w:sz w:val="22"/>
        </w:rPr>
        <w:t>4</w:t>
      </w:r>
      <w:r w:rsidR="00D87627"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w:t>
      </w:r>
      <w:r w:rsidR="009755AE">
        <w:rPr>
          <w:rFonts w:ascii="Times New Roman" w:hAnsi="Times New Roman" w:cstheme="majorBidi"/>
          <w:bCs w:val="0"/>
          <w:color w:val="548DD4" w:themeColor="text2" w:themeTint="99"/>
          <w:sz w:val="22"/>
          <w:szCs w:val="24"/>
        </w:rPr>
        <w:t xml:space="preserve">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 Année 20</w:t>
      </w:r>
      <w:r w:rsidR="00601279">
        <w:rPr>
          <w:rFonts w:ascii="Times New Roman" w:hAnsi="Times New Roman" w:cstheme="majorBidi"/>
          <w:bCs w:val="0"/>
          <w:color w:val="548DD4" w:themeColor="text2" w:themeTint="99"/>
          <w:sz w:val="22"/>
          <w:szCs w:val="24"/>
        </w:rPr>
        <w:t>2</w:t>
      </w:r>
      <w:r w:rsidR="00103942">
        <w:rPr>
          <w:rFonts w:ascii="Times New Roman" w:hAnsi="Times New Roman" w:cstheme="majorBidi"/>
          <w:bCs w:val="0"/>
          <w:color w:val="548DD4" w:themeColor="text2" w:themeTint="99"/>
          <w:sz w:val="22"/>
          <w:szCs w:val="24"/>
        </w:rPr>
        <w:t>1</w:t>
      </w:r>
      <w:r w:rsidR="004F39E8" w:rsidRPr="00DF65E2">
        <w:rPr>
          <w:rFonts w:ascii="Times New Roman" w:hAnsi="Times New Roman" w:cstheme="majorBidi"/>
          <w:bCs w:val="0"/>
          <w:color w:val="548DD4" w:themeColor="text2" w:themeTint="99"/>
          <w:sz w:val="22"/>
          <w:szCs w:val="24"/>
        </w:rPr>
        <w:t>-</w:t>
      </w:r>
      <w:bookmarkEnd w:id="29"/>
      <w:r w:rsidR="00103942" w:rsidRPr="00103942">
        <w:rPr>
          <w:rFonts w:asciiTheme="majorBidi" w:hAnsiTheme="majorBidi" w:cstheme="majorBidi"/>
          <w:noProof/>
          <w:sz w:val="24"/>
          <w:szCs w:val="24"/>
          <w:lang w:eastAsia="fr-FR"/>
        </w:rPr>
        <w:drawing>
          <wp:inline distT="0" distB="0" distL="0" distR="0">
            <wp:extent cx="5753100" cy="3095625"/>
            <wp:effectExtent l="19050" t="0" r="19050"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321E1F" w:rsidRDefault="00321E1F" w:rsidP="00B905D9">
      <w:pPr>
        <w:pStyle w:val="Titre2"/>
        <w:rPr>
          <w:rFonts w:asciiTheme="majorBidi" w:hAnsiTheme="majorBidi"/>
          <w:color w:val="0070C0"/>
        </w:rPr>
      </w:pPr>
      <w:bookmarkStart w:id="30" w:name="_Toc68443133"/>
    </w:p>
    <w:p w:rsidR="006F61F8" w:rsidRPr="004F39E8" w:rsidRDefault="006536C2" w:rsidP="00B905D9">
      <w:pPr>
        <w:pStyle w:val="Titre2"/>
        <w:rPr>
          <w:rFonts w:asciiTheme="majorBidi" w:hAnsiTheme="majorBidi"/>
          <w:color w:val="0070C0"/>
          <w:sz w:val="24"/>
          <w:szCs w:val="24"/>
        </w:rPr>
      </w:pPr>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w:t>
      </w:r>
      <w:r w:rsidR="00B905D9">
        <w:rPr>
          <w:rFonts w:asciiTheme="majorBidi" w:hAnsiTheme="majorBidi"/>
          <w:color w:val="0070C0"/>
        </w:rPr>
        <w:t>20</w:t>
      </w:r>
      <w:r w:rsidR="006F61F8" w:rsidRPr="004F39E8">
        <w:rPr>
          <w:rFonts w:asciiTheme="majorBidi" w:hAnsiTheme="majorBidi"/>
          <w:color w:val="0070C0"/>
        </w:rPr>
        <w:t xml:space="preserve"> et 20</w:t>
      </w:r>
      <w:r w:rsidR="00FA6CEF">
        <w:rPr>
          <w:rFonts w:asciiTheme="majorBidi" w:hAnsiTheme="majorBidi"/>
          <w:color w:val="0070C0"/>
        </w:rPr>
        <w:t>2</w:t>
      </w:r>
      <w:bookmarkEnd w:id="30"/>
      <w:r w:rsidR="00B905D9">
        <w:rPr>
          <w:rFonts w:asciiTheme="majorBidi" w:hAnsiTheme="majorBidi"/>
          <w:color w:val="0070C0"/>
        </w:rPr>
        <w:t>1</w:t>
      </w:r>
    </w:p>
    <w:p w:rsidR="00364F79" w:rsidRDefault="00793797" w:rsidP="009C306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w:t>
      </w:r>
      <w:r w:rsidR="00B43C18">
        <w:rPr>
          <w:rFonts w:asciiTheme="majorBidi" w:hAnsiTheme="majorBidi" w:cstheme="majorBidi"/>
          <w:sz w:val="24"/>
          <w:szCs w:val="24"/>
        </w:rPr>
        <w:t>2</w:t>
      </w:r>
      <w:r w:rsidR="009C306E">
        <w:rPr>
          <w:rFonts w:asciiTheme="majorBidi" w:hAnsiTheme="majorBidi" w:cstheme="majorBidi"/>
          <w:sz w:val="24"/>
          <w:szCs w:val="24"/>
        </w:rPr>
        <w:t>1</w:t>
      </w:r>
      <w:r>
        <w:rPr>
          <w:rFonts w:asciiTheme="majorBidi" w:hAnsiTheme="majorBidi" w:cstheme="majorBidi"/>
          <w:sz w:val="24"/>
          <w:szCs w:val="24"/>
        </w:rPr>
        <w:t>,</w:t>
      </w:r>
      <w:r w:rsidR="007E29B6">
        <w:rPr>
          <w:rFonts w:asciiTheme="majorBidi" w:hAnsiTheme="majorBidi" w:cstheme="majorBidi"/>
          <w:sz w:val="24"/>
          <w:szCs w:val="24"/>
        </w:rPr>
        <w:t xml:space="preserve"> l’IPC général de la ville de </w:t>
      </w:r>
      <w:proofErr w:type="spellStart"/>
      <w:r w:rsidR="007E29B6">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xml:space="preserve"> a atteint le niveau</w:t>
      </w:r>
      <w:r w:rsidR="006C0B65">
        <w:rPr>
          <w:rFonts w:asciiTheme="majorBidi" w:hAnsiTheme="majorBidi" w:cstheme="majorBidi"/>
          <w:sz w:val="24"/>
          <w:szCs w:val="24"/>
        </w:rPr>
        <w:t xml:space="preserve"> moyen de </w:t>
      </w:r>
      <w:r>
        <w:rPr>
          <w:rFonts w:asciiTheme="majorBidi" w:hAnsiTheme="majorBidi" w:cstheme="majorBidi"/>
          <w:sz w:val="24"/>
          <w:szCs w:val="24"/>
        </w:rPr>
        <w:t xml:space="preserve"> 1</w:t>
      </w:r>
      <w:r w:rsidR="00B43C18">
        <w:rPr>
          <w:rFonts w:asciiTheme="majorBidi" w:hAnsiTheme="majorBidi" w:cstheme="majorBidi"/>
          <w:sz w:val="24"/>
          <w:szCs w:val="24"/>
        </w:rPr>
        <w:t>0</w:t>
      </w:r>
      <w:r w:rsidR="009C306E">
        <w:rPr>
          <w:rFonts w:asciiTheme="majorBidi" w:hAnsiTheme="majorBidi" w:cstheme="majorBidi"/>
          <w:sz w:val="24"/>
          <w:szCs w:val="24"/>
        </w:rPr>
        <w:t>2</w:t>
      </w:r>
      <w:r w:rsidR="00BB3687">
        <w:rPr>
          <w:rFonts w:asciiTheme="majorBidi" w:hAnsiTheme="majorBidi" w:cstheme="majorBidi"/>
          <w:sz w:val="24"/>
          <w:szCs w:val="24"/>
        </w:rPr>
        <w:t>,</w:t>
      </w:r>
      <w:r w:rsidR="009C306E">
        <w:rPr>
          <w:rFonts w:asciiTheme="majorBidi" w:hAnsiTheme="majorBidi" w:cstheme="majorBidi"/>
          <w:sz w:val="24"/>
          <w:szCs w:val="24"/>
        </w:rPr>
        <w:t>9</w:t>
      </w:r>
      <w:r>
        <w:rPr>
          <w:rFonts w:asciiTheme="majorBidi" w:hAnsiTheme="majorBidi" w:cstheme="majorBidi"/>
          <w:sz w:val="24"/>
          <w:szCs w:val="24"/>
        </w:rPr>
        <w:t>, soit une hausse</w:t>
      </w:r>
      <w:r w:rsidR="0042286B">
        <w:rPr>
          <w:rFonts w:asciiTheme="majorBidi" w:hAnsiTheme="majorBidi" w:cstheme="majorBidi"/>
          <w:sz w:val="24"/>
          <w:szCs w:val="24"/>
        </w:rPr>
        <w:t xml:space="preserve"> </w:t>
      </w:r>
      <w:r w:rsidR="0072565D">
        <w:rPr>
          <w:rFonts w:asciiTheme="majorBidi" w:hAnsiTheme="majorBidi" w:cstheme="majorBidi"/>
          <w:sz w:val="24"/>
          <w:szCs w:val="24"/>
        </w:rPr>
        <w:t xml:space="preserve">de </w:t>
      </w:r>
      <w:r w:rsidR="009C306E">
        <w:rPr>
          <w:rFonts w:asciiTheme="majorBidi" w:hAnsiTheme="majorBidi" w:cstheme="majorBidi"/>
          <w:sz w:val="24"/>
          <w:szCs w:val="24"/>
        </w:rPr>
        <w:t>1</w:t>
      </w:r>
      <w:r>
        <w:rPr>
          <w:rFonts w:asciiTheme="majorBidi" w:hAnsiTheme="majorBidi" w:cstheme="majorBidi"/>
          <w:sz w:val="24"/>
          <w:szCs w:val="24"/>
        </w:rPr>
        <w:t>,</w:t>
      </w:r>
      <w:r w:rsidR="009C306E">
        <w:rPr>
          <w:rFonts w:asciiTheme="majorBidi" w:hAnsiTheme="majorBidi" w:cstheme="majorBidi"/>
          <w:sz w:val="24"/>
          <w:szCs w:val="24"/>
        </w:rPr>
        <w:t>2</w:t>
      </w:r>
      <w:r>
        <w:rPr>
          <w:rFonts w:asciiTheme="majorBidi" w:hAnsiTheme="majorBidi" w:cstheme="majorBidi"/>
          <w:sz w:val="24"/>
          <w:szCs w:val="24"/>
        </w:rPr>
        <w:t>%</w:t>
      </w:r>
      <w:r w:rsidR="00695CE7">
        <w:rPr>
          <w:rFonts w:asciiTheme="majorBidi" w:hAnsiTheme="majorBidi" w:cstheme="majorBidi"/>
          <w:sz w:val="24"/>
          <w:szCs w:val="24"/>
        </w:rPr>
        <w:t xml:space="preserve"> par rapport à l’année 20</w:t>
      </w:r>
      <w:r w:rsidR="009C306E">
        <w:rPr>
          <w:rFonts w:asciiTheme="majorBidi" w:hAnsiTheme="majorBidi" w:cstheme="majorBidi"/>
          <w:sz w:val="24"/>
          <w:szCs w:val="24"/>
        </w:rPr>
        <w:t>20</w:t>
      </w:r>
      <w:r w:rsidR="00695CE7">
        <w:rPr>
          <w:rFonts w:asciiTheme="majorBidi" w:hAnsiTheme="majorBidi" w:cstheme="majorBidi"/>
          <w:sz w:val="24"/>
          <w:szCs w:val="24"/>
        </w:rPr>
        <w:t>,</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sidR="009C306E">
        <w:rPr>
          <w:rFonts w:asciiTheme="majorBidi" w:hAnsiTheme="majorBidi" w:cstheme="majorBidi"/>
          <w:sz w:val="24"/>
          <w:szCs w:val="24"/>
        </w:rPr>
        <w:t>1</w:t>
      </w:r>
      <w:r>
        <w:rPr>
          <w:rFonts w:asciiTheme="majorBidi" w:hAnsiTheme="majorBidi" w:cstheme="majorBidi"/>
          <w:sz w:val="24"/>
          <w:szCs w:val="24"/>
        </w:rPr>
        <w:t>,</w:t>
      </w:r>
      <w:r w:rsidR="009C306E">
        <w:rPr>
          <w:rFonts w:asciiTheme="majorBidi" w:hAnsiTheme="majorBidi" w:cstheme="majorBidi"/>
          <w:sz w:val="24"/>
          <w:szCs w:val="24"/>
        </w:rPr>
        <w:t>4</w:t>
      </w:r>
      <w:r w:rsidR="00B77F31">
        <w:rPr>
          <w:rFonts w:asciiTheme="majorBidi" w:hAnsiTheme="majorBidi" w:cstheme="majorBidi"/>
          <w:sz w:val="24"/>
          <w:szCs w:val="24"/>
        </w:rPr>
        <w:t>% pour  l’indice  national</w:t>
      </w:r>
      <w:r>
        <w:rPr>
          <w:rFonts w:asciiTheme="majorBidi" w:hAnsiTheme="majorBidi" w:cstheme="majorBidi"/>
          <w:sz w:val="24"/>
          <w:szCs w:val="24"/>
        </w:rPr>
        <w:t>.</w:t>
      </w:r>
    </w:p>
    <w:p w:rsidR="00731117" w:rsidRDefault="009C306E" w:rsidP="009C306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w:t>
      </w:r>
      <w:r w:rsidR="00731117">
        <w:rPr>
          <w:rFonts w:asciiTheme="majorBidi" w:hAnsiTheme="majorBidi" w:cstheme="majorBidi"/>
          <w:sz w:val="24"/>
          <w:szCs w:val="24"/>
        </w:rPr>
        <w:t>nivea</w:t>
      </w:r>
      <w:r w:rsidR="0042286B">
        <w:rPr>
          <w:rFonts w:asciiTheme="majorBidi" w:hAnsiTheme="majorBidi" w:cstheme="majorBidi"/>
          <w:sz w:val="24"/>
          <w:szCs w:val="24"/>
        </w:rPr>
        <w:t>u d’inflation se traduit par une hauss</w:t>
      </w:r>
      <w:r w:rsidR="00731117">
        <w:rPr>
          <w:rFonts w:asciiTheme="majorBidi" w:hAnsiTheme="majorBidi" w:cstheme="majorBidi"/>
          <w:sz w:val="24"/>
          <w:szCs w:val="24"/>
        </w:rPr>
        <w:t xml:space="preserve">e de </w:t>
      </w:r>
      <w:r w:rsidR="0042286B">
        <w:rPr>
          <w:rFonts w:asciiTheme="majorBidi" w:hAnsiTheme="majorBidi" w:cstheme="majorBidi"/>
          <w:sz w:val="24"/>
          <w:szCs w:val="24"/>
        </w:rPr>
        <w:t xml:space="preserve">près de </w:t>
      </w:r>
      <w:r>
        <w:rPr>
          <w:rFonts w:asciiTheme="majorBidi" w:hAnsiTheme="majorBidi" w:cstheme="majorBidi"/>
          <w:sz w:val="24"/>
          <w:szCs w:val="24"/>
        </w:rPr>
        <w:t>1</w:t>
      </w:r>
      <w:r w:rsidR="0042286B">
        <w:rPr>
          <w:rFonts w:asciiTheme="majorBidi" w:hAnsiTheme="majorBidi" w:cstheme="majorBidi"/>
          <w:sz w:val="24"/>
          <w:szCs w:val="24"/>
        </w:rPr>
        <w:t xml:space="preserve">,1% de </w:t>
      </w:r>
      <w:r w:rsidR="00731117">
        <w:rPr>
          <w:rFonts w:asciiTheme="majorBidi" w:hAnsiTheme="majorBidi" w:cstheme="majorBidi"/>
          <w:sz w:val="24"/>
          <w:szCs w:val="24"/>
        </w:rPr>
        <w:t>l’indice des produits alimentaire</w:t>
      </w:r>
      <w:r w:rsidR="00304496">
        <w:rPr>
          <w:rFonts w:asciiTheme="majorBidi" w:hAnsiTheme="majorBidi" w:cstheme="majorBidi"/>
          <w:sz w:val="24"/>
          <w:szCs w:val="24"/>
        </w:rPr>
        <w:t>s</w:t>
      </w:r>
      <w:r w:rsidR="00731117">
        <w:rPr>
          <w:rFonts w:asciiTheme="majorBidi" w:hAnsiTheme="majorBidi" w:cstheme="majorBidi"/>
          <w:sz w:val="24"/>
          <w:szCs w:val="24"/>
        </w:rPr>
        <w:t xml:space="preserve"> </w:t>
      </w:r>
      <w:r>
        <w:rPr>
          <w:rFonts w:asciiTheme="majorBidi" w:hAnsiTheme="majorBidi" w:cstheme="majorBidi"/>
          <w:sz w:val="24"/>
          <w:szCs w:val="24"/>
        </w:rPr>
        <w:t>et de 1,4% de celui des</w:t>
      </w:r>
      <w:r w:rsidR="00731117">
        <w:rPr>
          <w:rFonts w:asciiTheme="majorBidi" w:hAnsiTheme="majorBidi" w:cstheme="majorBidi"/>
          <w:sz w:val="24"/>
          <w:szCs w:val="24"/>
        </w:rPr>
        <w:t xml:space="preserve"> produits non alimentaires.</w:t>
      </w:r>
    </w:p>
    <w:p w:rsidR="0083379B" w:rsidRDefault="00BB3687" w:rsidP="0045036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Parmi les douze divisions de l’indice</w:t>
      </w:r>
      <w:r w:rsidR="0072565D">
        <w:rPr>
          <w:rFonts w:asciiTheme="majorBidi" w:hAnsiTheme="majorBidi" w:cstheme="majorBidi"/>
          <w:sz w:val="24"/>
          <w:szCs w:val="24"/>
        </w:rPr>
        <w:t xml:space="preserve"> de la ville de </w:t>
      </w:r>
      <w:proofErr w:type="spellStart"/>
      <w:r w:rsidR="0072565D">
        <w:rPr>
          <w:rFonts w:asciiTheme="majorBidi" w:hAnsiTheme="majorBidi" w:cstheme="majorBidi"/>
          <w:sz w:val="24"/>
          <w:szCs w:val="24"/>
        </w:rPr>
        <w:t>Kénitra</w:t>
      </w:r>
      <w:proofErr w:type="spellEnd"/>
      <w:r>
        <w:rPr>
          <w:rFonts w:asciiTheme="majorBidi" w:hAnsiTheme="majorBidi" w:cstheme="majorBidi"/>
          <w:sz w:val="24"/>
          <w:szCs w:val="24"/>
        </w:rPr>
        <w:t xml:space="preserve">, </w:t>
      </w:r>
      <w:r w:rsidR="009C306E">
        <w:rPr>
          <w:rFonts w:asciiTheme="majorBidi" w:hAnsiTheme="majorBidi" w:cstheme="majorBidi"/>
          <w:sz w:val="24"/>
          <w:szCs w:val="24"/>
        </w:rPr>
        <w:t>neuf</w:t>
      </w:r>
      <w:r>
        <w:rPr>
          <w:rFonts w:asciiTheme="majorBidi" w:hAnsiTheme="majorBidi" w:cstheme="majorBidi"/>
          <w:sz w:val="24"/>
          <w:szCs w:val="24"/>
        </w:rPr>
        <w:t xml:space="preserve"> d’entre elles ont connu des hausses de prix entre 20</w:t>
      </w:r>
      <w:r w:rsidR="009C306E">
        <w:rPr>
          <w:rFonts w:asciiTheme="majorBidi" w:hAnsiTheme="majorBidi" w:cstheme="majorBidi"/>
          <w:sz w:val="24"/>
          <w:szCs w:val="24"/>
        </w:rPr>
        <w:t>20</w:t>
      </w:r>
      <w:r>
        <w:rPr>
          <w:rFonts w:asciiTheme="majorBidi" w:hAnsiTheme="majorBidi" w:cstheme="majorBidi"/>
          <w:sz w:val="24"/>
          <w:szCs w:val="24"/>
        </w:rPr>
        <w:t xml:space="preserve"> et 20</w:t>
      </w:r>
      <w:r w:rsidR="0072565D">
        <w:rPr>
          <w:rFonts w:asciiTheme="majorBidi" w:hAnsiTheme="majorBidi" w:cstheme="majorBidi"/>
          <w:sz w:val="24"/>
          <w:szCs w:val="24"/>
        </w:rPr>
        <w:t>2</w:t>
      </w:r>
      <w:r w:rsidR="009C306E">
        <w:rPr>
          <w:rFonts w:asciiTheme="majorBidi" w:hAnsiTheme="majorBidi" w:cstheme="majorBidi"/>
          <w:sz w:val="24"/>
          <w:szCs w:val="24"/>
        </w:rPr>
        <w:t>1</w:t>
      </w:r>
      <w:r>
        <w:rPr>
          <w:rFonts w:asciiTheme="majorBidi" w:hAnsiTheme="majorBidi" w:cstheme="majorBidi"/>
          <w:sz w:val="24"/>
          <w:szCs w:val="24"/>
        </w:rPr>
        <w:t>,</w:t>
      </w:r>
      <w:r w:rsidR="0072565D">
        <w:rPr>
          <w:rFonts w:asciiTheme="majorBidi" w:hAnsiTheme="majorBidi" w:cstheme="majorBidi"/>
          <w:sz w:val="24"/>
          <w:szCs w:val="24"/>
        </w:rPr>
        <w:t xml:space="preserve"> allant de 0,4% pour</w:t>
      </w:r>
      <w:r>
        <w:rPr>
          <w:rFonts w:asciiTheme="majorBidi" w:hAnsiTheme="majorBidi" w:cstheme="majorBidi"/>
          <w:sz w:val="24"/>
          <w:szCs w:val="24"/>
        </w:rPr>
        <w:t xml:space="preserve"> les</w:t>
      </w:r>
      <w:r w:rsidR="009C306E">
        <w:rPr>
          <w:rFonts w:asciiTheme="majorBidi" w:hAnsiTheme="majorBidi" w:cstheme="majorBidi"/>
          <w:sz w:val="24"/>
          <w:szCs w:val="24"/>
        </w:rPr>
        <w:t xml:space="preserve"> "Restaurants et hôtels</w:t>
      </w:r>
      <w:r w:rsidR="0071084A">
        <w:rPr>
          <w:rFonts w:asciiTheme="majorBidi" w:hAnsiTheme="majorBidi" w:cstheme="majorBidi"/>
          <w:sz w:val="24"/>
          <w:szCs w:val="24"/>
        </w:rPr>
        <w:t>"</w:t>
      </w:r>
      <w:r>
        <w:rPr>
          <w:rFonts w:asciiTheme="majorBidi" w:hAnsiTheme="majorBidi" w:cstheme="majorBidi"/>
          <w:sz w:val="24"/>
          <w:szCs w:val="24"/>
        </w:rPr>
        <w:t xml:space="preserve"> </w:t>
      </w:r>
      <w:r w:rsidR="009C306E">
        <w:rPr>
          <w:rFonts w:asciiTheme="majorBidi" w:hAnsiTheme="majorBidi" w:cstheme="majorBidi"/>
          <w:sz w:val="24"/>
          <w:szCs w:val="24"/>
        </w:rPr>
        <w:t>à 5</w:t>
      </w:r>
      <w:r w:rsidR="0072565D">
        <w:rPr>
          <w:rFonts w:asciiTheme="majorBidi" w:hAnsiTheme="majorBidi" w:cstheme="majorBidi"/>
          <w:sz w:val="24"/>
          <w:szCs w:val="24"/>
        </w:rPr>
        <w:t>,</w:t>
      </w:r>
      <w:r w:rsidR="009C306E">
        <w:rPr>
          <w:rFonts w:asciiTheme="majorBidi" w:hAnsiTheme="majorBidi" w:cstheme="majorBidi"/>
          <w:sz w:val="24"/>
          <w:szCs w:val="24"/>
        </w:rPr>
        <w:t>1</w:t>
      </w:r>
      <w:r w:rsidR="0072565D">
        <w:rPr>
          <w:rFonts w:asciiTheme="majorBidi" w:hAnsiTheme="majorBidi" w:cstheme="majorBidi"/>
          <w:sz w:val="24"/>
          <w:szCs w:val="24"/>
        </w:rPr>
        <w:t xml:space="preserve">% pour </w:t>
      </w:r>
      <w:r w:rsidR="009C306E">
        <w:rPr>
          <w:rFonts w:asciiTheme="majorBidi" w:hAnsiTheme="majorBidi" w:cstheme="majorBidi"/>
          <w:sz w:val="24"/>
          <w:szCs w:val="24"/>
        </w:rPr>
        <w:t xml:space="preserve">les "Transports", tandis que les divisions concernées par la baisse sont : la "Santé" avec </w:t>
      </w:r>
      <w:r w:rsidR="00450366">
        <w:rPr>
          <w:rFonts w:asciiTheme="majorBidi" w:hAnsiTheme="majorBidi" w:cstheme="majorBidi"/>
          <w:sz w:val="24"/>
          <w:szCs w:val="24"/>
        </w:rPr>
        <w:t xml:space="preserve">            </w:t>
      </w:r>
      <w:r w:rsidR="009C306E">
        <w:rPr>
          <w:rFonts w:asciiTheme="majorBidi" w:hAnsiTheme="majorBidi" w:cstheme="majorBidi"/>
          <w:sz w:val="24"/>
          <w:szCs w:val="24"/>
        </w:rPr>
        <w:t>(-0,3%), les "Communications" avec (-0,1%)</w:t>
      </w:r>
      <w:r w:rsidR="0071084A">
        <w:rPr>
          <w:rFonts w:asciiTheme="majorBidi" w:hAnsiTheme="majorBidi" w:cstheme="majorBidi"/>
          <w:sz w:val="24"/>
          <w:szCs w:val="24"/>
        </w:rPr>
        <w:t xml:space="preserve"> et les "Loisirs et culture" avec (-1%).</w:t>
      </w:r>
      <w:r w:rsidR="009C306E">
        <w:rPr>
          <w:rFonts w:asciiTheme="majorBidi" w:hAnsiTheme="majorBidi" w:cstheme="majorBidi"/>
          <w:sz w:val="24"/>
          <w:szCs w:val="24"/>
        </w:rPr>
        <w:t xml:space="preserve"> </w:t>
      </w:r>
    </w:p>
    <w:p w:rsidR="00BB3687" w:rsidRDefault="0083379B" w:rsidP="0071084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Pour l’ense</w:t>
      </w:r>
      <w:r w:rsidR="0071084A">
        <w:rPr>
          <w:rFonts w:asciiTheme="majorBidi" w:hAnsiTheme="majorBidi" w:cstheme="majorBidi"/>
          <w:sz w:val="24"/>
          <w:szCs w:val="24"/>
        </w:rPr>
        <w:t>mble des dix-huit villes, seule la</w:t>
      </w:r>
      <w:r>
        <w:rPr>
          <w:rFonts w:asciiTheme="majorBidi" w:hAnsiTheme="majorBidi" w:cstheme="majorBidi"/>
          <w:sz w:val="24"/>
          <w:szCs w:val="24"/>
        </w:rPr>
        <w:t xml:space="preserve"> division</w:t>
      </w:r>
      <w:r w:rsidR="0071084A">
        <w:rPr>
          <w:rFonts w:asciiTheme="majorBidi" w:hAnsiTheme="majorBidi" w:cstheme="majorBidi"/>
          <w:sz w:val="24"/>
          <w:szCs w:val="24"/>
        </w:rPr>
        <w:t xml:space="preserve"> des "Communications"</w:t>
      </w:r>
      <w:r>
        <w:rPr>
          <w:rFonts w:asciiTheme="majorBidi" w:hAnsiTheme="majorBidi" w:cstheme="majorBidi"/>
          <w:sz w:val="24"/>
          <w:szCs w:val="24"/>
        </w:rPr>
        <w:t xml:space="preserve"> </w:t>
      </w:r>
      <w:r w:rsidR="0071084A">
        <w:rPr>
          <w:rFonts w:asciiTheme="majorBidi" w:hAnsiTheme="majorBidi" w:cstheme="majorBidi"/>
          <w:sz w:val="24"/>
          <w:szCs w:val="24"/>
        </w:rPr>
        <w:t>a</w:t>
      </w:r>
      <w:r>
        <w:rPr>
          <w:rFonts w:asciiTheme="majorBidi" w:hAnsiTheme="majorBidi" w:cstheme="majorBidi"/>
          <w:sz w:val="24"/>
          <w:szCs w:val="24"/>
        </w:rPr>
        <w:t xml:space="preserve"> connu une décélération des prix entre 20</w:t>
      </w:r>
      <w:r w:rsidR="0071084A">
        <w:rPr>
          <w:rFonts w:asciiTheme="majorBidi" w:hAnsiTheme="majorBidi" w:cstheme="majorBidi"/>
          <w:sz w:val="24"/>
          <w:szCs w:val="24"/>
        </w:rPr>
        <w:t>20</w:t>
      </w:r>
      <w:r>
        <w:rPr>
          <w:rFonts w:asciiTheme="majorBidi" w:hAnsiTheme="majorBidi" w:cstheme="majorBidi"/>
          <w:sz w:val="24"/>
          <w:szCs w:val="24"/>
        </w:rPr>
        <w:t xml:space="preserve"> et 202</w:t>
      </w:r>
      <w:r w:rsidR="0071084A">
        <w:rPr>
          <w:rFonts w:asciiTheme="majorBidi" w:hAnsiTheme="majorBidi" w:cstheme="majorBidi"/>
          <w:sz w:val="24"/>
          <w:szCs w:val="24"/>
        </w:rPr>
        <w:t xml:space="preserve">1 </w:t>
      </w:r>
      <w:r>
        <w:rPr>
          <w:rFonts w:asciiTheme="majorBidi" w:hAnsiTheme="majorBidi" w:cstheme="majorBidi"/>
          <w:sz w:val="24"/>
          <w:szCs w:val="24"/>
        </w:rPr>
        <w:t>avec (-</w:t>
      </w:r>
      <w:r w:rsidR="0071084A">
        <w:rPr>
          <w:rFonts w:asciiTheme="majorBidi" w:hAnsiTheme="majorBidi" w:cstheme="majorBidi"/>
          <w:sz w:val="24"/>
          <w:szCs w:val="24"/>
        </w:rPr>
        <w:t>0,2</w:t>
      </w:r>
      <w:r>
        <w:rPr>
          <w:rFonts w:asciiTheme="majorBidi" w:hAnsiTheme="majorBidi" w:cstheme="majorBidi"/>
          <w:sz w:val="24"/>
          <w:szCs w:val="24"/>
        </w:rPr>
        <w:t>%)</w:t>
      </w:r>
      <w:r w:rsidR="0071084A">
        <w:rPr>
          <w:rFonts w:asciiTheme="majorBidi" w:hAnsiTheme="majorBidi" w:cstheme="majorBidi"/>
          <w:sz w:val="24"/>
          <w:szCs w:val="24"/>
        </w:rPr>
        <w:t>.</w:t>
      </w:r>
      <w:r>
        <w:rPr>
          <w:rFonts w:asciiTheme="majorBidi" w:hAnsiTheme="majorBidi" w:cstheme="majorBidi"/>
          <w:sz w:val="24"/>
          <w:szCs w:val="24"/>
        </w:rPr>
        <w:t xml:space="preserve"> </w:t>
      </w:r>
      <w:r w:rsidR="0071084A">
        <w:rPr>
          <w:rFonts w:asciiTheme="majorBidi" w:hAnsiTheme="majorBidi" w:cstheme="majorBidi"/>
          <w:sz w:val="24"/>
          <w:szCs w:val="24"/>
        </w:rPr>
        <w:t xml:space="preserve">Les autres divisions ont évolué </w:t>
      </w:r>
      <w:r w:rsidR="00450366">
        <w:rPr>
          <w:rFonts w:asciiTheme="majorBidi" w:hAnsiTheme="majorBidi" w:cstheme="majorBidi"/>
          <w:sz w:val="24"/>
          <w:szCs w:val="24"/>
        </w:rPr>
        <w:t xml:space="preserve">positivement </w:t>
      </w:r>
      <w:r w:rsidR="0071084A">
        <w:rPr>
          <w:rFonts w:asciiTheme="majorBidi" w:hAnsiTheme="majorBidi" w:cstheme="majorBidi"/>
          <w:sz w:val="24"/>
          <w:szCs w:val="24"/>
        </w:rPr>
        <w:t xml:space="preserve">de 0,1% pour la </w:t>
      </w:r>
      <w:r w:rsidR="00157959">
        <w:rPr>
          <w:rFonts w:asciiTheme="majorBidi" w:hAnsiTheme="majorBidi" w:cstheme="majorBidi"/>
          <w:sz w:val="24"/>
          <w:szCs w:val="24"/>
        </w:rPr>
        <w:t>"</w:t>
      </w:r>
      <w:r w:rsidR="0071084A">
        <w:rPr>
          <w:rFonts w:asciiTheme="majorBidi" w:hAnsiTheme="majorBidi" w:cstheme="majorBidi"/>
          <w:sz w:val="24"/>
          <w:szCs w:val="24"/>
        </w:rPr>
        <w:t>Santé</w:t>
      </w:r>
      <w:r w:rsidR="00157959">
        <w:rPr>
          <w:rFonts w:asciiTheme="majorBidi" w:hAnsiTheme="majorBidi" w:cstheme="majorBidi"/>
          <w:sz w:val="24"/>
          <w:szCs w:val="24"/>
        </w:rPr>
        <w:t>"</w:t>
      </w:r>
      <w:r w:rsidR="0071084A">
        <w:rPr>
          <w:rFonts w:asciiTheme="majorBidi" w:hAnsiTheme="majorBidi" w:cstheme="majorBidi"/>
          <w:sz w:val="24"/>
          <w:szCs w:val="24"/>
        </w:rPr>
        <w:t xml:space="preserve"> à 5,9%  pour les </w:t>
      </w:r>
      <w:r w:rsidR="00157959">
        <w:rPr>
          <w:rFonts w:asciiTheme="majorBidi" w:hAnsiTheme="majorBidi" w:cstheme="majorBidi"/>
          <w:sz w:val="24"/>
          <w:szCs w:val="24"/>
        </w:rPr>
        <w:t>"</w:t>
      </w:r>
      <w:r w:rsidR="0071084A">
        <w:rPr>
          <w:rFonts w:asciiTheme="majorBidi" w:hAnsiTheme="majorBidi" w:cstheme="majorBidi"/>
          <w:sz w:val="24"/>
          <w:szCs w:val="24"/>
        </w:rPr>
        <w:t>Transports</w:t>
      </w:r>
      <w:r w:rsidR="00157959">
        <w:rPr>
          <w:rFonts w:asciiTheme="majorBidi" w:hAnsiTheme="majorBidi" w:cstheme="majorBidi"/>
          <w:sz w:val="24"/>
          <w:szCs w:val="24"/>
        </w:rPr>
        <w:t>".</w:t>
      </w:r>
    </w:p>
    <w:p w:rsidR="007E2973" w:rsidRDefault="00DF65E2" w:rsidP="00B905D9">
      <w:pPr>
        <w:pStyle w:val="Lgende"/>
        <w:rPr>
          <w:rFonts w:asciiTheme="majorBidi" w:eastAsia="Times New Roman" w:hAnsiTheme="majorBidi" w:cstheme="majorBidi"/>
          <w:sz w:val="22"/>
          <w:szCs w:val="22"/>
          <w:lang w:eastAsia="fr-FR"/>
        </w:rPr>
      </w:pPr>
      <w:bookmarkStart w:id="31" w:name="_Toc68436332"/>
      <w:r w:rsidRPr="00181E8D">
        <w:rPr>
          <w:rFonts w:asciiTheme="majorBidi" w:hAnsiTheme="majorBidi" w:cstheme="majorBidi"/>
          <w:sz w:val="22"/>
          <w:szCs w:val="22"/>
        </w:rPr>
        <w:t xml:space="preserve">Tableau </w:t>
      </w:r>
      <w:r w:rsidR="00D87627"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D87627" w:rsidRPr="00181E8D">
        <w:rPr>
          <w:rFonts w:asciiTheme="majorBidi" w:hAnsiTheme="majorBidi" w:cstheme="majorBidi"/>
          <w:sz w:val="22"/>
          <w:szCs w:val="22"/>
        </w:rPr>
        <w:fldChar w:fldCharType="separate"/>
      </w:r>
      <w:r w:rsidR="00794CED">
        <w:rPr>
          <w:rFonts w:asciiTheme="majorBidi" w:hAnsiTheme="majorBidi" w:cstheme="majorBidi"/>
          <w:noProof/>
          <w:sz w:val="22"/>
          <w:szCs w:val="22"/>
        </w:rPr>
        <w:t>6</w:t>
      </w:r>
      <w:r w:rsidR="00D87627"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w:t>
      </w:r>
      <w:r w:rsidR="00FA6CEF">
        <w:rPr>
          <w:rFonts w:asciiTheme="majorBidi" w:eastAsia="Times New Roman" w:hAnsiTheme="majorBidi" w:cstheme="majorBidi"/>
          <w:sz w:val="22"/>
          <w:szCs w:val="22"/>
          <w:lang w:eastAsia="fr-FR"/>
        </w:rPr>
        <w:t>17</w:t>
      </w:r>
      <w:r w:rsidR="007E2973" w:rsidRPr="00181E8D">
        <w:rPr>
          <w:rFonts w:asciiTheme="majorBidi" w:eastAsia="Times New Roman" w:hAnsiTheme="majorBidi" w:cstheme="majorBidi"/>
          <w:sz w:val="22"/>
          <w:szCs w:val="22"/>
          <w:lang w:eastAsia="fr-FR"/>
        </w:rPr>
        <w:t>) par division entre 20</w:t>
      </w:r>
      <w:r w:rsidR="00B905D9">
        <w:rPr>
          <w:rFonts w:asciiTheme="majorBidi" w:eastAsia="Times New Roman" w:hAnsiTheme="majorBidi" w:cstheme="majorBidi"/>
          <w:sz w:val="22"/>
          <w:szCs w:val="22"/>
          <w:lang w:eastAsia="fr-FR"/>
        </w:rPr>
        <w:t xml:space="preserve">20 </w:t>
      </w:r>
      <w:r w:rsidR="007E2973" w:rsidRPr="00181E8D">
        <w:rPr>
          <w:rFonts w:asciiTheme="majorBidi" w:eastAsia="Times New Roman" w:hAnsiTheme="majorBidi" w:cstheme="majorBidi"/>
          <w:sz w:val="22"/>
          <w:szCs w:val="22"/>
          <w:lang w:eastAsia="fr-FR"/>
        </w:rPr>
        <w:t>et 20</w:t>
      </w:r>
      <w:r w:rsidR="00FA6CEF">
        <w:rPr>
          <w:rFonts w:asciiTheme="majorBidi" w:eastAsia="Times New Roman" w:hAnsiTheme="majorBidi" w:cstheme="majorBidi"/>
          <w:sz w:val="22"/>
          <w:szCs w:val="22"/>
          <w:lang w:eastAsia="fr-FR"/>
        </w:rPr>
        <w:t>2</w:t>
      </w:r>
      <w:bookmarkEnd w:id="31"/>
      <w:r w:rsidR="00B905D9">
        <w:rPr>
          <w:rFonts w:asciiTheme="majorBidi" w:eastAsia="Times New Roman" w:hAnsiTheme="majorBidi" w:cstheme="majorBidi"/>
          <w:sz w:val="22"/>
          <w:szCs w:val="22"/>
          <w:lang w:eastAsia="fr-FR"/>
        </w:rPr>
        <w:t>1</w:t>
      </w:r>
    </w:p>
    <w:tbl>
      <w:tblPr>
        <w:tblW w:w="5000" w:type="pct"/>
        <w:tblCellMar>
          <w:left w:w="70" w:type="dxa"/>
          <w:right w:w="70" w:type="dxa"/>
        </w:tblCellMar>
        <w:tblLook w:val="04A0"/>
      </w:tblPr>
      <w:tblGrid>
        <w:gridCol w:w="4312"/>
        <w:gridCol w:w="846"/>
        <w:gridCol w:w="846"/>
        <w:gridCol w:w="947"/>
        <w:gridCol w:w="763"/>
        <w:gridCol w:w="761"/>
        <w:gridCol w:w="879"/>
      </w:tblGrid>
      <w:tr w:rsidR="00B905D9" w:rsidRPr="00B905D9" w:rsidTr="00B905D9">
        <w:trPr>
          <w:trHeight w:val="315"/>
        </w:trPr>
        <w:tc>
          <w:tcPr>
            <w:tcW w:w="2305" w:type="pct"/>
            <w:vMerge w:val="restart"/>
            <w:tcBorders>
              <w:top w:val="single" w:sz="8" w:space="0" w:color="auto"/>
              <w:left w:val="nil"/>
              <w:bottom w:val="single" w:sz="8" w:space="0" w:color="000000"/>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INDICE PAR DIVISION</w:t>
            </w:r>
          </w:p>
        </w:tc>
        <w:tc>
          <w:tcPr>
            <w:tcW w:w="1409" w:type="pct"/>
            <w:gridSpan w:val="3"/>
            <w:tcBorders>
              <w:top w:val="single" w:sz="8" w:space="0" w:color="auto"/>
              <w:left w:val="nil"/>
              <w:bottom w:val="single" w:sz="8" w:space="0" w:color="auto"/>
              <w:right w:val="nil"/>
            </w:tcBorders>
            <w:shd w:val="clear" w:color="000000" w:fill="A5A5A5"/>
            <w:noWrap/>
            <w:vAlign w:val="bottom"/>
            <w:hideMark/>
          </w:tcPr>
          <w:p w:rsidR="00B905D9" w:rsidRPr="00B905D9" w:rsidRDefault="00B905D9" w:rsidP="00B905D9">
            <w:pPr>
              <w:spacing w:after="0" w:line="240" w:lineRule="auto"/>
              <w:jc w:val="center"/>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KENITRA</w:t>
            </w:r>
          </w:p>
        </w:tc>
        <w:tc>
          <w:tcPr>
            <w:tcW w:w="1286" w:type="pct"/>
            <w:gridSpan w:val="3"/>
            <w:tcBorders>
              <w:top w:val="single" w:sz="8" w:space="0" w:color="auto"/>
              <w:left w:val="nil"/>
              <w:bottom w:val="single" w:sz="8" w:space="0" w:color="auto"/>
              <w:right w:val="nil"/>
            </w:tcBorders>
            <w:shd w:val="clear" w:color="000000" w:fill="A5A5A5"/>
            <w:noWrap/>
            <w:vAlign w:val="bottom"/>
            <w:hideMark/>
          </w:tcPr>
          <w:p w:rsidR="00B905D9" w:rsidRPr="00B905D9" w:rsidRDefault="00B905D9" w:rsidP="00B905D9">
            <w:pPr>
              <w:spacing w:after="0" w:line="240" w:lineRule="auto"/>
              <w:jc w:val="center"/>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MAROC</w:t>
            </w:r>
          </w:p>
        </w:tc>
      </w:tr>
      <w:tr w:rsidR="00B905D9" w:rsidRPr="00B905D9" w:rsidTr="00B905D9">
        <w:trPr>
          <w:trHeight w:val="585"/>
        </w:trPr>
        <w:tc>
          <w:tcPr>
            <w:tcW w:w="2305" w:type="pct"/>
            <w:vMerge/>
            <w:tcBorders>
              <w:top w:val="single" w:sz="8" w:space="0" w:color="auto"/>
              <w:left w:val="nil"/>
              <w:bottom w:val="single" w:sz="8" w:space="0" w:color="000000"/>
              <w:right w:val="nil"/>
            </w:tcBorders>
            <w:vAlign w:val="center"/>
            <w:hideMark/>
          </w:tcPr>
          <w:p w:rsidR="00B905D9" w:rsidRPr="00B905D9" w:rsidRDefault="00B905D9" w:rsidP="00B905D9">
            <w:pPr>
              <w:spacing w:after="0" w:line="240" w:lineRule="auto"/>
              <w:rPr>
                <w:rFonts w:ascii="Times New Roman" w:eastAsia="Times New Roman" w:hAnsi="Times New Roman" w:cs="Times New Roman"/>
                <w:b/>
                <w:bCs/>
                <w:lang w:eastAsia="fr-FR"/>
              </w:rPr>
            </w:pPr>
          </w:p>
        </w:tc>
        <w:tc>
          <w:tcPr>
            <w:tcW w:w="452"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2020</w:t>
            </w:r>
          </w:p>
        </w:tc>
        <w:tc>
          <w:tcPr>
            <w:tcW w:w="452"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2021</w:t>
            </w:r>
          </w:p>
        </w:tc>
        <w:tc>
          <w:tcPr>
            <w:tcW w:w="506" w:type="pct"/>
            <w:tcBorders>
              <w:top w:val="nil"/>
              <w:left w:val="nil"/>
              <w:bottom w:val="single" w:sz="8" w:space="0" w:color="auto"/>
              <w:right w:val="nil"/>
            </w:tcBorders>
            <w:shd w:val="clear" w:color="000000" w:fill="A5A5A5"/>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 xml:space="preserve">   var (%)                                                                                   </w:t>
            </w:r>
          </w:p>
        </w:tc>
        <w:tc>
          <w:tcPr>
            <w:tcW w:w="408"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2020</w:t>
            </w:r>
          </w:p>
        </w:tc>
        <w:tc>
          <w:tcPr>
            <w:tcW w:w="407"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2021</w:t>
            </w:r>
          </w:p>
        </w:tc>
        <w:tc>
          <w:tcPr>
            <w:tcW w:w="471" w:type="pct"/>
            <w:tcBorders>
              <w:top w:val="nil"/>
              <w:left w:val="nil"/>
              <w:bottom w:val="single" w:sz="8" w:space="0" w:color="auto"/>
              <w:right w:val="nil"/>
            </w:tcBorders>
            <w:shd w:val="clear" w:color="000000" w:fill="A5A5A5"/>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 xml:space="preserve">   var (%)                                                                                   </w:t>
            </w:r>
          </w:p>
        </w:tc>
      </w:tr>
      <w:tr w:rsidR="00B905D9" w:rsidRPr="00B905D9" w:rsidTr="00B905D9">
        <w:trPr>
          <w:trHeight w:val="46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01. PRODUITS ALIMENTAIRES ET BOISSONS NON ALCOOLISÉES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99,1</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100,1</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0,96</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101,6</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102,2</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sz w:val="20"/>
                <w:szCs w:val="20"/>
                <w:lang w:eastAsia="fr-FR"/>
              </w:rPr>
            </w:pPr>
            <w:r w:rsidRPr="00B905D9">
              <w:rPr>
                <w:rFonts w:ascii="Times New Roman" w:eastAsia="Times New Roman" w:hAnsi="Times New Roman" w:cs="Times New Roman"/>
                <w:sz w:val="20"/>
                <w:szCs w:val="20"/>
                <w:lang w:eastAsia="fr-FR"/>
              </w:rPr>
              <w:t>0,6</w:t>
            </w:r>
          </w:p>
        </w:tc>
      </w:tr>
      <w:tr w:rsidR="00B905D9" w:rsidRPr="00B905D9" w:rsidTr="00B905D9">
        <w:trPr>
          <w:trHeight w:val="330"/>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02. BOISSONS ALCOOLISÉES, TABAC ET STUPÉFIANTS</w:t>
            </w:r>
          </w:p>
        </w:tc>
        <w:tc>
          <w:tcPr>
            <w:tcW w:w="452"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120,9</w:t>
            </w:r>
          </w:p>
        </w:tc>
        <w:tc>
          <w:tcPr>
            <w:tcW w:w="452"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124,9</w:t>
            </w:r>
          </w:p>
        </w:tc>
        <w:tc>
          <w:tcPr>
            <w:tcW w:w="506"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3,3</w:t>
            </w:r>
          </w:p>
        </w:tc>
        <w:tc>
          <w:tcPr>
            <w:tcW w:w="408"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121,2</w:t>
            </w:r>
          </w:p>
        </w:tc>
        <w:tc>
          <w:tcPr>
            <w:tcW w:w="407"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125,5</w:t>
            </w:r>
          </w:p>
        </w:tc>
        <w:tc>
          <w:tcPr>
            <w:tcW w:w="471"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3,5</w:t>
            </w:r>
          </w:p>
        </w:tc>
      </w:tr>
      <w:tr w:rsidR="00B905D9" w:rsidRPr="00B905D9" w:rsidTr="00B905D9">
        <w:trPr>
          <w:trHeight w:val="330"/>
        </w:trPr>
        <w:tc>
          <w:tcPr>
            <w:tcW w:w="2305" w:type="pct"/>
            <w:tcBorders>
              <w:top w:val="single" w:sz="8" w:space="0" w:color="auto"/>
              <w:bottom w:val="single" w:sz="8" w:space="0" w:color="auto"/>
              <w:right w:val="nil"/>
            </w:tcBorders>
            <w:shd w:val="clear" w:color="000000" w:fill="FFFFFF"/>
            <w:vAlign w:val="bottom"/>
            <w:hideMark/>
          </w:tcPr>
          <w:p w:rsidR="00B905D9" w:rsidRPr="00B905D9" w:rsidRDefault="00B905D9" w:rsidP="00B905D9">
            <w:pPr>
              <w:spacing w:after="0" w:line="240" w:lineRule="auto"/>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Indices des Produits alimentaires</w:t>
            </w:r>
          </w:p>
        </w:tc>
        <w:tc>
          <w:tcPr>
            <w:tcW w:w="452"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99,9</w:t>
            </w:r>
          </w:p>
        </w:tc>
        <w:tc>
          <w:tcPr>
            <w:tcW w:w="452"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100,9</w:t>
            </w:r>
          </w:p>
        </w:tc>
        <w:tc>
          <w:tcPr>
            <w:tcW w:w="506"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1,1</w:t>
            </w:r>
          </w:p>
        </w:tc>
        <w:tc>
          <w:tcPr>
            <w:tcW w:w="408"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102,3</w:t>
            </w:r>
          </w:p>
        </w:tc>
        <w:tc>
          <w:tcPr>
            <w:tcW w:w="407"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103,0</w:t>
            </w:r>
          </w:p>
        </w:tc>
        <w:tc>
          <w:tcPr>
            <w:tcW w:w="471"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0,7</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03. ARTICLES D'HABILLEMENT ET CHAUSSURES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104,7</w:t>
            </w:r>
          </w:p>
        </w:tc>
        <w:tc>
          <w:tcPr>
            <w:tcW w:w="452" w:type="pct"/>
            <w:tcBorders>
              <w:top w:val="single" w:sz="8" w:space="0" w:color="auto"/>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106,3</w:t>
            </w:r>
          </w:p>
        </w:tc>
        <w:tc>
          <w:tcPr>
            <w:tcW w:w="506" w:type="pct"/>
            <w:tcBorders>
              <w:top w:val="single" w:sz="8" w:space="0" w:color="auto"/>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1,5</w:t>
            </w:r>
          </w:p>
        </w:tc>
        <w:tc>
          <w:tcPr>
            <w:tcW w:w="408" w:type="pct"/>
            <w:tcBorders>
              <w:top w:val="single" w:sz="8" w:space="0" w:color="auto"/>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102,7</w:t>
            </w:r>
          </w:p>
        </w:tc>
        <w:tc>
          <w:tcPr>
            <w:tcW w:w="407" w:type="pct"/>
            <w:tcBorders>
              <w:top w:val="single" w:sz="8" w:space="0" w:color="auto"/>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104,7</w:t>
            </w:r>
          </w:p>
        </w:tc>
        <w:tc>
          <w:tcPr>
            <w:tcW w:w="471" w:type="pct"/>
            <w:tcBorders>
              <w:top w:val="single" w:sz="8" w:space="0" w:color="auto"/>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2,0</w:t>
            </w:r>
          </w:p>
        </w:tc>
      </w:tr>
      <w:tr w:rsidR="00B905D9" w:rsidRPr="00B905D9" w:rsidTr="00B905D9">
        <w:trPr>
          <w:trHeight w:val="46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04. LOGEMENT, EAU, GAZ, ELECTRICITE ET AUTRES COMBUSTIBLES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102,6</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103,1</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0,5</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101,8</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102,6</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0,8</w:t>
            </w:r>
          </w:p>
        </w:tc>
      </w:tr>
      <w:tr w:rsidR="00B905D9" w:rsidRPr="00B905D9" w:rsidTr="00B905D9">
        <w:trPr>
          <w:trHeight w:val="46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05. MEUBLES, ARTICLES DE MENAGE ET ENTRETIEN COURANT DU FOYER</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101,7</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103,4</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1,7</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100,8</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101,9</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1,1</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06. SANTÉ</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99,6</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99,3</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-0,3</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101,6</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101,8</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0,1</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07. TRANSPORTS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101,1</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106,2</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5,1</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100,8</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106,7</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5,9</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08. COMMUNICATIONS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106,5</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106,4</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-0,1</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103,9</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103,7</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-0,2</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09. LOISIRS ET CULTURE</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99,4</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98,4</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99,4</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100,2</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0,8</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10. ENSEIGNEMENT</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111,0</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111,0</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0,0</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109,1</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110,8</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1,6</w:t>
            </w:r>
          </w:p>
        </w:tc>
      </w:tr>
      <w:tr w:rsidR="00B905D9" w:rsidRPr="00B905D9" w:rsidTr="00B905D9">
        <w:trPr>
          <w:trHeight w:val="315"/>
        </w:trPr>
        <w:tc>
          <w:tcPr>
            <w:tcW w:w="2305" w:type="pct"/>
            <w:tcBorders>
              <w:top w:val="nil"/>
              <w:left w:val="nil"/>
              <w:bottom w:val="nil"/>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11. RESTAURANTS ET HÔTELS</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105,0</w:t>
            </w:r>
          </w:p>
        </w:tc>
        <w:tc>
          <w:tcPr>
            <w:tcW w:w="452"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105,5</w:t>
            </w:r>
          </w:p>
        </w:tc>
        <w:tc>
          <w:tcPr>
            <w:tcW w:w="506"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0,4</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103,6</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104,6</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w:t>
            </w:r>
          </w:p>
        </w:tc>
      </w:tr>
      <w:tr w:rsidR="00B905D9" w:rsidRPr="00B905D9" w:rsidTr="00B905D9">
        <w:trPr>
          <w:trHeight w:val="330"/>
        </w:trPr>
        <w:tc>
          <w:tcPr>
            <w:tcW w:w="2305" w:type="pct"/>
            <w:tcBorders>
              <w:top w:val="nil"/>
              <w:left w:val="nil"/>
              <w:bottom w:val="single" w:sz="8" w:space="0" w:color="auto"/>
              <w:right w:val="nil"/>
            </w:tcBorders>
            <w:shd w:val="clear" w:color="auto" w:fill="auto"/>
            <w:vAlign w:val="bottom"/>
            <w:hideMark/>
          </w:tcPr>
          <w:p w:rsidR="00B905D9" w:rsidRPr="00B905D9" w:rsidRDefault="00B905D9" w:rsidP="00B905D9">
            <w:pPr>
              <w:spacing w:after="0" w:line="240" w:lineRule="auto"/>
              <w:rPr>
                <w:rFonts w:ascii="Times New Roman" w:eastAsia="Times New Roman" w:hAnsi="Times New Roman" w:cs="Times New Roman"/>
                <w:sz w:val="16"/>
                <w:szCs w:val="16"/>
                <w:lang w:eastAsia="fr-FR"/>
              </w:rPr>
            </w:pPr>
            <w:r w:rsidRPr="00B905D9">
              <w:rPr>
                <w:rFonts w:ascii="Times New Roman" w:eastAsia="Times New Roman" w:hAnsi="Times New Roman" w:cs="Times New Roman"/>
                <w:sz w:val="16"/>
                <w:szCs w:val="16"/>
                <w:lang w:eastAsia="fr-FR"/>
              </w:rPr>
              <w:t>12. BIENS ET SERVICES DIVERS</w:t>
            </w:r>
          </w:p>
        </w:tc>
        <w:tc>
          <w:tcPr>
            <w:tcW w:w="452"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103,2</w:t>
            </w:r>
          </w:p>
        </w:tc>
        <w:tc>
          <w:tcPr>
            <w:tcW w:w="452"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105,6</w:t>
            </w:r>
          </w:p>
        </w:tc>
        <w:tc>
          <w:tcPr>
            <w:tcW w:w="506" w:type="pct"/>
            <w:tcBorders>
              <w:top w:val="nil"/>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2,3</w:t>
            </w:r>
          </w:p>
        </w:tc>
        <w:tc>
          <w:tcPr>
            <w:tcW w:w="408"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104,0</w:t>
            </w:r>
          </w:p>
        </w:tc>
        <w:tc>
          <w:tcPr>
            <w:tcW w:w="407"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106,4</w:t>
            </w:r>
          </w:p>
        </w:tc>
        <w:tc>
          <w:tcPr>
            <w:tcW w:w="471" w:type="pct"/>
            <w:tcBorders>
              <w:top w:val="nil"/>
              <w:left w:val="nil"/>
              <w:bottom w:val="nil"/>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color w:val="000000"/>
                <w:sz w:val="20"/>
                <w:szCs w:val="20"/>
                <w:lang w:eastAsia="fr-FR"/>
              </w:rPr>
            </w:pPr>
            <w:r w:rsidRPr="00B905D9">
              <w:rPr>
                <w:rFonts w:ascii="Times New Roman" w:eastAsia="Times New Roman" w:hAnsi="Times New Roman" w:cs="Times New Roman"/>
                <w:color w:val="000000"/>
                <w:sz w:val="20"/>
                <w:szCs w:val="20"/>
                <w:lang w:eastAsia="fr-FR"/>
              </w:rPr>
              <w:t>2,3</w:t>
            </w:r>
          </w:p>
        </w:tc>
      </w:tr>
      <w:tr w:rsidR="00B905D9" w:rsidRPr="00B905D9" w:rsidTr="00B905D9">
        <w:trPr>
          <w:trHeight w:val="330"/>
        </w:trPr>
        <w:tc>
          <w:tcPr>
            <w:tcW w:w="2305" w:type="pct"/>
            <w:tcBorders>
              <w:top w:val="nil"/>
              <w:bottom w:val="single" w:sz="8" w:space="0" w:color="auto"/>
              <w:right w:val="nil"/>
            </w:tcBorders>
            <w:shd w:val="clear" w:color="000000" w:fill="FFFFFF"/>
            <w:vAlign w:val="bottom"/>
            <w:hideMark/>
          </w:tcPr>
          <w:p w:rsidR="00B905D9" w:rsidRPr="00B905D9" w:rsidRDefault="00B905D9" w:rsidP="00B905D9">
            <w:pPr>
              <w:spacing w:after="0" w:line="240" w:lineRule="auto"/>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Indices des Produits non alimentaires</w:t>
            </w:r>
          </w:p>
        </w:tc>
        <w:tc>
          <w:tcPr>
            <w:tcW w:w="452"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102,9</w:t>
            </w:r>
          </w:p>
        </w:tc>
        <w:tc>
          <w:tcPr>
            <w:tcW w:w="452"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104,4</w:t>
            </w:r>
          </w:p>
        </w:tc>
        <w:tc>
          <w:tcPr>
            <w:tcW w:w="506"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1,4</w:t>
            </w:r>
          </w:p>
        </w:tc>
        <w:tc>
          <w:tcPr>
            <w:tcW w:w="408"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102,6</w:t>
            </w:r>
          </w:p>
        </w:tc>
        <w:tc>
          <w:tcPr>
            <w:tcW w:w="407"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104,6</w:t>
            </w:r>
          </w:p>
        </w:tc>
        <w:tc>
          <w:tcPr>
            <w:tcW w:w="471" w:type="pct"/>
            <w:tcBorders>
              <w:top w:val="single" w:sz="8" w:space="0" w:color="auto"/>
              <w:left w:val="nil"/>
              <w:bottom w:val="single" w:sz="8" w:space="0" w:color="auto"/>
              <w:right w:val="nil"/>
            </w:tcBorders>
            <w:shd w:val="clear" w:color="auto" w:fill="auto"/>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color w:val="000000"/>
                <w:lang w:eastAsia="fr-FR"/>
              </w:rPr>
            </w:pPr>
            <w:r w:rsidRPr="00B905D9">
              <w:rPr>
                <w:rFonts w:ascii="Times New Roman" w:eastAsia="Times New Roman" w:hAnsi="Times New Roman" w:cs="Times New Roman"/>
                <w:b/>
                <w:bCs/>
                <w:color w:val="000000"/>
                <w:lang w:eastAsia="fr-FR"/>
              </w:rPr>
              <w:t>2,0</w:t>
            </w:r>
          </w:p>
        </w:tc>
      </w:tr>
      <w:tr w:rsidR="00B905D9" w:rsidRPr="00B905D9" w:rsidTr="00B905D9">
        <w:trPr>
          <w:trHeight w:val="330"/>
        </w:trPr>
        <w:tc>
          <w:tcPr>
            <w:tcW w:w="2305"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center"/>
              <w:rPr>
                <w:rFonts w:ascii="Times New Roman" w:eastAsia="Times New Roman" w:hAnsi="Times New Roman" w:cs="Times New Roman"/>
                <w:b/>
                <w:bCs/>
                <w:lang w:eastAsia="fr-FR"/>
              </w:rPr>
            </w:pPr>
            <w:r w:rsidRPr="00B905D9">
              <w:rPr>
                <w:rFonts w:ascii="Times New Roman" w:eastAsia="Times New Roman" w:hAnsi="Times New Roman" w:cs="Times New Roman"/>
                <w:b/>
                <w:bCs/>
                <w:lang w:eastAsia="fr-FR"/>
              </w:rPr>
              <w:t xml:space="preserve">  INDICE  GENERAL    </w:t>
            </w:r>
          </w:p>
        </w:tc>
        <w:tc>
          <w:tcPr>
            <w:tcW w:w="452"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101,6</w:t>
            </w:r>
          </w:p>
        </w:tc>
        <w:tc>
          <w:tcPr>
            <w:tcW w:w="452"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102,9</w:t>
            </w:r>
          </w:p>
        </w:tc>
        <w:tc>
          <w:tcPr>
            <w:tcW w:w="506"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1,2</w:t>
            </w:r>
          </w:p>
        </w:tc>
        <w:tc>
          <w:tcPr>
            <w:tcW w:w="408"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102,5</w:t>
            </w:r>
          </w:p>
        </w:tc>
        <w:tc>
          <w:tcPr>
            <w:tcW w:w="407"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103,9</w:t>
            </w:r>
          </w:p>
        </w:tc>
        <w:tc>
          <w:tcPr>
            <w:tcW w:w="471" w:type="pct"/>
            <w:tcBorders>
              <w:top w:val="nil"/>
              <w:left w:val="nil"/>
              <w:bottom w:val="single" w:sz="8" w:space="0" w:color="auto"/>
              <w:right w:val="nil"/>
            </w:tcBorders>
            <w:shd w:val="clear" w:color="000000" w:fill="A5A5A5"/>
            <w:noWrap/>
            <w:vAlign w:val="center"/>
            <w:hideMark/>
          </w:tcPr>
          <w:p w:rsidR="00B905D9" w:rsidRPr="00B905D9" w:rsidRDefault="00B905D9" w:rsidP="00B905D9">
            <w:pPr>
              <w:spacing w:after="0" w:line="240" w:lineRule="auto"/>
              <w:jc w:val="right"/>
              <w:rPr>
                <w:rFonts w:ascii="Times New Roman" w:eastAsia="Times New Roman" w:hAnsi="Times New Roman" w:cs="Times New Roman"/>
                <w:b/>
                <w:bCs/>
                <w:sz w:val="24"/>
                <w:szCs w:val="24"/>
                <w:lang w:eastAsia="fr-FR"/>
              </w:rPr>
            </w:pPr>
            <w:r w:rsidRPr="00B905D9">
              <w:rPr>
                <w:rFonts w:ascii="Times New Roman" w:eastAsia="Times New Roman" w:hAnsi="Times New Roman" w:cs="Times New Roman"/>
                <w:b/>
                <w:bCs/>
                <w:sz w:val="24"/>
                <w:szCs w:val="24"/>
                <w:lang w:eastAsia="fr-FR"/>
              </w:rPr>
              <w:t>1,4</w:t>
            </w:r>
          </w:p>
        </w:tc>
      </w:tr>
    </w:tbl>
    <w:p w:rsidR="00801A7A"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12C5F" w:rsidRDefault="00412C5F" w:rsidP="00157959">
      <w:pPr>
        <w:jc w:val="both"/>
        <w:rPr>
          <w:rFonts w:ascii="Times New Roman" w:hAnsi="Times New Roman" w:cs="Times New Roman"/>
          <w:sz w:val="24"/>
          <w:szCs w:val="24"/>
        </w:rPr>
      </w:pPr>
      <w:r w:rsidRPr="00412C5F">
        <w:rPr>
          <w:rFonts w:ascii="Times New Roman" w:hAnsi="Times New Roman" w:cs="Times New Roman"/>
          <w:sz w:val="24"/>
          <w:szCs w:val="24"/>
        </w:rPr>
        <w:t>L’analyse</w:t>
      </w:r>
      <w:r>
        <w:rPr>
          <w:rFonts w:ascii="Times New Roman" w:hAnsi="Times New Roman" w:cs="Times New Roman"/>
          <w:sz w:val="24"/>
          <w:szCs w:val="24"/>
        </w:rPr>
        <w:t xml:space="preserve"> par grou</w:t>
      </w:r>
      <w:r w:rsidR="00157959">
        <w:rPr>
          <w:rFonts w:ascii="Times New Roman" w:hAnsi="Times New Roman" w:cs="Times New Roman"/>
          <w:sz w:val="24"/>
          <w:szCs w:val="24"/>
        </w:rPr>
        <w:t>pe et classe dont les indices ont varié significativement</w:t>
      </w:r>
      <w:r>
        <w:rPr>
          <w:rFonts w:ascii="Times New Roman" w:hAnsi="Times New Roman" w:cs="Times New Roman"/>
          <w:sz w:val="24"/>
          <w:szCs w:val="24"/>
        </w:rPr>
        <w:t>, fait ressortir les principales variations suivantes</w:t>
      </w:r>
      <w:r w:rsidR="00157959">
        <w:rPr>
          <w:rFonts w:ascii="Times New Roman" w:hAnsi="Times New Roman" w:cs="Times New Roman"/>
          <w:sz w:val="24"/>
          <w:szCs w:val="24"/>
        </w:rPr>
        <w:t xml:space="preserve"> (voir tableau A1 en annexe)</w:t>
      </w:r>
      <w:r>
        <w:rPr>
          <w:rFonts w:ascii="Times New Roman" w:hAnsi="Times New Roman" w:cs="Times New Roman"/>
          <w:sz w:val="24"/>
          <w:szCs w:val="24"/>
        </w:rPr>
        <w:t>:</w:t>
      </w:r>
    </w:p>
    <w:p w:rsidR="00157959" w:rsidRDefault="00412C5F" w:rsidP="004B3646">
      <w:pPr>
        <w:pStyle w:val="Paragraphedeliste"/>
        <w:numPr>
          <w:ilvl w:val="0"/>
          <w:numId w:val="38"/>
        </w:numPr>
        <w:jc w:val="both"/>
        <w:rPr>
          <w:rFonts w:ascii="Times New Roman" w:hAnsi="Times New Roman" w:cs="Times New Roman"/>
          <w:sz w:val="24"/>
          <w:szCs w:val="24"/>
        </w:rPr>
      </w:pPr>
      <w:r w:rsidRPr="00157959">
        <w:rPr>
          <w:rFonts w:ascii="Times New Roman" w:hAnsi="Times New Roman" w:cs="Times New Roman"/>
          <w:sz w:val="24"/>
          <w:szCs w:val="24"/>
        </w:rPr>
        <w:lastRenderedPageBreak/>
        <w:t>Le</w:t>
      </w:r>
      <w:r w:rsidR="00157959" w:rsidRPr="00157959">
        <w:rPr>
          <w:rFonts w:ascii="Times New Roman" w:hAnsi="Times New Roman" w:cs="Times New Roman"/>
          <w:sz w:val="24"/>
          <w:szCs w:val="24"/>
        </w:rPr>
        <w:t xml:space="preserve"> groupe des</w:t>
      </w:r>
      <w:r w:rsidRPr="00157959">
        <w:rPr>
          <w:rFonts w:ascii="Times New Roman" w:hAnsi="Times New Roman" w:cs="Times New Roman"/>
          <w:sz w:val="24"/>
          <w:szCs w:val="24"/>
        </w:rPr>
        <w:t xml:space="preserve"> </w:t>
      </w:r>
      <w:r w:rsidR="00B63F14" w:rsidRPr="00157959">
        <w:rPr>
          <w:rFonts w:ascii="Times New Roman" w:hAnsi="Times New Roman" w:cs="Times New Roman"/>
          <w:sz w:val="24"/>
          <w:szCs w:val="24"/>
        </w:rPr>
        <w:t>"P</w:t>
      </w:r>
      <w:r w:rsidRPr="00157959">
        <w:rPr>
          <w:rFonts w:ascii="Times New Roman" w:hAnsi="Times New Roman" w:cs="Times New Roman"/>
          <w:sz w:val="24"/>
          <w:szCs w:val="24"/>
        </w:rPr>
        <w:t>roduits alimentaires</w:t>
      </w:r>
      <w:r w:rsidR="00B63F14" w:rsidRPr="00157959">
        <w:rPr>
          <w:rFonts w:ascii="Times New Roman" w:hAnsi="Times New Roman" w:cs="Times New Roman"/>
          <w:sz w:val="24"/>
          <w:szCs w:val="24"/>
        </w:rPr>
        <w:t>"</w:t>
      </w:r>
      <w:r w:rsidR="00157959" w:rsidRPr="00157959">
        <w:rPr>
          <w:rFonts w:ascii="Times New Roman" w:hAnsi="Times New Roman" w:cs="Times New Roman"/>
          <w:sz w:val="24"/>
          <w:szCs w:val="24"/>
        </w:rPr>
        <w:t xml:space="preserve"> a</w:t>
      </w:r>
      <w:r w:rsidRPr="00157959">
        <w:rPr>
          <w:rFonts w:ascii="Times New Roman" w:hAnsi="Times New Roman" w:cs="Times New Roman"/>
          <w:sz w:val="24"/>
          <w:szCs w:val="24"/>
        </w:rPr>
        <w:t xml:space="preserve"> progressé de </w:t>
      </w:r>
      <w:r w:rsidR="00B63F14" w:rsidRPr="00157959">
        <w:rPr>
          <w:rFonts w:ascii="Times New Roman" w:hAnsi="Times New Roman" w:cs="Times New Roman"/>
          <w:sz w:val="24"/>
          <w:szCs w:val="24"/>
        </w:rPr>
        <w:t xml:space="preserve">1% suite à la hausse des indices du "Pain et céréales" de </w:t>
      </w:r>
      <w:r w:rsidR="00157959" w:rsidRPr="00157959">
        <w:rPr>
          <w:rFonts w:ascii="Times New Roman" w:hAnsi="Times New Roman" w:cs="Times New Roman"/>
          <w:sz w:val="24"/>
          <w:szCs w:val="24"/>
        </w:rPr>
        <w:t>3</w:t>
      </w:r>
      <w:r w:rsidR="00B63F14" w:rsidRPr="00157959">
        <w:rPr>
          <w:rFonts w:ascii="Times New Roman" w:hAnsi="Times New Roman" w:cs="Times New Roman"/>
          <w:sz w:val="24"/>
          <w:szCs w:val="24"/>
        </w:rPr>
        <w:t>,</w:t>
      </w:r>
      <w:r w:rsidR="00157959" w:rsidRPr="00157959">
        <w:rPr>
          <w:rFonts w:ascii="Times New Roman" w:hAnsi="Times New Roman" w:cs="Times New Roman"/>
          <w:sz w:val="24"/>
          <w:szCs w:val="24"/>
        </w:rPr>
        <w:t>4</w:t>
      </w:r>
      <w:r w:rsidR="00B63F14" w:rsidRPr="00157959">
        <w:rPr>
          <w:rFonts w:ascii="Times New Roman" w:hAnsi="Times New Roman" w:cs="Times New Roman"/>
          <w:sz w:val="24"/>
          <w:szCs w:val="24"/>
        </w:rPr>
        <w:t>%,</w:t>
      </w:r>
      <w:r w:rsidR="00157959" w:rsidRPr="00157959">
        <w:rPr>
          <w:rFonts w:ascii="Times New Roman" w:hAnsi="Times New Roman" w:cs="Times New Roman"/>
          <w:sz w:val="24"/>
          <w:szCs w:val="24"/>
        </w:rPr>
        <w:t xml:space="preserve"> des</w:t>
      </w:r>
      <w:r w:rsidR="00B63F14" w:rsidRPr="00157959">
        <w:rPr>
          <w:rFonts w:ascii="Times New Roman" w:hAnsi="Times New Roman" w:cs="Times New Roman"/>
          <w:sz w:val="24"/>
          <w:szCs w:val="24"/>
        </w:rPr>
        <w:t xml:space="preserve"> </w:t>
      </w:r>
      <w:r w:rsidR="00157959" w:rsidRPr="00157959">
        <w:rPr>
          <w:rFonts w:ascii="Times New Roman" w:hAnsi="Times New Roman" w:cs="Times New Roman"/>
          <w:sz w:val="24"/>
          <w:szCs w:val="24"/>
        </w:rPr>
        <w:t xml:space="preserve">"Viandes" de 2%, </w:t>
      </w:r>
      <w:r w:rsidR="00157959">
        <w:rPr>
          <w:rFonts w:ascii="Times New Roman" w:hAnsi="Times New Roman" w:cs="Times New Roman"/>
          <w:sz w:val="24"/>
          <w:szCs w:val="24"/>
        </w:rPr>
        <w:t>des</w:t>
      </w:r>
      <w:r w:rsidR="00157959" w:rsidRPr="00157959">
        <w:rPr>
          <w:rFonts w:ascii="Times New Roman" w:hAnsi="Times New Roman" w:cs="Times New Roman"/>
          <w:sz w:val="24"/>
          <w:szCs w:val="24"/>
        </w:rPr>
        <w:t xml:space="preserve">" Poissons et fruits de mer" </w:t>
      </w:r>
      <w:r w:rsidR="00157959">
        <w:rPr>
          <w:rFonts w:ascii="Times New Roman" w:hAnsi="Times New Roman" w:cs="Times New Roman"/>
          <w:sz w:val="24"/>
          <w:szCs w:val="24"/>
        </w:rPr>
        <w:t>de 6,4%,</w:t>
      </w:r>
      <w:r w:rsidR="004B3646">
        <w:rPr>
          <w:rFonts w:ascii="Times New Roman" w:hAnsi="Times New Roman" w:cs="Times New Roman"/>
          <w:sz w:val="24"/>
          <w:szCs w:val="24"/>
        </w:rPr>
        <w:t xml:space="preserve"> du "Lait, fromage et œufs" de 2,7% et des Huiles et graisses de 10,8% et aussi de la baisse des indices des "Fruits" et des "Légumes" de 11,3% et de 4,8% respectivement.</w:t>
      </w:r>
    </w:p>
    <w:p w:rsidR="00B63F14" w:rsidRDefault="00B63F14" w:rsidP="002C4C57">
      <w:pPr>
        <w:pStyle w:val="Paragraphedeliste"/>
        <w:numPr>
          <w:ilvl w:val="0"/>
          <w:numId w:val="38"/>
        </w:numPr>
        <w:jc w:val="both"/>
        <w:rPr>
          <w:rFonts w:ascii="Times New Roman" w:hAnsi="Times New Roman" w:cs="Times New Roman"/>
          <w:sz w:val="24"/>
          <w:szCs w:val="24"/>
        </w:rPr>
      </w:pPr>
      <w:r w:rsidRPr="00157959">
        <w:rPr>
          <w:rFonts w:ascii="Times New Roman" w:hAnsi="Times New Roman" w:cs="Times New Roman"/>
          <w:sz w:val="24"/>
          <w:szCs w:val="24"/>
        </w:rPr>
        <w:t xml:space="preserve">Pour les "Boissons non alcoolisées", la </w:t>
      </w:r>
      <w:r w:rsidR="002C4C57">
        <w:rPr>
          <w:rFonts w:ascii="Times New Roman" w:hAnsi="Times New Roman" w:cs="Times New Roman"/>
          <w:sz w:val="24"/>
          <w:szCs w:val="24"/>
        </w:rPr>
        <w:t>classe</w:t>
      </w:r>
      <w:r w:rsidRPr="00157959">
        <w:rPr>
          <w:rFonts w:ascii="Times New Roman" w:hAnsi="Times New Roman" w:cs="Times New Roman"/>
          <w:sz w:val="24"/>
          <w:szCs w:val="24"/>
        </w:rPr>
        <w:t xml:space="preserve"> "Café, thé et cacao" </w:t>
      </w:r>
      <w:r w:rsidR="002C4C57">
        <w:rPr>
          <w:rFonts w:ascii="Times New Roman" w:hAnsi="Times New Roman" w:cs="Times New Roman"/>
          <w:sz w:val="24"/>
          <w:szCs w:val="24"/>
        </w:rPr>
        <w:t xml:space="preserve">a accusé la variation la plus élevée avec </w:t>
      </w:r>
      <w:r w:rsidRPr="00157959">
        <w:rPr>
          <w:rFonts w:ascii="Times New Roman" w:hAnsi="Times New Roman" w:cs="Times New Roman"/>
          <w:sz w:val="24"/>
          <w:szCs w:val="24"/>
        </w:rPr>
        <w:t xml:space="preserve"> 1,</w:t>
      </w:r>
      <w:r w:rsidR="002C4C57">
        <w:rPr>
          <w:rFonts w:ascii="Times New Roman" w:hAnsi="Times New Roman" w:cs="Times New Roman"/>
          <w:sz w:val="24"/>
          <w:szCs w:val="24"/>
        </w:rPr>
        <w:t>3</w:t>
      </w:r>
      <w:r w:rsidRPr="00157959">
        <w:rPr>
          <w:rFonts w:ascii="Times New Roman" w:hAnsi="Times New Roman" w:cs="Times New Roman"/>
          <w:sz w:val="24"/>
          <w:szCs w:val="24"/>
        </w:rPr>
        <w:t>%.</w:t>
      </w:r>
      <w:r w:rsidR="002C4C57">
        <w:rPr>
          <w:rFonts w:ascii="Times New Roman" w:hAnsi="Times New Roman" w:cs="Times New Roman"/>
          <w:sz w:val="24"/>
          <w:szCs w:val="24"/>
        </w:rPr>
        <w:t xml:space="preserve"> Les boi</w:t>
      </w:r>
      <w:r w:rsidR="00450366">
        <w:rPr>
          <w:rFonts w:ascii="Times New Roman" w:hAnsi="Times New Roman" w:cs="Times New Roman"/>
          <w:sz w:val="24"/>
          <w:szCs w:val="24"/>
        </w:rPr>
        <w:t>s</w:t>
      </w:r>
      <w:r w:rsidR="002C4C57">
        <w:rPr>
          <w:rFonts w:ascii="Times New Roman" w:hAnsi="Times New Roman" w:cs="Times New Roman"/>
          <w:sz w:val="24"/>
          <w:szCs w:val="24"/>
        </w:rPr>
        <w:t>sons alcoolisées, quant à elles</w:t>
      </w:r>
      <w:r w:rsidR="005B3229">
        <w:rPr>
          <w:rFonts w:ascii="Times New Roman" w:hAnsi="Times New Roman" w:cs="Times New Roman"/>
          <w:sz w:val="24"/>
          <w:szCs w:val="24"/>
        </w:rPr>
        <w:t>, ont connu la hausse de l’indice des "Vins et boissons fermentées" de 1,5%.</w:t>
      </w:r>
      <w:r w:rsidR="002C4C57">
        <w:rPr>
          <w:rFonts w:ascii="Times New Roman" w:hAnsi="Times New Roman" w:cs="Times New Roman"/>
          <w:sz w:val="24"/>
          <w:szCs w:val="24"/>
        </w:rPr>
        <w:t xml:space="preserve"> </w:t>
      </w:r>
    </w:p>
    <w:p w:rsidR="005B3229" w:rsidRDefault="005B3229" w:rsidP="000B2202">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Le Tabac, lui aussi, n’a pas échappé à cette montée des prix en enregistrant une hausse de 3,6%.</w:t>
      </w:r>
    </w:p>
    <w:p w:rsidR="005B3229" w:rsidRDefault="00C2655B" w:rsidP="00C2655B">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 groupe </w:t>
      </w:r>
      <w:r w:rsidR="005B3229">
        <w:rPr>
          <w:rFonts w:ascii="Times New Roman" w:hAnsi="Times New Roman" w:cs="Times New Roman"/>
          <w:sz w:val="24"/>
          <w:szCs w:val="24"/>
        </w:rPr>
        <w:t xml:space="preserve">"Articles d’habillement", </w:t>
      </w:r>
      <w:r>
        <w:rPr>
          <w:rFonts w:ascii="Times New Roman" w:hAnsi="Times New Roman" w:cs="Times New Roman"/>
          <w:sz w:val="24"/>
          <w:szCs w:val="24"/>
        </w:rPr>
        <w:t>a connu une</w:t>
      </w:r>
      <w:r w:rsidR="005B3229">
        <w:rPr>
          <w:rFonts w:ascii="Times New Roman" w:hAnsi="Times New Roman" w:cs="Times New Roman"/>
          <w:sz w:val="24"/>
          <w:szCs w:val="24"/>
        </w:rPr>
        <w:t xml:space="preserve"> hausse de prix significative pour les </w:t>
      </w:r>
      <w:r>
        <w:rPr>
          <w:rFonts w:ascii="Times New Roman" w:hAnsi="Times New Roman" w:cs="Times New Roman"/>
          <w:sz w:val="24"/>
          <w:szCs w:val="24"/>
        </w:rPr>
        <w:t xml:space="preserve"> classes </w:t>
      </w:r>
      <w:r w:rsidR="005B3229">
        <w:rPr>
          <w:rFonts w:ascii="Times New Roman" w:hAnsi="Times New Roman" w:cs="Times New Roman"/>
          <w:sz w:val="24"/>
          <w:szCs w:val="24"/>
        </w:rPr>
        <w:t>"Tissus" avec 2,7% et "Vêtements" avec 2,1%. Quant au groupe "Chaussures", c’est la classe "Cordonnerie" qui a pâti le plus de cette flambée, en progressant de 10,4% par rapport à 2020.</w:t>
      </w:r>
    </w:p>
    <w:p w:rsidR="005B3229" w:rsidRDefault="00C2655B" w:rsidP="00C2655B">
      <w:pPr>
        <w:pStyle w:val="Paragraphedeliste"/>
        <w:numPr>
          <w:ilvl w:val="0"/>
          <w:numId w:val="48"/>
        </w:numPr>
        <w:jc w:val="both"/>
        <w:rPr>
          <w:rFonts w:ascii="Times New Roman" w:hAnsi="Times New Roman" w:cs="Times New Roman"/>
          <w:sz w:val="24"/>
          <w:szCs w:val="24"/>
        </w:rPr>
      </w:pPr>
      <w:r>
        <w:rPr>
          <w:rFonts w:ascii="Times New Roman" w:hAnsi="Times New Roman" w:cs="Times New Roman"/>
          <w:sz w:val="24"/>
          <w:szCs w:val="24"/>
        </w:rPr>
        <w:t>L</w:t>
      </w:r>
      <w:r w:rsidR="00094334">
        <w:rPr>
          <w:rFonts w:ascii="Times New Roman" w:hAnsi="Times New Roman" w:cs="Times New Roman"/>
          <w:sz w:val="24"/>
          <w:szCs w:val="24"/>
        </w:rPr>
        <w:t>a montée des prix</w:t>
      </w:r>
      <w:r>
        <w:rPr>
          <w:rFonts w:ascii="Times New Roman" w:hAnsi="Times New Roman" w:cs="Times New Roman"/>
          <w:sz w:val="24"/>
          <w:szCs w:val="24"/>
        </w:rPr>
        <w:t>, au sein de</w:t>
      </w:r>
      <w:r w:rsidRPr="00C2655B">
        <w:rPr>
          <w:rFonts w:ascii="Times New Roman" w:hAnsi="Times New Roman" w:cs="Times New Roman"/>
          <w:sz w:val="24"/>
          <w:szCs w:val="24"/>
        </w:rPr>
        <w:t xml:space="preserve"> </w:t>
      </w:r>
      <w:r>
        <w:rPr>
          <w:rFonts w:ascii="Times New Roman" w:hAnsi="Times New Roman" w:cs="Times New Roman"/>
          <w:sz w:val="24"/>
          <w:szCs w:val="24"/>
        </w:rPr>
        <w:t>la 4</w:t>
      </w:r>
      <w:r w:rsidRPr="005B3229">
        <w:rPr>
          <w:rFonts w:ascii="Times New Roman" w:hAnsi="Times New Roman" w:cs="Times New Roman"/>
          <w:sz w:val="24"/>
          <w:szCs w:val="24"/>
          <w:vertAlign w:val="superscript"/>
        </w:rPr>
        <w:t>ème</w:t>
      </w:r>
      <w:r>
        <w:rPr>
          <w:rFonts w:ascii="Times New Roman" w:hAnsi="Times New Roman" w:cs="Times New Roman"/>
          <w:sz w:val="24"/>
          <w:szCs w:val="24"/>
        </w:rPr>
        <w:t xml:space="preserve"> division,</w:t>
      </w:r>
      <w:r w:rsidR="00094334">
        <w:rPr>
          <w:rFonts w:ascii="Times New Roman" w:hAnsi="Times New Roman" w:cs="Times New Roman"/>
          <w:sz w:val="24"/>
          <w:szCs w:val="24"/>
        </w:rPr>
        <w:t xml:space="preserve"> a été importante pour les classes "Loyers effectifs" et "Fournitures pour travaux d’entretien et de réparation des logements" avec, respectivement, 2,1% et 1,9%.</w:t>
      </w:r>
    </w:p>
    <w:p w:rsidR="00094334" w:rsidRPr="005B3229" w:rsidRDefault="00094334" w:rsidP="000B2202">
      <w:pPr>
        <w:pStyle w:val="Paragraphedeliste"/>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Les </w:t>
      </w:r>
      <w:r w:rsidR="000B2202">
        <w:rPr>
          <w:rFonts w:ascii="Times New Roman" w:hAnsi="Times New Roman" w:cs="Times New Roman"/>
          <w:sz w:val="24"/>
          <w:szCs w:val="24"/>
        </w:rPr>
        <w:t>"</w:t>
      </w:r>
      <w:r>
        <w:rPr>
          <w:rFonts w:ascii="Times New Roman" w:hAnsi="Times New Roman" w:cs="Times New Roman"/>
          <w:sz w:val="24"/>
          <w:szCs w:val="24"/>
        </w:rPr>
        <w:t>Meubles et articles de ménage et entretien courant du foyer</w:t>
      </w:r>
      <w:r w:rsidR="000B2202">
        <w:rPr>
          <w:rFonts w:ascii="Times New Roman" w:hAnsi="Times New Roman" w:cs="Times New Roman"/>
          <w:sz w:val="24"/>
          <w:szCs w:val="24"/>
        </w:rPr>
        <w:t>"</w:t>
      </w:r>
      <w:r>
        <w:rPr>
          <w:rFonts w:ascii="Times New Roman" w:hAnsi="Times New Roman" w:cs="Times New Roman"/>
          <w:sz w:val="24"/>
          <w:szCs w:val="24"/>
        </w:rPr>
        <w:t xml:space="preserve"> n’ont pas été épargnés par la flambée des prix, notamment, les </w:t>
      </w:r>
      <w:r w:rsidR="000B2202">
        <w:rPr>
          <w:rFonts w:ascii="Times New Roman" w:hAnsi="Times New Roman" w:cs="Times New Roman"/>
          <w:sz w:val="24"/>
          <w:szCs w:val="24"/>
        </w:rPr>
        <w:t>"</w:t>
      </w:r>
      <w:r>
        <w:rPr>
          <w:rFonts w:ascii="Times New Roman" w:hAnsi="Times New Roman" w:cs="Times New Roman"/>
          <w:sz w:val="24"/>
          <w:szCs w:val="24"/>
        </w:rPr>
        <w:t>Tapis et revêtement de sol divers</w:t>
      </w:r>
      <w:r w:rsidR="000B2202">
        <w:rPr>
          <w:rFonts w:ascii="Times New Roman" w:hAnsi="Times New Roman" w:cs="Times New Roman"/>
          <w:sz w:val="24"/>
          <w:szCs w:val="24"/>
        </w:rPr>
        <w:t>"</w:t>
      </w:r>
      <w:r>
        <w:rPr>
          <w:rFonts w:ascii="Times New Roman" w:hAnsi="Times New Roman" w:cs="Times New Roman"/>
          <w:sz w:val="24"/>
          <w:szCs w:val="24"/>
        </w:rPr>
        <w:t xml:space="preserve"> et les </w:t>
      </w:r>
      <w:r w:rsidR="000B2202">
        <w:rPr>
          <w:rFonts w:ascii="Times New Roman" w:hAnsi="Times New Roman" w:cs="Times New Roman"/>
          <w:sz w:val="24"/>
          <w:szCs w:val="24"/>
        </w:rPr>
        <w:t>"A</w:t>
      </w:r>
      <w:r>
        <w:rPr>
          <w:rFonts w:ascii="Times New Roman" w:hAnsi="Times New Roman" w:cs="Times New Roman"/>
          <w:sz w:val="24"/>
          <w:szCs w:val="24"/>
        </w:rPr>
        <w:t>rticles de ménage en textile</w:t>
      </w:r>
      <w:r w:rsidR="000B2202">
        <w:rPr>
          <w:rFonts w:ascii="Times New Roman" w:hAnsi="Times New Roman" w:cs="Times New Roman"/>
          <w:sz w:val="24"/>
          <w:szCs w:val="24"/>
        </w:rPr>
        <w:t>"</w:t>
      </w:r>
      <w:r>
        <w:rPr>
          <w:rFonts w:ascii="Times New Roman" w:hAnsi="Times New Roman" w:cs="Times New Roman"/>
          <w:sz w:val="24"/>
          <w:szCs w:val="24"/>
        </w:rPr>
        <w:t xml:space="preserve"> dont les indices ont varié, respectivement, de 4% et de 3,5%.</w:t>
      </w:r>
    </w:p>
    <w:p w:rsidR="000B2202" w:rsidRPr="000B2202" w:rsidRDefault="00C2655B" w:rsidP="00C2655B">
      <w:pPr>
        <w:pStyle w:val="Paragraphedeliste"/>
        <w:numPr>
          <w:ilvl w:val="0"/>
          <w:numId w:val="38"/>
        </w:numPr>
        <w:jc w:val="both"/>
      </w:pPr>
      <w:r>
        <w:rPr>
          <w:rFonts w:ascii="Times New Roman" w:hAnsi="Times New Roman" w:cs="Times New Roman"/>
          <w:sz w:val="24"/>
          <w:szCs w:val="24"/>
        </w:rPr>
        <w:t>L’indice de la</w:t>
      </w:r>
      <w:r w:rsidR="000B2202" w:rsidRPr="000B2202">
        <w:rPr>
          <w:rFonts w:ascii="Times New Roman" w:hAnsi="Times New Roman" w:cs="Times New Roman"/>
          <w:sz w:val="24"/>
          <w:szCs w:val="24"/>
        </w:rPr>
        <w:t xml:space="preserve"> division des</w:t>
      </w:r>
      <w:r w:rsidR="00B63F14" w:rsidRPr="000B2202">
        <w:rPr>
          <w:rFonts w:ascii="Times New Roman" w:hAnsi="Times New Roman" w:cs="Times New Roman"/>
          <w:sz w:val="24"/>
          <w:szCs w:val="24"/>
        </w:rPr>
        <w:t xml:space="preserve"> "Transports" </w:t>
      </w:r>
      <w:r w:rsidR="000B2202" w:rsidRPr="000B2202">
        <w:rPr>
          <w:rFonts w:ascii="Times New Roman" w:hAnsi="Times New Roman" w:cs="Times New Roman"/>
          <w:sz w:val="24"/>
          <w:szCs w:val="24"/>
        </w:rPr>
        <w:t xml:space="preserve">a marqué la </w:t>
      </w:r>
      <w:r>
        <w:rPr>
          <w:rFonts w:ascii="Times New Roman" w:hAnsi="Times New Roman" w:cs="Times New Roman"/>
          <w:sz w:val="24"/>
          <w:szCs w:val="24"/>
        </w:rPr>
        <w:t>hausse la plus élevée avec 5,1%. O</w:t>
      </w:r>
      <w:r w:rsidR="000B2202" w:rsidRPr="000B2202">
        <w:rPr>
          <w:rFonts w:ascii="Times New Roman" w:hAnsi="Times New Roman" w:cs="Times New Roman"/>
          <w:sz w:val="24"/>
          <w:szCs w:val="24"/>
        </w:rPr>
        <w:t>n note que les classes qui en sont responsables, sont essentiellement les</w:t>
      </w:r>
      <w:r w:rsidR="00B63F14" w:rsidRPr="000B2202">
        <w:rPr>
          <w:rFonts w:ascii="Times New Roman" w:hAnsi="Times New Roman" w:cs="Times New Roman"/>
          <w:sz w:val="24"/>
          <w:szCs w:val="24"/>
        </w:rPr>
        <w:t xml:space="preserve"> </w:t>
      </w:r>
      <w:r w:rsidR="000B2202">
        <w:rPr>
          <w:rFonts w:ascii="Times New Roman" w:hAnsi="Times New Roman" w:cs="Times New Roman"/>
          <w:sz w:val="24"/>
          <w:szCs w:val="24"/>
        </w:rPr>
        <w:t>"</w:t>
      </w:r>
      <w:r w:rsidR="000B2202" w:rsidRPr="000B2202">
        <w:rPr>
          <w:rFonts w:ascii="Times New Roman" w:hAnsi="Times New Roman" w:cs="Times New Roman"/>
          <w:sz w:val="24"/>
          <w:szCs w:val="24"/>
        </w:rPr>
        <w:t>C</w:t>
      </w:r>
      <w:r w:rsidR="00B63F14" w:rsidRPr="000B2202">
        <w:rPr>
          <w:rFonts w:ascii="Times New Roman" w:hAnsi="Times New Roman" w:cs="Times New Roman"/>
          <w:sz w:val="24"/>
          <w:szCs w:val="24"/>
        </w:rPr>
        <w:t xml:space="preserve">arburants </w:t>
      </w:r>
      <w:r w:rsidR="000B2202" w:rsidRPr="000B2202">
        <w:rPr>
          <w:rFonts w:ascii="Times New Roman" w:hAnsi="Times New Roman" w:cs="Times New Roman"/>
          <w:sz w:val="24"/>
          <w:szCs w:val="24"/>
        </w:rPr>
        <w:t>et lubrifiants pour véhicules de tourisme</w:t>
      </w:r>
      <w:r w:rsidR="000B2202">
        <w:rPr>
          <w:rFonts w:ascii="Times New Roman" w:hAnsi="Times New Roman" w:cs="Times New Roman"/>
          <w:sz w:val="24"/>
          <w:szCs w:val="24"/>
        </w:rPr>
        <w:t>"</w:t>
      </w:r>
      <w:r w:rsidR="000B2202" w:rsidRPr="000B2202">
        <w:rPr>
          <w:rFonts w:ascii="Times New Roman" w:hAnsi="Times New Roman" w:cs="Times New Roman"/>
          <w:sz w:val="24"/>
          <w:szCs w:val="24"/>
        </w:rPr>
        <w:t xml:space="preserve"> avec 12,9%, le </w:t>
      </w:r>
      <w:r w:rsidR="000B2202">
        <w:rPr>
          <w:rFonts w:ascii="Times New Roman" w:hAnsi="Times New Roman" w:cs="Times New Roman"/>
          <w:sz w:val="24"/>
          <w:szCs w:val="24"/>
        </w:rPr>
        <w:t>"</w:t>
      </w:r>
      <w:r w:rsidR="000B2202" w:rsidRPr="000B2202">
        <w:rPr>
          <w:rFonts w:ascii="Times New Roman" w:hAnsi="Times New Roman" w:cs="Times New Roman"/>
          <w:sz w:val="24"/>
          <w:szCs w:val="24"/>
        </w:rPr>
        <w:t>Transport routier des passagers</w:t>
      </w:r>
      <w:r w:rsidR="000B2202">
        <w:rPr>
          <w:rFonts w:ascii="Times New Roman" w:hAnsi="Times New Roman" w:cs="Times New Roman"/>
          <w:sz w:val="24"/>
          <w:szCs w:val="24"/>
        </w:rPr>
        <w:t>"</w:t>
      </w:r>
      <w:r w:rsidR="000B2202" w:rsidRPr="000B2202">
        <w:rPr>
          <w:rFonts w:ascii="Times New Roman" w:hAnsi="Times New Roman" w:cs="Times New Roman"/>
          <w:sz w:val="24"/>
          <w:szCs w:val="24"/>
        </w:rPr>
        <w:t xml:space="preserve"> avec 7% et le </w:t>
      </w:r>
      <w:r w:rsidR="000B2202">
        <w:rPr>
          <w:rFonts w:ascii="Times New Roman" w:hAnsi="Times New Roman" w:cs="Times New Roman"/>
          <w:sz w:val="24"/>
          <w:szCs w:val="24"/>
        </w:rPr>
        <w:t>"T</w:t>
      </w:r>
      <w:r w:rsidR="000B2202" w:rsidRPr="000B2202">
        <w:rPr>
          <w:rFonts w:ascii="Times New Roman" w:hAnsi="Times New Roman" w:cs="Times New Roman"/>
          <w:sz w:val="24"/>
          <w:szCs w:val="24"/>
        </w:rPr>
        <w:t>ransport aériens des passagers</w:t>
      </w:r>
      <w:r w:rsidR="000B2202">
        <w:rPr>
          <w:rFonts w:ascii="Times New Roman" w:hAnsi="Times New Roman" w:cs="Times New Roman"/>
          <w:sz w:val="24"/>
          <w:szCs w:val="24"/>
        </w:rPr>
        <w:t>"</w:t>
      </w:r>
      <w:r w:rsidR="000B2202" w:rsidRPr="000B2202">
        <w:rPr>
          <w:rFonts w:ascii="Times New Roman" w:hAnsi="Times New Roman" w:cs="Times New Roman"/>
          <w:sz w:val="24"/>
          <w:szCs w:val="24"/>
        </w:rPr>
        <w:t xml:space="preserve"> avec 11,2%</w:t>
      </w:r>
      <w:r w:rsidR="000B2202">
        <w:rPr>
          <w:rFonts w:ascii="Times New Roman" w:hAnsi="Times New Roman" w:cs="Times New Roman"/>
          <w:sz w:val="24"/>
          <w:szCs w:val="24"/>
        </w:rPr>
        <w:t>.</w:t>
      </w:r>
    </w:p>
    <w:p w:rsidR="00412C5F" w:rsidRPr="00D97781" w:rsidRDefault="00D97781" w:rsidP="00EC2BA6">
      <w:pPr>
        <w:pStyle w:val="Paragraphedeliste"/>
        <w:numPr>
          <w:ilvl w:val="0"/>
          <w:numId w:val="38"/>
        </w:numPr>
        <w:jc w:val="both"/>
      </w:pPr>
      <w:r>
        <w:rPr>
          <w:rFonts w:ascii="Times New Roman" w:hAnsi="Times New Roman" w:cs="Times New Roman"/>
          <w:sz w:val="24"/>
          <w:szCs w:val="24"/>
        </w:rPr>
        <w:t>L’augmentation</w:t>
      </w:r>
      <w:r w:rsidR="000B2202">
        <w:rPr>
          <w:rFonts w:ascii="Times New Roman" w:hAnsi="Times New Roman" w:cs="Times New Roman"/>
          <w:sz w:val="24"/>
          <w:szCs w:val="24"/>
        </w:rPr>
        <w:t xml:space="preserve"> des prix des </w:t>
      </w:r>
      <w:r w:rsidR="00EC2BA6">
        <w:rPr>
          <w:rFonts w:ascii="Times New Roman" w:hAnsi="Times New Roman" w:cs="Times New Roman"/>
          <w:sz w:val="24"/>
          <w:szCs w:val="24"/>
        </w:rPr>
        <w:t>"</w:t>
      </w:r>
      <w:r w:rsidR="000B2202">
        <w:rPr>
          <w:rFonts w:ascii="Times New Roman" w:hAnsi="Times New Roman" w:cs="Times New Roman"/>
          <w:sz w:val="24"/>
          <w:szCs w:val="24"/>
        </w:rPr>
        <w:t>Biens et services divers</w:t>
      </w:r>
      <w:r w:rsidR="00EC2BA6">
        <w:rPr>
          <w:rFonts w:ascii="Times New Roman" w:hAnsi="Times New Roman" w:cs="Times New Roman"/>
          <w:sz w:val="24"/>
          <w:szCs w:val="24"/>
        </w:rPr>
        <w:t>"</w:t>
      </w:r>
      <w:r w:rsidR="000B2202">
        <w:rPr>
          <w:rFonts w:ascii="Times New Roman" w:hAnsi="Times New Roman" w:cs="Times New Roman"/>
          <w:sz w:val="24"/>
          <w:szCs w:val="24"/>
        </w:rPr>
        <w:t xml:space="preserve"> est surtout l’effet de la hausse des indices des </w:t>
      </w:r>
      <w:r w:rsidR="00EC2BA6">
        <w:rPr>
          <w:rFonts w:ascii="Times New Roman" w:hAnsi="Times New Roman" w:cs="Times New Roman"/>
          <w:sz w:val="24"/>
          <w:szCs w:val="24"/>
        </w:rPr>
        <w:t>"</w:t>
      </w:r>
      <w:r w:rsidR="000B2202">
        <w:rPr>
          <w:rFonts w:ascii="Times New Roman" w:hAnsi="Times New Roman" w:cs="Times New Roman"/>
          <w:sz w:val="24"/>
          <w:szCs w:val="24"/>
        </w:rPr>
        <w:t>Soins corporels</w:t>
      </w:r>
      <w:r w:rsidR="00EC2BA6">
        <w:rPr>
          <w:rFonts w:ascii="Times New Roman" w:hAnsi="Times New Roman" w:cs="Times New Roman"/>
          <w:sz w:val="24"/>
          <w:szCs w:val="24"/>
        </w:rPr>
        <w:t>"</w:t>
      </w:r>
      <w:r w:rsidR="000B2202">
        <w:rPr>
          <w:rFonts w:ascii="Times New Roman" w:hAnsi="Times New Roman" w:cs="Times New Roman"/>
          <w:sz w:val="24"/>
          <w:szCs w:val="24"/>
        </w:rPr>
        <w:t xml:space="preserve"> de 2,8%, des </w:t>
      </w:r>
      <w:r w:rsidR="00EC2BA6">
        <w:rPr>
          <w:rFonts w:ascii="Times New Roman" w:hAnsi="Times New Roman" w:cs="Times New Roman"/>
          <w:sz w:val="24"/>
          <w:szCs w:val="24"/>
        </w:rPr>
        <w:t>"</w:t>
      </w:r>
      <w:r w:rsidR="000B2202">
        <w:rPr>
          <w:rFonts w:ascii="Times New Roman" w:hAnsi="Times New Roman" w:cs="Times New Roman"/>
          <w:sz w:val="24"/>
          <w:szCs w:val="24"/>
        </w:rPr>
        <w:t>Articles de bijouterie et horlogerie</w:t>
      </w:r>
      <w:r w:rsidR="00EC2BA6">
        <w:rPr>
          <w:rFonts w:ascii="Times New Roman" w:hAnsi="Times New Roman" w:cs="Times New Roman"/>
          <w:sz w:val="24"/>
          <w:szCs w:val="24"/>
        </w:rPr>
        <w:t>"</w:t>
      </w:r>
      <w:r w:rsidR="000B2202">
        <w:rPr>
          <w:rFonts w:ascii="Times New Roman" w:hAnsi="Times New Roman" w:cs="Times New Roman"/>
          <w:sz w:val="24"/>
          <w:szCs w:val="24"/>
        </w:rPr>
        <w:t xml:space="preserve"> de 3,2% et des </w:t>
      </w:r>
      <w:r w:rsidR="00EC2BA6">
        <w:rPr>
          <w:rFonts w:ascii="Times New Roman" w:hAnsi="Times New Roman" w:cs="Times New Roman"/>
          <w:sz w:val="24"/>
          <w:szCs w:val="24"/>
        </w:rPr>
        <w:t>"</w:t>
      </w:r>
      <w:r w:rsidR="000B2202">
        <w:rPr>
          <w:rFonts w:ascii="Times New Roman" w:hAnsi="Times New Roman" w:cs="Times New Roman"/>
          <w:sz w:val="24"/>
          <w:szCs w:val="24"/>
        </w:rPr>
        <w:t>Services financiers</w:t>
      </w:r>
      <w:r w:rsidR="00EC2BA6">
        <w:rPr>
          <w:rFonts w:ascii="Times New Roman" w:hAnsi="Times New Roman" w:cs="Times New Roman"/>
          <w:sz w:val="24"/>
          <w:szCs w:val="24"/>
        </w:rPr>
        <w:t>"</w:t>
      </w:r>
      <w:r w:rsidR="000B2202">
        <w:rPr>
          <w:rFonts w:ascii="Times New Roman" w:hAnsi="Times New Roman" w:cs="Times New Roman"/>
          <w:sz w:val="24"/>
          <w:szCs w:val="24"/>
        </w:rPr>
        <w:t xml:space="preserve"> de 3,5%.</w:t>
      </w:r>
      <w:r w:rsidR="000B2202" w:rsidRPr="000B2202">
        <w:rPr>
          <w:rFonts w:ascii="Times New Roman" w:hAnsi="Times New Roman" w:cs="Times New Roman"/>
          <w:sz w:val="24"/>
          <w:szCs w:val="24"/>
        </w:rPr>
        <w:t xml:space="preserve"> </w:t>
      </w:r>
    </w:p>
    <w:p w:rsidR="00D97781" w:rsidRPr="00412C5F" w:rsidRDefault="00D97781" w:rsidP="00D97781">
      <w:pPr>
        <w:ind w:left="360"/>
        <w:jc w:val="both"/>
      </w:pPr>
    </w:p>
    <w:p w:rsidR="00252B2A" w:rsidRPr="004F39E8" w:rsidRDefault="004D65AF" w:rsidP="00B905D9">
      <w:pPr>
        <w:pStyle w:val="Titre2"/>
        <w:rPr>
          <w:rFonts w:asciiTheme="majorBidi" w:hAnsiTheme="majorBidi"/>
        </w:rPr>
      </w:pPr>
      <w:bookmarkStart w:id="32" w:name="_Toc68443134"/>
      <w:r w:rsidRPr="004F39E8">
        <w:rPr>
          <w:rFonts w:asciiTheme="majorBidi" w:hAnsiTheme="majorBidi"/>
        </w:rPr>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w:t>
      </w:r>
      <w:proofErr w:type="spellStart"/>
      <w:r w:rsidRPr="004F39E8">
        <w:rPr>
          <w:rFonts w:asciiTheme="majorBidi" w:hAnsiTheme="majorBidi"/>
        </w:rPr>
        <w:t>K</w:t>
      </w:r>
      <w:r w:rsidR="00F853F1">
        <w:rPr>
          <w:rFonts w:asciiTheme="majorBidi" w:hAnsiTheme="majorBidi"/>
        </w:rPr>
        <w:t>é</w:t>
      </w:r>
      <w:r w:rsidRPr="004F39E8">
        <w:rPr>
          <w:rFonts w:asciiTheme="majorBidi" w:hAnsiTheme="majorBidi"/>
        </w:rPr>
        <w:t>nitra</w:t>
      </w:r>
      <w:proofErr w:type="spellEnd"/>
      <w:r w:rsidRPr="004F39E8">
        <w:rPr>
          <w:rFonts w:asciiTheme="majorBidi" w:hAnsiTheme="majorBidi"/>
        </w:rPr>
        <w:t xml:space="preserve"> entre 20</w:t>
      </w:r>
      <w:r w:rsidR="00FA6CEF">
        <w:rPr>
          <w:rFonts w:asciiTheme="majorBidi" w:hAnsiTheme="majorBidi"/>
        </w:rPr>
        <w:t>1</w:t>
      </w:r>
      <w:r w:rsidRPr="004F39E8">
        <w:rPr>
          <w:rFonts w:asciiTheme="majorBidi" w:hAnsiTheme="majorBidi"/>
        </w:rPr>
        <w:t>7 et 20</w:t>
      </w:r>
      <w:r w:rsidR="00FA6CEF">
        <w:rPr>
          <w:rFonts w:asciiTheme="majorBidi" w:hAnsiTheme="majorBidi"/>
        </w:rPr>
        <w:t>2</w:t>
      </w:r>
      <w:bookmarkEnd w:id="32"/>
      <w:r w:rsidR="00B905D9">
        <w:rPr>
          <w:rFonts w:asciiTheme="majorBidi" w:hAnsiTheme="majorBidi"/>
        </w:rPr>
        <w:t>1</w:t>
      </w:r>
    </w:p>
    <w:p w:rsidR="00342BBE" w:rsidRPr="004F39E8" w:rsidRDefault="00412C5F" w:rsidP="003D21FB">
      <w:pPr>
        <w:pStyle w:val="Titre3"/>
        <w:rPr>
          <w:rFonts w:asciiTheme="majorBidi" w:hAnsiTheme="majorBidi"/>
          <w:sz w:val="24"/>
          <w:szCs w:val="24"/>
        </w:rPr>
      </w:pPr>
      <w:r>
        <w:rPr>
          <w:rFonts w:asciiTheme="majorBidi" w:hAnsiTheme="majorBidi"/>
          <w:sz w:val="24"/>
          <w:szCs w:val="24"/>
        </w:rPr>
        <w:tab/>
      </w:r>
      <w:bookmarkStart w:id="33" w:name="_Toc68443135"/>
      <w:r w:rsidR="00002361">
        <w:rPr>
          <w:rFonts w:asciiTheme="majorBidi" w:hAnsiTheme="majorBidi"/>
          <w:sz w:val="24"/>
          <w:szCs w:val="24"/>
        </w:rPr>
        <w:t>I</w:t>
      </w:r>
      <w:r w:rsidR="00342BBE" w:rsidRPr="004F39E8">
        <w:rPr>
          <w:rFonts w:asciiTheme="majorBidi" w:hAnsiTheme="majorBidi"/>
          <w:sz w:val="24"/>
          <w:szCs w:val="24"/>
        </w:rPr>
        <w:t>II-</w:t>
      </w:r>
      <w:r w:rsidR="0096274A" w:rsidRPr="004F39E8">
        <w:rPr>
          <w:rFonts w:asciiTheme="majorBidi" w:hAnsiTheme="majorBidi"/>
          <w:sz w:val="24"/>
          <w:szCs w:val="24"/>
        </w:rPr>
        <w:t>4</w:t>
      </w:r>
      <w:r w:rsidR="00342BBE" w:rsidRPr="004F39E8">
        <w:rPr>
          <w:rFonts w:asciiTheme="majorBidi" w:hAnsiTheme="majorBidi"/>
          <w:sz w:val="24"/>
          <w:szCs w:val="24"/>
        </w:rPr>
        <w:t>-1 Evolution mensuelle de l’IPC</w:t>
      </w:r>
      <w:bookmarkEnd w:id="33"/>
      <w:r w:rsidR="00342BBE" w:rsidRPr="004F39E8">
        <w:rPr>
          <w:rFonts w:asciiTheme="majorBidi" w:hAnsiTheme="majorBidi"/>
          <w:sz w:val="24"/>
          <w:szCs w:val="24"/>
        </w:rPr>
        <w:t xml:space="preserve"> </w:t>
      </w:r>
    </w:p>
    <w:p w:rsidR="00D172E5" w:rsidRDefault="003834F1"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w:t>
      </w:r>
      <w:r w:rsidR="009E6687">
        <w:rPr>
          <w:rFonts w:asciiTheme="majorBidi" w:hAnsiTheme="majorBidi" w:cstheme="majorBidi"/>
          <w:sz w:val="24"/>
          <w:szCs w:val="24"/>
        </w:rPr>
        <w:t xml:space="preserve">ours </w:t>
      </w:r>
      <w:r>
        <w:rPr>
          <w:rFonts w:asciiTheme="majorBidi" w:hAnsiTheme="majorBidi" w:cstheme="majorBidi"/>
          <w:sz w:val="24"/>
          <w:szCs w:val="24"/>
        </w:rPr>
        <w:t>de l’année 2017, le niveau général des prix a affiché une tendance baissière</w:t>
      </w:r>
      <w:r w:rsidR="000A4CFE">
        <w:rPr>
          <w:rFonts w:asciiTheme="majorBidi" w:hAnsiTheme="majorBidi" w:cstheme="majorBidi"/>
          <w:sz w:val="24"/>
          <w:szCs w:val="24"/>
        </w:rPr>
        <w:t xml:space="preserve"> avec des niveaux inférieurs à 100 durant les huit premiers mois, exception faite du mois de juin. Cependant, à partir du mois de septembre, les prix à la consommation ont adopté une allure ascendante suite à l’impact de la maladie ayant touché la viande ovine.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2018, les prix ont continué leur ascension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 enregistrant, ainsi, une hausse de 1,7% en glissement annuel contre seulement 0,6% pour le 2</w:t>
      </w:r>
      <w:r w:rsidRPr="000A4CFE">
        <w:rPr>
          <w:rFonts w:asciiTheme="majorBidi" w:hAnsiTheme="majorBidi" w:cstheme="majorBidi"/>
          <w:sz w:val="24"/>
          <w:szCs w:val="24"/>
          <w:vertAlign w:val="superscript"/>
        </w:rPr>
        <w:t>ème</w:t>
      </w:r>
      <w:r>
        <w:rPr>
          <w:rFonts w:asciiTheme="majorBidi" w:hAnsiTheme="majorBidi" w:cstheme="majorBidi"/>
          <w:sz w:val="24"/>
          <w:szCs w:val="24"/>
        </w:rPr>
        <w:t xml:space="preserve"> semestre.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Concernant les prix en 2019, ils n’ont augmenté que de 0,2%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w:t>
      </w:r>
      <w:r w:rsidR="00DF46E3">
        <w:rPr>
          <w:rFonts w:asciiTheme="majorBidi" w:hAnsiTheme="majorBidi" w:cstheme="majorBidi"/>
          <w:sz w:val="24"/>
          <w:szCs w:val="24"/>
        </w:rPr>
        <w:t xml:space="preserve"> et de 0,7% dans la 2</w:t>
      </w:r>
      <w:r w:rsidR="00DF46E3" w:rsidRPr="00DF46E3">
        <w:rPr>
          <w:rFonts w:asciiTheme="majorBidi" w:hAnsiTheme="majorBidi" w:cstheme="majorBidi"/>
          <w:sz w:val="24"/>
          <w:szCs w:val="24"/>
          <w:vertAlign w:val="superscript"/>
        </w:rPr>
        <w:t>ème</w:t>
      </w:r>
      <w:r w:rsidR="00DF46E3">
        <w:rPr>
          <w:rFonts w:asciiTheme="majorBidi" w:hAnsiTheme="majorBidi" w:cstheme="majorBidi"/>
          <w:sz w:val="24"/>
          <w:szCs w:val="24"/>
        </w:rPr>
        <w:t xml:space="preserve"> moitié de l’année.</w:t>
      </w:r>
    </w:p>
    <w:p w:rsidR="00DF46E3" w:rsidRDefault="00DF46E3"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Marquée par la </w:t>
      </w:r>
      <w:r w:rsidR="00E871A3">
        <w:rPr>
          <w:rFonts w:asciiTheme="majorBidi" w:hAnsiTheme="majorBidi" w:cstheme="majorBidi"/>
          <w:sz w:val="24"/>
          <w:szCs w:val="24"/>
        </w:rPr>
        <w:t>crise sanitaire</w:t>
      </w:r>
      <w:r>
        <w:rPr>
          <w:rFonts w:asciiTheme="majorBidi" w:hAnsiTheme="majorBidi" w:cstheme="majorBidi"/>
          <w:sz w:val="24"/>
          <w:szCs w:val="24"/>
        </w:rPr>
        <w:t xml:space="preserve"> COVID-19, l’année 2020 a connu l’entrée en </w:t>
      </w:r>
      <w:r w:rsidR="00E871A3">
        <w:rPr>
          <w:rFonts w:asciiTheme="majorBidi" w:hAnsiTheme="majorBidi" w:cstheme="majorBidi"/>
          <w:sz w:val="24"/>
          <w:szCs w:val="24"/>
        </w:rPr>
        <w:t>vigueur du confinement le 20 Mars pour lutter contre la propagation de la pandémie. Ainsi, les prix ont varié de 0,8% au 1</w:t>
      </w:r>
      <w:r w:rsidR="00E871A3" w:rsidRPr="00E871A3">
        <w:rPr>
          <w:rFonts w:asciiTheme="majorBidi" w:hAnsiTheme="majorBidi" w:cstheme="majorBidi"/>
          <w:sz w:val="24"/>
          <w:szCs w:val="24"/>
          <w:vertAlign w:val="superscript"/>
        </w:rPr>
        <w:t>er</w:t>
      </w:r>
      <w:r w:rsidR="00E871A3">
        <w:rPr>
          <w:rFonts w:asciiTheme="majorBidi" w:hAnsiTheme="majorBidi" w:cstheme="majorBidi"/>
          <w:sz w:val="24"/>
          <w:szCs w:val="24"/>
        </w:rPr>
        <w:t xml:space="preserve"> trimestre par rapport à son analogue de l’année dernière.</w:t>
      </w:r>
      <w:r w:rsidR="005B73EA">
        <w:rPr>
          <w:rFonts w:asciiTheme="majorBidi" w:hAnsiTheme="majorBidi" w:cstheme="majorBidi"/>
          <w:sz w:val="24"/>
          <w:szCs w:val="24"/>
        </w:rPr>
        <w:t xml:space="preserve"> Toutefois, cette tendance est passée à la baisse au cours du 2</w:t>
      </w:r>
      <w:r w:rsidR="005B73EA" w:rsidRPr="005B73EA">
        <w:rPr>
          <w:rFonts w:asciiTheme="majorBidi" w:hAnsiTheme="majorBidi" w:cstheme="majorBidi"/>
          <w:sz w:val="24"/>
          <w:szCs w:val="24"/>
          <w:vertAlign w:val="superscript"/>
        </w:rPr>
        <w:t>ème</w:t>
      </w:r>
      <w:r w:rsidR="005B73EA">
        <w:rPr>
          <w:rFonts w:asciiTheme="majorBidi" w:hAnsiTheme="majorBidi" w:cstheme="majorBidi"/>
          <w:sz w:val="24"/>
          <w:szCs w:val="24"/>
        </w:rPr>
        <w:t xml:space="preserve"> trimestre suite au repli de la consommation des ménages, notamment les dépenses liées à l’énergie, au transport, à la</w:t>
      </w:r>
      <w:r w:rsidR="008A01ED">
        <w:rPr>
          <w:rFonts w:asciiTheme="majorBidi" w:hAnsiTheme="majorBidi" w:cstheme="majorBidi"/>
          <w:sz w:val="24"/>
          <w:szCs w:val="24"/>
        </w:rPr>
        <w:t xml:space="preserve"> restauration et aux loisirs.</w:t>
      </w:r>
    </w:p>
    <w:p w:rsidR="008A01ED" w:rsidRDefault="008A01ED"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3</w:t>
      </w:r>
      <w:r w:rsidRPr="008A01ED">
        <w:rPr>
          <w:rFonts w:asciiTheme="majorBidi" w:hAnsiTheme="majorBidi" w:cstheme="majorBidi"/>
          <w:sz w:val="24"/>
          <w:szCs w:val="24"/>
          <w:vertAlign w:val="superscript"/>
        </w:rPr>
        <w:t>ème</w:t>
      </w:r>
      <w:r>
        <w:rPr>
          <w:rFonts w:asciiTheme="majorBidi" w:hAnsiTheme="majorBidi" w:cstheme="majorBidi"/>
          <w:sz w:val="24"/>
          <w:szCs w:val="24"/>
        </w:rPr>
        <w:t xml:space="preserve"> trimestre 2020, les prix à la consommation se sont redressés de 0,6% en variation annuelle. Cette évolution est particulièrement attribuable à la levée progressive des restrictions sanitaires qui a contribué à booster la demande des ménages. Enfin, le dernier trimestre 2020 a été marqué par une décélération des prix à la consommation due essentiellement à la baisse des prix des produits alimentaires.</w:t>
      </w:r>
    </w:p>
    <w:p w:rsidR="00F45140" w:rsidRDefault="009354AD" w:rsidP="00A90EE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L’année 2021 s’est caractérisée par une reprise de la demande suite à l’allègement des restrictions sanitaires. Ainsi, les niveaux affichés par l’IPC, en cette année, sont supérieurs à ceux atteints en 2020.</w:t>
      </w:r>
      <w:r w:rsidR="00636D20">
        <w:rPr>
          <w:rFonts w:asciiTheme="majorBidi" w:hAnsiTheme="majorBidi" w:cstheme="majorBidi"/>
          <w:sz w:val="24"/>
          <w:szCs w:val="24"/>
        </w:rPr>
        <w:t xml:space="preserve"> Toutefois, les seuils de l’indice </w:t>
      </w:r>
      <w:r w:rsidR="00273221">
        <w:rPr>
          <w:rFonts w:asciiTheme="majorBidi" w:hAnsiTheme="majorBidi" w:cstheme="majorBidi"/>
          <w:sz w:val="24"/>
          <w:szCs w:val="24"/>
        </w:rPr>
        <w:t>général</w:t>
      </w:r>
      <w:r w:rsidR="00636D20">
        <w:rPr>
          <w:rFonts w:asciiTheme="majorBidi" w:hAnsiTheme="majorBidi" w:cstheme="majorBidi"/>
          <w:sz w:val="24"/>
          <w:szCs w:val="24"/>
        </w:rPr>
        <w:t xml:space="preserve"> des deux premiers</w:t>
      </w:r>
      <w:r w:rsidR="00D97781">
        <w:rPr>
          <w:rFonts w:asciiTheme="majorBidi" w:hAnsiTheme="majorBidi" w:cstheme="majorBidi"/>
          <w:sz w:val="24"/>
          <w:szCs w:val="24"/>
        </w:rPr>
        <w:t xml:space="preserve"> mois</w:t>
      </w:r>
      <w:r w:rsidR="00636D20">
        <w:rPr>
          <w:rFonts w:asciiTheme="majorBidi" w:hAnsiTheme="majorBidi" w:cstheme="majorBidi"/>
          <w:sz w:val="24"/>
          <w:szCs w:val="24"/>
        </w:rPr>
        <w:t xml:space="preserve"> </w:t>
      </w:r>
      <w:r w:rsidR="00273221">
        <w:rPr>
          <w:rFonts w:asciiTheme="majorBidi" w:hAnsiTheme="majorBidi" w:cstheme="majorBidi"/>
          <w:sz w:val="24"/>
          <w:szCs w:val="24"/>
        </w:rPr>
        <w:t>étaient en dessous de ceux de Janvier et Février 2020. Ce n’est qu’à partir du mois d’avril 2021 que la hausse des prix a commencé à se faire sentir, suite principalement au relèvement des prix des produits alimentaires de près de 3%. Cette tendance haussière s’est atténuée provisoirement en juin, grâce toujours à la première division. En Juillet, l’indice a augmenté de nouveau, de 0,3% par rapport au mois précédent, mais cette fois-ci, non seulement à cause de la hausse des prix des produits alimentaires mais également de la montée</w:t>
      </w:r>
      <w:r w:rsidR="00F45140">
        <w:rPr>
          <w:rFonts w:asciiTheme="majorBidi" w:hAnsiTheme="majorBidi" w:cstheme="majorBidi"/>
          <w:sz w:val="24"/>
          <w:szCs w:val="24"/>
        </w:rPr>
        <w:t xml:space="preserve"> de l’indice des "Transports".</w:t>
      </w:r>
      <w:r w:rsidR="00A90EE0">
        <w:rPr>
          <w:rFonts w:asciiTheme="majorBidi" w:hAnsiTheme="majorBidi" w:cstheme="majorBidi"/>
          <w:sz w:val="24"/>
          <w:szCs w:val="24"/>
        </w:rPr>
        <w:t xml:space="preserve"> </w:t>
      </w:r>
      <w:r w:rsidR="00F45140">
        <w:rPr>
          <w:rFonts w:asciiTheme="majorBidi" w:hAnsiTheme="majorBidi" w:cstheme="majorBidi"/>
          <w:sz w:val="24"/>
          <w:szCs w:val="24"/>
        </w:rPr>
        <w:t>La baisse des prix de 2,1% des produits alimentaires, en Août, a contribué à faire diminuer l’indice général de 0,7%.</w:t>
      </w:r>
      <w:r w:rsidR="00A90EE0">
        <w:rPr>
          <w:rFonts w:asciiTheme="majorBidi" w:hAnsiTheme="majorBidi" w:cstheme="majorBidi"/>
          <w:sz w:val="24"/>
          <w:szCs w:val="24"/>
        </w:rPr>
        <w:t xml:space="preserve"> </w:t>
      </w:r>
      <w:r w:rsidR="00F45140">
        <w:rPr>
          <w:rFonts w:asciiTheme="majorBidi" w:hAnsiTheme="majorBidi" w:cstheme="majorBidi"/>
          <w:sz w:val="24"/>
          <w:szCs w:val="24"/>
        </w:rPr>
        <w:t>A partir du mois de Septembre, l’indice général a repris son ascension pour atteindre son maximum en Octobre avec un niveau de 104,8 et se stabiliser à 104,6 vers la fin de l’année 2021.</w:t>
      </w:r>
    </w:p>
    <w:p w:rsidR="00273221" w:rsidRDefault="00273221" w:rsidP="009354AD">
      <w:pPr>
        <w:spacing w:before="240" w:after="240" w:line="240" w:lineRule="auto"/>
        <w:jc w:val="both"/>
        <w:rPr>
          <w:rFonts w:asciiTheme="majorBidi" w:hAnsiTheme="majorBidi" w:cstheme="majorBidi"/>
          <w:sz w:val="24"/>
          <w:szCs w:val="24"/>
        </w:rPr>
      </w:pPr>
    </w:p>
    <w:p w:rsidR="00273221" w:rsidRPr="006F4290" w:rsidRDefault="00273221" w:rsidP="009354AD">
      <w:pPr>
        <w:spacing w:before="240" w:after="240" w:line="240" w:lineRule="auto"/>
        <w:jc w:val="both"/>
        <w:rPr>
          <w:rFonts w:asciiTheme="majorBidi" w:hAnsiTheme="majorBidi" w:cstheme="majorBidi"/>
          <w:sz w:val="24"/>
          <w:szCs w:val="24"/>
        </w:rPr>
      </w:pPr>
    </w:p>
    <w:p w:rsidR="00E40488" w:rsidRDefault="003042FE" w:rsidP="00B905D9">
      <w:pPr>
        <w:spacing w:before="240" w:after="0"/>
        <w:jc w:val="both"/>
        <w:rPr>
          <w:rFonts w:ascii="Times New Roman" w:hAnsi="Times New Roman" w:cstheme="majorBidi"/>
          <w:b/>
          <w:bCs/>
          <w:color w:val="548DD4" w:themeColor="text2" w:themeTint="99"/>
        </w:rPr>
      </w:pPr>
      <w:r w:rsidRPr="001A6800">
        <w:rPr>
          <w:rFonts w:asciiTheme="majorBidi" w:hAnsiTheme="majorBidi" w:cstheme="majorBidi"/>
          <w:b/>
          <w:bCs/>
          <w:color w:val="548DD4" w:themeColor="text2" w:themeTint="99"/>
          <w:sz w:val="24"/>
          <w:szCs w:val="24"/>
        </w:rPr>
        <w:lastRenderedPageBreak/>
        <w:t xml:space="preserve"> </w:t>
      </w:r>
      <w:bookmarkStart w:id="34" w:name="_Toc68436339"/>
      <w:r w:rsidR="00462F63" w:rsidRPr="006B511C">
        <w:rPr>
          <w:rFonts w:ascii="Times New Roman" w:hAnsi="Times New Roman"/>
          <w:b/>
          <w:bCs/>
          <w:color w:val="4F81BD" w:themeColor="accent1"/>
        </w:rPr>
        <w:t xml:space="preserve">Graphique </w:t>
      </w:r>
      <w:r w:rsidR="00D87627" w:rsidRPr="006B511C">
        <w:rPr>
          <w:rFonts w:ascii="Times New Roman" w:hAnsi="Times New Roman"/>
          <w:b/>
          <w:bCs/>
          <w:color w:val="4F81BD" w:themeColor="accent1"/>
        </w:rPr>
        <w:fldChar w:fldCharType="begin"/>
      </w:r>
      <w:r w:rsidR="00462F63" w:rsidRPr="006B511C">
        <w:rPr>
          <w:rFonts w:ascii="Times New Roman" w:hAnsi="Times New Roman"/>
          <w:b/>
          <w:bCs/>
          <w:color w:val="4F81BD" w:themeColor="accent1"/>
        </w:rPr>
        <w:instrText xml:space="preserve"> SEQ Graphique \* ARABIC </w:instrText>
      </w:r>
      <w:r w:rsidR="00D87627" w:rsidRPr="006B511C">
        <w:rPr>
          <w:rFonts w:ascii="Times New Roman" w:hAnsi="Times New Roman"/>
          <w:b/>
          <w:bCs/>
          <w:color w:val="4F81BD" w:themeColor="accent1"/>
        </w:rPr>
        <w:fldChar w:fldCharType="separate"/>
      </w:r>
      <w:r w:rsidR="00794CED" w:rsidRPr="006B511C">
        <w:rPr>
          <w:rFonts w:ascii="Times New Roman" w:hAnsi="Times New Roman"/>
          <w:b/>
          <w:bCs/>
          <w:noProof/>
          <w:color w:val="4F81BD" w:themeColor="accent1"/>
        </w:rPr>
        <w:t>5</w:t>
      </w:r>
      <w:r w:rsidR="00D87627" w:rsidRPr="006B511C">
        <w:rPr>
          <w:rFonts w:ascii="Times New Roman" w:hAnsi="Times New Roman"/>
          <w:b/>
          <w:bCs/>
          <w:color w:val="4F81BD" w:themeColor="accent1"/>
        </w:rPr>
        <w:fldChar w:fldCharType="end"/>
      </w:r>
      <w:r w:rsidR="00462F63" w:rsidRPr="001A6800">
        <w:rPr>
          <w:rFonts w:ascii="Times New Roman" w:hAnsi="Times New Roman"/>
          <w:b/>
          <w:bCs/>
        </w:rPr>
        <w:t xml:space="preserve"> : </w:t>
      </w:r>
      <w:r w:rsidR="004F39E8" w:rsidRPr="001A6800">
        <w:rPr>
          <w:rFonts w:ascii="Times New Roman" w:hAnsi="Times New Roman" w:cstheme="majorBidi"/>
          <w:b/>
          <w:bCs/>
          <w:color w:val="548DD4" w:themeColor="text2" w:themeTint="99"/>
        </w:rPr>
        <w:t>Evolution de l'IPC de la ville de Kenitra entre 20</w:t>
      </w:r>
      <w:r w:rsidR="00220C72">
        <w:rPr>
          <w:rFonts w:ascii="Times New Roman" w:hAnsi="Times New Roman" w:cstheme="majorBidi"/>
          <w:b/>
          <w:bCs/>
          <w:color w:val="548DD4" w:themeColor="text2" w:themeTint="99"/>
        </w:rPr>
        <w:t>1</w:t>
      </w:r>
      <w:r w:rsidR="004F39E8" w:rsidRPr="001A6800">
        <w:rPr>
          <w:rFonts w:ascii="Times New Roman" w:hAnsi="Times New Roman" w:cstheme="majorBidi"/>
          <w:b/>
          <w:bCs/>
          <w:color w:val="548DD4" w:themeColor="text2" w:themeTint="99"/>
        </w:rPr>
        <w:t>7 et 20</w:t>
      </w:r>
      <w:r w:rsidR="00220C72">
        <w:rPr>
          <w:rFonts w:ascii="Times New Roman" w:hAnsi="Times New Roman" w:cstheme="majorBidi"/>
          <w:b/>
          <w:bCs/>
          <w:color w:val="548DD4" w:themeColor="text2" w:themeTint="99"/>
        </w:rPr>
        <w:t>2</w:t>
      </w:r>
      <w:bookmarkEnd w:id="34"/>
      <w:r w:rsidR="00B905D9">
        <w:rPr>
          <w:rFonts w:ascii="Times New Roman" w:hAnsi="Times New Roman" w:cstheme="majorBidi"/>
          <w:b/>
          <w:bCs/>
          <w:color w:val="548DD4" w:themeColor="text2" w:themeTint="99"/>
        </w:rPr>
        <w:t>1</w:t>
      </w:r>
      <w:r w:rsidR="00B905D9" w:rsidRPr="00B905D9">
        <w:rPr>
          <w:rFonts w:ascii="Times New Roman" w:hAnsi="Times New Roman" w:cstheme="majorBidi"/>
          <w:b/>
          <w:bCs/>
          <w:noProof/>
          <w:color w:val="548DD4" w:themeColor="text2" w:themeTint="99"/>
          <w:lang w:eastAsia="fr-FR"/>
        </w:rPr>
        <w:drawing>
          <wp:inline distT="0" distB="0" distL="0" distR="0">
            <wp:extent cx="5924550" cy="3695700"/>
            <wp:effectExtent l="19050" t="0" r="19050"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D65AF" w:rsidRPr="004F39E8" w:rsidRDefault="00342BBE" w:rsidP="003D21FB">
      <w:pPr>
        <w:pStyle w:val="Titre3"/>
        <w:rPr>
          <w:rFonts w:asciiTheme="majorBidi" w:hAnsiTheme="majorBidi"/>
          <w:sz w:val="24"/>
          <w:szCs w:val="24"/>
        </w:rPr>
      </w:pPr>
      <w:bookmarkStart w:id="35" w:name="_Toc68443136"/>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5"/>
    </w:p>
    <w:p w:rsidR="00662B97" w:rsidRPr="004F39E8" w:rsidRDefault="00662B97" w:rsidP="004F39E8">
      <w:pPr>
        <w:pStyle w:val="Titre4"/>
        <w:spacing w:before="100" w:beforeAutospacing="1"/>
        <w:rPr>
          <w:rFonts w:asciiTheme="majorBidi" w:hAnsiTheme="majorBidi"/>
          <w:sz w:val="24"/>
          <w:szCs w:val="24"/>
        </w:rPr>
      </w:pPr>
      <w:bookmarkStart w:id="36" w:name="_Toc68443137"/>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 xml:space="preserve">des indices généraux de </w:t>
      </w:r>
      <w:proofErr w:type="spellStart"/>
      <w:r w:rsidR="003D21FB" w:rsidRPr="004F39E8">
        <w:rPr>
          <w:rFonts w:asciiTheme="majorBidi" w:hAnsiTheme="majorBidi"/>
          <w:sz w:val="24"/>
          <w:szCs w:val="24"/>
        </w:rPr>
        <w:t>Kénitra</w:t>
      </w:r>
      <w:proofErr w:type="spellEnd"/>
      <w:r w:rsidR="003D21FB" w:rsidRPr="004F39E8">
        <w:rPr>
          <w:rFonts w:asciiTheme="majorBidi" w:hAnsiTheme="majorBidi"/>
          <w:sz w:val="24"/>
          <w:szCs w:val="24"/>
        </w:rPr>
        <w:t xml:space="preserve"> et du Maroc</w:t>
      </w:r>
      <w:bookmarkEnd w:id="36"/>
    </w:p>
    <w:p w:rsidR="00626DB8" w:rsidRDefault="00FE6453" w:rsidP="005B706D">
      <w:pPr>
        <w:spacing w:before="100" w:beforeAutospacing="1"/>
        <w:jc w:val="both"/>
        <w:rPr>
          <w:rFonts w:asciiTheme="majorBidi" w:hAnsiTheme="majorBidi" w:cstheme="majorBidi"/>
          <w:sz w:val="24"/>
          <w:szCs w:val="24"/>
        </w:rPr>
      </w:pPr>
      <w:r>
        <w:rPr>
          <w:rFonts w:asciiTheme="majorBidi" w:hAnsiTheme="majorBidi" w:cstheme="majorBidi"/>
          <w:sz w:val="24"/>
          <w:szCs w:val="24"/>
        </w:rPr>
        <w:t>L</w:t>
      </w:r>
      <w:r w:rsidR="004119FD">
        <w:rPr>
          <w:rFonts w:asciiTheme="majorBidi" w:hAnsiTheme="majorBidi" w:cstheme="majorBidi"/>
          <w:sz w:val="24"/>
          <w:szCs w:val="24"/>
        </w:rPr>
        <w:t xml:space="preserve">’évolution de </w:t>
      </w:r>
      <w:r w:rsidR="00626DB8">
        <w:rPr>
          <w:rFonts w:asciiTheme="majorBidi" w:hAnsiTheme="majorBidi" w:cstheme="majorBidi"/>
          <w:sz w:val="24"/>
          <w:szCs w:val="24"/>
        </w:rPr>
        <w:t>l’IPC général</w:t>
      </w:r>
      <w:r w:rsidR="004119FD">
        <w:rPr>
          <w:rFonts w:asciiTheme="majorBidi" w:hAnsiTheme="majorBidi" w:cstheme="majorBidi"/>
          <w:sz w:val="24"/>
          <w:szCs w:val="24"/>
        </w:rPr>
        <w:t xml:space="preserve">, </w:t>
      </w:r>
      <w:r w:rsidR="00176713">
        <w:rPr>
          <w:rFonts w:asciiTheme="majorBidi" w:hAnsiTheme="majorBidi" w:cstheme="majorBidi"/>
          <w:sz w:val="24"/>
          <w:szCs w:val="24"/>
        </w:rPr>
        <w:t xml:space="preserve">aussi bien de la ville de </w:t>
      </w:r>
      <w:proofErr w:type="spellStart"/>
      <w:r w:rsidR="00176713">
        <w:rPr>
          <w:rFonts w:asciiTheme="majorBidi" w:hAnsiTheme="majorBidi" w:cstheme="majorBidi"/>
          <w:sz w:val="24"/>
          <w:szCs w:val="24"/>
        </w:rPr>
        <w:t>K</w:t>
      </w:r>
      <w:r w:rsidR="00626DB8">
        <w:rPr>
          <w:rFonts w:asciiTheme="majorBidi" w:hAnsiTheme="majorBidi" w:cstheme="majorBidi"/>
          <w:sz w:val="24"/>
          <w:szCs w:val="24"/>
        </w:rPr>
        <w:t>énitra</w:t>
      </w:r>
      <w:proofErr w:type="spellEnd"/>
      <w:r w:rsidR="00626DB8">
        <w:rPr>
          <w:rFonts w:asciiTheme="majorBidi" w:hAnsiTheme="majorBidi" w:cstheme="majorBidi"/>
          <w:sz w:val="24"/>
          <w:szCs w:val="24"/>
        </w:rPr>
        <w:t xml:space="preserve"> que celui </w:t>
      </w:r>
      <w:r>
        <w:rPr>
          <w:rFonts w:asciiTheme="majorBidi" w:hAnsiTheme="majorBidi" w:cstheme="majorBidi"/>
          <w:sz w:val="24"/>
          <w:szCs w:val="24"/>
        </w:rPr>
        <w:t xml:space="preserve">de l’ensemble des dix-huit </w:t>
      </w:r>
      <w:r w:rsidR="00626DB8">
        <w:rPr>
          <w:rFonts w:asciiTheme="majorBidi" w:hAnsiTheme="majorBidi" w:cstheme="majorBidi"/>
          <w:sz w:val="24"/>
          <w:szCs w:val="24"/>
        </w:rPr>
        <w:t>entre 20</w:t>
      </w:r>
      <w:r>
        <w:rPr>
          <w:rFonts w:asciiTheme="majorBidi" w:hAnsiTheme="majorBidi" w:cstheme="majorBidi"/>
          <w:sz w:val="24"/>
          <w:szCs w:val="24"/>
        </w:rPr>
        <w:t>1</w:t>
      </w:r>
      <w:r w:rsidR="00626DB8">
        <w:rPr>
          <w:rFonts w:asciiTheme="majorBidi" w:hAnsiTheme="majorBidi" w:cstheme="majorBidi"/>
          <w:sz w:val="24"/>
          <w:szCs w:val="24"/>
        </w:rPr>
        <w:t>7 et 20</w:t>
      </w:r>
      <w:r>
        <w:rPr>
          <w:rFonts w:asciiTheme="majorBidi" w:hAnsiTheme="majorBidi" w:cstheme="majorBidi"/>
          <w:sz w:val="24"/>
          <w:szCs w:val="24"/>
        </w:rPr>
        <w:t>2</w:t>
      </w:r>
      <w:r w:rsidR="005B706D">
        <w:rPr>
          <w:rFonts w:asciiTheme="majorBidi" w:hAnsiTheme="majorBidi" w:cstheme="majorBidi"/>
          <w:sz w:val="24"/>
          <w:szCs w:val="24"/>
        </w:rPr>
        <w:t>1</w:t>
      </w:r>
      <w:r w:rsidR="00626DB8">
        <w:rPr>
          <w:rFonts w:asciiTheme="majorBidi" w:hAnsiTheme="majorBidi" w:cstheme="majorBidi"/>
          <w:sz w:val="24"/>
          <w:szCs w:val="24"/>
        </w:rPr>
        <w:t xml:space="preserve">, </w:t>
      </w:r>
      <w:r>
        <w:rPr>
          <w:rFonts w:asciiTheme="majorBidi" w:hAnsiTheme="majorBidi" w:cstheme="majorBidi"/>
          <w:sz w:val="24"/>
          <w:szCs w:val="24"/>
        </w:rPr>
        <w:t>montre clairement</w:t>
      </w:r>
      <w:r w:rsidR="00626DB8">
        <w:rPr>
          <w:rFonts w:asciiTheme="majorBidi" w:hAnsiTheme="majorBidi" w:cstheme="majorBidi"/>
          <w:sz w:val="24"/>
          <w:szCs w:val="24"/>
        </w:rPr>
        <w:t xml:space="preserve"> la tendance haussière des </w:t>
      </w:r>
      <w:r>
        <w:rPr>
          <w:rFonts w:asciiTheme="majorBidi" w:hAnsiTheme="majorBidi" w:cstheme="majorBidi"/>
          <w:sz w:val="24"/>
          <w:szCs w:val="24"/>
        </w:rPr>
        <w:t xml:space="preserve">prix à la consommation durant ces </w:t>
      </w:r>
      <w:r w:rsidR="005B706D">
        <w:rPr>
          <w:rFonts w:asciiTheme="majorBidi" w:hAnsiTheme="majorBidi" w:cstheme="majorBidi"/>
          <w:sz w:val="24"/>
          <w:szCs w:val="24"/>
        </w:rPr>
        <w:t>cinq</w:t>
      </w:r>
      <w:r>
        <w:rPr>
          <w:rFonts w:asciiTheme="majorBidi" w:hAnsiTheme="majorBidi" w:cstheme="majorBidi"/>
          <w:sz w:val="24"/>
          <w:szCs w:val="24"/>
        </w:rPr>
        <w:t xml:space="preserve"> </w:t>
      </w:r>
      <w:r w:rsidR="00626DB8">
        <w:rPr>
          <w:rFonts w:asciiTheme="majorBidi" w:hAnsiTheme="majorBidi" w:cstheme="majorBidi"/>
          <w:sz w:val="24"/>
          <w:szCs w:val="24"/>
        </w:rPr>
        <w:t>dernières années.</w:t>
      </w:r>
    </w:p>
    <w:p w:rsidR="00F46CAF" w:rsidRDefault="00626DB8"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Malgré leurs allures très rapprochées, les deux courbes de l’IPC général, représentées dans le graphique ci-dessous, montre</w:t>
      </w:r>
      <w:r w:rsidR="00035FE6">
        <w:rPr>
          <w:rFonts w:asciiTheme="majorBidi" w:hAnsiTheme="majorBidi" w:cstheme="majorBidi"/>
          <w:sz w:val="24"/>
          <w:szCs w:val="24"/>
        </w:rPr>
        <w:t>nt</w:t>
      </w:r>
      <w:r>
        <w:rPr>
          <w:rFonts w:asciiTheme="majorBidi" w:hAnsiTheme="majorBidi" w:cstheme="majorBidi"/>
          <w:sz w:val="24"/>
          <w:szCs w:val="24"/>
        </w:rPr>
        <w:t xml:space="preserve"> que le</w:t>
      </w:r>
      <w:r w:rsidR="00CA6B51">
        <w:rPr>
          <w:rFonts w:asciiTheme="majorBidi" w:hAnsiTheme="majorBidi" w:cstheme="majorBidi"/>
          <w:sz w:val="24"/>
          <w:szCs w:val="24"/>
        </w:rPr>
        <w:t xml:space="preserve"> niveau général des prix</w:t>
      </w:r>
      <w:r w:rsidR="004119FD">
        <w:rPr>
          <w:rFonts w:asciiTheme="majorBidi" w:hAnsiTheme="majorBidi" w:cstheme="majorBidi"/>
          <w:sz w:val="24"/>
          <w:szCs w:val="24"/>
        </w:rPr>
        <w:t xml:space="preserve"> </w:t>
      </w:r>
      <w:r>
        <w:rPr>
          <w:rFonts w:asciiTheme="majorBidi" w:hAnsiTheme="majorBidi" w:cstheme="majorBidi"/>
          <w:sz w:val="24"/>
          <w:szCs w:val="24"/>
        </w:rPr>
        <w:t>dans</w:t>
      </w:r>
      <w:r w:rsidR="004119FD">
        <w:rPr>
          <w:rFonts w:asciiTheme="majorBidi" w:hAnsiTheme="majorBidi" w:cstheme="majorBidi"/>
          <w:sz w:val="24"/>
          <w:szCs w:val="24"/>
        </w:rPr>
        <w:t xml:space="preserve"> la ville de </w:t>
      </w:r>
      <w:proofErr w:type="spellStart"/>
      <w:r w:rsidR="004119FD">
        <w:rPr>
          <w:rFonts w:asciiTheme="majorBidi" w:hAnsiTheme="majorBidi" w:cstheme="majorBidi"/>
          <w:sz w:val="24"/>
          <w:szCs w:val="24"/>
        </w:rPr>
        <w:t>Kénitra</w:t>
      </w:r>
      <w:proofErr w:type="spellEnd"/>
      <w:r w:rsidR="004119FD">
        <w:rPr>
          <w:rFonts w:asciiTheme="majorBidi" w:hAnsiTheme="majorBidi" w:cstheme="majorBidi"/>
          <w:sz w:val="24"/>
          <w:szCs w:val="24"/>
        </w:rPr>
        <w:t xml:space="preserve"> </w:t>
      </w:r>
      <w:r w:rsidR="00DD3665">
        <w:rPr>
          <w:rFonts w:asciiTheme="majorBidi" w:hAnsiTheme="majorBidi" w:cstheme="majorBidi"/>
          <w:sz w:val="24"/>
          <w:szCs w:val="24"/>
        </w:rPr>
        <w:t>se situe en dessous</w:t>
      </w:r>
      <w:r>
        <w:rPr>
          <w:rFonts w:asciiTheme="majorBidi" w:hAnsiTheme="majorBidi" w:cstheme="majorBidi"/>
          <w:sz w:val="24"/>
          <w:szCs w:val="24"/>
        </w:rPr>
        <w:t xml:space="preserve"> de </w:t>
      </w:r>
      <w:r w:rsidR="00CA6B51">
        <w:rPr>
          <w:rFonts w:asciiTheme="majorBidi" w:hAnsiTheme="majorBidi" w:cstheme="majorBidi"/>
          <w:sz w:val="24"/>
          <w:szCs w:val="24"/>
        </w:rPr>
        <w:t>la moyenne nationale</w:t>
      </w:r>
      <w:r w:rsidR="004119FD">
        <w:rPr>
          <w:rFonts w:asciiTheme="majorBidi" w:hAnsiTheme="majorBidi" w:cstheme="majorBidi"/>
          <w:sz w:val="24"/>
          <w:szCs w:val="24"/>
        </w:rPr>
        <w:t xml:space="preserve">. </w:t>
      </w:r>
    </w:p>
    <w:p w:rsidR="00DD3665" w:rsidRDefault="005B706D" w:rsidP="005B706D">
      <w:pPr>
        <w:spacing w:before="100" w:beforeAutospacing="1"/>
        <w:jc w:val="both"/>
        <w:rPr>
          <w:rFonts w:asciiTheme="majorBidi" w:hAnsiTheme="majorBidi" w:cstheme="majorBidi"/>
          <w:sz w:val="24"/>
          <w:szCs w:val="24"/>
        </w:rPr>
      </w:pPr>
      <w:r>
        <w:rPr>
          <w:rFonts w:asciiTheme="majorBidi" w:hAnsiTheme="majorBidi" w:cstheme="majorBidi"/>
          <w:sz w:val="24"/>
          <w:szCs w:val="24"/>
        </w:rPr>
        <w:t>Notant qu’au fil de ces cinq années,</w:t>
      </w:r>
      <w:r w:rsidR="00DD3665">
        <w:rPr>
          <w:rFonts w:asciiTheme="majorBidi" w:hAnsiTheme="majorBidi" w:cstheme="majorBidi"/>
          <w:sz w:val="24"/>
          <w:szCs w:val="24"/>
        </w:rPr>
        <w:t xml:space="preserve"> l’écart entre les deux indices </w:t>
      </w:r>
      <w:r>
        <w:rPr>
          <w:rFonts w:asciiTheme="majorBidi" w:hAnsiTheme="majorBidi" w:cstheme="majorBidi"/>
          <w:sz w:val="24"/>
          <w:szCs w:val="24"/>
        </w:rPr>
        <w:t>s’est agrandi pour atteindre 1,4 point.</w:t>
      </w:r>
    </w:p>
    <w:p w:rsidR="005D5547" w:rsidRDefault="005D5547" w:rsidP="00961982">
      <w:pPr>
        <w:pStyle w:val="Lgende"/>
        <w:rPr>
          <w:rFonts w:ascii="Times New Roman" w:hAnsi="Times New Roman"/>
          <w:sz w:val="22"/>
        </w:rPr>
      </w:pPr>
      <w:bookmarkStart w:id="37" w:name="_Toc68436340"/>
    </w:p>
    <w:p w:rsidR="005D5547" w:rsidRDefault="005D5547" w:rsidP="00961982">
      <w:pPr>
        <w:pStyle w:val="Lgende"/>
        <w:rPr>
          <w:rFonts w:ascii="Times New Roman" w:hAnsi="Times New Roman"/>
          <w:sz w:val="22"/>
        </w:rPr>
      </w:pPr>
    </w:p>
    <w:p w:rsidR="005D5547" w:rsidRDefault="005D5547" w:rsidP="00961982">
      <w:pPr>
        <w:pStyle w:val="Lgende"/>
        <w:rPr>
          <w:rFonts w:ascii="Times New Roman" w:hAnsi="Times New Roman"/>
          <w:sz w:val="22"/>
        </w:rPr>
      </w:pPr>
    </w:p>
    <w:p w:rsidR="005D5547" w:rsidRDefault="005D5547" w:rsidP="00961982">
      <w:pPr>
        <w:pStyle w:val="Lgende"/>
        <w:rPr>
          <w:rFonts w:ascii="Times New Roman" w:hAnsi="Times New Roman"/>
          <w:sz w:val="22"/>
        </w:rPr>
      </w:pPr>
    </w:p>
    <w:p w:rsidR="005D5547" w:rsidRDefault="005D5547" w:rsidP="00961982">
      <w:pPr>
        <w:pStyle w:val="Lgende"/>
        <w:rPr>
          <w:rFonts w:ascii="Times New Roman" w:hAnsi="Times New Roman"/>
          <w:sz w:val="22"/>
        </w:rPr>
      </w:pPr>
    </w:p>
    <w:p w:rsidR="006749E7" w:rsidRPr="00462F63" w:rsidRDefault="00462F63" w:rsidP="00961982">
      <w:pPr>
        <w:pStyle w:val="Lgende"/>
        <w:rPr>
          <w:rFonts w:ascii="Times New Roman" w:hAnsi="Times New Roman" w:cstheme="majorBidi"/>
          <w:bCs w:val="0"/>
          <w:color w:val="548DD4" w:themeColor="text2" w:themeTint="99"/>
          <w:sz w:val="22"/>
          <w:szCs w:val="24"/>
        </w:rPr>
      </w:pPr>
      <w:r w:rsidRPr="00462F63">
        <w:rPr>
          <w:rFonts w:ascii="Times New Roman" w:hAnsi="Times New Roman"/>
          <w:sz w:val="22"/>
        </w:rPr>
        <w:lastRenderedPageBreak/>
        <w:t xml:space="preserve">Graphique </w:t>
      </w:r>
      <w:r w:rsidR="00D87627"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87627" w:rsidRPr="00462F63">
        <w:rPr>
          <w:rFonts w:ascii="Times New Roman" w:hAnsi="Times New Roman"/>
          <w:sz w:val="22"/>
        </w:rPr>
        <w:fldChar w:fldCharType="separate"/>
      </w:r>
      <w:r w:rsidR="00794CED">
        <w:rPr>
          <w:rFonts w:ascii="Times New Roman" w:hAnsi="Times New Roman"/>
          <w:noProof/>
          <w:sz w:val="22"/>
        </w:rPr>
        <w:t>6</w:t>
      </w:r>
      <w:r w:rsidR="00D87627"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proofErr w:type="spellStart"/>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w:t>
      </w:r>
      <w:proofErr w:type="spellEnd"/>
      <w:r w:rsidR="004F39E8" w:rsidRPr="00462F63">
        <w:rPr>
          <w:rFonts w:ascii="Times New Roman" w:hAnsi="Times New Roman" w:cstheme="majorBidi"/>
          <w:bCs w:val="0"/>
          <w:color w:val="548DD4" w:themeColor="text2" w:themeTint="99"/>
          <w:sz w:val="22"/>
          <w:szCs w:val="24"/>
        </w:rPr>
        <w:t xml:space="preserve"> et du Maroc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w:t>
      </w:r>
      <w:bookmarkEnd w:id="37"/>
      <w:r w:rsidR="00961982">
        <w:rPr>
          <w:rFonts w:ascii="Times New Roman" w:hAnsi="Times New Roman" w:cstheme="majorBidi"/>
          <w:bCs w:val="0"/>
          <w:color w:val="548DD4" w:themeColor="text2" w:themeTint="99"/>
          <w:sz w:val="22"/>
          <w:szCs w:val="24"/>
        </w:rPr>
        <w:t>1</w:t>
      </w:r>
    </w:p>
    <w:p w:rsidR="00662B97" w:rsidRDefault="00961982" w:rsidP="004A7CCA">
      <w:pPr>
        <w:spacing w:before="240" w:after="0" w:line="240" w:lineRule="auto"/>
        <w:jc w:val="both"/>
        <w:rPr>
          <w:rFonts w:asciiTheme="majorBidi" w:hAnsiTheme="majorBidi" w:cstheme="majorBidi"/>
          <w:b/>
          <w:bCs/>
          <w:color w:val="4F81BD" w:themeColor="accent1"/>
          <w:sz w:val="24"/>
          <w:szCs w:val="24"/>
        </w:rPr>
      </w:pPr>
      <w:r w:rsidRPr="00961982">
        <w:rPr>
          <w:rFonts w:asciiTheme="majorBidi" w:hAnsiTheme="majorBidi" w:cstheme="majorBidi"/>
          <w:b/>
          <w:bCs/>
          <w:noProof/>
          <w:color w:val="4F81BD" w:themeColor="accent1"/>
          <w:sz w:val="24"/>
          <w:szCs w:val="24"/>
          <w:lang w:eastAsia="fr-FR"/>
        </w:rPr>
        <w:drawing>
          <wp:inline distT="0" distB="0" distL="0" distR="0">
            <wp:extent cx="5429250" cy="3648076"/>
            <wp:effectExtent l="19050" t="0" r="19050" b="9524"/>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4B1065">
      <w:pPr>
        <w:pStyle w:val="Titre4"/>
        <w:rPr>
          <w:rFonts w:asciiTheme="majorBidi" w:hAnsiTheme="majorBidi"/>
          <w:sz w:val="24"/>
          <w:szCs w:val="24"/>
        </w:rPr>
      </w:pPr>
    </w:p>
    <w:p w:rsidR="00662B97" w:rsidRPr="004F39E8" w:rsidRDefault="003D21FB" w:rsidP="004B1065">
      <w:pPr>
        <w:pStyle w:val="Titre4"/>
        <w:rPr>
          <w:rFonts w:asciiTheme="majorBidi" w:hAnsiTheme="majorBidi"/>
          <w:sz w:val="24"/>
          <w:szCs w:val="24"/>
        </w:rPr>
      </w:pPr>
      <w:bookmarkStart w:id="38" w:name="_Toc68443138"/>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w:t>
      </w:r>
      <w:proofErr w:type="spellStart"/>
      <w:r w:rsidR="00D4044E" w:rsidRPr="004F39E8">
        <w:rPr>
          <w:rFonts w:asciiTheme="majorBidi" w:hAnsiTheme="majorBidi"/>
          <w:sz w:val="24"/>
          <w:szCs w:val="24"/>
        </w:rPr>
        <w:t>Kénitra</w:t>
      </w:r>
      <w:bookmarkEnd w:id="38"/>
      <w:proofErr w:type="spellEnd"/>
    </w:p>
    <w:p w:rsidR="00B03E8F" w:rsidRDefault="00826056" w:rsidP="005A6C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3E8F">
        <w:rPr>
          <w:rFonts w:asciiTheme="majorBidi" w:hAnsiTheme="majorBidi" w:cstheme="majorBidi"/>
          <w:sz w:val="24"/>
          <w:szCs w:val="24"/>
        </w:rPr>
        <w:t>’allure qu</w:t>
      </w:r>
      <w:r>
        <w:rPr>
          <w:rFonts w:asciiTheme="majorBidi" w:hAnsiTheme="majorBidi" w:cstheme="majorBidi"/>
          <w:sz w:val="24"/>
          <w:szCs w:val="24"/>
        </w:rPr>
        <w:t>’adopte</w:t>
      </w:r>
      <w:r w:rsidR="00780A7D">
        <w:rPr>
          <w:rFonts w:asciiTheme="majorBidi" w:hAnsiTheme="majorBidi" w:cstheme="majorBidi"/>
          <w:sz w:val="24"/>
          <w:szCs w:val="24"/>
        </w:rPr>
        <w:t xml:space="preserve"> </w:t>
      </w:r>
      <w:r w:rsidR="00B03E8F">
        <w:rPr>
          <w:rFonts w:asciiTheme="majorBidi" w:hAnsiTheme="majorBidi" w:cstheme="majorBidi"/>
          <w:sz w:val="24"/>
          <w:szCs w:val="24"/>
        </w:rPr>
        <w:t xml:space="preserve"> la courbe de l’indice général des prix à la consommation, est l’effet conjugué de l’évolution des indices alimentaire et non alimentaire. Toutefois, l’impact de l’évolution des prix des PNA pèse beaucoup plus sur l’indice général du fait que les coefficients de pondération sont de 57,</w:t>
      </w:r>
      <w:r>
        <w:rPr>
          <w:rFonts w:asciiTheme="majorBidi" w:hAnsiTheme="majorBidi" w:cstheme="majorBidi"/>
          <w:sz w:val="24"/>
          <w:szCs w:val="24"/>
        </w:rPr>
        <w:t>3% pour ces derniers contre 42,7</w:t>
      </w:r>
      <w:r w:rsidR="00B03E8F">
        <w:rPr>
          <w:rFonts w:asciiTheme="majorBidi" w:hAnsiTheme="majorBidi" w:cstheme="majorBidi"/>
          <w:sz w:val="24"/>
          <w:szCs w:val="24"/>
        </w:rPr>
        <w:t>% pour les produits alimentaires</w:t>
      </w:r>
      <w:r>
        <w:rPr>
          <w:rFonts w:asciiTheme="majorBidi" w:hAnsiTheme="majorBidi" w:cstheme="majorBidi"/>
          <w:sz w:val="24"/>
          <w:szCs w:val="24"/>
        </w:rPr>
        <w:t xml:space="preserve"> au niveau de la ville de </w:t>
      </w:r>
      <w:proofErr w:type="spellStart"/>
      <w:r>
        <w:rPr>
          <w:rFonts w:asciiTheme="majorBidi" w:hAnsiTheme="majorBidi" w:cstheme="majorBidi"/>
          <w:sz w:val="24"/>
          <w:szCs w:val="24"/>
        </w:rPr>
        <w:t>Kénitra</w:t>
      </w:r>
      <w:proofErr w:type="spellEnd"/>
      <w:r w:rsidR="00B03E8F">
        <w:rPr>
          <w:rFonts w:asciiTheme="majorBidi" w:hAnsiTheme="majorBidi" w:cstheme="majorBidi"/>
          <w:sz w:val="24"/>
          <w:szCs w:val="24"/>
        </w:rPr>
        <w:t>.</w:t>
      </w:r>
    </w:p>
    <w:p w:rsidR="006A3751" w:rsidRDefault="00B03E8F" w:rsidP="005D554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la courbe de l’IA, on note que son évolution a été sujette à </w:t>
      </w:r>
      <w:r w:rsidR="00826056">
        <w:rPr>
          <w:rFonts w:asciiTheme="majorBidi" w:hAnsiTheme="majorBidi" w:cstheme="majorBidi"/>
          <w:sz w:val="24"/>
          <w:szCs w:val="24"/>
        </w:rPr>
        <w:t>plusieurs fluctuations entre 2017 et 202</w:t>
      </w:r>
      <w:r w:rsidR="005D5547">
        <w:rPr>
          <w:rFonts w:asciiTheme="majorBidi" w:hAnsiTheme="majorBidi" w:cstheme="majorBidi"/>
          <w:sz w:val="24"/>
          <w:szCs w:val="24"/>
        </w:rPr>
        <w:t>1</w:t>
      </w:r>
      <w:r>
        <w:rPr>
          <w:rFonts w:asciiTheme="majorBidi" w:hAnsiTheme="majorBidi" w:cstheme="majorBidi"/>
          <w:sz w:val="24"/>
          <w:szCs w:val="24"/>
        </w:rPr>
        <w:t xml:space="preserve"> à cause des prix volatils des produits frais. </w:t>
      </w:r>
    </w:p>
    <w:p w:rsidR="00826056" w:rsidRDefault="00826056"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l’IA, après avoir marqué une variation positive de 1,1% entre 2017 et 2018, il connût </w:t>
      </w:r>
      <w:r w:rsidR="00827EF6">
        <w:rPr>
          <w:rFonts w:asciiTheme="majorBidi" w:hAnsiTheme="majorBidi" w:cstheme="majorBidi"/>
          <w:sz w:val="24"/>
          <w:szCs w:val="24"/>
        </w:rPr>
        <w:t>une baisse de 1,3% l’année d’après et une hausse modérée de 0,1% en 2020.</w:t>
      </w:r>
      <w:r w:rsidR="005D5547">
        <w:rPr>
          <w:rFonts w:asciiTheme="majorBidi" w:hAnsiTheme="majorBidi" w:cstheme="majorBidi"/>
          <w:sz w:val="24"/>
          <w:szCs w:val="24"/>
        </w:rPr>
        <w:t xml:space="preserve"> Cependant, avec la relance de la demande en 2021, cette hausse passa à 1,1%.</w:t>
      </w:r>
    </w:p>
    <w:p w:rsidR="00827EF6" w:rsidRDefault="00827EF6" w:rsidP="005D554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ce qui concerne l’INA, il a enregistré une évolution annuelle positive de 1,1% en 2018, puis de </w:t>
      </w:r>
      <w:r w:rsidR="006D408A">
        <w:rPr>
          <w:rFonts w:asciiTheme="majorBidi" w:hAnsiTheme="majorBidi" w:cstheme="majorBidi"/>
          <w:sz w:val="24"/>
          <w:szCs w:val="24"/>
        </w:rPr>
        <w:t>1,7% en 2019 et de 0,1% en 2020</w:t>
      </w:r>
      <w:r w:rsidR="005D5547">
        <w:rPr>
          <w:rFonts w:asciiTheme="majorBidi" w:hAnsiTheme="majorBidi" w:cstheme="majorBidi"/>
          <w:sz w:val="24"/>
          <w:szCs w:val="24"/>
        </w:rPr>
        <w:t>. Cette dernière baisse était due aux restrictions générées par la crise COVID 19.</w:t>
      </w:r>
    </w:p>
    <w:p w:rsidR="005D5547" w:rsidRDefault="005D5547" w:rsidP="005D554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En 2021, la hausse de l’indice non alimentaire a atteint 1,4%, suite notamment, à la perturbation des chaînes mondiales</w:t>
      </w:r>
      <w:r w:rsidR="00CC612C">
        <w:rPr>
          <w:rFonts w:asciiTheme="majorBidi" w:hAnsiTheme="majorBidi" w:cstheme="majorBidi"/>
          <w:sz w:val="24"/>
          <w:szCs w:val="24"/>
        </w:rPr>
        <w:t xml:space="preserve"> d’approvisionnement et de production qui ont fortement impacté l’offre et la demande des produits.</w:t>
      </w:r>
    </w:p>
    <w:p w:rsidR="00047157" w:rsidRDefault="00047157" w:rsidP="005D5547">
      <w:pPr>
        <w:spacing w:before="240" w:after="240" w:line="240" w:lineRule="auto"/>
        <w:jc w:val="both"/>
        <w:rPr>
          <w:rFonts w:asciiTheme="majorBidi" w:hAnsiTheme="majorBidi" w:cstheme="majorBidi"/>
          <w:sz w:val="24"/>
          <w:szCs w:val="24"/>
        </w:rPr>
      </w:pPr>
    </w:p>
    <w:p w:rsidR="004F39E8" w:rsidRPr="00462F63" w:rsidRDefault="00462F63" w:rsidP="00E975D0">
      <w:pPr>
        <w:pStyle w:val="Lgende"/>
        <w:rPr>
          <w:rFonts w:ascii="Times New Roman" w:hAnsi="Times New Roman" w:cstheme="majorBidi"/>
          <w:bCs w:val="0"/>
          <w:color w:val="548DD4" w:themeColor="text2" w:themeTint="99"/>
          <w:sz w:val="22"/>
          <w:szCs w:val="24"/>
        </w:rPr>
      </w:pPr>
      <w:bookmarkStart w:id="39" w:name="_Toc68436341"/>
      <w:r w:rsidRPr="00462F63">
        <w:rPr>
          <w:rFonts w:ascii="Times New Roman" w:hAnsi="Times New Roman"/>
          <w:sz w:val="22"/>
        </w:rPr>
        <w:t xml:space="preserve">Graphique </w:t>
      </w:r>
      <w:r w:rsidR="00D87627"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87627" w:rsidRPr="00462F63">
        <w:rPr>
          <w:rFonts w:ascii="Times New Roman" w:hAnsi="Times New Roman"/>
          <w:sz w:val="22"/>
        </w:rPr>
        <w:fldChar w:fldCharType="separate"/>
      </w:r>
      <w:r w:rsidR="00794CED">
        <w:rPr>
          <w:rFonts w:ascii="Times New Roman" w:hAnsi="Times New Roman"/>
          <w:noProof/>
          <w:sz w:val="22"/>
        </w:rPr>
        <w:t>7</w:t>
      </w:r>
      <w:r w:rsidR="00D87627"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w:t>
      </w:r>
      <w:bookmarkEnd w:id="39"/>
      <w:r w:rsidR="00961982">
        <w:rPr>
          <w:rFonts w:ascii="Times New Roman" w:hAnsi="Times New Roman" w:cstheme="majorBidi"/>
          <w:bCs w:val="0"/>
          <w:color w:val="548DD4" w:themeColor="text2" w:themeTint="99"/>
          <w:sz w:val="22"/>
          <w:szCs w:val="24"/>
        </w:rPr>
        <w:t>1</w:t>
      </w:r>
    </w:p>
    <w:p w:rsidR="004F39E8" w:rsidRPr="004F39E8" w:rsidRDefault="007E1D21" w:rsidP="007E1D21">
      <w:pPr>
        <w:spacing w:after="0" w:line="240" w:lineRule="auto"/>
        <w:jc w:val="center"/>
        <w:rPr>
          <w:rFonts w:asciiTheme="majorBidi" w:hAnsiTheme="majorBidi" w:cstheme="majorBidi"/>
          <w:color w:val="548DD4" w:themeColor="text2" w:themeTint="99"/>
          <w:sz w:val="24"/>
          <w:szCs w:val="24"/>
        </w:rPr>
      </w:pPr>
      <w:r>
        <w:rPr>
          <w:rFonts w:asciiTheme="majorBidi" w:hAnsiTheme="majorBidi" w:cstheme="majorBidi"/>
          <w:b/>
          <w:bCs/>
          <w:color w:val="548DD4" w:themeColor="text2" w:themeTint="99"/>
          <w:sz w:val="24"/>
          <w:szCs w:val="24"/>
        </w:rPr>
        <w:t>-</w:t>
      </w:r>
      <w:r w:rsidR="004F39E8" w:rsidRPr="004F39E8">
        <w:rPr>
          <w:rFonts w:asciiTheme="majorBidi" w:hAnsiTheme="majorBidi" w:cstheme="majorBidi"/>
          <w:b/>
          <w:bCs/>
          <w:color w:val="548DD4" w:themeColor="text2" w:themeTint="99"/>
          <w:sz w:val="24"/>
          <w:szCs w:val="24"/>
        </w:rPr>
        <w:t xml:space="preserve">Ville de </w:t>
      </w:r>
      <w:proofErr w:type="spellStart"/>
      <w:r w:rsidR="004F39E8" w:rsidRPr="004F39E8">
        <w:rPr>
          <w:rFonts w:asciiTheme="majorBidi" w:hAnsiTheme="majorBidi" w:cstheme="majorBidi"/>
          <w:b/>
          <w:bCs/>
          <w:color w:val="548DD4" w:themeColor="text2" w:themeTint="99"/>
          <w:sz w:val="24"/>
          <w:szCs w:val="24"/>
        </w:rPr>
        <w:t>Kénitra</w:t>
      </w:r>
      <w:proofErr w:type="spellEnd"/>
      <w:r>
        <w:rPr>
          <w:rFonts w:asciiTheme="majorBidi" w:hAnsiTheme="majorBidi" w:cstheme="majorBidi"/>
          <w:b/>
          <w:bCs/>
          <w:color w:val="548DD4" w:themeColor="text2" w:themeTint="99"/>
          <w:sz w:val="24"/>
          <w:szCs w:val="24"/>
        </w:rPr>
        <w:t>-</w:t>
      </w:r>
    </w:p>
    <w:p w:rsidR="00252B2A" w:rsidRDefault="00961982" w:rsidP="004A7CCA">
      <w:pPr>
        <w:spacing w:before="240" w:after="0" w:line="240" w:lineRule="auto"/>
        <w:jc w:val="both"/>
        <w:rPr>
          <w:rFonts w:asciiTheme="majorBidi" w:hAnsiTheme="majorBidi" w:cstheme="majorBidi"/>
          <w:sz w:val="24"/>
          <w:szCs w:val="24"/>
        </w:rPr>
      </w:pPr>
      <w:r w:rsidRPr="00961982">
        <w:rPr>
          <w:rFonts w:asciiTheme="majorBidi" w:hAnsiTheme="majorBidi" w:cstheme="majorBidi"/>
          <w:noProof/>
          <w:sz w:val="24"/>
          <w:szCs w:val="24"/>
          <w:lang w:eastAsia="fr-FR"/>
        </w:rPr>
        <w:drawing>
          <wp:inline distT="0" distB="0" distL="0" distR="0">
            <wp:extent cx="5429250" cy="4079875"/>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047157" w:rsidRDefault="00047157" w:rsidP="00AF5C86">
      <w:pPr>
        <w:pStyle w:val="Titre3"/>
        <w:rPr>
          <w:rFonts w:asciiTheme="majorBidi" w:hAnsiTheme="majorBidi"/>
          <w:sz w:val="24"/>
          <w:szCs w:val="24"/>
        </w:rPr>
      </w:pPr>
      <w:bookmarkStart w:id="40" w:name="_Toc68443139"/>
    </w:p>
    <w:p w:rsidR="00252B2A" w:rsidRPr="00AF5C86" w:rsidRDefault="006A3751" w:rsidP="00AF5C86">
      <w:pPr>
        <w:pStyle w:val="Titre3"/>
        <w:rPr>
          <w:rFonts w:asciiTheme="majorBidi" w:hAnsiTheme="majorBidi"/>
          <w:sz w:val="24"/>
          <w:szCs w:val="24"/>
        </w:rPr>
      </w:pPr>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0"/>
    </w:p>
    <w:p w:rsidR="00AF5C86" w:rsidRPr="004B1065" w:rsidRDefault="00AF5C86" w:rsidP="00AF5C86">
      <w:pPr>
        <w:pStyle w:val="Titre4"/>
        <w:rPr>
          <w:rFonts w:asciiTheme="majorBidi" w:hAnsiTheme="majorBidi"/>
          <w:i w:val="0"/>
          <w:iCs w:val="0"/>
        </w:rPr>
      </w:pPr>
      <w:bookmarkStart w:id="41" w:name="_Toc68443140"/>
      <w:r w:rsidRPr="004B1065">
        <w:rPr>
          <w:rFonts w:asciiTheme="majorBidi" w:hAnsiTheme="majorBidi"/>
          <w:i w:val="0"/>
          <w:iCs w:val="0"/>
        </w:rPr>
        <w:t>III-4-3-1 Evolution annuelle de l’inflation</w:t>
      </w:r>
      <w:bookmarkEnd w:id="41"/>
    </w:p>
    <w:p w:rsidR="00DC32F0" w:rsidRDefault="000D056E" w:rsidP="000D056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Entre 2018 et 2021, la courbe de l’évolution de l’inflation générale a adopté une forme concave. En effet, pour l’ensemble national, l’inflation a atteint son maximum en 2018 avec 1,6%, puis, elle s’est repliée en 2019 avec un taux de 0,2% qui constitue le niveau le plus bas au cours de ces quatre dernières années. En 2020, la hausse généralisée des prix s’est redressée de 0,4 point de pourcentage suite à l’impact du COVID19. Cette inflation s’est amplifiée davantage en 2021, en enregistrant un taux de 1,4%.</w:t>
      </w:r>
    </w:p>
    <w:p w:rsidR="000D056E" w:rsidRDefault="000D056E" w:rsidP="00B400F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La ville de</w:t>
      </w:r>
      <w:r w:rsidR="00B400F3">
        <w:rPr>
          <w:rFonts w:asciiTheme="majorBidi" w:hAnsiTheme="majorBidi" w:cstheme="majorBidi"/>
          <w:sz w:val="24"/>
          <w:szCs w:val="24"/>
        </w:rPr>
        <w:t xml:space="preserve"> </w:t>
      </w:r>
      <w:proofErr w:type="spellStart"/>
      <w:r w:rsidR="00B400F3">
        <w:rPr>
          <w:rFonts w:asciiTheme="majorBidi" w:hAnsiTheme="majorBidi" w:cstheme="majorBidi"/>
          <w:sz w:val="24"/>
          <w:szCs w:val="24"/>
        </w:rPr>
        <w:t>Kénitra</w:t>
      </w:r>
      <w:proofErr w:type="spellEnd"/>
      <w:r w:rsidR="00B400F3">
        <w:rPr>
          <w:rFonts w:asciiTheme="majorBidi" w:hAnsiTheme="majorBidi" w:cstheme="majorBidi"/>
          <w:sz w:val="24"/>
          <w:szCs w:val="24"/>
        </w:rPr>
        <w:t xml:space="preserve"> a connu, elle aussi, à peu près la même évolution, en passant de 1,1% en 2018, à 0,5% en 2019, puis à 0,1% en 2020 et enfin à 1,2% en 2021.</w:t>
      </w:r>
    </w:p>
    <w:p w:rsidR="004F39E8" w:rsidRPr="00462F63" w:rsidRDefault="00462F63" w:rsidP="00794CED">
      <w:pPr>
        <w:pStyle w:val="Lgende"/>
        <w:rPr>
          <w:rFonts w:ascii="Times New Roman" w:hAnsi="Times New Roman" w:cstheme="majorBidi"/>
          <w:color w:val="548DD4" w:themeColor="text2" w:themeTint="99"/>
          <w:sz w:val="22"/>
          <w:szCs w:val="24"/>
        </w:rPr>
      </w:pPr>
      <w:bookmarkStart w:id="42" w:name="_Toc68436342"/>
      <w:r w:rsidRPr="00462F63">
        <w:rPr>
          <w:rFonts w:ascii="Times New Roman" w:hAnsi="Times New Roman"/>
          <w:sz w:val="22"/>
        </w:rPr>
        <w:t xml:space="preserve">Graphique </w:t>
      </w:r>
      <w:r w:rsidR="00D87627"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87627" w:rsidRPr="00462F63">
        <w:rPr>
          <w:rFonts w:ascii="Times New Roman" w:hAnsi="Times New Roman"/>
          <w:sz w:val="22"/>
        </w:rPr>
        <w:fldChar w:fldCharType="separate"/>
      </w:r>
      <w:r w:rsidR="00794CED">
        <w:rPr>
          <w:rFonts w:ascii="Times New Roman" w:hAnsi="Times New Roman"/>
          <w:noProof/>
          <w:sz w:val="22"/>
        </w:rPr>
        <w:t>8</w:t>
      </w:r>
      <w:r w:rsidR="00D87627"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w:t>
      </w:r>
      <w:r w:rsidR="00794CED">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794CED">
        <w:rPr>
          <w:rFonts w:ascii="Times New Roman" w:hAnsi="Times New Roman" w:cstheme="majorBidi"/>
          <w:bCs w:val="0"/>
          <w:color w:val="548DD4" w:themeColor="text2" w:themeTint="99"/>
          <w:sz w:val="22"/>
          <w:szCs w:val="24"/>
        </w:rPr>
        <w:t>2</w:t>
      </w:r>
      <w:bookmarkEnd w:id="42"/>
      <w:r w:rsidR="00961982">
        <w:rPr>
          <w:rFonts w:ascii="Times New Roman" w:hAnsi="Times New Roman" w:cstheme="majorBidi"/>
          <w:bCs w:val="0"/>
          <w:color w:val="548DD4" w:themeColor="text2" w:themeTint="99"/>
          <w:sz w:val="22"/>
          <w:szCs w:val="24"/>
        </w:rPr>
        <w:t>1</w:t>
      </w:r>
    </w:p>
    <w:p w:rsidR="006A3751" w:rsidRDefault="00961982" w:rsidP="004A7CCA">
      <w:pPr>
        <w:spacing w:before="240" w:after="0" w:line="240" w:lineRule="auto"/>
        <w:jc w:val="both"/>
        <w:rPr>
          <w:rFonts w:asciiTheme="majorBidi" w:hAnsiTheme="majorBidi" w:cstheme="majorBidi"/>
          <w:sz w:val="24"/>
          <w:szCs w:val="24"/>
        </w:rPr>
      </w:pPr>
      <w:r w:rsidRPr="00961982">
        <w:rPr>
          <w:rFonts w:asciiTheme="majorBidi" w:hAnsiTheme="majorBidi" w:cstheme="majorBidi"/>
          <w:noProof/>
          <w:sz w:val="24"/>
          <w:szCs w:val="24"/>
          <w:lang w:eastAsia="fr-FR"/>
        </w:rPr>
        <w:drawing>
          <wp:inline distT="0" distB="0" distL="0" distR="0">
            <wp:extent cx="5016500" cy="3635375"/>
            <wp:effectExtent l="19050" t="0" r="12700" b="3175"/>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985540">
      <w:pPr>
        <w:pStyle w:val="Titre4"/>
        <w:rPr>
          <w:rFonts w:asciiTheme="majorBidi" w:hAnsiTheme="majorBidi"/>
          <w:i w:val="0"/>
          <w:iCs w:val="0"/>
        </w:rPr>
      </w:pPr>
    </w:p>
    <w:p w:rsidR="00985540" w:rsidRPr="00985540" w:rsidRDefault="00985540" w:rsidP="00985540">
      <w:pPr>
        <w:pStyle w:val="Titre4"/>
        <w:rPr>
          <w:rFonts w:asciiTheme="majorBidi" w:hAnsiTheme="majorBidi"/>
          <w:i w:val="0"/>
          <w:iCs w:val="0"/>
        </w:rPr>
      </w:pPr>
      <w:bookmarkStart w:id="43" w:name="_Toc68443141"/>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3"/>
    </w:p>
    <w:p w:rsidR="004F39E8" w:rsidRDefault="000002A6" w:rsidP="008C40D1">
      <w:pPr>
        <w:spacing w:before="240" w:after="240" w:line="240" w:lineRule="auto"/>
        <w:jc w:val="both"/>
        <w:rPr>
          <w:rFonts w:asciiTheme="majorBidi" w:hAnsiTheme="majorBidi" w:cstheme="majorBidi"/>
        </w:rPr>
      </w:pPr>
      <w:r>
        <w:rPr>
          <w:rFonts w:asciiTheme="majorBidi" w:hAnsiTheme="majorBidi" w:cstheme="majorBidi"/>
        </w:rPr>
        <w:t xml:space="preserve">Les courbes illustrées dans le graphique, ci-dessous, font apparaitre une similitude dans l’évolution de l’inflation en glissements annuels, aussi bien pour la ville de </w:t>
      </w:r>
      <w:proofErr w:type="spellStart"/>
      <w:r>
        <w:rPr>
          <w:rFonts w:asciiTheme="majorBidi" w:hAnsiTheme="majorBidi" w:cstheme="majorBidi"/>
        </w:rPr>
        <w:t>Kénitra</w:t>
      </w:r>
      <w:proofErr w:type="spellEnd"/>
      <w:r>
        <w:rPr>
          <w:rFonts w:asciiTheme="majorBidi" w:hAnsiTheme="majorBidi" w:cstheme="majorBidi"/>
        </w:rPr>
        <w:t xml:space="preserve"> que pour l’ensemble du pays.</w:t>
      </w:r>
    </w:p>
    <w:p w:rsidR="000002A6" w:rsidRPr="000002A6" w:rsidRDefault="000002A6" w:rsidP="00D97781">
      <w:pPr>
        <w:spacing w:before="240" w:after="240" w:line="240" w:lineRule="auto"/>
        <w:jc w:val="both"/>
        <w:rPr>
          <w:rFonts w:asciiTheme="majorBidi" w:hAnsiTheme="majorBidi" w:cstheme="majorBidi"/>
        </w:rPr>
      </w:pPr>
      <w:r>
        <w:rPr>
          <w:rFonts w:asciiTheme="majorBidi" w:hAnsiTheme="majorBidi" w:cstheme="majorBidi"/>
        </w:rPr>
        <w:t xml:space="preserve">En 2021, l’inflation dans la ville de </w:t>
      </w:r>
      <w:proofErr w:type="spellStart"/>
      <w:r>
        <w:rPr>
          <w:rFonts w:asciiTheme="majorBidi" w:hAnsiTheme="majorBidi" w:cstheme="majorBidi"/>
        </w:rPr>
        <w:t>kénitra</w:t>
      </w:r>
      <w:proofErr w:type="spellEnd"/>
      <w:r>
        <w:rPr>
          <w:rFonts w:asciiTheme="majorBidi" w:hAnsiTheme="majorBidi" w:cstheme="majorBidi"/>
        </w:rPr>
        <w:t xml:space="preserve"> a débuté avec un niveau faible, voire même négatif,</w:t>
      </w:r>
      <w:r w:rsidR="008C40D1">
        <w:rPr>
          <w:rFonts w:asciiTheme="majorBidi" w:hAnsiTheme="majorBidi" w:cstheme="majorBidi"/>
        </w:rPr>
        <w:t xml:space="preserve"> au cours des mois de janvier et de février. C’est à partir d’avril que la flambée des prix a commencé à se faire </w:t>
      </w:r>
      <w:r w:rsidR="00D97781">
        <w:rPr>
          <w:rFonts w:asciiTheme="majorBidi" w:hAnsiTheme="majorBidi" w:cstheme="majorBidi"/>
        </w:rPr>
        <w:t>constater</w:t>
      </w:r>
      <w:r w:rsidR="008C40D1">
        <w:rPr>
          <w:rFonts w:asciiTheme="majorBidi" w:hAnsiTheme="majorBidi" w:cstheme="majorBidi"/>
        </w:rPr>
        <w:t xml:space="preserve"> en atteignant des niveaux supérieurs à ceux de l’année précédente. Cette montée inflationniste s’est inhibée au mois d’août grâce à la baisse des prix des produits alimentaires. Cependant, elle a repris son ascension en septembre et a poursuivi ce rythme  jusqu’à la fin de l’année.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E22F4D" w:rsidRDefault="00E22F4D" w:rsidP="003F2793">
      <w:pPr>
        <w:pStyle w:val="Lgende"/>
        <w:rPr>
          <w:rFonts w:asciiTheme="majorBidi" w:hAnsiTheme="majorBidi" w:cstheme="majorBidi"/>
          <w:sz w:val="22"/>
          <w:szCs w:val="22"/>
        </w:rPr>
      </w:pPr>
    </w:p>
    <w:p w:rsidR="006B511C" w:rsidRDefault="006B511C" w:rsidP="003F2793">
      <w:pPr>
        <w:pStyle w:val="Lgende"/>
        <w:rPr>
          <w:rFonts w:asciiTheme="majorBidi" w:hAnsiTheme="majorBidi" w:cstheme="majorBidi"/>
          <w:sz w:val="22"/>
          <w:szCs w:val="22"/>
        </w:rPr>
      </w:pPr>
      <w:bookmarkStart w:id="44" w:name="_Toc68436343"/>
    </w:p>
    <w:p w:rsidR="006B511C" w:rsidRDefault="006B511C"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4F39E8" w:rsidRPr="00462F63" w:rsidRDefault="00462F63" w:rsidP="003F2793">
      <w:pPr>
        <w:pStyle w:val="Lgende"/>
        <w:rPr>
          <w:rFonts w:asciiTheme="majorBidi" w:hAnsiTheme="majorBidi" w:cstheme="majorBidi"/>
          <w:color w:val="548DD4" w:themeColor="text2" w:themeTint="99"/>
          <w:sz w:val="22"/>
          <w:szCs w:val="22"/>
        </w:rPr>
      </w:pPr>
      <w:r w:rsidRPr="00462F63">
        <w:rPr>
          <w:rFonts w:asciiTheme="majorBidi" w:hAnsiTheme="majorBidi" w:cstheme="majorBidi"/>
          <w:sz w:val="22"/>
          <w:szCs w:val="22"/>
        </w:rPr>
        <w:t xml:space="preserve">Graphique </w:t>
      </w:r>
      <w:r w:rsidR="00D87627"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D87627" w:rsidRPr="00462F63">
        <w:rPr>
          <w:rFonts w:asciiTheme="majorBidi" w:hAnsiTheme="majorBidi" w:cstheme="majorBidi"/>
          <w:sz w:val="22"/>
          <w:szCs w:val="22"/>
        </w:rPr>
        <w:fldChar w:fldCharType="separate"/>
      </w:r>
      <w:r w:rsidR="00794CED">
        <w:rPr>
          <w:rFonts w:asciiTheme="majorBidi" w:hAnsiTheme="majorBidi" w:cstheme="majorBidi"/>
          <w:noProof/>
          <w:sz w:val="22"/>
          <w:szCs w:val="22"/>
        </w:rPr>
        <w:t>9</w:t>
      </w:r>
      <w:r w:rsidR="00D87627"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 xml:space="preserve">IPC de la ville de </w:t>
      </w:r>
      <w:proofErr w:type="spellStart"/>
      <w:r w:rsidR="004F39E8" w:rsidRPr="00462F63">
        <w:rPr>
          <w:rFonts w:asciiTheme="majorBidi" w:hAnsiTheme="majorBidi" w:cstheme="majorBidi"/>
          <w:color w:val="548DD4" w:themeColor="text2" w:themeTint="99"/>
          <w:sz w:val="22"/>
          <w:szCs w:val="22"/>
        </w:rPr>
        <w:t>Kénitra</w:t>
      </w:r>
      <w:proofErr w:type="spellEnd"/>
      <w:r w:rsidR="004F39E8" w:rsidRPr="00462F63">
        <w:rPr>
          <w:rFonts w:asciiTheme="majorBidi" w:hAnsiTheme="majorBidi" w:cstheme="majorBidi"/>
          <w:color w:val="548DD4" w:themeColor="text2" w:themeTint="99"/>
          <w:sz w:val="22"/>
          <w:szCs w:val="22"/>
        </w:rPr>
        <w:t xml:space="preserve"> et du Maroc : glissements annuels entre 20</w:t>
      </w:r>
      <w:r w:rsidR="00B21D3B">
        <w:rPr>
          <w:rFonts w:asciiTheme="majorBidi" w:hAnsiTheme="majorBidi" w:cstheme="majorBidi"/>
          <w:color w:val="548DD4" w:themeColor="text2" w:themeTint="99"/>
          <w:sz w:val="22"/>
          <w:szCs w:val="22"/>
        </w:rPr>
        <w:t>17</w:t>
      </w:r>
      <w:r w:rsidR="004F39E8" w:rsidRPr="00462F63">
        <w:rPr>
          <w:rFonts w:asciiTheme="majorBidi" w:hAnsiTheme="majorBidi" w:cstheme="majorBidi"/>
          <w:color w:val="548DD4" w:themeColor="text2" w:themeTint="99"/>
          <w:sz w:val="22"/>
          <w:szCs w:val="22"/>
        </w:rPr>
        <w:t xml:space="preserve"> et 20</w:t>
      </w:r>
      <w:r w:rsidR="00B21D3B">
        <w:rPr>
          <w:rFonts w:asciiTheme="majorBidi" w:hAnsiTheme="majorBidi" w:cstheme="majorBidi"/>
          <w:color w:val="548DD4" w:themeColor="text2" w:themeTint="99"/>
          <w:sz w:val="22"/>
          <w:szCs w:val="22"/>
        </w:rPr>
        <w:t>2</w:t>
      </w:r>
      <w:bookmarkEnd w:id="44"/>
      <w:r w:rsidR="00961982">
        <w:rPr>
          <w:rFonts w:asciiTheme="majorBidi" w:hAnsiTheme="majorBidi" w:cstheme="majorBidi"/>
          <w:color w:val="548DD4" w:themeColor="text2" w:themeTint="99"/>
          <w:sz w:val="22"/>
          <w:szCs w:val="22"/>
        </w:rPr>
        <w:t>1</w:t>
      </w:r>
      <w:r w:rsidR="004F39E8" w:rsidRPr="00462F63">
        <w:rPr>
          <w:rFonts w:asciiTheme="majorBidi" w:hAnsiTheme="majorBidi" w:cstheme="majorBidi"/>
          <w:color w:val="548DD4" w:themeColor="text2" w:themeTint="99"/>
          <w:sz w:val="22"/>
          <w:szCs w:val="22"/>
        </w:rPr>
        <w:t xml:space="preserve"> </w:t>
      </w:r>
    </w:p>
    <w:p w:rsidR="00925A91" w:rsidRDefault="00961982" w:rsidP="00187FB8">
      <w:pPr>
        <w:spacing w:before="240" w:after="0" w:line="240" w:lineRule="auto"/>
        <w:jc w:val="both"/>
        <w:rPr>
          <w:rFonts w:asciiTheme="majorBidi" w:hAnsiTheme="majorBidi" w:cstheme="majorBidi"/>
        </w:rPr>
      </w:pPr>
      <w:r w:rsidRPr="00961982">
        <w:rPr>
          <w:rFonts w:asciiTheme="majorBidi" w:hAnsiTheme="majorBidi" w:cstheme="majorBidi"/>
          <w:noProof/>
          <w:lang w:eastAsia="fr-FR"/>
        </w:rPr>
        <w:drawing>
          <wp:inline distT="0" distB="0" distL="0" distR="0">
            <wp:extent cx="5850890" cy="3572365"/>
            <wp:effectExtent l="19050" t="0" r="16510" b="9035"/>
            <wp:docPr id="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156FC8" w:rsidRDefault="00156FC8" w:rsidP="004B1065">
      <w:pPr>
        <w:rPr>
          <w:rFonts w:asciiTheme="majorBidi" w:hAnsiTheme="majorBidi"/>
          <w:color w:val="4F81BD" w:themeColor="accent1"/>
        </w:rPr>
      </w:pPr>
    </w:p>
    <w:p w:rsidR="00EB06FB" w:rsidRDefault="00EB06FB"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152181"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CONCLUSION</w:t>
      </w:r>
    </w:p>
    <w:p w:rsidR="00152181" w:rsidRDefault="00152181">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2D3D25" w:rsidRPr="00A37E89" w:rsidRDefault="00EB06FB" w:rsidP="008C7719">
      <w:pPr>
        <w:pStyle w:val="Titre1"/>
        <w:rPr>
          <w:rFonts w:asciiTheme="majorBidi" w:hAnsiTheme="majorBidi"/>
          <w:bCs w:val="0"/>
          <w:color w:val="4F81BD" w:themeColor="accent1"/>
        </w:rPr>
      </w:pPr>
      <w:bookmarkStart w:id="45" w:name="_Toc68443142"/>
      <w:r w:rsidRPr="00A37E89">
        <w:rPr>
          <w:rFonts w:asciiTheme="majorBidi" w:hAnsiTheme="majorBidi"/>
          <w:bCs w:val="0"/>
          <w:color w:val="4F81BD" w:themeColor="accent1"/>
        </w:rPr>
        <w:lastRenderedPageBreak/>
        <w:t>C</w:t>
      </w:r>
      <w:r w:rsidR="002D3D25" w:rsidRPr="00A37E89">
        <w:rPr>
          <w:rFonts w:asciiTheme="majorBidi" w:hAnsiTheme="majorBidi"/>
          <w:bCs w:val="0"/>
          <w:color w:val="4F81BD" w:themeColor="accent1"/>
        </w:rPr>
        <w:t>ONCLUSION</w:t>
      </w:r>
      <w:bookmarkEnd w:id="45"/>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Comme il est défini dans le chapitre II du présent rapport, l’I</w:t>
      </w:r>
      <w:r w:rsidR="00DB5004">
        <w:rPr>
          <w:rFonts w:asciiTheme="majorBidi" w:hAnsiTheme="majorBidi" w:cstheme="majorBidi"/>
          <w:sz w:val="24"/>
          <w:szCs w:val="24"/>
        </w:rPr>
        <w:t xml:space="preserve">ndice des </w:t>
      </w:r>
      <w:r>
        <w:rPr>
          <w:rFonts w:asciiTheme="majorBidi" w:hAnsiTheme="majorBidi" w:cstheme="majorBidi"/>
          <w:sz w:val="24"/>
          <w:szCs w:val="24"/>
        </w:rPr>
        <w:t>P</w:t>
      </w:r>
      <w:r w:rsidR="00DB5004">
        <w:rPr>
          <w:rFonts w:asciiTheme="majorBidi" w:hAnsiTheme="majorBidi" w:cstheme="majorBidi"/>
          <w:sz w:val="24"/>
          <w:szCs w:val="24"/>
        </w:rPr>
        <w:t xml:space="preserve">rix à la </w:t>
      </w:r>
      <w:r>
        <w:rPr>
          <w:rFonts w:asciiTheme="majorBidi" w:hAnsiTheme="majorBidi" w:cstheme="majorBidi"/>
          <w:sz w:val="24"/>
          <w:szCs w:val="24"/>
        </w:rPr>
        <w:t>C</w:t>
      </w:r>
      <w:r w:rsidR="00DB5004">
        <w:rPr>
          <w:rFonts w:asciiTheme="majorBidi" w:hAnsiTheme="majorBidi" w:cstheme="majorBidi"/>
          <w:sz w:val="24"/>
          <w:szCs w:val="24"/>
        </w:rPr>
        <w:t>onsommation</w:t>
      </w:r>
      <w:r>
        <w:rPr>
          <w:rFonts w:asciiTheme="majorBidi" w:hAnsiTheme="majorBidi" w:cstheme="majorBidi"/>
          <w:sz w:val="24"/>
          <w:szCs w:val="24"/>
        </w:rPr>
        <w:t xml:space="preserve"> permet de mesurer la variation des prix d’un panier de biens et services, à qualité constante, représentatif de la consommation des ménages entre deux périodes données. Ainsi, l’analyse des résultats relatifs à l’IPC</w:t>
      </w:r>
      <w:r w:rsidR="00DB5004">
        <w:rPr>
          <w:rFonts w:asciiTheme="majorBidi" w:hAnsiTheme="majorBidi" w:cstheme="majorBidi"/>
          <w:sz w:val="24"/>
          <w:szCs w:val="24"/>
        </w:rPr>
        <w:t xml:space="preserve"> </w:t>
      </w:r>
      <w:r>
        <w:rPr>
          <w:rFonts w:asciiTheme="majorBidi" w:hAnsiTheme="majorBidi" w:cstheme="majorBidi"/>
          <w:sz w:val="24"/>
          <w:szCs w:val="24"/>
        </w:rPr>
        <w:t>(base 100: 20</w:t>
      </w:r>
      <w:r w:rsidR="00704EDD">
        <w:rPr>
          <w:rFonts w:asciiTheme="majorBidi" w:hAnsiTheme="majorBidi" w:cstheme="majorBidi"/>
          <w:sz w:val="24"/>
          <w:szCs w:val="24"/>
        </w:rPr>
        <w:t>17</w:t>
      </w:r>
      <w:r>
        <w:rPr>
          <w:rFonts w:asciiTheme="majorBidi" w:hAnsiTheme="majorBidi" w:cstheme="majorBidi"/>
          <w:sz w:val="24"/>
          <w:szCs w:val="24"/>
        </w:rPr>
        <w:t>) au cours de la période 20</w:t>
      </w:r>
      <w:r w:rsidR="00704EDD">
        <w:rPr>
          <w:rFonts w:asciiTheme="majorBidi" w:hAnsiTheme="majorBidi" w:cstheme="majorBidi"/>
          <w:sz w:val="24"/>
          <w:szCs w:val="24"/>
        </w:rPr>
        <w:t>1</w:t>
      </w:r>
      <w:r>
        <w:rPr>
          <w:rFonts w:asciiTheme="majorBidi" w:hAnsiTheme="majorBidi" w:cstheme="majorBidi"/>
          <w:sz w:val="24"/>
          <w:szCs w:val="24"/>
        </w:rPr>
        <w:t>7-20</w:t>
      </w:r>
      <w:r w:rsidR="008C40D1">
        <w:rPr>
          <w:rFonts w:asciiTheme="majorBidi" w:hAnsiTheme="majorBidi" w:cstheme="majorBidi"/>
          <w:sz w:val="24"/>
          <w:szCs w:val="24"/>
        </w:rPr>
        <w:t>21</w:t>
      </w:r>
      <w:r>
        <w:rPr>
          <w:rFonts w:asciiTheme="majorBidi" w:hAnsiTheme="majorBidi" w:cstheme="majorBidi"/>
          <w:sz w:val="24"/>
          <w:szCs w:val="24"/>
        </w:rPr>
        <w:t xml:space="preserve">, a permis d’apporter quelques éclaircissements sur le coût de la vie dans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w:t>
      </w:r>
    </w:p>
    <w:p w:rsidR="000673ED" w:rsidRDefault="000673ED" w:rsidP="008C40D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704EDD">
        <w:rPr>
          <w:rFonts w:asciiTheme="majorBidi" w:hAnsiTheme="majorBidi" w:cstheme="majorBidi"/>
          <w:sz w:val="24"/>
          <w:szCs w:val="24"/>
        </w:rPr>
        <w:t>2</w:t>
      </w:r>
      <w:r w:rsidR="008C40D1">
        <w:rPr>
          <w:rFonts w:asciiTheme="majorBidi" w:hAnsiTheme="majorBidi" w:cstheme="majorBidi"/>
          <w:sz w:val="24"/>
          <w:szCs w:val="24"/>
        </w:rPr>
        <w:t>1</w:t>
      </w:r>
      <w:r>
        <w:rPr>
          <w:rFonts w:asciiTheme="majorBidi" w:hAnsiTheme="majorBidi" w:cstheme="majorBidi"/>
          <w:sz w:val="24"/>
          <w:szCs w:val="24"/>
        </w:rPr>
        <w:t>, l’IPC général a atteint le niveau 1</w:t>
      </w:r>
      <w:r w:rsidR="00704EDD">
        <w:rPr>
          <w:rFonts w:asciiTheme="majorBidi" w:hAnsiTheme="majorBidi" w:cstheme="majorBidi"/>
          <w:sz w:val="24"/>
          <w:szCs w:val="24"/>
        </w:rPr>
        <w:t>0</w:t>
      </w:r>
      <w:r w:rsidR="008C40D1">
        <w:rPr>
          <w:rFonts w:asciiTheme="majorBidi" w:hAnsiTheme="majorBidi" w:cstheme="majorBidi"/>
          <w:sz w:val="24"/>
          <w:szCs w:val="24"/>
        </w:rPr>
        <w:t>2</w:t>
      </w:r>
      <w:r w:rsidR="00704EDD">
        <w:rPr>
          <w:rFonts w:asciiTheme="majorBidi" w:hAnsiTheme="majorBidi" w:cstheme="majorBidi"/>
          <w:sz w:val="24"/>
          <w:szCs w:val="24"/>
        </w:rPr>
        <w:t>,</w:t>
      </w:r>
      <w:r w:rsidR="008C40D1">
        <w:rPr>
          <w:rFonts w:asciiTheme="majorBidi" w:hAnsiTheme="majorBidi" w:cstheme="majorBidi"/>
          <w:sz w:val="24"/>
          <w:szCs w:val="24"/>
        </w:rPr>
        <w:t>9</w:t>
      </w:r>
      <w:r>
        <w:rPr>
          <w:rFonts w:asciiTheme="majorBidi" w:hAnsiTheme="majorBidi" w:cstheme="majorBidi"/>
          <w:sz w:val="24"/>
          <w:szCs w:val="24"/>
        </w:rPr>
        <w:t xml:space="preserve"> contre 1</w:t>
      </w:r>
      <w:r w:rsidR="00695CE7">
        <w:rPr>
          <w:rFonts w:asciiTheme="majorBidi" w:hAnsiTheme="majorBidi" w:cstheme="majorBidi"/>
          <w:sz w:val="24"/>
          <w:szCs w:val="24"/>
        </w:rPr>
        <w:t>01,</w:t>
      </w:r>
      <w:r w:rsidR="008C40D1">
        <w:rPr>
          <w:rFonts w:asciiTheme="majorBidi" w:hAnsiTheme="majorBidi" w:cstheme="majorBidi"/>
          <w:sz w:val="24"/>
          <w:szCs w:val="24"/>
        </w:rPr>
        <w:t>6</w:t>
      </w:r>
      <w:r w:rsidR="00695CE7">
        <w:rPr>
          <w:rFonts w:asciiTheme="majorBidi" w:hAnsiTheme="majorBidi" w:cstheme="majorBidi"/>
          <w:sz w:val="24"/>
          <w:szCs w:val="24"/>
        </w:rPr>
        <w:t xml:space="preserve"> en 20</w:t>
      </w:r>
      <w:r w:rsidR="008C40D1">
        <w:rPr>
          <w:rFonts w:asciiTheme="majorBidi" w:hAnsiTheme="majorBidi" w:cstheme="majorBidi"/>
          <w:sz w:val="24"/>
          <w:szCs w:val="24"/>
        </w:rPr>
        <w:t>20</w:t>
      </w:r>
      <w:r>
        <w:rPr>
          <w:rFonts w:asciiTheme="majorBidi" w:hAnsiTheme="majorBidi" w:cstheme="majorBidi"/>
          <w:sz w:val="24"/>
          <w:szCs w:val="24"/>
        </w:rPr>
        <w:t xml:space="preserve">, soit une évolution de </w:t>
      </w:r>
      <w:r w:rsidR="008C40D1">
        <w:rPr>
          <w:rFonts w:asciiTheme="majorBidi" w:hAnsiTheme="majorBidi" w:cstheme="majorBidi"/>
          <w:sz w:val="24"/>
          <w:szCs w:val="24"/>
        </w:rPr>
        <w:t>1</w:t>
      </w:r>
      <w:r>
        <w:rPr>
          <w:rFonts w:asciiTheme="majorBidi" w:hAnsiTheme="majorBidi" w:cstheme="majorBidi"/>
          <w:sz w:val="24"/>
          <w:szCs w:val="24"/>
        </w:rPr>
        <w:t>,</w:t>
      </w:r>
      <w:r w:rsidR="008C40D1">
        <w:rPr>
          <w:rFonts w:asciiTheme="majorBidi" w:hAnsiTheme="majorBidi" w:cstheme="majorBidi"/>
          <w:sz w:val="24"/>
          <w:szCs w:val="24"/>
        </w:rPr>
        <w:t>2</w:t>
      </w:r>
      <w:r>
        <w:rPr>
          <w:rFonts w:asciiTheme="majorBidi" w:hAnsiTheme="majorBidi" w:cstheme="majorBidi"/>
          <w:sz w:val="24"/>
          <w:szCs w:val="24"/>
        </w:rPr>
        <w:t>%. Celle-ci, reste inférieure à celle enregistrée au niveau national  qui est de</w:t>
      </w:r>
      <w:r w:rsidR="00E22F4D">
        <w:rPr>
          <w:rFonts w:asciiTheme="majorBidi" w:hAnsiTheme="majorBidi" w:cstheme="majorBidi"/>
          <w:sz w:val="24"/>
          <w:szCs w:val="24"/>
        </w:rPr>
        <w:t xml:space="preserve"> l’ordre de</w:t>
      </w:r>
      <w:r>
        <w:rPr>
          <w:rFonts w:asciiTheme="majorBidi" w:hAnsiTheme="majorBidi" w:cstheme="majorBidi"/>
          <w:sz w:val="24"/>
          <w:szCs w:val="24"/>
        </w:rPr>
        <w:t xml:space="preserve"> </w:t>
      </w:r>
      <w:r w:rsidR="008C40D1">
        <w:rPr>
          <w:rFonts w:asciiTheme="majorBidi" w:hAnsiTheme="majorBidi" w:cstheme="majorBidi"/>
          <w:sz w:val="24"/>
          <w:szCs w:val="24"/>
        </w:rPr>
        <w:t>1</w:t>
      </w:r>
      <w:r>
        <w:rPr>
          <w:rFonts w:asciiTheme="majorBidi" w:hAnsiTheme="majorBidi" w:cstheme="majorBidi"/>
          <w:sz w:val="24"/>
          <w:szCs w:val="24"/>
        </w:rPr>
        <w:t>,</w:t>
      </w:r>
      <w:r w:rsidR="008C40D1">
        <w:rPr>
          <w:rFonts w:asciiTheme="majorBidi" w:hAnsiTheme="majorBidi" w:cstheme="majorBidi"/>
          <w:sz w:val="24"/>
          <w:szCs w:val="24"/>
        </w:rPr>
        <w:t>4</w:t>
      </w:r>
      <w:r>
        <w:rPr>
          <w:rFonts w:asciiTheme="majorBidi" w:hAnsiTheme="majorBidi" w:cstheme="majorBidi"/>
          <w:sz w:val="24"/>
          <w:szCs w:val="24"/>
        </w:rPr>
        <w:t>%.</w:t>
      </w:r>
    </w:p>
    <w:p w:rsidR="002C00BB" w:rsidRDefault="000673ED" w:rsidP="004B247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noter également, que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w:t>
      </w:r>
      <w:r w:rsidR="004B2473">
        <w:rPr>
          <w:rFonts w:asciiTheme="majorBidi" w:hAnsiTheme="majorBidi" w:cstheme="majorBidi"/>
          <w:sz w:val="24"/>
          <w:szCs w:val="24"/>
        </w:rPr>
        <w:t xml:space="preserve">parmi les douze </w:t>
      </w:r>
      <w:r>
        <w:rPr>
          <w:rFonts w:asciiTheme="majorBidi" w:hAnsiTheme="majorBidi" w:cstheme="majorBidi"/>
          <w:sz w:val="24"/>
          <w:szCs w:val="24"/>
        </w:rPr>
        <w:t xml:space="preserve">villes qui ont affiché un taux d’inflation </w:t>
      </w:r>
      <w:r w:rsidR="004B2473">
        <w:rPr>
          <w:rFonts w:asciiTheme="majorBidi" w:hAnsiTheme="majorBidi" w:cstheme="majorBidi"/>
          <w:sz w:val="24"/>
          <w:szCs w:val="24"/>
        </w:rPr>
        <w:t>inférieur à celui national. Il s’agit</w:t>
      </w:r>
      <w:r>
        <w:rPr>
          <w:rFonts w:asciiTheme="majorBidi" w:hAnsiTheme="majorBidi" w:cstheme="majorBidi"/>
          <w:sz w:val="24"/>
          <w:szCs w:val="24"/>
        </w:rPr>
        <w:t>,</w:t>
      </w:r>
      <w:r w:rsidR="004B2473">
        <w:rPr>
          <w:rFonts w:asciiTheme="majorBidi" w:hAnsiTheme="majorBidi" w:cstheme="majorBidi"/>
          <w:sz w:val="24"/>
          <w:szCs w:val="24"/>
        </w:rPr>
        <w:t xml:space="preserve"> à part </w:t>
      </w:r>
      <w:proofErr w:type="spellStart"/>
      <w:r w:rsidR="004B2473">
        <w:rPr>
          <w:rFonts w:asciiTheme="majorBidi" w:hAnsiTheme="majorBidi" w:cstheme="majorBidi"/>
          <w:sz w:val="24"/>
          <w:szCs w:val="24"/>
        </w:rPr>
        <w:t>kénitra</w:t>
      </w:r>
      <w:proofErr w:type="spellEnd"/>
      <w:r w:rsidR="004B2473">
        <w:rPr>
          <w:rFonts w:asciiTheme="majorBidi" w:hAnsiTheme="majorBidi" w:cstheme="majorBidi"/>
          <w:sz w:val="24"/>
          <w:szCs w:val="24"/>
        </w:rPr>
        <w:t xml:space="preserve">, des villes de </w:t>
      </w:r>
      <w:proofErr w:type="spellStart"/>
      <w:r w:rsidR="004B2473">
        <w:rPr>
          <w:rFonts w:asciiTheme="majorBidi" w:hAnsiTheme="majorBidi" w:cstheme="majorBidi"/>
          <w:sz w:val="24"/>
          <w:szCs w:val="24"/>
        </w:rPr>
        <w:t>Laayoune</w:t>
      </w:r>
      <w:proofErr w:type="spellEnd"/>
      <w:r w:rsidR="004B2473">
        <w:rPr>
          <w:rFonts w:asciiTheme="majorBidi" w:hAnsiTheme="majorBidi" w:cstheme="majorBidi"/>
          <w:sz w:val="24"/>
          <w:szCs w:val="24"/>
        </w:rPr>
        <w:t xml:space="preserve"> (0,4%), Dakhla (0,6%), </w:t>
      </w:r>
      <w:proofErr w:type="spellStart"/>
      <w:r w:rsidR="004B2473">
        <w:rPr>
          <w:rFonts w:asciiTheme="majorBidi" w:hAnsiTheme="majorBidi" w:cstheme="majorBidi"/>
          <w:sz w:val="24"/>
          <w:szCs w:val="24"/>
        </w:rPr>
        <w:t>Guelmim</w:t>
      </w:r>
      <w:proofErr w:type="spellEnd"/>
      <w:r w:rsidR="004B2473">
        <w:rPr>
          <w:rFonts w:asciiTheme="majorBidi" w:hAnsiTheme="majorBidi" w:cstheme="majorBidi"/>
          <w:sz w:val="24"/>
          <w:szCs w:val="24"/>
        </w:rPr>
        <w:t xml:space="preserve"> (0,7%), Tétouan (0,8%), Fès (1%), Oujda et</w:t>
      </w:r>
      <w:r w:rsidR="004B2473" w:rsidRPr="004B2473">
        <w:rPr>
          <w:rFonts w:asciiTheme="majorBidi" w:hAnsiTheme="majorBidi" w:cstheme="majorBidi"/>
          <w:sz w:val="24"/>
          <w:szCs w:val="24"/>
        </w:rPr>
        <w:t xml:space="preserve"> </w:t>
      </w:r>
      <w:r w:rsidR="00C71CB3">
        <w:rPr>
          <w:rFonts w:asciiTheme="majorBidi" w:hAnsiTheme="majorBidi" w:cstheme="majorBidi"/>
          <w:sz w:val="24"/>
          <w:szCs w:val="24"/>
        </w:rPr>
        <w:t>Agadir (1,1%), Tanger,</w:t>
      </w:r>
      <w:r w:rsidR="004B2473">
        <w:rPr>
          <w:rFonts w:asciiTheme="majorBidi" w:hAnsiTheme="majorBidi" w:cstheme="majorBidi"/>
          <w:sz w:val="24"/>
          <w:szCs w:val="24"/>
        </w:rPr>
        <w:t xml:space="preserve"> </w:t>
      </w:r>
      <w:proofErr w:type="spellStart"/>
      <w:r w:rsidR="004B2473">
        <w:rPr>
          <w:rFonts w:asciiTheme="majorBidi" w:hAnsiTheme="majorBidi" w:cstheme="majorBidi"/>
          <w:sz w:val="24"/>
          <w:szCs w:val="24"/>
        </w:rPr>
        <w:t>Elhouceima</w:t>
      </w:r>
      <w:proofErr w:type="spellEnd"/>
      <w:r w:rsidR="004B2473">
        <w:rPr>
          <w:rFonts w:asciiTheme="majorBidi" w:hAnsiTheme="majorBidi" w:cstheme="majorBidi"/>
          <w:sz w:val="24"/>
          <w:szCs w:val="24"/>
        </w:rPr>
        <w:t xml:space="preserve"> et Rabat (1,3%) et Meknès (1,4%). </w:t>
      </w:r>
    </w:p>
    <w:p w:rsidR="0051438A" w:rsidRDefault="0051438A" w:rsidP="004B247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variation de l’indice général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le résultat combiné de l</w:t>
      </w:r>
      <w:r w:rsidR="002C00BB">
        <w:rPr>
          <w:rFonts w:asciiTheme="majorBidi" w:hAnsiTheme="majorBidi" w:cstheme="majorBidi"/>
          <w:sz w:val="24"/>
          <w:szCs w:val="24"/>
        </w:rPr>
        <w:t>a hau</w:t>
      </w:r>
      <w:r>
        <w:rPr>
          <w:rFonts w:asciiTheme="majorBidi" w:hAnsiTheme="majorBidi" w:cstheme="majorBidi"/>
          <w:sz w:val="24"/>
          <w:szCs w:val="24"/>
        </w:rPr>
        <w:t xml:space="preserve">sse de l’indice des produits alimentaires </w:t>
      </w:r>
      <w:r w:rsidR="004B2473">
        <w:rPr>
          <w:rFonts w:asciiTheme="majorBidi" w:hAnsiTheme="majorBidi" w:cstheme="majorBidi"/>
          <w:sz w:val="24"/>
          <w:szCs w:val="24"/>
        </w:rPr>
        <w:t>de 1,1% et de celui</w:t>
      </w:r>
      <w:r>
        <w:rPr>
          <w:rFonts w:asciiTheme="majorBidi" w:hAnsiTheme="majorBidi" w:cstheme="majorBidi"/>
          <w:sz w:val="24"/>
          <w:szCs w:val="24"/>
        </w:rPr>
        <w:t xml:space="preserve"> des produits non alimentaires de </w:t>
      </w:r>
      <w:r w:rsidR="004B2473">
        <w:rPr>
          <w:rFonts w:asciiTheme="majorBidi" w:hAnsiTheme="majorBidi" w:cstheme="majorBidi"/>
          <w:sz w:val="24"/>
          <w:szCs w:val="24"/>
        </w:rPr>
        <w:t>1</w:t>
      </w:r>
      <w:r>
        <w:rPr>
          <w:rFonts w:asciiTheme="majorBidi" w:hAnsiTheme="majorBidi" w:cstheme="majorBidi"/>
          <w:sz w:val="24"/>
          <w:szCs w:val="24"/>
        </w:rPr>
        <w:t>,</w:t>
      </w:r>
      <w:r w:rsidR="004B2473">
        <w:rPr>
          <w:rFonts w:asciiTheme="majorBidi" w:hAnsiTheme="majorBidi" w:cstheme="majorBidi"/>
          <w:sz w:val="24"/>
          <w:szCs w:val="24"/>
        </w:rPr>
        <w:t>4</w:t>
      </w:r>
      <w:r>
        <w:rPr>
          <w:rFonts w:asciiTheme="majorBidi" w:hAnsiTheme="majorBidi" w:cstheme="majorBidi"/>
          <w:sz w:val="24"/>
          <w:szCs w:val="24"/>
        </w:rPr>
        <w:t>%.</w:t>
      </w:r>
    </w:p>
    <w:p w:rsidR="0051438A" w:rsidRDefault="0051438A" w:rsidP="003679A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Concernant </w:t>
      </w:r>
      <w:r w:rsidR="004B2473">
        <w:rPr>
          <w:rFonts w:asciiTheme="majorBidi" w:hAnsiTheme="majorBidi" w:cstheme="majorBidi"/>
          <w:sz w:val="24"/>
          <w:szCs w:val="24"/>
        </w:rPr>
        <w:t>la grande division des</w:t>
      </w:r>
      <w:r>
        <w:rPr>
          <w:rFonts w:asciiTheme="majorBidi" w:hAnsiTheme="majorBidi" w:cstheme="majorBidi"/>
          <w:sz w:val="24"/>
          <w:szCs w:val="24"/>
        </w:rPr>
        <w:t xml:space="preserve"> produits alimentaires, </w:t>
      </w:r>
      <w:r w:rsidR="004B2473">
        <w:rPr>
          <w:rFonts w:asciiTheme="majorBidi" w:hAnsiTheme="majorBidi" w:cstheme="majorBidi"/>
          <w:sz w:val="24"/>
          <w:szCs w:val="24"/>
        </w:rPr>
        <w:t>la variation de son indice est la résultante de la hausse des «Produits alimentaires et boissons non alcoolisées» de près de 1% et</w:t>
      </w:r>
      <w:r w:rsidR="003679AD">
        <w:rPr>
          <w:rFonts w:asciiTheme="majorBidi" w:hAnsiTheme="majorBidi" w:cstheme="majorBidi"/>
          <w:sz w:val="24"/>
          <w:szCs w:val="24"/>
        </w:rPr>
        <w:t xml:space="preserve"> de celui des</w:t>
      </w:r>
      <w:r>
        <w:rPr>
          <w:rFonts w:asciiTheme="majorBidi" w:hAnsiTheme="majorBidi" w:cstheme="majorBidi"/>
          <w:sz w:val="24"/>
          <w:szCs w:val="24"/>
        </w:rPr>
        <w:t xml:space="preserve"> « </w:t>
      </w:r>
      <w:r w:rsidR="00875B17">
        <w:rPr>
          <w:rFonts w:asciiTheme="majorBidi" w:hAnsiTheme="majorBidi" w:cstheme="majorBidi"/>
          <w:sz w:val="24"/>
          <w:szCs w:val="24"/>
        </w:rPr>
        <w:t>B</w:t>
      </w:r>
      <w:r>
        <w:rPr>
          <w:rFonts w:asciiTheme="majorBidi" w:hAnsiTheme="majorBidi" w:cstheme="majorBidi"/>
          <w:sz w:val="24"/>
          <w:szCs w:val="24"/>
        </w:rPr>
        <w:t>oissons alcoolisées</w:t>
      </w:r>
      <w:r w:rsidR="00875B17">
        <w:rPr>
          <w:rFonts w:asciiTheme="majorBidi" w:hAnsiTheme="majorBidi" w:cstheme="majorBidi"/>
          <w:sz w:val="24"/>
          <w:szCs w:val="24"/>
        </w:rPr>
        <w:t xml:space="preserve">, Tabacs et Stupéfiants » </w:t>
      </w:r>
      <w:r w:rsidR="003679AD">
        <w:rPr>
          <w:rFonts w:asciiTheme="majorBidi" w:hAnsiTheme="majorBidi" w:cstheme="majorBidi"/>
          <w:sz w:val="24"/>
          <w:szCs w:val="24"/>
        </w:rPr>
        <w:t>de 3,3%</w:t>
      </w:r>
      <w:r>
        <w:rPr>
          <w:rFonts w:asciiTheme="majorBidi" w:hAnsiTheme="majorBidi" w:cstheme="majorBidi"/>
          <w:sz w:val="24"/>
          <w:szCs w:val="24"/>
        </w:rPr>
        <w:t>.</w:t>
      </w:r>
    </w:p>
    <w:p w:rsidR="0051438A" w:rsidRDefault="0051438A" w:rsidP="00CE240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w:t>
      </w:r>
      <w:r w:rsidR="00875B17">
        <w:rPr>
          <w:rFonts w:asciiTheme="majorBidi" w:hAnsiTheme="majorBidi" w:cstheme="majorBidi"/>
          <w:sz w:val="24"/>
          <w:szCs w:val="24"/>
        </w:rPr>
        <w:t xml:space="preserve">des produits non alimentaires, </w:t>
      </w:r>
      <w:r w:rsidR="003679AD">
        <w:rPr>
          <w:rFonts w:asciiTheme="majorBidi" w:hAnsiTheme="majorBidi" w:cstheme="majorBidi"/>
          <w:sz w:val="24"/>
          <w:szCs w:val="24"/>
        </w:rPr>
        <w:t>trois</w:t>
      </w:r>
      <w:r>
        <w:rPr>
          <w:rFonts w:asciiTheme="majorBidi" w:hAnsiTheme="majorBidi" w:cstheme="majorBidi"/>
          <w:sz w:val="24"/>
          <w:szCs w:val="24"/>
        </w:rPr>
        <w:t xml:space="preserve"> divisions ont vu leurs prix baisser entre 20</w:t>
      </w:r>
      <w:r w:rsidR="003679AD">
        <w:rPr>
          <w:rFonts w:asciiTheme="majorBidi" w:hAnsiTheme="majorBidi" w:cstheme="majorBidi"/>
          <w:sz w:val="24"/>
          <w:szCs w:val="24"/>
        </w:rPr>
        <w:t>20</w:t>
      </w:r>
      <w:r w:rsidR="00875B17">
        <w:rPr>
          <w:rFonts w:asciiTheme="majorBidi" w:hAnsiTheme="majorBidi" w:cstheme="majorBidi"/>
          <w:sz w:val="24"/>
          <w:szCs w:val="24"/>
        </w:rPr>
        <w:t xml:space="preserve"> </w:t>
      </w:r>
      <w:r>
        <w:rPr>
          <w:rFonts w:asciiTheme="majorBidi" w:hAnsiTheme="majorBidi" w:cstheme="majorBidi"/>
          <w:sz w:val="24"/>
          <w:szCs w:val="24"/>
        </w:rPr>
        <w:t>et 20</w:t>
      </w:r>
      <w:r w:rsidR="00875B17">
        <w:rPr>
          <w:rFonts w:asciiTheme="majorBidi" w:hAnsiTheme="majorBidi" w:cstheme="majorBidi"/>
          <w:sz w:val="24"/>
          <w:szCs w:val="24"/>
        </w:rPr>
        <w:t>2</w:t>
      </w:r>
      <w:r w:rsidR="003679AD">
        <w:rPr>
          <w:rFonts w:asciiTheme="majorBidi" w:hAnsiTheme="majorBidi" w:cstheme="majorBidi"/>
          <w:sz w:val="24"/>
          <w:szCs w:val="24"/>
        </w:rPr>
        <w:t>1</w:t>
      </w:r>
      <w:r w:rsidR="00875B17">
        <w:rPr>
          <w:rFonts w:asciiTheme="majorBidi" w:hAnsiTheme="majorBidi" w:cstheme="majorBidi"/>
          <w:sz w:val="24"/>
          <w:szCs w:val="24"/>
        </w:rPr>
        <w:t>. Il s’agit de la</w:t>
      </w:r>
      <w:r>
        <w:rPr>
          <w:rFonts w:asciiTheme="majorBidi" w:hAnsiTheme="majorBidi" w:cstheme="majorBidi"/>
          <w:sz w:val="24"/>
          <w:szCs w:val="24"/>
        </w:rPr>
        <w:t xml:space="preserve"> «</w:t>
      </w:r>
      <w:r w:rsidR="00875B17">
        <w:rPr>
          <w:rFonts w:asciiTheme="majorBidi" w:hAnsiTheme="majorBidi" w:cstheme="majorBidi"/>
          <w:sz w:val="24"/>
          <w:szCs w:val="24"/>
        </w:rPr>
        <w:t>Santé</w:t>
      </w:r>
      <w:r>
        <w:rPr>
          <w:rFonts w:asciiTheme="majorBidi" w:hAnsiTheme="majorBidi" w:cstheme="majorBidi"/>
          <w:sz w:val="24"/>
          <w:szCs w:val="24"/>
        </w:rPr>
        <w:t> », des « </w:t>
      </w:r>
      <w:r w:rsidR="003679AD">
        <w:rPr>
          <w:rFonts w:asciiTheme="majorBidi" w:hAnsiTheme="majorBidi" w:cstheme="majorBidi"/>
          <w:sz w:val="24"/>
          <w:szCs w:val="24"/>
        </w:rPr>
        <w:t>Communications » et</w:t>
      </w:r>
      <w:r w:rsidR="00875B17">
        <w:rPr>
          <w:rFonts w:asciiTheme="majorBidi" w:hAnsiTheme="majorBidi" w:cstheme="majorBidi"/>
          <w:sz w:val="24"/>
          <w:szCs w:val="24"/>
        </w:rPr>
        <w:t xml:space="preserve"> des «Loisirs et Cultures»</w:t>
      </w:r>
      <w:r w:rsidR="003679AD">
        <w:rPr>
          <w:rFonts w:asciiTheme="majorBidi" w:hAnsiTheme="majorBidi" w:cstheme="majorBidi"/>
          <w:sz w:val="24"/>
          <w:szCs w:val="24"/>
        </w:rPr>
        <w:t xml:space="preserve"> avec, respectivement (-0,3%), (-0,1%)</w:t>
      </w:r>
      <w:r w:rsidR="00875B17">
        <w:rPr>
          <w:rFonts w:asciiTheme="majorBidi" w:hAnsiTheme="majorBidi" w:cstheme="majorBidi"/>
          <w:sz w:val="24"/>
          <w:szCs w:val="24"/>
        </w:rPr>
        <w:t xml:space="preserve"> et</w:t>
      </w:r>
      <w:r w:rsidR="003679AD">
        <w:rPr>
          <w:rFonts w:asciiTheme="majorBidi" w:hAnsiTheme="majorBidi" w:cstheme="majorBidi"/>
          <w:sz w:val="24"/>
          <w:szCs w:val="24"/>
        </w:rPr>
        <w:t xml:space="preserve"> (-1%)</w:t>
      </w:r>
      <w:r w:rsidR="00CE240F">
        <w:rPr>
          <w:rFonts w:asciiTheme="majorBidi" w:hAnsiTheme="majorBidi" w:cstheme="majorBidi"/>
          <w:sz w:val="24"/>
          <w:szCs w:val="24"/>
        </w:rPr>
        <w:t>. Mis à part « l’Enseignement » dont l’indice a stagné,</w:t>
      </w:r>
      <w:r w:rsidR="003679AD">
        <w:rPr>
          <w:rFonts w:asciiTheme="majorBidi" w:hAnsiTheme="majorBidi" w:cstheme="majorBidi"/>
          <w:sz w:val="24"/>
          <w:szCs w:val="24"/>
        </w:rPr>
        <w:t xml:space="preserve"> les six autres divisions ont connu des variations allant de 0,4% pour les</w:t>
      </w:r>
      <w:r w:rsidR="00875B17">
        <w:rPr>
          <w:rFonts w:asciiTheme="majorBidi" w:hAnsiTheme="majorBidi" w:cstheme="majorBidi"/>
          <w:sz w:val="24"/>
          <w:szCs w:val="24"/>
        </w:rPr>
        <w:t xml:space="preserve"> </w:t>
      </w:r>
      <w:r w:rsidR="003679AD">
        <w:rPr>
          <w:rFonts w:asciiTheme="majorBidi" w:hAnsiTheme="majorBidi" w:cstheme="majorBidi"/>
          <w:sz w:val="24"/>
          <w:szCs w:val="24"/>
        </w:rPr>
        <w:t>«Restaurants et hôtels» à 5,1% pour les «Transports».</w:t>
      </w:r>
    </w:p>
    <w:p w:rsidR="003679AD" w:rsidRDefault="0051438A" w:rsidP="003679A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des prix ces </w:t>
      </w:r>
      <w:r w:rsidR="003679AD">
        <w:rPr>
          <w:rFonts w:asciiTheme="majorBidi" w:hAnsiTheme="majorBidi" w:cstheme="majorBidi"/>
          <w:sz w:val="24"/>
          <w:szCs w:val="24"/>
        </w:rPr>
        <w:t>cinq</w:t>
      </w:r>
      <w:r>
        <w:rPr>
          <w:rFonts w:asciiTheme="majorBidi" w:hAnsiTheme="majorBidi" w:cstheme="majorBidi"/>
          <w:sz w:val="24"/>
          <w:szCs w:val="24"/>
        </w:rPr>
        <w:t xml:space="preserve"> dernières </w:t>
      </w:r>
      <w:r w:rsidR="00DB5004">
        <w:rPr>
          <w:rFonts w:asciiTheme="majorBidi" w:hAnsiTheme="majorBidi" w:cstheme="majorBidi"/>
          <w:sz w:val="24"/>
          <w:szCs w:val="24"/>
        </w:rPr>
        <w:t>années, l’</w:t>
      </w:r>
      <w:r>
        <w:rPr>
          <w:rFonts w:asciiTheme="majorBidi" w:hAnsiTheme="majorBidi" w:cstheme="majorBidi"/>
          <w:sz w:val="24"/>
          <w:szCs w:val="24"/>
        </w:rPr>
        <w:t xml:space="preserve">indice général a affiché une hausse de </w:t>
      </w:r>
      <w:r w:rsidR="003679AD">
        <w:rPr>
          <w:rFonts w:asciiTheme="majorBidi" w:hAnsiTheme="majorBidi" w:cstheme="majorBidi"/>
          <w:sz w:val="24"/>
          <w:szCs w:val="24"/>
        </w:rPr>
        <w:t>4</w:t>
      </w:r>
      <w:r>
        <w:rPr>
          <w:rFonts w:asciiTheme="majorBidi" w:hAnsiTheme="majorBidi" w:cstheme="majorBidi"/>
          <w:sz w:val="24"/>
          <w:szCs w:val="24"/>
        </w:rPr>
        <w:t>,</w:t>
      </w:r>
      <w:r w:rsidR="003679AD">
        <w:rPr>
          <w:rFonts w:asciiTheme="majorBidi" w:hAnsiTheme="majorBidi" w:cstheme="majorBidi"/>
          <w:sz w:val="24"/>
          <w:szCs w:val="24"/>
        </w:rPr>
        <w:t>4</w:t>
      </w:r>
      <w:r>
        <w:rPr>
          <w:rFonts w:asciiTheme="majorBidi" w:hAnsiTheme="majorBidi" w:cstheme="majorBidi"/>
          <w:sz w:val="24"/>
          <w:szCs w:val="24"/>
        </w:rPr>
        <w:t xml:space="preserve">%  </w:t>
      </w:r>
      <w:r w:rsidR="003679AD">
        <w:rPr>
          <w:rFonts w:asciiTheme="majorBidi" w:hAnsiTheme="majorBidi" w:cstheme="majorBidi"/>
          <w:sz w:val="24"/>
          <w:szCs w:val="24"/>
        </w:rPr>
        <w:t xml:space="preserve">en </w:t>
      </w:r>
      <w:r>
        <w:rPr>
          <w:rFonts w:asciiTheme="majorBidi" w:hAnsiTheme="majorBidi" w:cstheme="majorBidi"/>
          <w:sz w:val="24"/>
          <w:szCs w:val="24"/>
        </w:rPr>
        <w:t>passant de 10</w:t>
      </w:r>
      <w:r w:rsidR="00663FA2">
        <w:rPr>
          <w:rFonts w:asciiTheme="majorBidi" w:hAnsiTheme="majorBidi" w:cstheme="majorBidi"/>
          <w:sz w:val="24"/>
          <w:szCs w:val="24"/>
        </w:rPr>
        <w:t>0</w:t>
      </w:r>
      <w:r>
        <w:rPr>
          <w:rFonts w:asciiTheme="majorBidi" w:hAnsiTheme="majorBidi" w:cstheme="majorBidi"/>
          <w:sz w:val="24"/>
          <w:szCs w:val="24"/>
        </w:rPr>
        <w:t xml:space="preserve"> en 20</w:t>
      </w:r>
      <w:r w:rsidR="00663FA2">
        <w:rPr>
          <w:rFonts w:asciiTheme="majorBidi" w:hAnsiTheme="majorBidi" w:cstheme="majorBidi"/>
          <w:sz w:val="24"/>
          <w:szCs w:val="24"/>
        </w:rPr>
        <w:t>1</w:t>
      </w:r>
      <w:r>
        <w:rPr>
          <w:rFonts w:asciiTheme="majorBidi" w:hAnsiTheme="majorBidi" w:cstheme="majorBidi"/>
          <w:sz w:val="24"/>
          <w:szCs w:val="24"/>
        </w:rPr>
        <w:t>7 à 1</w:t>
      </w:r>
      <w:r w:rsidR="00663FA2">
        <w:rPr>
          <w:rFonts w:asciiTheme="majorBidi" w:hAnsiTheme="majorBidi" w:cstheme="majorBidi"/>
          <w:sz w:val="24"/>
          <w:szCs w:val="24"/>
        </w:rPr>
        <w:t>0</w:t>
      </w:r>
      <w:r w:rsidR="003679AD">
        <w:rPr>
          <w:rFonts w:asciiTheme="majorBidi" w:hAnsiTheme="majorBidi" w:cstheme="majorBidi"/>
          <w:sz w:val="24"/>
          <w:szCs w:val="24"/>
        </w:rPr>
        <w:t>4,4</w:t>
      </w:r>
      <w:r>
        <w:rPr>
          <w:rFonts w:asciiTheme="majorBidi" w:hAnsiTheme="majorBidi" w:cstheme="majorBidi"/>
          <w:sz w:val="24"/>
          <w:szCs w:val="24"/>
        </w:rPr>
        <w:t xml:space="preserve"> en </w:t>
      </w:r>
      <w:r w:rsidR="00DB5004">
        <w:rPr>
          <w:rFonts w:asciiTheme="majorBidi" w:hAnsiTheme="majorBidi" w:cstheme="majorBidi"/>
          <w:sz w:val="24"/>
          <w:szCs w:val="24"/>
        </w:rPr>
        <w:t>20</w:t>
      </w:r>
      <w:r w:rsidR="00663FA2">
        <w:rPr>
          <w:rFonts w:asciiTheme="majorBidi" w:hAnsiTheme="majorBidi" w:cstheme="majorBidi"/>
          <w:sz w:val="24"/>
          <w:szCs w:val="24"/>
        </w:rPr>
        <w:t>2</w:t>
      </w:r>
      <w:r w:rsidR="003679AD">
        <w:rPr>
          <w:rFonts w:asciiTheme="majorBidi" w:hAnsiTheme="majorBidi" w:cstheme="majorBidi"/>
          <w:sz w:val="24"/>
          <w:szCs w:val="24"/>
        </w:rPr>
        <w:t>1</w:t>
      </w:r>
      <w:r w:rsidR="00DB5004">
        <w:rPr>
          <w:rFonts w:asciiTheme="majorBidi" w:hAnsiTheme="majorBidi" w:cstheme="majorBidi"/>
          <w:sz w:val="24"/>
          <w:szCs w:val="24"/>
        </w:rPr>
        <w:t xml:space="preserve">. </w:t>
      </w:r>
    </w:p>
    <w:p w:rsidR="003679AD" w:rsidRDefault="00164C1F" w:rsidP="003679A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L’inflation</w:t>
      </w:r>
      <w:r w:rsidR="00E55B51">
        <w:rPr>
          <w:rFonts w:asciiTheme="majorBidi" w:hAnsiTheme="majorBidi" w:cstheme="majorBidi"/>
          <w:sz w:val="24"/>
          <w:szCs w:val="24"/>
        </w:rPr>
        <w:t xml:space="preserve"> générale de la ville de </w:t>
      </w:r>
      <w:proofErr w:type="spellStart"/>
      <w:r w:rsidR="00E55B51">
        <w:rPr>
          <w:rFonts w:asciiTheme="majorBidi" w:hAnsiTheme="majorBidi" w:cstheme="majorBidi"/>
          <w:sz w:val="24"/>
          <w:szCs w:val="24"/>
        </w:rPr>
        <w:t>Kénitra</w:t>
      </w:r>
      <w:proofErr w:type="spellEnd"/>
      <w:r w:rsidR="00E55B51">
        <w:rPr>
          <w:rFonts w:asciiTheme="majorBidi" w:hAnsiTheme="majorBidi" w:cstheme="majorBidi"/>
          <w:sz w:val="24"/>
          <w:szCs w:val="24"/>
        </w:rPr>
        <w:t xml:space="preserve"> a enregistré un rythme décroissant </w:t>
      </w:r>
      <w:r w:rsidR="003679AD">
        <w:rPr>
          <w:rFonts w:asciiTheme="majorBidi" w:hAnsiTheme="majorBidi" w:cstheme="majorBidi"/>
          <w:sz w:val="24"/>
          <w:szCs w:val="24"/>
        </w:rPr>
        <w:t>entre 2018 et 2020</w:t>
      </w:r>
      <w:r w:rsidR="00E55B51">
        <w:rPr>
          <w:rFonts w:asciiTheme="majorBidi" w:hAnsiTheme="majorBidi" w:cstheme="majorBidi"/>
          <w:sz w:val="24"/>
          <w:szCs w:val="24"/>
        </w:rPr>
        <w:t>, soit 1,1% en 2018, 0,5% en 2019 et 0,1% en 2020.</w:t>
      </w:r>
      <w:r w:rsidR="003679AD">
        <w:rPr>
          <w:rFonts w:asciiTheme="majorBidi" w:hAnsiTheme="majorBidi" w:cstheme="majorBidi"/>
          <w:sz w:val="24"/>
          <w:szCs w:val="24"/>
        </w:rPr>
        <w:t xml:space="preserve"> Cependant, elle a grimpé en 2021 pour atteindre 1,2%.</w:t>
      </w:r>
      <w:r w:rsidR="00CE240F">
        <w:rPr>
          <w:rFonts w:asciiTheme="majorBidi" w:hAnsiTheme="majorBidi" w:cstheme="majorBidi"/>
          <w:sz w:val="24"/>
          <w:szCs w:val="24"/>
        </w:rPr>
        <w:t xml:space="preserve"> Cette flambée des prix est causée, essentiellement, par la reprise de la demande suite à l’allègement des restrictions sanitaires, par la perturbation des chaînes mondiales d’approvisionnement et de production et par la hausse des coûts du fret international.</w:t>
      </w:r>
    </w:p>
    <w:p w:rsidR="004B1065" w:rsidRDefault="00CE240F" w:rsidP="00C51F59">
      <w:pPr>
        <w:spacing w:before="240" w:after="24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L’évolution de l’inflation en glissements annuels, au cours de l’année 2021, fait ressortir une variation négative au cours du premier trimestre. Toutefois, à partir du mois d’avril, les prix ont connu une montée inflationniste qui sera brisée momentanément, en août, grâce à la baisse de l’indice des produits alimentaires. La flambée des prix a repris en septembre et a continué jusqu’à la fin de l’année</w:t>
      </w:r>
      <w:r w:rsidR="009231CD">
        <w:rPr>
          <w:rFonts w:asciiTheme="majorBidi" w:hAnsiTheme="majorBidi" w:cstheme="majorBidi"/>
          <w:color w:val="000000" w:themeColor="text1"/>
          <w:sz w:val="24"/>
          <w:szCs w:val="24"/>
        </w:rPr>
        <w:t>.</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Pr="00590216" w:rsidRDefault="00590216" w:rsidP="00230D28">
      <w:pPr>
        <w:pStyle w:val="Titre1"/>
        <w:jc w:val="center"/>
        <w:rPr>
          <w:rFonts w:asciiTheme="majorBidi" w:hAnsiTheme="majorBidi"/>
          <w:b w:val="0"/>
          <w:bCs w:val="0"/>
          <w:color w:val="4F81BD" w:themeColor="accent1"/>
          <w:sz w:val="72"/>
          <w:szCs w:val="72"/>
        </w:rPr>
      </w:pPr>
      <w:bookmarkStart w:id="46" w:name="_Toc68443143"/>
      <w:r w:rsidRPr="00590216">
        <w:rPr>
          <w:rFonts w:asciiTheme="majorBidi" w:hAnsiTheme="majorBidi"/>
          <w:b w:val="0"/>
          <w:bCs w:val="0"/>
          <w:color w:val="4F81BD" w:themeColor="accent1"/>
          <w:sz w:val="72"/>
          <w:szCs w:val="72"/>
        </w:rPr>
        <w:t>ANNEXE</w:t>
      </w:r>
      <w:r w:rsidR="00AA440E">
        <w:rPr>
          <w:rFonts w:asciiTheme="majorBidi" w:hAnsiTheme="majorBidi"/>
          <w:b w:val="0"/>
          <w:bCs w:val="0"/>
          <w:color w:val="4F81BD" w:themeColor="accent1"/>
          <w:sz w:val="72"/>
          <w:szCs w:val="72"/>
        </w:rPr>
        <w:t>S</w:t>
      </w:r>
      <w:bookmarkEnd w:id="46"/>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tbl>
      <w:tblPr>
        <w:tblW w:w="5000" w:type="pct"/>
        <w:tblCellMar>
          <w:left w:w="70" w:type="dxa"/>
          <w:right w:w="70" w:type="dxa"/>
        </w:tblCellMar>
        <w:tblLook w:val="04A0"/>
      </w:tblPr>
      <w:tblGrid>
        <w:gridCol w:w="7269"/>
        <w:gridCol w:w="754"/>
        <w:gridCol w:w="672"/>
        <w:gridCol w:w="659"/>
      </w:tblGrid>
      <w:tr w:rsidR="007F6F6E" w:rsidRPr="007F6F6E" w:rsidTr="007F6F6E">
        <w:trPr>
          <w:trHeight w:val="990"/>
          <w:tblHeader/>
        </w:trPr>
        <w:tc>
          <w:tcPr>
            <w:tcW w:w="5000" w:type="pct"/>
            <w:gridSpan w:val="4"/>
            <w:tcBorders>
              <w:top w:val="nil"/>
              <w:left w:val="nil"/>
              <w:bottom w:val="single" w:sz="4" w:space="0" w:color="auto"/>
              <w:right w:val="nil"/>
            </w:tcBorders>
            <w:shd w:val="clear" w:color="auto" w:fill="auto"/>
            <w:vAlign w:val="center"/>
            <w:hideMark/>
          </w:tcPr>
          <w:p w:rsidR="007F6F6E" w:rsidRPr="007F6F6E" w:rsidRDefault="007F6F6E" w:rsidP="007F6F6E">
            <w:pPr>
              <w:spacing w:after="0" w:line="240" w:lineRule="auto"/>
              <w:rPr>
                <w:rFonts w:ascii="Times New Roman" w:eastAsia="Times New Roman" w:hAnsi="Times New Roman" w:cs="Times New Roman"/>
                <w:b/>
                <w:bCs/>
                <w:color w:val="548DD4" w:themeColor="text2" w:themeTint="99"/>
                <w:sz w:val="24"/>
                <w:szCs w:val="24"/>
                <w:lang w:eastAsia="fr-FR"/>
              </w:rPr>
            </w:pPr>
            <w:r w:rsidRPr="007F6F6E">
              <w:rPr>
                <w:rFonts w:ascii="Times New Roman" w:eastAsia="Times New Roman" w:hAnsi="Times New Roman" w:cs="Times New Roman"/>
                <w:b/>
                <w:bCs/>
                <w:color w:val="548DD4" w:themeColor="text2" w:themeTint="99"/>
                <w:sz w:val="24"/>
                <w:szCs w:val="24"/>
                <w:lang w:eastAsia="fr-FR"/>
              </w:rPr>
              <w:lastRenderedPageBreak/>
              <w:t>Tableau A1: IPC de la ville de Kenitra (base 100:2017) par division, groupe et classes de produits - Années 2020 et 2021-</w:t>
            </w:r>
          </w:p>
        </w:tc>
      </w:tr>
      <w:tr w:rsidR="007F6F6E" w:rsidRPr="007F6F6E" w:rsidTr="007F6F6E">
        <w:trPr>
          <w:trHeight w:val="765"/>
          <w:tblHeader/>
        </w:trPr>
        <w:tc>
          <w:tcPr>
            <w:tcW w:w="3886" w:type="pct"/>
            <w:tcBorders>
              <w:top w:val="nil"/>
              <w:left w:val="single" w:sz="4" w:space="0" w:color="auto"/>
              <w:bottom w:val="single" w:sz="4" w:space="0" w:color="auto"/>
              <w:right w:val="single" w:sz="4" w:space="0" w:color="auto"/>
            </w:tcBorders>
            <w:shd w:val="clear" w:color="000000" w:fill="7F7F7F"/>
            <w:vAlign w:val="center"/>
            <w:hideMark/>
          </w:tcPr>
          <w:p w:rsidR="007F6F6E" w:rsidRPr="007F6F6E" w:rsidRDefault="007F6F6E" w:rsidP="007F6F6E">
            <w:pPr>
              <w:spacing w:after="0" w:line="240" w:lineRule="auto"/>
              <w:rPr>
                <w:rFonts w:ascii="Times New Roman" w:eastAsia="Times New Roman" w:hAnsi="Times New Roman" w:cs="Times New Roman"/>
                <w:b/>
                <w:bCs/>
                <w:sz w:val="16"/>
                <w:szCs w:val="16"/>
                <w:lang w:eastAsia="fr-FR"/>
              </w:rPr>
            </w:pPr>
            <w:r w:rsidRPr="007F6F6E">
              <w:rPr>
                <w:rFonts w:ascii="Times New Roman" w:eastAsia="Times New Roman" w:hAnsi="Times New Roman" w:cs="Times New Roman"/>
                <w:b/>
                <w:bCs/>
                <w:sz w:val="16"/>
                <w:szCs w:val="16"/>
                <w:lang w:eastAsia="fr-FR"/>
              </w:rPr>
              <w:t>DIVISIONS, GROUPES &amp;CLASSES</w:t>
            </w:r>
          </w:p>
        </w:tc>
        <w:tc>
          <w:tcPr>
            <w:tcW w:w="403" w:type="pct"/>
            <w:tcBorders>
              <w:top w:val="nil"/>
              <w:left w:val="nil"/>
              <w:bottom w:val="single" w:sz="4" w:space="0" w:color="auto"/>
              <w:right w:val="single" w:sz="4" w:space="0" w:color="auto"/>
            </w:tcBorders>
            <w:shd w:val="clear" w:color="000000" w:fill="7F7F7F"/>
            <w:vAlign w:val="center"/>
            <w:hideMark/>
          </w:tcPr>
          <w:p w:rsidR="007F6F6E" w:rsidRPr="007F6F6E" w:rsidRDefault="007F6F6E" w:rsidP="007F6F6E">
            <w:pPr>
              <w:spacing w:after="0" w:line="240" w:lineRule="auto"/>
              <w:jc w:val="center"/>
              <w:rPr>
                <w:rFonts w:ascii="Times New Roman" w:eastAsia="Times New Roman" w:hAnsi="Times New Roman" w:cs="Times New Roman"/>
                <w:b/>
                <w:bCs/>
                <w:sz w:val="16"/>
                <w:szCs w:val="16"/>
                <w:lang w:eastAsia="fr-FR"/>
              </w:rPr>
            </w:pPr>
            <w:r w:rsidRPr="007F6F6E">
              <w:rPr>
                <w:rFonts w:ascii="Times New Roman" w:eastAsia="Times New Roman" w:hAnsi="Times New Roman" w:cs="Times New Roman"/>
                <w:b/>
                <w:bCs/>
                <w:sz w:val="16"/>
                <w:szCs w:val="16"/>
                <w:lang w:eastAsia="fr-FR"/>
              </w:rPr>
              <w:t>2020</w:t>
            </w:r>
          </w:p>
        </w:tc>
        <w:tc>
          <w:tcPr>
            <w:tcW w:w="359" w:type="pct"/>
            <w:tcBorders>
              <w:top w:val="nil"/>
              <w:left w:val="nil"/>
              <w:bottom w:val="single" w:sz="4" w:space="0" w:color="auto"/>
              <w:right w:val="single" w:sz="4" w:space="0" w:color="auto"/>
            </w:tcBorders>
            <w:shd w:val="clear" w:color="000000" w:fill="7F7F7F"/>
            <w:vAlign w:val="center"/>
            <w:hideMark/>
          </w:tcPr>
          <w:p w:rsidR="007F6F6E" w:rsidRPr="007F6F6E" w:rsidRDefault="007F6F6E" w:rsidP="007F6F6E">
            <w:pPr>
              <w:spacing w:after="0" w:line="240" w:lineRule="auto"/>
              <w:jc w:val="center"/>
              <w:rPr>
                <w:rFonts w:ascii="Simplified Arabic" w:eastAsia="Times New Roman" w:hAnsi="Simplified Arabic" w:cs="Simplified Arabic"/>
                <w:b/>
                <w:bCs/>
                <w:sz w:val="16"/>
                <w:szCs w:val="16"/>
                <w:lang w:eastAsia="fr-FR"/>
              </w:rPr>
            </w:pPr>
            <w:r w:rsidRPr="007F6F6E">
              <w:rPr>
                <w:rFonts w:ascii="Simplified Arabic" w:eastAsia="Times New Roman" w:hAnsi="Simplified Arabic" w:cs="Simplified Arabic"/>
                <w:b/>
                <w:bCs/>
                <w:sz w:val="16"/>
                <w:szCs w:val="16"/>
                <w:lang w:eastAsia="fr-FR"/>
              </w:rPr>
              <w:t>2021</w:t>
            </w:r>
          </w:p>
        </w:tc>
        <w:tc>
          <w:tcPr>
            <w:tcW w:w="352" w:type="pct"/>
            <w:tcBorders>
              <w:top w:val="nil"/>
              <w:left w:val="nil"/>
              <w:bottom w:val="single" w:sz="4" w:space="0" w:color="auto"/>
              <w:right w:val="single" w:sz="4" w:space="0" w:color="auto"/>
            </w:tcBorders>
            <w:shd w:val="clear" w:color="000000" w:fill="7F7F7F"/>
            <w:vAlign w:val="center"/>
            <w:hideMark/>
          </w:tcPr>
          <w:p w:rsidR="007F6F6E" w:rsidRPr="007F6F6E" w:rsidRDefault="007F6F6E" w:rsidP="007F6F6E">
            <w:pPr>
              <w:spacing w:after="0" w:line="240" w:lineRule="auto"/>
              <w:jc w:val="center"/>
              <w:rPr>
                <w:rFonts w:ascii="Simplified Arabic" w:eastAsia="Times New Roman" w:hAnsi="Simplified Arabic" w:cs="Simplified Arabic"/>
                <w:b/>
                <w:bCs/>
                <w:sz w:val="16"/>
                <w:szCs w:val="16"/>
                <w:lang w:eastAsia="fr-FR"/>
              </w:rPr>
            </w:pPr>
            <w:r w:rsidRPr="007F6F6E">
              <w:rPr>
                <w:rFonts w:ascii="Simplified Arabic" w:eastAsia="Times New Roman" w:hAnsi="Simplified Arabic" w:cs="Simplified Arabic"/>
                <w:b/>
                <w:bCs/>
                <w:sz w:val="16"/>
                <w:szCs w:val="16"/>
                <w:lang w:eastAsia="fr-FR"/>
              </w:rPr>
              <w:t>VAR (%)</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ALIMENTAIRES ET BOISSONS NON ALCOOLISEES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0,96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ALIMENTAIRES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PAIN ET CEREALES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VIANDE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96,6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POISSON ET FRUITS DE MER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6,4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LAIT, FROMAGE ET OEUFS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HUILES ET GRAISSES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94,1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FRUITS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117,8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LEGUMES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93,5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-4,8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SUCRE, CONFITURE, MIEL, CHOCOLAT ET CONFESERIE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ALIMENTAIRES N.C.A.</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85,1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83,5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-1,9</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BOISSONS NON ALCOOLISEES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CAFE, THE ET CACAO</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1,3</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EAUX MINERALES, BOISSONS RAFRAICHISSANTES,</w:t>
            </w:r>
            <w:r w:rsidRPr="007F6F6E">
              <w:rPr>
                <w:rFonts w:ascii="Times New Roman" w:eastAsia="Times New Roman" w:hAnsi="Times New Roman" w:cs="Times New Roman"/>
                <w:sz w:val="16"/>
                <w:szCs w:val="16"/>
                <w:lang w:eastAsia="fr-FR"/>
              </w:rPr>
              <w:br/>
              <w:t xml:space="preserve"> JUS DE FRUITS ET DE LEGUMES (ND)</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95,6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94,9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BOISSONS ALCOOLISEES, TABAC ET STUPEFIANTS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120,9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124,9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BOISSONS ALCOOLISEES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SPIRITUEUX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VIN ET BOISSONS FERMENTEES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BIERE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TABAC</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122,1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126,5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TABAC</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122,1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126,5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D'HABILLEMENT ET CHAUSSURES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D'HABILLEMENT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107,0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TISSUS POUR HABILLEMENT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115,5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VETEMENTS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107,2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109,5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AUTRES ARTICLES ET ACCESSOIRES D'HABILLEMENT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NETTOYAGE, REPARATION ET LOCATION D'ARTICLES D'HABILLEMENT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95,9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96,8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0,9</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CHAUSSURES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CHAUSSURES DIVERSES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CORDONNERIE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110,4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lastRenderedPageBreak/>
              <w:t>LOGEMENT, EAU, GAZ, ELECTRICITE ET AUTRES COMBUSTIBLES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LOYERS EFFECTIFS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LOYERS EFFECTIVEMENT PAYES PAR LES LOCATAIRES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ENTRETIEN ET REPARATION DE LOGEMENT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107,7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0,4</w:t>
            </w:r>
          </w:p>
        </w:tc>
      </w:tr>
      <w:tr w:rsidR="007F6F6E" w:rsidRPr="007F6F6E" w:rsidTr="007F6F6E">
        <w:trPr>
          <w:trHeight w:val="585"/>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FOURNITURES POUR TRAVAUX D'ENTRETIEN ET DE REPARATION</w:t>
            </w:r>
            <w:r w:rsidRPr="007F6F6E">
              <w:rPr>
                <w:rFonts w:ascii="Times New Roman" w:eastAsia="Times New Roman" w:hAnsi="Times New Roman" w:cs="Times New Roman"/>
                <w:sz w:val="16"/>
                <w:szCs w:val="16"/>
                <w:lang w:eastAsia="fr-FR"/>
              </w:rPr>
              <w:br/>
              <w:t xml:space="preserve"> DES LOGEMENT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1,9</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CONCERNANT L'ENTRETIEN ET LES REPARATIONS</w:t>
            </w:r>
            <w:r w:rsidRPr="007F6F6E">
              <w:rPr>
                <w:rFonts w:ascii="Times New Roman" w:eastAsia="Times New Roman" w:hAnsi="Times New Roman" w:cs="Times New Roman"/>
                <w:sz w:val="16"/>
                <w:szCs w:val="16"/>
                <w:lang w:eastAsia="fr-FR"/>
              </w:rPr>
              <w:br/>
              <w:t xml:space="preserve"> DU LOGEMENT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ALIMENTATION EN EAU ET SERVICES DIVERS LIES AU LOGEMENT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ALIMENTATION EN EAU ET ASSAINISSEMENT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xml:space="preserve">Collecte des ordures ménagères </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xml:space="preserve">Services divers liés au logement </w:t>
            </w:r>
            <w:proofErr w:type="spellStart"/>
            <w:r w:rsidRPr="007F6F6E">
              <w:rPr>
                <w:rFonts w:ascii="Times New Roman" w:eastAsia="Times New Roman" w:hAnsi="Times New Roman" w:cs="Times New Roman"/>
                <w:sz w:val="16"/>
                <w:szCs w:val="16"/>
                <w:lang w:eastAsia="fr-FR"/>
              </w:rPr>
              <w:t>n.c.a</w:t>
            </w:r>
            <w:proofErr w:type="spellEnd"/>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ELECTRICITE, GAZ ET AUTRES COMBUSTIBLES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ELECTRICITE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GAZ</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COMBUSTIBLES SOLIDES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140,6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141,5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MEUBLES, ARTICLES DE MENAGE ET ENTRETIEN COURANT DU FOYER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MEUBLES, ARTICLES D'AMEUBLEMENT, TAPIS ET AUTRES REVETEMENTS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MEUBLES ET ARTICLES D'AMEUBLEMENT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TAPIS ET REVETEMENTS DE SOL DIVERS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7,4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DE MENAGE EN TEXTILES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DE MENAGE EN TEXTILES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APPAREILS MENAGERS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96,5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95,3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GROS APPAREILS MENAGERS</w:t>
            </w:r>
            <w:proofErr w:type="gramStart"/>
            <w:r w:rsidRPr="007F6F6E">
              <w:rPr>
                <w:rFonts w:ascii="Times New Roman" w:eastAsia="Times New Roman" w:hAnsi="Times New Roman" w:cs="Times New Roman"/>
                <w:sz w:val="16"/>
                <w:szCs w:val="16"/>
                <w:lang w:eastAsia="fr-FR"/>
              </w:rPr>
              <w:t>,ELECTRIQUES</w:t>
            </w:r>
            <w:proofErr w:type="gramEnd"/>
            <w:r w:rsidRPr="007F6F6E">
              <w:rPr>
                <w:rFonts w:ascii="Times New Roman" w:eastAsia="Times New Roman" w:hAnsi="Times New Roman" w:cs="Times New Roman"/>
                <w:sz w:val="16"/>
                <w:szCs w:val="16"/>
                <w:lang w:eastAsia="fr-FR"/>
              </w:rPr>
              <w:t xml:space="preserve"> OU NON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96,4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95,1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PETITS APPAREILS ELECTROMENAGERS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REPARATION D'APPAREILS MENAGERS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VERRERIE, VAISSELLE ET USTENSILES DE MENAGE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VERRERIE, VAISSELLE ET USTENSILES DE MENAGE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OUTILLAGE ET AUTRE MATERIEL POUR LA MAISON ET LE JARDIN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PETIT OUTILLAGE ET ACCESSOIRES DIVERS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BIENS ET SERVICES LIES A L'ENTRETIEN COURANT DU FOYER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1,6</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lastRenderedPageBreak/>
              <w:t>BIENS D'EQUIPEMENT MENAGER NON DURABLES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DOMESTIQUES ET SERVICES MENAGERS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129,1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5,5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SANTE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Produits, appareils et matériels médicaux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PHARMACEUTIQUES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MEDICAUX DIVERS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APPAREILS ET MATERIEL THERAPEUTIQUES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93,2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93,2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AMBULATOIRES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MEDICAUX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DENTAIRES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PARAMEDICAUX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HOSPITALIERS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HOSPITALIERS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TRANSPORTS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5,1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ACHAT DE VEHICULES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VOITURES AUTOMOBILES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MOTOCYCLES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BICYCLETTES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DEPENSES D'UTILISATION DES VEHICULES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95,4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7,2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PIECES DE RECHANGE ET ACCESSOIRES POUR VEHICULES DE TOURISME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90,2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90,3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CARBURANTS ET LUBRIFIANTS POUR VEHICULES DE TOURISME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90,5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12,9</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ENTRETIEN ET REPARATION DE VEHICULES PARTICULIERS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107,6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107,8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DIVERS LIES AUX VEHICULES PARTICULIERS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DE TRANSPORT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6,5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TRANSPORT FERROVIAIRE DE PASSAGERS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TRANSPORT ROUTIER DE PASSAGERS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7,0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TRANSPORT AERIEN DE PASSAGERS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123,3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137,1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COMMUNICATIONS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POSTAUX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POSTAUX</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lastRenderedPageBreak/>
              <w:t>MATERIEL DE TELEPHONIE ET DE TELECOPIE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MATERIEL DE TELEPHONIE ET DE TELECOPIE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DE TELEPHONIE ET DE TELECOPIE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DE TELEPHONIE ET DE TELECOPIE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LOISIRS ET CULTURE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98,4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MATERIEL AUDIOVISUEL, PHOTOGRAPHIQUE ET DE TRAITEMENT</w:t>
            </w:r>
            <w:r w:rsidRPr="007F6F6E">
              <w:rPr>
                <w:rFonts w:ascii="Times New Roman" w:eastAsia="Times New Roman" w:hAnsi="Times New Roman" w:cs="Times New Roman"/>
                <w:sz w:val="16"/>
                <w:szCs w:val="16"/>
                <w:lang w:eastAsia="fr-FR"/>
              </w:rPr>
              <w:br/>
              <w:t xml:space="preserve"> DE L'INFORMATION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90,3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-2,2</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xml:space="preserve">MATERIEL DE RECEPTION, D'ENREGISTREMENT ET DE REPRODUCTION </w:t>
            </w:r>
            <w:r w:rsidRPr="007F6F6E">
              <w:rPr>
                <w:rFonts w:ascii="Times New Roman" w:eastAsia="Times New Roman" w:hAnsi="Times New Roman" w:cs="Times New Roman"/>
                <w:sz w:val="16"/>
                <w:szCs w:val="16"/>
                <w:lang w:eastAsia="fr-FR"/>
              </w:rPr>
              <w:br/>
              <w:t>DU SON ET DE L'IMAGE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84,7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81,0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-4,5</w:t>
            </w:r>
          </w:p>
        </w:tc>
      </w:tr>
      <w:tr w:rsidR="007F6F6E" w:rsidRPr="007F6F6E" w:rsidTr="007F6F6E">
        <w:trPr>
          <w:trHeight w:val="705"/>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MATERIEL PHOTOGRAPHIQUE ET CINEMATOGRAPHIQUE ET APPAREILS</w:t>
            </w:r>
            <w:r w:rsidRPr="007F6F6E">
              <w:rPr>
                <w:rFonts w:ascii="Times New Roman" w:eastAsia="Times New Roman" w:hAnsi="Times New Roman" w:cs="Times New Roman"/>
                <w:sz w:val="16"/>
                <w:szCs w:val="16"/>
                <w:lang w:eastAsia="fr-FR"/>
              </w:rPr>
              <w:br/>
              <w:t xml:space="preserve"> OPTIQUES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109,4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109,6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MATERIEL DE TRAITEMENT DE L'INFORMATION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SUPPORTS D'ENREGISTREMENT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REPARATION DE MATERIEL AUDIOVISUEL, PHOTOGRAPHIQUE</w:t>
            </w:r>
            <w:r w:rsidRPr="007F6F6E">
              <w:rPr>
                <w:rFonts w:ascii="Times New Roman" w:eastAsia="Times New Roman" w:hAnsi="Times New Roman" w:cs="Times New Roman"/>
                <w:sz w:val="16"/>
                <w:szCs w:val="16"/>
                <w:lang w:eastAsia="fr-FR"/>
              </w:rPr>
              <w:br/>
              <w:t xml:space="preserve"> ET DE TRAITEMENT DE L'INFORMATION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AUTRES BIENS DURABLES A FONCTION RECREATIVE ET CULTURELLE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480"/>
        </w:trPr>
        <w:tc>
          <w:tcPr>
            <w:tcW w:w="3886" w:type="pct"/>
            <w:tcBorders>
              <w:top w:val="nil"/>
              <w:left w:val="single" w:sz="4" w:space="0" w:color="auto"/>
              <w:bottom w:val="single" w:sz="4" w:space="0" w:color="auto"/>
              <w:right w:val="single" w:sz="4" w:space="0" w:color="auto"/>
            </w:tcBorders>
            <w:shd w:val="clear" w:color="auto" w:fill="auto"/>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INSTRUMENTS DE MUSIQUE ET BIENS DURABLES DESTINES AUX LOISIRS D'INTERIEUR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AUTRES ARTICLES ET MATERIEL DE LOISIRS, DE JARDINAGE ET ANIM</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JEUX, JOUETS ET PASSE-TEMPS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DE SPORT, MATERIEL DE CAMPING ET MATERIEL POUR ACTIVITES DE PEIL AIR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108,4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PRODUITS POUR JARDINS, PLANTES ET FLEURS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RECREATIFS ET CULTURELS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RCREATIFS ET SPORTIFS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CULTURELS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100,8</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JEUX DE HASARD</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JOURNAUX, LIVRES ET ARTICLES DE PAPETERIE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100,8</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LIVRES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JOURNAUX ET PUBLICATIONS PERIODIQUES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PAPETERIE ET MATERIEL DE DESSIN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0,7</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FORFAITS TOURISTIQUES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117,5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117,5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FORFAITS TOURISTIQUES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117,5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117,5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111,0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lastRenderedPageBreak/>
              <w:t>ENSEIGNEMENT PREELEMENTAIRE ET PRIMAIRE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PREELEMENTAIRE ET PRIMAIRE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113,1</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113,1</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SECONDAIRE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SECONDAIRE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112,2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POSTSECONDAIRE NON SUPERIEUR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POSTSECONDAIRE NON SUPERIEUR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103,7</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SUPERIEUR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SUPERIEUR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NON DEFINI PAR NIVEAU</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ENSEIGNEMENT NON DEFINI PAR NIVEAU</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RESTAURANTS ET HOTELS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0,4</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DE RESTAURATION</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RESTAURANTS, CAFES ET ETABLISSEMENTS SIMILAIRES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106,0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CANTINES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D'HEBERGEMENT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D'HEBERGEMENT</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101,0</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BIENS ET SERVICES DIVERS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103,2</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105,6</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SOINS CORPORELS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101,6</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2,8</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SALONS DE COIFFURE ET INSTITUTS DE SOINS ET DE BEAUTE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103,7</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109,2</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5,3</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APPAREILS ELECTRIQUES POUR SOINS CORPORELS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97,3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AUTRES APPAREILS, ARTICLES ET PRODUITS POUR SOINS CORPORELS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EFFETS PERSONNELS N.C.A.</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129,5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132,4</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2,2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ARTICLES DE BIJOUTERIE ET HORLOGERIE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151,4</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156,3</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3,2</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AUTRES EFFETS PERSONNELS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99,9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100,0</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0,1</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ASSURANCE</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ASSURANCE TRANSPORTS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103,9</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103,9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SERVICES FINANCIERS</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COUT DES SERVICES D'INTERMEDIATION FINANCIER</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102,3</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105,9</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3,5</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xml:space="preserve">AUTRES SERVICES </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7F6F6E">
        <w:trPr>
          <w:trHeight w:val="375"/>
        </w:trPr>
        <w:tc>
          <w:tcPr>
            <w:tcW w:w="3886" w:type="pct"/>
            <w:tcBorders>
              <w:top w:val="nil"/>
              <w:left w:val="single" w:sz="4" w:space="0" w:color="auto"/>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rPr>
                <w:rFonts w:ascii="Times New Roman" w:eastAsia="Times New Roman" w:hAnsi="Times New Roman" w:cs="Times New Roman"/>
                <w:sz w:val="16"/>
                <w:szCs w:val="16"/>
                <w:lang w:eastAsia="fr-FR"/>
              </w:rPr>
            </w:pPr>
            <w:r w:rsidRPr="007F6F6E">
              <w:rPr>
                <w:rFonts w:ascii="Times New Roman" w:eastAsia="Times New Roman" w:hAnsi="Times New Roman" w:cs="Times New Roman"/>
                <w:sz w:val="16"/>
                <w:szCs w:val="16"/>
                <w:lang w:eastAsia="fr-FR"/>
              </w:rPr>
              <w:t xml:space="preserve">AUTRES SERVICES </w:t>
            </w:r>
          </w:p>
        </w:tc>
        <w:tc>
          <w:tcPr>
            <w:tcW w:w="403"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9"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104,5</w:t>
            </w:r>
          </w:p>
        </w:tc>
        <w:tc>
          <w:tcPr>
            <w:tcW w:w="352" w:type="pct"/>
            <w:tcBorders>
              <w:top w:val="nil"/>
              <w:left w:val="nil"/>
              <w:bottom w:val="single" w:sz="4" w:space="0" w:color="auto"/>
              <w:right w:val="single" w:sz="4" w:space="0" w:color="auto"/>
            </w:tcBorders>
            <w:shd w:val="clear" w:color="auto" w:fill="auto"/>
            <w:noWrap/>
            <w:vAlign w:val="bottom"/>
            <w:hideMark/>
          </w:tcPr>
          <w:p w:rsidR="007F6F6E" w:rsidRPr="007F6F6E" w:rsidRDefault="007F6F6E" w:rsidP="007F6F6E">
            <w:pPr>
              <w:spacing w:after="0" w:line="240" w:lineRule="auto"/>
              <w:jc w:val="right"/>
              <w:rPr>
                <w:rFonts w:ascii="Times New Roman" w:eastAsia="Times New Roman" w:hAnsi="Times New Roman" w:cs="Times New Roman"/>
                <w:sz w:val="20"/>
                <w:szCs w:val="20"/>
                <w:lang w:eastAsia="fr-FR"/>
              </w:rPr>
            </w:pPr>
            <w:r w:rsidRPr="007F6F6E">
              <w:rPr>
                <w:rFonts w:ascii="Times New Roman" w:eastAsia="Times New Roman" w:hAnsi="Times New Roman" w:cs="Times New Roman"/>
                <w:sz w:val="20"/>
                <w:szCs w:val="20"/>
                <w:lang w:eastAsia="fr-FR"/>
              </w:rPr>
              <w:t>0,0</w:t>
            </w:r>
          </w:p>
        </w:tc>
      </w:tr>
      <w:tr w:rsidR="007F6F6E" w:rsidRPr="007F6F6E" w:rsidTr="00E159FD">
        <w:trPr>
          <w:trHeight w:val="629"/>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rsidR="007F6F6E" w:rsidRPr="007F6F6E" w:rsidRDefault="007F6F6E" w:rsidP="00E159FD">
            <w:pPr>
              <w:spacing w:after="0" w:line="240" w:lineRule="auto"/>
              <w:rPr>
                <w:rFonts w:ascii="Times New Roman" w:eastAsia="Times New Roman" w:hAnsi="Times New Roman" w:cs="Times New Roman"/>
                <w:b/>
                <w:bCs/>
                <w:sz w:val="16"/>
                <w:szCs w:val="16"/>
                <w:lang w:eastAsia="fr-FR"/>
              </w:rPr>
            </w:pPr>
            <w:r w:rsidRPr="007F6F6E">
              <w:rPr>
                <w:rFonts w:ascii="Times New Roman" w:eastAsia="Times New Roman" w:hAnsi="Times New Roman" w:cs="Times New Roman"/>
                <w:b/>
                <w:bCs/>
                <w:sz w:val="16"/>
                <w:szCs w:val="16"/>
                <w:lang w:eastAsia="fr-FR"/>
              </w:rPr>
              <w:lastRenderedPageBreak/>
              <w:t>GENERAL</w:t>
            </w:r>
          </w:p>
        </w:tc>
        <w:tc>
          <w:tcPr>
            <w:tcW w:w="403" w:type="pct"/>
            <w:tcBorders>
              <w:top w:val="nil"/>
              <w:left w:val="nil"/>
              <w:bottom w:val="single" w:sz="4" w:space="0" w:color="auto"/>
              <w:right w:val="single" w:sz="4" w:space="0" w:color="auto"/>
            </w:tcBorders>
            <w:shd w:val="clear" w:color="auto" w:fill="auto"/>
            <w:noWrap/>
            <w:vAlign w:val="center"/>
            <w:hideMark/>
          </w:tcPr>
          <w:p w:rsidR="007F6F6E" w:rsidRPr="007F6F6E" w:rsidRDefault="007F6F6E" w:rsidP="00E159FD">
            <w:pPr>
              <w:spacing w:after="0" w:line="240" w:lineRule="auto"/>
              <w:jc w:val="right"/>
              <w:rPr>
                <w:rFonts w:ascii="Times New Roman" w:eastAsia="Times New Roman" w:hAnsi="Times New Roman" w:cs="Times New Roman"/>
                <w:b/>
                <w:bCs/>
                <w:sz w:val="20"/>
                <w:szCs w:val="20"/>
                <w:lang w:eastAsia="fr-FR"/>
              </w:rPr>
            </w:pPr>
            <w:r w:rsidRPr="007F6F6E">
              <w:rPr>
                <w:rFonts w:ascii="Times New Roman" w:eastAsia="Times New Roman" w:hAnsi="Times New Roman" w:cs="Times New Roman"/>
                <w:b/>
                <w:bCs/>
                <w:sz w:val="20"/>
                <w:szCs w:val="20"/>
                <w:lang w:eastAsia="fr-FR"/>
              </w:rPr>
              <w:t>101,6</w:t>
            </w:r>
          </w:p>
        </w:tc>
        <w:tc>
          <w:tcPr>
            <w:tcW w:w="359" w:type="pct"/>
            <w:tcBorders>
              <w:top w:val="nil"/>
              <w:left w:val="nil"/>
              <w:bottom w:val="single" w:sz="4" w:space="0" w:color="auto"/>
              <w:right w:val="single" w:sz="4" w:space="0" w:color="auto"/>
            </w:tcBorders>
            <w:shd w:val="clear" w:color="auto" w:fill="auto"/>
            <w:noWrap/>
            <w:vAlign w:val="center"/>
            <w:hideMark/>
          </w:tcPr>
          <w:p w:rsidR="007F6F6E" w:rsidRPr="007F6F6E" w:rsidRDefault="007F6F6E" w:rsidP="00E159FD">
            <w:pPr>
              <w:spacing w:after="0" w:line="240" w:lineRule="auto"/>
              <w:jc w:val="right"/>
              <w:rPr>
                <w:rFonts w:ascii="Times New Roman" w:eastAsia="Times New Roman" w:hAnsi="Times New Roman" w:cs="Times New Roman"/>
                <w:b/>
                <w:bCs/>
                <w:sz w:val="20"/>
                <w:szCs w:val="20"/>
                <w:lang w:eastAsia="fr-FR"/>
              </w:rPr>
            </w:pPr>
            <w:r w:rsidRPr="007F6F6E">
              <w:rPr>
                <w:rFonts w:ascii="Times New Roman" w:eastAsia="Times New Roman" w:hAnsi="Times New Roman" w:cs="Times New Roman"/>
                <w:b/>
                <w:bCs/>
                <w:sz w:val="20"/>
                <w:szCs w:val="20"/>
                <w:lang w:eastAsia="fr-FR"/>
              </w:rPr>
              <w:t>102,9</w:t>
            </w:r>
          </w:p>
        </w:tc>
        <w:tc>
          <w:tcPr>
            <w:tcW w:w="352" w:type="pct"/>
            <w:tcBorders>
              <w:top w:val="nil"/>
              <w:left w:val="nil"/>
              <w:bottom w:val="single" w:sz="4" w:space="0" w:color="auto"/>
              <w:right w:val="single" w:sz="4" w:space="0" w:color="auto"/>
            </w:tcBorders>
            <w:shd w:val="clear" w:color="auto" w:fill="auto"/>
            <w:noWrap/>
            <w:vAlign w:val="center"/>
            <w:hideMark/>
          </w:tcPr>
          <w:p w:rsidR="007F6F6E" w:rsidRPr="007F6F6E" w:rsidRDefault="007F6F6E" w:rsidP="00E159FD">
            <w:pPr>
              <w:spacing w:after="0" w:line="240" w:lineRule="auto"/>
              <w:jc w:val="right"/>
              <w:rPr>
                <w:rFonts w:ascii="Times New Roman" w:eastAsia="Times New Roman" w:hAnsi="Times New Roman" w:cs="Times New Roman"/>
                <w:b/>
                <w:bCs/>
                <w:sz w:val="20"/>
                <w:szCs w:val="20"/>
                <w:lang w:eastAsia="fr-FR"/>
              </w:rPr>
            </w:pPr>
            <w:r w:rsidRPr="007F6F6E">
              <w:rPr>
                <w:rFonts w:ascii="Times New Roman" w:eastAsia="Times New Roman" w:hAnsi="Times New Roman" w:cs="Times New Roman"/>
                <w:b/>
                <w:bCs/>
                <w:sz w:val="20"/>
                <w:szCs w:val="20"/>
                <w:lang w:eastAsia="fr-FR"/>
              </w:rPr>
              <w:t>1,2</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AE1AFA" w:rsidRDefault="00AE1AFA" w:rsidP="00F7045D"/>
    <w:p w:rsidR="00331969" w:rsidRDefault="00331969"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Pr="00F67555" w:rsidRDefault="007F6F6E"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8"/>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6099"/>
        <w:gridCol w:w="571"/>
        <w:gridCol w:w="565"/>
        <w:gridCol w:w="596"/>
        <w:gridCol w:w="566"/>
        <w:gridCol w:w="566"/>
        <w:gridCol w:w="566"/>
        <w:gridCol w:w="566"/>
        <w:gridCol w:w="566"/>
        <w:gridCol w:w="566"/>
        <w:gridCol w:w="566"/>
        <w:gridCol w:w="566"/>
        <w:gridCol w:w="566"/>
        <w:gridCol w:w="651"/>
      </w:tblGrid>
      <w:tr w:rsidR="00317C03" w:rsidRPr="00317C03" w:rsidTr="00317C03">
        <w:trPr>
          <w:trHeight w:val="390"/>
        </w:trPr>
        <w:tc>
          <w:tcPr>
            <w:tcW w:w="5000" w:type="pct"/>
            <w:gridSpan w:val="14"/>
            <w:tcBorders>
              <w:top w:val="nil"/>
              <w:left w:val="nil"/>
              <w:bottom w:val="single" w:sz="8" w:space="0" w:color="auto"/>
              <w:right w:val="nil"/>
            </w:tcBorders>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w:t>
            </w:r>
            <w:r>
              <w:rPr>
                <w:rFonts w:ascii="Times New Roman" w:eastAsia="Times New Roman" w:hAnsi="Times New Roman" w:cs="Times New Roman"/>
                <w:b/>
                <w:bCs/>
                <w:color w:val="4F81BD" w:themeColor="accent1"/>
                <w:sz w:val="24"/>
                <w:szCs w:val="24"/>
                <w:lang w:eastAsia="fr-FR"/>
              </w:rPr>
              <w:t>2</w:t>
            </w:r>
            <w:r w:rsidRPr="00D66C98">
              <w:rPr>
                <w:rFonts w:ascii="Times New Roman" w:eastAsia="Times New Roman" w:hAnsi="Times New Roman" w:cs="Times New Roman"/>
                <w:b/>
                <w:bCs/>
                <w:color w:val="4F81BD" w:themeColor="accent1"/>
                <w:sz w:val="24"/>
                <w:szCs w:val="24"/>
                <w:lang w:eastAsia="fr-FR"/>
              </w:rPr>
              <w:t xml:space="preserve">: </w:t>
            </w:r>
            <w:r w:rsidRPr="00317C03">
              <w:rPr>
                <w:rFonts w:ascii="Times New Roman" w:eastAsia="Times New Roman" w:hAnsi="Times New Roman" w:cs="Times New Roman"/>
                <w:b/>
                <w:bCs/>
                <w:color w:val="4F81BD" w:themeColor="accent1"/>
                <w:sz w:val="24"/>
                <w:szCs w:val="24"/>
                <w:lang w:eastAsia="fr-FR"/>
              </w:rPr>
              <w:t xml:space="preserve">IPC de la ville de </w:t>
            </w:r>
            <w:proofErr w:type="spellStart"/>
            <w:proofErr w:type="gramStart"/>
            <w:r w:rsidRPr="00317C03">
              <w:rPr>
                <w:rFonts w:ascii="Times New Roman" w:eastAsia="Times New Roman" w:hAnsi="Times New Roman" w:cs="Times New Roman"/>
                <w:b/>
                <w:bCs/>
                <w:color w:val="4F81BD" w:themeColor="accent1"/>
                <w:sz w:val="24"/>
                <w:szCs w:val="24"/>
                <w:lang w:eastAsia="fr-FR"/>
              </w:rPr>
              <w:t>Kénitra</w:t>
            </w:r>
            <w:proofErr w:type="spellEnd"/>
            <w:r w:rsidRPr="00317C03">
              <w:rPr>
                <w:rFonts w:ascii="Times New Roman" w:eastAsia="Times New Roman" w:hAnsi="Times New Roman" w:cs="Times New Roman"/>
                <w:b/>
                <w:bCs/>
                <w:color w:val="4F81BD" w:themeColor="accent1"/>
                <w:sz w:val="24"/>
                <w:szCs w:val="24"/>
                <w:lang w:eastAsia="fr-FR"/>
              </w:rPr>
              <w:t>(</w:t>
            </w:r>
            <w:proofErr w:type="gramEnd"/>
            <w:r w:rsidRPr="00317C03">
              <w:rPr>
                <w:rFonts w:ascii="Times New Roman" w:eastAsia="Times New Roman" w:hAnsi="Times New Roman" w:cs="Times New Roman"/>
                <w:b/>
                <w:bCs/>
                <w:color w:val="4F81BD" w:themeColor="accent1"/>
                <w:sz w:val="24"/>
                <w:szCs w:val="24"/>
                <w:lang w:eastAsia="fr-FR"/>
              </w:rPr>
              <w:t>base 100: 2017) par division et par mois- Année 2021-</w:t>
            </w:r>
          </w:p>
        </w:tc>
      </w:tr>
      <w:tr w:rsidR="00317C03" w:rsidRPr="00317C03" w:rsidTr="00317C03">
        <w:trPr>
          <w:trHeight w:val="330"/>
        </w:trPr>
        <w:tc>
          <w:tcPr>
            <w:tcW w:w="2247"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DIVISIONS</w:t>
            </w:r>
          </w:p>
        </w:tc>
        <w:tc>
          <w:tcPr>
            <w:tcW w:w="21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Jan</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Fev</w:t>
            </w:r>
            <w:proofErr w:type="spellEnd"/>
          </w:p>
        </w:tc>
        <w:tc>
          <w:tcPr>
            <w:tcW w:w="212"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Mars</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Avr</w:t>
            </w:r>
            <w:proofErr w:type="spellEnd"/>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Mai</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Juin</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Jul</w:t>
            </w:r>
            <w:proofErr w:type="spellEnd"/>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Août</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Sep</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Oct</w:t>
            </w:r>
            <w:proofErr w:type="spellEnd"/>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Nov</w:t>
            </w:r>
            <w:proofErr w:type="spellEnd"/>
          </w:p>
        </w:tc>
        <w:tc>
          <w:tcPr>
            <w:tcW w:w="209" w:type="pct"/>
            <w:tcBorders>
              <w:top w:val="single" w:sz="8" w:space="0" w:color="auto"/>
              <w:left w:val="single" w:sz="8" w:space="0" w:color="auto"/>
              <w:bottom w:val="single" w:sz="8" w:space="0" w:color="auto"/>
              <w:right w:val="nil"/>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Dec</w:t>
            </w:r>
            <w:proofErr w:type="spellEnd"/>
          </w:p>
        </w:tc>
        <w:tc>
          <w:tcPr>
            <w:tcW w:w="238"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Moy</w:t>
            </w:r>
            <w:proofErr w:type="spellEnd"/>
          </w:p>
        </w:tc>
      </w:tr>
      <w:tr w:rsidR="00317C03" w:rsidRPr="00317C03" w:rsidTr="00317C03">
        <w:trPr>
          <w:trHeight w:val="495"/>
        </w:trPr>
        <w:tc>
          <w:tcPr>
            <w:tcW w:w="22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01. PRODUITS ALIMENTAIRES ET BOISSONS NON ALCOOLISÉES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97,4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97,0</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101,2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102,1</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100,1</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02. BOISSONS ALCOOLISÉES, TABAC ET STUPÉFIANTS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124,9</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03. ARTICLES D'HABILLEMENT ET CHAUSSURES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107,0</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106,3</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04. LOGEMENT, EAU, GAZ, ELECTRICITE ET AUTRES COMBUSTIBLES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102,7</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102,9</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103,1</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05. MEUBLES, ARTICLES DE MENAGE ET ENTRETIEN COURANT DU FOYER</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104,5</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103,4</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06. SANTÉ</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99,1</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99,3</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07. TRANSPORTS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105,0</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107,9</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109,1</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109,4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108,8</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106,2</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08. COMMUNICATIONS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106,4</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09. LOISIRS ET CULTURE</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98,4</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10. ENSEIGNEMENT</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111,0</w:t>
            </w:r>
          </w:p>
        </w:tc>
      </w:tr>
      <w:tr w:rsidR="00317C03" w:rsidRPr="00317C03" w:rsidTr="00317C03">
        <w:trPr>
          <w:trHeight w:val="495"/>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11. RESTAURANTS ET HÔTELS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38"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105,5</w:t>
            </w:r>
          </w:p>
        </w:tc>
      </w:tr>
      <w:tr w:rsidR="00317C03" w:rsidRPr="00317C03" w:rsidTr="00317C03">
        <w:trPr>
          <w:trHeight w:val="510"/>
        </w:trPr>
        <w:tc>
          <w:tcPr>
            <w:tcW w:w="2247" w:type="pct"/>
            <w:tcBorders>
              <w:top w:val="nil"/>
              <w:left w:val="single" w:sz="4" w:space="0" w:color="auto"/>
              <w:bottom w:val="single" w:sz="4" w:space="0" w:color="auto"/>
              <w:right w:val="single" w:sz="4" w:space="0" w:color="auto"/>
            </w:tcBorders>
            <w:shd w:val="clear" w:color="000000" w:fill="FFFFFF"/>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12. BIENS ET SERVICES DIVERS</w:t>
            </w:r>
          </w:p>
        </w:tc>
        <w:tc>
          <w:tcPr>
            <w:tcW w:w="211"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12"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103,4</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9" w:type="pct"/>
            <w:tcBorders>
              <w:top w:val="nil"/>
              <w:left w:val="nil"/>
              <w:bottom w:val="single" w:sz="4"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9" w:type="pct"/>
            <w:tcBorders>
              <w:top w:val="nil"/>
              <w:left w:val="nil"/>
              <w:bottom w:val="single" w:sz="8"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111,7</w:t>
            </w:r>
          </w:p>
        </w:tc>
        <w:tc>
          <w:tcPr>
            <w:tcW w:w="209" w:type="pct"/>
            <w:tcBorders>
              <w:top w:val="nil"/>
              <w:left w:val="nil"/>
              <w:bottom w:val="single" w:sz="8"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111,7</w:t>
            </w:r>
          </w:p>
        </w:tc>
        <w:tc>
          <w:tcPr>
            <w:tcW w:w="209" w:type="pct"/>
            <w:tcBorders>
              <w:top w:val="nil"/>
              <w:left w:val="nil"/>
              <w:bottom w:val="single" w:sz="8"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111,9</w:t>
            </w:r>
          </w:p>
        </w:tc>
        <w:tc>
          <w:tcPr>
            <w:tcW w:w="238" w:type="pct"/>
            <w:tcBorders>
              <w:top w:val="nil"/>
              <w:left w:val="nil"/>
              <w:bottom w:val="single" w:sz="8" w:space="0" w:color="auto"/>
              <w:right w:val="single" w:sz="4" w:space="0" w:color="auto"/>
            </w:tcBorders>
            <w:shd w:val="clear" w:color="auto" w:fill="auto"/>
            <w:noWrap/>
            <w:vAlign w:val="center"/>
            <w:hideMark/>
          </w:tcPr>
          <w:p w:rsidR="00317C03" w:rsidRPr="00317C03" w:rsidRDefault="00317C03" w:rsidP="00317C03">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105,6</w:t>
            </w:r>
          </w:p>
        </w:tc>
      </w:tr>
      <w:tr w:rsidR="00317C03" w:rsidRPr="00317C03" w:rsidTr="00317C03">
        <w:trPr>
          <w:trHeight w:val="420"/>
        </w:trPr>
        <w:tc>
          <w:tcPr>
            <w:tcW w:w="2247"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317C03" w:rsidRPr="00317C03" w:rsidRDefault="00317C03" w:rsidP="00317C03">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INDICE  GENERAL</w:t>
            </w:r>
          </w:p>
        </w:tc>
        <w:tc>
          <w:tcPr>
            <w:tcW w:w="21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101,4</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101,3</w:t>
            </w:r>
          </w:p>
        </w:tc>
        <w:tc>
          <w:tcPr>
            <w:tcW w:w="212"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101,8</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102,8</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103,0</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102,5</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102,8</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102,1</w:t>
            </w:r>
          </w:p>
        </w:tc>
        <w:tc>
          <w:tcPr>
            <w:tcW w:w="209" w:type="pct"/>
            <w:tcBorders>
              <w:top w:val="single" w:sz="8" w:space="0" w:color="auto"/>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103,2</w:t>
            </w:r>
          </w:p>
        </w:tc>
        <w:tc>
          <w:tcPr>
            <w:tcW w:w="209" w:type="pct"/>
            <w:tcBorders>
              <w:top w:val="nil"/>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104,8</w:t>
            </w:r>
          </w:p>
        </w:tc>
        <w:tc>
          <w:tcPr>
            <w:tcW w:w="209" w:type="pct"/>
            <w:tcBorders>
              <w:top w:val="nil"/>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104,6</w:t>
            </w:r>
          </w:p>
        </w:tc>
        <w:tc>
          <w:tcPr>
            <w:tcW w:w="209" w:type="pct"/>
            <w:tcBorders>
              <w:top w:val="nil"/>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104,6</w:t>
            </w:r>
          </w:p>
        </w:tc>
        <w:tc>
          <w:tcPr>
            <w:tcW w:w="238" w:type="pct"/>
            <w:tcBorders>
              <w:top w:val="nil"/>
              <w:left w:val="nil"/>
              <w:bottom w:val="single" w:sz="8" w:space="0" w:color="auto"/>
              <w:right w:val="single" w:sz="4" w:space="0" w:color="auto"/>
            </w:tcBorders>
            <w:shd w:val="clear" w:color="000000" w:fill="C0C0C0"/>
            <w:noWrap/>
            <w:vAlign w:val="center"/>
            <w:hideMark/>
          </w:tcPr>
          <w:p w:rsidR="00317C03" w:rsidRPr="00317C03" w:rsidRDefault="00317C03" w:rsidP="00317C03">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102,9</w:t>
            </w:r>
          </w:p>
        </w:tc>
      </w:tr>
    </w:tbl>
    <w:p w:rsidR="007F6F6E" w:rsidRPr="00317C03" w:rsidRDefault="00317C03" w:rsidP="00317C03">
      <w:pPr>
        <w:pStyle w:val="Lgende"/>
        <w:rPr>
          <w:rFonts w:ascii="Times New Roman" w:hAnsi="Times New Roman"/>
          <w:i/>
          <w:iCs/>
          <w:sz w:val="22"/>
        </w:rPr>
      </w:pPr>
      <w:r w:rsidRPr="00317C03">
        <w:rPr>
          <w:rFonts w:ascii="Times New Roman" w:hAnsi="Times New Roman"/>
          <w:i/>
          <w:iCs/>
          <w:sz w:val="22"/>
        </w:rPr>
        <w:t>Source : HCP</w:t>
      </w:r>
      <w:r w:rsidR="007D6D8B" w:rsidRPr="00317C03">
        <w:rPr>
          <w:rFonts w:ascii="Times New Roman" w:hAnsi="Times New Roman"/>
          <w:i/>
          <w:iCs/>
          <w:sz w:val="22"/>
        </w:rPr>
        <w:br w:type="page"/>
      </w:r>
    </w:p>
    <w:tbl>
      <w:tblPr>
        <w:tblW w:w="5000" w:type="pct"/>
        <w:tblCellMar>
          <w:left w:w="70" w:type="dxa"/>
          <w:right w:w="70" w:type="dxa"/>
        </w:tblCellMar>
        <w:tblLook w:val="04A0"/>
      </w:tblPr>
      <w:tblGrid>
        <w:gridCol w:w="4404"/>
        <w:gridCol w:w="705"/>
        <w:gridCol w:w="706"/>
        <w:gridCol w:w="706"/>
        <w:gridCol w:w="706"/>
        <w:gridCol w:w="706"/>
        <w:gridCol w:w="706"/>
        <w:gridCol w:w="706"/>
        <w:gridCol w:w="706"/>
        <w:gridCol w:w="706"/>
        <w:gridCol w:w="706"/>
        <w:gridCol w:w="706"/>
        <w:gridCol w:w="706"/>
        <w:gridCol w:w="701"/>
      </w:tblGrid>
      <w:tr w:rsidR="007F6F6E" w:rsidRPr="00E66090" w:rsidTr="007F6F6E">
        <w:trPr>
          <w:trHeight w:val="360"/>
        </w:trPr>
        <w:tc>
          <w:tcPr>
            <w:tcW w:w="5000" w:type="pct"/>
            <w:gridSpan w:val="14"/>
            <w:tcBorders>
              <w:top w:val="nil"/>
              <w:left w:val="nil"/>
              <w:bottom w:val="single" w:sz="8" w:space="0" w:color="auto"/>
              <w:right w:val="nil"/>
            </w:tcBorders>
            <w:shd w:val="clear" w:color="auto" w:fill="auto"/>
            <w:noWrap/>
            <w:vAlign w:val="bottom"/>
            <w:hideMark/>
          </w:tcPr>
          <w:p w:rsidR="007F6F6E" w:rsidRPr="00D66C98" w:rsidRDefault="007F6F6E" w:rsidP="00317C03">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w:t>
            </w:r>
            <w:r w:rsidR="00317C03">
              <w:rPr>
                <w:rFonts w:ascii="Times New Roman" w:eastAsia="Times New Roman" w:hAnsi="Times New Roman" w:cs="Times New Roman"/>
                <w:b/>
                <w:bCs/>
                <w:color w:val="4F81BD" w:themeColor="accent1"/>
                <w:sz w:val="24"/>
                <w:szCs w:val="24"/>
                <w:lang w:eastAsia="fr-FR"/>
              </w:rPr>
              <w:t>3</w:t>
            </w:r>
            <w:r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2020-</w:t>
            </w:r>
          </w:p>
        </w:tc>
      </w:tr>
      <w:tr w:rsidR="007F6F6E" w:rsidRPr="00E66090" w:rsidTr="007F6F6E">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7F6F6E" w:rsidRPr="00E66090" w:rsidRDefault="007F6F6E" w:rsidP="007F6F6E">
            <w:pPr>
              <w:spacing w:after="0" w:line="240" w:lineRule="auto"/>
              <w:jc w:val="center"/>
              <w:rPr>
                <w:rFonts w:ascii="Times New Roman" w:eastAsia="Times New Roman" w:hAnsi="Times New Roman" w:cs="Times New Roman"/>
                <w:b/>
                <w:bCs/>
                <w:sz w:val="18"/>
                <w:szCs w:val="18"/>
                <w:lang w:eastAsia="fr-FR"/>
              </w:rPr>
            </w:pPr>
            <w:r w:rsidRPr="00E66090">
              <w:rPr>
                <w:rFonts w:ascii="Times New Roman" w:eastAsia="Times New Roman" w:hAnsi="Times New Roman" w:cs="Times New Roman"/>
                <w:b/>
                <w:bCs/>
                <w:sz w:val="18"/>
                <w:szCs w:val="18"/>
                <w:lang w:eastAsia="fr-FR"/>
              </w:rPr>
              <w:t xml:space="preserve"> DIVISIONS</w:t>
            </w:r>
          </w:p>
        </w:tc>
        <w:tc>
          <w:tcPr>
            <w:tcW w:w="260"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60" w:type="pct"/>
            <w:tcBorders>
              <w:top w:val="single" w:sz="8" w:space="0" w:color="auto"/>
              <w:left w:val="single" w:sz="8" w:space="0" w:color="auto"/>
              <w:bottom w:val="single" w:sz="8" w:space="0" w:color="auto"/>
              <w:right w:val="nil"/>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58"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7F6F6E" w:rsidRPr="00E66090" w:rsidTr="007F6F6E">
        <w:trPr>
          <w:trHeight w:val="454"/>
        </w:trPr>
        <w:tc>
          <w:tcPr>
            <w:tcW w:w="16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w:t>
            </w:r>
            <w:proofErr w:type="gramStart"/>
            <w:r>
              <w:rPr>
                <w:rFonts w:ascii="Times New Roman" w:eastAsia="Times New Roman" w:hAnsi="Times New Roman" w:cs="Times New Roman"/>
                <w:b/>
                <w:bCs/>
                <w:sz w:val="16"/>
                <w:szCs w:val="16"/>
                <w:lang w:eastAsia="fr-FR"/>
              </w:rPr>
              <w:t>.</w:t>
            </w:r>
            <w:r w:rsidRPr="00AD6362">
              <w:rPr>
                <w:rFonts w:ascii="Times New Roman" w:eastAsia="Times New Roman" w:hAnsi="Times New Roman" w:cs="Times New Roman"/>
                <w:b/>
                <w:bCs/>
                <w:sz w:val="16"/>
                <w:szCs w:val="16"/>
                <w:lang w:eastAsia="fr-FR"/>
              </w:rPr>
              <w:t>PRODUITS</w:t>
            </w:r>
            <w:proofErr w:type="gramEnd"/>
            <w:r w:rsidRPr="00AD6362">
              <w:rPr>
                <w:rFonts w:ascii="Times New Roman" w:eastAsia="Times New Roman" w:hAnsi="Times New Roman" w:cs="Times New Roman"/>
                <w:b/>
                <w:bCs/>
                <w:sz w:val="16"/>
                <w:szCs w:val="16"/>
                <w:lang w:eastAsia="fr-FR"/>
              </w:rPr>
              <w:t xml:space="preserve"> ALIMENTAIRES ET BOISSONS NON</w:t>
            </w:r>
          </w:p>
          <w:p w:rsidR="007F6F6E" w:rsidRPr="00AD6362" w:rsidRDefault="007F6F6E" w:rsidP="007F6F6E">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95,8</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120,9</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106,1</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104,7</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w:t>
            </w:r>
          </w:p>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COMBUSTIBLES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05. MEUBLES, ARTICLES DE MENAGE ET ENTRETIEN </w:t>
            </w:r>
          </w:p>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COURANT DU FOYER</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99,6</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106,4</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106,5</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99,4</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111,0</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105,0</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58" w:type="pct"/>
            <w:tcBorders>
              <w:top w:val="nil"/>
              <w:left w:val="nil"/>
              <w:bottom w:val="single" w:sz="8"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103,2</w:t>
            </w:r>
          </w:p>
        </w:tc>
      </w:tr>
      <w:tr w:rsidR="007F6F6E" w:rsidRPr="00E66090" w:rsidTr="007F6F6E">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INDICE  GENERAL    </w:t>
            </w:r>
          </w:p>
        </w:tc>
        <w:tc>
          <w:tcPr>
            <w:tcW w:w="26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102,4</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102,5</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58" w:type="pct"/>
            <w:tcBorders>
              <w:top w:val="nil"/>
              <w:left w:val="nil"/>
              <w:bottom w:val="single" w:sz="8"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7F6F6E" w:rsidRPr="00483003" w:rsidRDefault="007F6F6E" w:rsidP="007F6F6E">
      <w:pPr>
        <w:pStyle w:val="Lgende"/>
        <w:rPr>
          <w:rFonts w:ascii="Times New Roman" w:hAnsi="Times New Roman"/>
          <w:i/>
          <w:iCs/>
          <w:sz w:val="22"/>
        </w:rPr>
      </w:pPr>
      <w:r w:rsidRPr="00483003">
        <w:rPr>
          <w:rFonts w:ascii="Times New Roman" w:hAnsi="Times New Roman"/>
          <w:i/>
          <w:iCs/>
          <w:sz w:val="22"/>
        </w:rPr>
        <w:t>Source : HCP</w:t>
      </w:r>
    </w:p>
    <w:p w:rsidR="007F6F6E" w:rsidRDefault="007F6F6E">
      <w:r>
        <w:br w:type="page"/>
      </w:r>
    </w:p>
    <w:p w:rsidR="007D6D8B" w:rsidRDefault="007D6D8B"/>
    <w:tbl>
      <w:tblPr>
        <w:tblW w:w="5000" w:type="pct"/>
        <w:tblCellMar>
          <w:left w:w="70" w:type="dxa"/>
          <w:right w:w="70" w:type="dxa"/>
        </w:tblCellMar>
        <w:tblLook w:val="04A0"/>
      </w:tblPr>
      <w:tblGrid>
        <w:gridCol w:w="4889"/>
        <w:gridCol w:w="668"/>
        <w:gridCol w:w="668"/>
        <w:gridCol w:w="668"/>
        <w:gridCol w:w="668"/>
        <w:gridCol w:w="668"/>
        <w:gridCol w:w="668"/>
        <w:gridCol w:w="668"/>
        <w:gridCol w:w="668"/>
        <w:gridCol w:w="668"/>
        <w:gridCol w:w="668"/>
        <w:gridCol w:w="668"/>
        <w:gridCol w:w="668"/>
        <w:gridCol w:w="67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317C03" w:rsidP="00F97AE7">
            <w:pPr>
              <w:rPr>
                <w:rFonts w:ascii="Times New Roman" w:eastAsia="Times New Roman" w:hAnsi="Times New Roman" w:cs="Times New Roman"/>
                <w:b/>
                <w:bCs/>
                <w:color w:val="4F81BD" w:themeColor="accent1"/>
                <w:sz w:val="24"/>
                <w:szCs w:val="24"/>
                <w:lang w:eastAsia="fr-FR"/>
              </w:rPr>
            </w:pPr>
            <w:r>
              <w:rPr>
                <w:rFonts w:ascii="Times New Roman" w:eastAsia="Times New Roman" w:hAnsi="Times New Roman" w:cs="Times New Roman"/>
                <w:b/>
                <w:bCs/>
                <w:color w:val="4F81BD" w:themeColor="accent1"/>
                <w:sz w:val="24"/>
                <w:szCs w:val="24"/>
                <w:lang w:eastAsia="fr-FR"/>
              </w:rPr>
              <w:t>Tableau A4</w:t>
            </w:r>
            <w:r w:rsidR="00E66090"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00E66090" w:rsidRPr="00D66C98">
              <w:rPr>
                <w:rFonts w:ascii="Times New Roman" w:eastAsia="Times New Roman" w:hAnsi="Times New Roman" w:cs="Times New Roman"/>
                <w:b/>
                <w:bCs/>
                <w:color w:val="4F81BD" w:themeColor="accent1"/>
                <w:sz w:val="24"/>
                <w:szCs w:val="24"/>
                <w:lang w:eastAsia="fr-FR"/>
              </w:rPr>
              <w:t>Kénitra</w:t>
            </w:r>
            <w:proofErr w:type="spellEnd"/>
            <w:r w:rsidR="00E66090"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2019-</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jc w:val="center"/>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DIVISIONS</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46" w:type="pct"/>
            <w:tcBorders>
              <w:top w:val="single" w:sz="8" w:space="0" w:color="auto"/>
              <w:left w:val="single" w:sz="8" w:space="0" w:color="auto"/>
              <w:bottom w:val="single" w:sz="8" w:space="0" w:color="auto"/>
              <w:right w:val="nil"/>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4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E66090" w:rsidRPr="00E66090" w:rsidTr="00AD6362">
        <w:trPr>
          <w:trHeight w:val="454"/>
        </w:trPr>
        <w:tc>
          <w:tcPr>
            <w:tcW w:w="18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01 .</w:t>
            </w:r>
            <w:r w:rsidR="00E66090" w:rsidRPr="00AD6362">
              <w:rPr>
                <w:rFonts w:ascii="Times New Roman" w:eastAsia="Times New Roman" w:hAnsi="Times New Roman" w:cs="Times New Roman"/>
                <w:b/>
                <w:bCs/>
                <w:sz w:val="16"/>
                <w:szCs w:val="16"/>
                <w:lang w:eastAsia="fr-FR"/>
              </w:rPr>
              <w:t>PRODUITS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02. BOISSONS ALCOOLISÉES, TABAC ET STUPÉFIANTS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03. ARTICLES D'HABILLEMENT ET CHAUSSURES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103,6</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04. LOGEMENT, EAU, GAZ, ELECTRICITE ET AUTRES </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COMBUSTIBLES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20"/>
                <w:szCs w:val="20"/>
                <w:lang w:eastAsia="fr-FR"/>
              </w:rPr>
            </w:pPr>
            <w:r w:rsidRPr="00E66090">
              <w:rPr>
                <w:rFonts w:ascii="Times New Roman" w:eastAsia="Times New Roman" w:hAnsi="Times New Roman" w:cs="Times New Roman"/>
                <w:b/>
                <w:bCs/>
                <w:sz w:val="16"/>
                <w:szCs w:val="16"/>
                <w:lang w:eastAsia="fr-FR"/>
              </w:rPr>
              <w:t>05. MEUBLES, ARTICLES DE MENAGE ET ENTRETIEN</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COURANT DU FOYER</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06. SANTÉ</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07. TRANSPORTS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08. COMMUNICATIONS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09. LOISIRS ET CULTURE</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10. ENSEIGNEMENT</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11. RESTAURANTS ET HÔTELS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12. BIENS ET SERVICES DIVERS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INDICE  GENERAL    </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101,9</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5075"/>
        <w:gridCol w:w="658"/>
        <w:gridCol w:w="652"/>
        <w:gridCol w:w="687"/>
        <w:gridCol w:w="652"/>
        <w:gridCol w:w="650"/>
        <w:gridCol w:w="650"/>
        <w:gridCol w:w="650"/>
        <w:gridCol w:w="650"/>
        <w:gridCol w:w="650"/>
        <w:gridCol w:w="650"/>
        <w:gridCol w:w="650"/>
        <w:gridCol w:w="650"/>
        <w:gridCol w:w="652"/>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D66C98" w:rsidRDefault="00AD6362"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w:t>
            </w:r>
            <w:r w:rsidR="00317C03">
              <w:rPr>
                <w:rFonts w:ascii="Times New Roman" w:eastAsia="Times New Roman" w:hAnsi="Times New Roman" w:cs="Times New Roman"/>
                <w:b/>
                <w:bCs/>
                <w:color w:val="4F81BD" w:themeColor="accent1"/>
                <w:sz w:val="24"/>
                <w:szCs w:val="24"/>
                <w:lang w:eastAsia="fr-FR"/>
              </w:rPr>
              <w:t>A5</w:t>
            </w:r>
            <w:r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2018-</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44"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40"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24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AD6362">
        <w:trPr>
          <w:trHeight w:val="454"/>
        </w:trPr>
        <w:tc>
          <w:tcPr>
            <w:tcW w:w="1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108,2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100,3</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103,8</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103,5</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4"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F67B0C" w:rsidRDefault="00F67B0C">
      <w:r>
        <w:br w:type="page"/>
      </w:r>
    </w:p>
    <w:tbl>
      <w:tblPr>
        <w:tblW w:w="5000" w:type="pct"/>
        <w:tblCellMar>
          <w:left w:w="70" w:type="dxa"/>
          <w:right w:w="70" w:type="dxa"/>
        </w:tblCellMar>
        <w:tblLook w:val="04A0"/>
      </w:tblPr>
      <w:tblGrid>
        <w:gridCol w:w="4444"/>
        <w:gridCol w:w="681"/>
        <w:gridCol w:w="681"/>
        <w:gridCol w:w="697"/>
        <w:gridCol w:w="681"/>
        <w:gridCol w:w="681"/>
        <w:gridCol w:w="682"/>
        <w:gridCol w:w="682"/>
        <w:gridCol w:w="682"/>
        <w:gridCol w:w="682"/>
        <w:gridCol w:w="682"/>
        <w:gridCol w:w="682"/>
        <w:gridCol w:w="682"/>
        <w:gridCol w:w="937"/>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B75327" w:rsidRDefault="00AD6362" w:rsidP="00317C03">
            <w:pPr>
              <w:rPr>
                <w:rFonts w:ascii="Times New Roman" w:eastAsia="Times New Roman" w:hAnsi="Times New Roman" w:cs="Times New Roman"/>
                <w:b/>
                <w:bCs/>
                <w:color w:val="548DD4" w:themeColor="text2" w:themeTint="99"/>
                <w:sz w:val="24"/>
                <w:szCs w:val="24"/>
                <w:lang w:eastAsia="fr-FR"/>
              </w:rPr>
            </w:pPr>
            <w:r w:rsidRPr="00B75327">
              <w:rPr>
                <w:rFonts w:ascii="Times New Roman" w:eastAsia="Times New Roman" w:hAnsi="Times New Roman" w:cs="Times New Roman"/>
                <w:b/>
                <w:bCs/>
                <w:color w:val="548DD4" w:themeColor="text2" w:themeTint="99"/>
                <w:sz w:val="24"/>
                <w:szCs w:val="24"/>
                <w:lang w:eastAsia="fr-FR"/>
              </w:rPr>
              <w:lastRenderedPageBreak/>
              <w:t xml:space="preserve">Tableau </w:t>
            </w:r>
            <w:r w:rsidR="004841B9" w:rsidRPr="00B75327">
              <w:rPr>
                <w:rFonts w:ascii="Times New Roman" w:eastAsia="Times New Roman" w:hAnsi="Times New Roman" w:cs="Times New Roman"/>
                <w:b/>
                <w:bCs/>
                <w:color w:val="548DD4" w:themeColor="text2" w:themeTint="99"/>
                <w:sz w:val="24"/>
                <w:szCs w:val="24"/>
                <w:lang w:eastAsia="fr-FR"/>
              </w:rPr>
              <w:t>A</w:t>
            </w:r>
            <w:r w:rsidR="00317C03">
              <w:rPr>
                <w:rFonts w:ascii="Times New Roman" w:eastAsia="Times New Roman" w:hAnsi="Times New Roman" w:cs="Times New Roman"/>
                <w:b/>
                <w:bCs/>
                <w:color w:val="548DD4" w:themeColor="text2" w:themeTint="99"/>
                <w:sz w:val="24"/>
                <w:szCs w:val="24"/>
                <w:lang w:eastAsia="fr-FR"/>
              </w:rPr>
              <w:t>6</w:t>
            </w:r>
            <w:r w:rsidRPr="00B75327">
              <w:rPr>
                <w:rFonts w:ascii="Times New Roman" w:eastAsia="Times New Roman" w:hAnsi="Times New Roman" w:cs="Times New Roman"/>
                <w:b/>
                <w:bCs/>
                <w:color w:val="548DD4" w:themeColor="text2" w:themeTint="99"/>
                <w:sz w:val="24"/>
                <w:szCs w:val="24"/>
                <w:lang w:eastAsia="fr-FR"/>
              </w:rPr>
              <w:t xml:space="preserve">: IPC de la ville de </w:t>
            </w:r>
            <w:proofErr w:type="spellStart"/>
            <w:r w:rsidRPr="00B75327">
              <w:rPr>
                <w:rFonts w:ascii="Times New Roman" w:eastAsia="Times New Roman" w:hAnsi="Times New Roman" w:cs="Times New Roman"/>
                <w:b/>
                <w:bCs/>
                <w:color w:val="548DD4" w:themeColor="text2" w:themeTint="99"/>
                <w:sz w:val="24"/>
                <w:szCs w:val="24"/>
                <w:lang w:eastAsia="fr-FR"/>
              </w:rPr>
              <w:t>Kénitra</w:t>
            </w:r>
            <w:proofErr w:type="spellEnd"/>
            <w:r w:rsidRPr="00B75327">
              <w:rPr>
                <w:rFonts w:ascii="Times New Roman" w:eastAsia="Times New Roman" w:hAnsi="Times New Roman" w:cs="Times New Roman"/>
                <w:b/>
                <w:bCs/>
                <w:color w:val="548DD4" w:themeColor="text2" w:themeTint="99"/>
                <w:sz w:val="24"/>
                <w:szCs w:val="24"/>
                <w:lang w:eastAsia="fr-FR"/>
              </w:rPr>
              <w:t xml:space="preserve"> (base 100:2017) par division et par mois- Année 2017-</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5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57"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51"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341"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AD6362">
        <w:trPr>
          <w:trHeight w:val="454"/>
        </w:trPr>
        <w:tc>
          <w:tcPr>
            <w:tcW w:w="16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5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7"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99,5</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100,5</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34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Default="000247A5" w:rsidP="00F7045D">
      <w:pPr>
        <w:rPr>
          <w:sz w:val="16"/>
          <w:szCs w:val="16"/>
        </w:rPr>
      </w:pPr>
    </w:p>
    <w:p w:rsidR="00E678BE" w:rsidRDefault="00E678BE">
      <w:r>
        <w:br w:type="page"/>
      </w:r>
    </w:p>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317C03" w:rsidP="00317C03">
      <w:pPr>
        <w:pStyle w:val="Lgende"/>
        <w:spacing w:after="0"/>
        <w:rPr>
          <w:rFonts w:asciiTheme="majorBidi" w:hAnsiTheme="majorBidi" w:cstheme="majorBidi"/>
          <w:bCs w:val="0"/>
          <w:sz w:val="22"/>
        </w:rPr>
      </w:pPr>
      <w:r>
        <w:rPr>
          <w:rFonts w:asciiTheme="majorBidi" w:hAnsiTheme="majorBidi" w:cstheme="majorBidi"/>
          <w:sz w:val="22"/>
        </w:rPr>
        <w:lastRenderedPageBreak/>
        <w:t>Tableau A7</w:t>
      </w:r>
      <w:r w:rsidR="00F67E78"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général </w:t>
      </w:r>
      <w:r w:rsidR="0039136B">
        <w:rPr>
          <w:rFonts w:asciiTheme="majorBidi" w:hAnsiTheme="majorBidi" w:cstheme="majorBidi"/>
          <w:bCs w:val="0"/>
          <w:sz w:val="22"/>
        </w:rPr>
        <w:t xml:space="preserve">(base 100: 2017) </w:t>
      </w:r>
      <w:r w:rsidR="00E8089E" w:rsidRPr="00E678BE">
        <w:rPr>
          <w:rFonts w:asciiTheme="majorBidi" w:hAnsiTheme="majorBidi" w:cstheme="majorBidi"/>
          <w:bCs w:val="0"/>
          <w:sz w:val="22"/>
        </w:rPr>
        <w:t xml:space="preserve">de la ville de  </w:t>
      </w:r>
      <w:r w:rsidR="00D075F5" w:rsidRPr="00E678BE">
        <w:rPr>
          <w:rFonts w:asciiTheme="majorBidi" w:hAnsiTheme="majorBidi" w:cstheme="majorBidi"/>
          <w:bCs w:val="0"/>
          <w:sz w:val="22"/>
        </w:rPr>
        <w:t>Kenitra</w:t>
      </w:r>
      <w:r w:rsidR="0039136B">
        <w:rPr>
          <w:rFonts w:asciiTheme="majorBidi" w:hAnsiTheme="majorBidi" w:cstheme="majorBidi"/>
          <w:bCs w:val="0"/>
          <w:sz w:val="22"/>
        </w:rPr>
        <w:t xml:space="preserve"> et du Maroc entre 201</w:t>
      </w:r>
      <w:r w:rsidR="00E8089E" w:rsidRPr="00E678BE">
        <w:rPr>
          <w:rFonts w:asciiTheme="majorBidi" w:hAnsiTheme="majorBidi" w:cstheme="majorBidi"/>
          <w:bCs w:val="0"/>
          <w:sz w:val="22"/>
        </w:rPr>
        <w:t>7 et 20</w:t>
      </w:r>
      <w:r w:rsidR="0039136B">
        <w:rPr>
          <w:rFonts w:asciiTheme="majorBidi" w:hAnsiTheme="majorBidi" w:cstheme="majorBidi"/>
          <w:bCs w:val="0"/>
          <w:sz w:val="22"/>
        </w:rPr>
        <w:t>2</w:t>
      </w:r>
      <w:r>
        <w:rPr>
          <w:rFonts w:asciiTheme="majorBidi" w:hAnsiTheme="majorBidi" w:cstheme="majorBidi"/>
          <w:bCs w:val="0"/>
          <w:sz w:val="22"/>
        </w:rPr>
        <w:t>1</w:t>
      </w: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1965"/>
        <w:gridCol w:w="1305"/>
        <w:gridCol w:w="1304"/>
        <w:gridCol w:w="1304"/>
        <w:gridCol w:w="1347"/>
        <w:gridCol w:w="2129"/>
      </w:tblGrid>
      <w:tr w:rsidR="00317C03" w:rsidRPr="00317C03" w:rsidTr="00317C03">
        <w:trPr>
          <w:trHeight w:val="300"/>
        </w:trPr>
        <w:tc>
          <w:tcPr>
            <w:tcW w:w="1050" w:type="pct"/>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color w:val="000000"/>
                <w:lang w:eastAsia="fr-FR"/>
              </w:rPr>
            </w:pPr>
          </w:p>
        </w:tc>
        <w:tc>
          <w:tcPr>
            <w:tcW w:w="697" w:type="pct"/>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2017</w:t>
            </w:r>
          </w:p>
        </w:tc>
        <w:tc>
          <w:tcPr>
            <w:tcW w:w="697" w:type="pct"/>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2018</w:t>
            </w:r>
          </w:p>
        </w:tc>
        <w:tc>
          <w:tcPr>
            <w:tcW w:w="697" w:type="pct"/>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2019</w:t>
            </w:r>
          </w:p>
        </w:tc>
        <w:tc>
          <w:tcPr>
            <w:tcW w:w="720" w:type="pct"/>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2020</w:t>
            </w:r>
          </w:p>
        </w:tc>
        <w:tc>
          <w:tcPr>
            <w:tcW w:w="1138" w:type="pct"/>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2021</w:t>
            </w:r>
          </w:p>
        </w:tc>
      </w:tr>
      <w:tr w:rsidR="00317C03" w:rsidRPr="00317C03" w:rsidTr="00317C03">
        <w:trPr>
          <w:trHeight w:val="300"/>
        </w:trPr>
        <w:tc>
          <w:tcPr>
            <w:tcW w:w="1050" w:type="pct"/>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IPC KENITRA</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100,0</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101,1</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101,6</w:t>
            </w:r>
          </w:p>
        </w:tc>
        <w:tc>
          <w:tcPr>
            <w:tcW w:w="720"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101,6</w:t>
            </w:r>
          </w:p>
        </w:tc>
        <w:tc>
          <w:tcPr>
            <w:tcW w:w="1138"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102,9</w:t>
            </w:r>
          </w:p>
        </w:tc>
      </w:tr>
      <w:tr w:rsidR="00317C03" w:rsidRPr="00317C03" w:rsidTr="00317C03">
        <w:trPr>
          <w:trHeight w:val="300"/>
        </w:trPr>
        <w:tc>
          <w:tcPr>
            <w:tcW w:w="1050" w:type="pct"/>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IPC NATIONAL</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100,0</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101,6</w:t>
            </w:r>
          </w:p>
        </w:tc>
        <w:tc>
          <w:tcPr>
            <w:tcW w:w="697"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101,8</w:t>
            </w:r>
          </w:p>
        </w:tc>
        <w:tc>
          <w:tcPr>
            <w:tcW w:w="720"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102,5</w:t>
            </w:r>
          </w:p>
        </w:tc>
        <w:tc>
          <w:tcPr>
            <w:tcW w:w="1138" w:type="pct"/>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103,9</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317C03">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317C03">
        <w:rPr>
          <w:rFonts w:asciiTheme="majorBidi" w:hAnsiTheme="majorBidi" w:cstheme="majorBidi"/>
          <w:sz w:val="22"/>
        </w:rPr>
        <w:t>8</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w:t>
      </w:r>
      <w:r w:rsidR="00D66C98">
        <w:rPr>
          <w:rFonts w:asciiTheme="majorBidi" w:hAnsiTheme="majorBidi" w:cstheme="majorBidi"/>
          <w:bCs w:val="0"/>
          <w:sz w:val="22"/>
        </w:rPr>
        <w:t xml:space="preserve"> </w:t>
      </w:r>
      <w:r w:rsidR="00B75327">
        <w:rPr>
          <w:rFonts w:asciiTheme="majorBidi" w:hAnsiTheme="majorBidi" w:cstheme="majorBidi"/>
          <w:bCs w:val="0"/>
          <w:sz w:val="22"/>
        </w:rPr>
        <w:t>(base 100 : 2017)</w:t>
      </w:r>
      <w:r w:rsidR="00E8089E" w:rsidRPr="00E678BE">
        <w:rPr>
          <w:rFonts w:asciiTheme="majorBidi" w:hAnsiTheme="majorBidi" w:cstheme="majorBidi"/>
          <w:bCs w:val="0"/>
          <w:sz w:val="22"/>
        </w:rPr>
        <w:t xml:space="preserve">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w:t>
      </w:r>
      <w:r w:rsidR="00317C03">
        <w:rPr>
          <w:rFonts w:asciiTheme="majorBidi" w:hAnsiTheme="majorBidi" w:cstheme="majorBidi"/>
          <w:bCs w:val="0"/>
          <w:sz w:val="22"/>
        </w:rPr>
        <w:t>1</w:t>
      </w:r>
      <w:r w:rsidR="00E8089E" w:rsidRPr="00E678BE">
        <w:rPr>
          <w:rFonts w:asciiTheme="majorBidi" w:hAnsiTheme="majorBidi" w:cstheme="majorBidi"/>
          <w:bCs w:val="0"/>
          <w:sz w:val="22"/>
        </w:rPr>
        <w:t xml:space="preserve"> par grande division</w:t>
      </w:r>
    </w:p>
    <w:tbl>
      <w:tblPr>
        <w:tblW w:w="5000" w:type="pct"/>
        <w:tblCellMar>
          <w:left w:w="70" w:type="dxa"/>
          <w:right w:w="70" w:type="dxa"/>
        </w:tblCellMar>
        <w:tblLook w:val="04A0"/>
      </w:tblPr>
      <w:tblGrid>
        <w:gridCol w:w="1973"/>
        <w:gridCol w:w="1303"/>
        <w:gridCol w:w="1302"/>
        <w:gridCol w:w="1302"/>
        <w:gridCol w:w="1347"/>
        <w:gridCol w:w="2127"/>
      </w:tblGrid>
      <w:tr w:rsidR="00317C03" w:rsidRPr="00317C03" w:rsidTr="00317C03">
        <w:trPr>
          <w:trHeight w:val="300"/>
        </w:trPr>
        <w:tc>
          <w:tcPr>
            <w:tcW w:w="1054" w:type="pct"/>
            <w:tcBorders>
              <w:top w:val="nil"/>
              <w:bottom w:val="nil"/>
            </w:tcBorders>
            <w:shd w:val="clear" w:color="auto" w:fill="auto"/>
            <w:noWrap/>
            <w:vAlign w:val="bottom"/>
            <w:hideMark/>
          </w:tcPr>
          <w:p w:rsidR="00317C03" w:rsidRPr="00317C03" w:rsidRDefault="00317C03" w:rsidP="00317C03">
            <w:pPr>
              <w:spacing w:after="0" w:line="240" w:lineRule="auto"/>
              <w:rPr>
                <w:rFonts w:asciiTheme="majorBidi" w:eastAsia="Times New Roman" w:hAnsiTheme="majorBidi" w:cstheme="majorBidi"/>
                <w:color w:val="000000"/>
                <w:lang w:eastAsia="fr-FR"/>
              </w:rPr>
            </w:pPr>
          </w:p>
        </w:tc>
        <w:tc>
          <w:tcPr>
            <w:tcW w:w="696" w:type="pct"/>
            <w:tcBorders>
              <w:top w:val="single" w:sz="4" w:space="0" w:color="auto"/>
              <w:bottom w:val="nil"/>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2017</w:t>
            </w:r>
          </w:p>
        </w:tc>
        <w:tc>
          <w:tcPr>
            <w:tcW w:w="696" w:type="pct"/>
            <w:tcBorders>
              <w:top w:val="single" w:sz="4" w:space="0" w:color="auto"/>
              <w:bottom w:val="nil"/>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2018</w:t>
            </w:r>
          </w:p>
        </w:tc>
        <w:tc>
          <w:tcPr>
            <w:tcW w:w="696" w:type="pct"/>
            <w:tcBorders>
              <w:top w:val="single" w:sz="4" w:space="0" w:color="auto"/>
              <w:bottom w:val="nil"/>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2019</w:t>
            </w:r>
          </w:p>
        </w:tc>
        <w:tc>
          <w:tcPr>
            <w:tcW w:w="720" w:type="pct"/>
            <w:tcBorders>
              <w:top w:val="single" w:sz="4" w:space="0" w:color="auto"/>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2020</w:t>
            </w:r>
          </w:p>
        </w:tc>
        <w:tc>
          <w:tcPr>
            <w:tcW w:w="1137" w:type="pct"/>
            <w:tcBorders>
              <w:top w:val="single" w:sz="4" w:space="0" w:color="auto"/>
              <w:bottom w:val="nil"/>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2021</w:t>
            </w:r>
          </w:p>
        </w:tc>
      </w:tr>
      <w:tr w:rsidR="00317C03" w:rsidRPr="00317C03" w:rsidTr="00317C03">
        <w:trPr>
          <w:trHeight w:val="300"/>
        </w:trPr>
        <w:tc>
          <w:tcPr>
            <w:tcW w:w="1054"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IAK</w:t>
            </w:r>
          </w:p>
        </w:tc>
        <w:tc>
          <w:tcPr>
            <w:tcW w:w="696"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100,0</w:t>
            </w:r>
          </w:p>
        </w:tc>
        <w:tc>
          <w:tcPr>
            <w:tcW w:w="696"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101,1</w:t>
            </w:r>
          </w:p>
        </w:tc>
        <w:tc>
          <w:tcPr>
            <w:tcW w:w="696"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99,8</w:t>
            </w:r>
          </w:p>
        </w:tc>
        <w:tc>
          <w:tcPr>
            <w:tcW w:w="720"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99,9</w:t>
            </w:r>
          </w:p>
        </w:tc>
        <w:tc>
          <w:tcPr>
            <w:tcW w:w="1137"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100,9</w:t>
            </w:r>
          </w:p>
        </w:tc>
      </w:tr>
      <w:tr w:rsidR="00317C03" w:rsidRPr="00317C03" w:rsidTr="00317C03">
        <w:trPr>
          <w:trHeight w:val="300"/>
        </w:trPr>
        <w:tc>
          <w:tcPr>
            <w:tcW w:w="1054"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INAK</w:t>
            </w:r>
          </w:p>
        </w:tc>
        <w:tc>
          <w:tcPr>
            <w:tcW w:w="696"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100,0</w:t>
            </w:r>
          </w:p>
        </w:tc>
        <w:tc>
          <w:tcPr>
            <w:tcW w:w="696"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101,1</w:t>
            </w:r>
          </w:p>
        </w:tc>
        <w:tc>
          <w:tcPr>
            <w:tcW w:w="696"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102,9</w:t>
            </w:r>
          </w:p>
        </w:tc>
        <w:tc>
          <w:tcPr>
            <w:tcW w:w="720"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102,9</w:t>
            </w:r>
          </w:p>
        </w:tc>
        <w:tc>
          <w:tcPr>
            <w:tcW w:w="1137"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104,4</w:t>
            </w:r>
          </w:p>
        </w:tc>
      </w:tr>
      <w:tr w:rsidR="00317C03" w:rsidRPr="00317C03" w:rsidTr="00317C03">
        <w:trPr>
          <w:trHeight w:val="300"/>
        </w:trPr>
        <w:tc>
          <w:tcPr>
            <w:tcW w:w="1054"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rPr>
                <w:rFonts w:asciiTheme="majorBidi" w:eastAsia="Times New Roman" w:hAnsiTheme="majorBidi" w:cstheme="majorBidi"/>
                <w:b/>
                <w:bCs/>
                <w:color w:val="000000"/>
                <w:lang w:eastAsia="fr-FR"/>
              </w:rPr>
            </w:pPr>
            <w:r w:rsidRPr="00317C03">
              <w:rPr>
                <w:rFonts w:asciiTheme="majorBidi" w:eastAsia="Times New Roman" w:hAnsiTheme="majorBidi" w:cstheme="majorBidi"/>
                <w:b/>
                <w:bCs/>
                <w:color w:val="000000"/>
                <w:lang w:eastAsia="fr-FR"/>
              </w:rPr>
              <w:t>IGK</w:t>
            </w:r>
          </w:p>
        </w:tc>
        <w:tc>
          <w:tcPr>
            <w:tcW w:w="696"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100,0</w:t>
            </w:r>
          </w:p>
        </w:tc>
        <w:tc>
          <w:tcPr>
            <w:tcW w:w="696"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101,1</w:t>
            </w:r>
          </w:p>
        </w:tc>
        <w:tc>
          <w:tcPr>
            <w:tcW w:w="696"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101,6</w:t>
            </w:r>
          </w:p>
        </w:tc>
        <w:tc>
          <w:tcPr>
            <w:tcW w:w="720"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101,6</w:t>
            </w:r>
          </w:p>
        </w:tc>
        <w:tc>
          <w:tcPr>
            <w:tcW w:w="1137" w:type="pct"/>
            <w:tcBorders>
              <w:top w:val="nil"/>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heme="majorBidi" w:eastAsia="Times New Roman" w:hAnsiTheme="majorBidi" w:cstheme="majorBidi"/>
                <w:color w:val="000000"/>
                <w:lang w:eastAsia="fr-FR"/>
              </w:rPr>
            </w:pPr>
            <w:r w:rsidRPr="00317C03">
              <w:rPr>
                <w:rFonts w:asciiTheme="majorBidi" w:eastAsia="Times New Roman" w:hAnsiTheme="majorBidi" w:cstheme="majorBidi"/>
                <w:color w:val="000000"/>
                <w:lang w:eastAsia="fr-FR"/>
              </w:rPr>
              <w:t>102,9</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317C03">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317C03">
        <w:rPr>
          <w:rFonts w:asciiTheme="majorBidi" w:hAnsiTheme="majorBidi" w:cstheme="majorBidi"/>
          <w:sz w:val="22"/>
        </w:rPr>
        <w:t>9</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w:t>
      </w:r>
      <w:r w:rsidR="00317C03">
        <w:rPr>
          <w:rFonts w:asciiTheme="majorBidi" w:hAnsiTheme="majorBidi" w:cstheme="majorBidi"/>
          <w:bCs w:val="0"/>
          <w:sz w:val="22"/>
        </w:rPr>
        <w:t>1</w:t>
      </w:r>
    </w:p>
    <w:tbl>
      <w:tblPr>
        <w:tblW w:w="5000" w:type="pct"/>
        <w:tblCellMar>
          <w:left w:w="70" w:type="dxa"/>
          <w:right w:w="70" w:type="dxa"/>
        </w:tblCellMar>
        <w:tblLook w:val="04A0"/>
      </w:tblPr>
      <w:tblGrid>
        <w:gridCol w:w="2554"/>
        <w:gridCol w:w="1686"/>
        <w:gridCol w:w="1686"/>
        <w:gridCol w:w="1686"/>
        <w:gridCol w:w="1742"/>
      </w:tblGrid>
      <w:tr w:rsidR="00317C03" w:rsidRPr="00317C03" w:rsidTr="00317C03">
        <w:trPr>
          <w:trHeight w:val="300"/>
        </w:trPr>
        <w:tc>
          <w:tcPr>
            <w:tcW w:w="1364" w:type="pct"/>
            <w:tcBorders>
              <w:top w:val="nil"/>
              <w:bottom w:val="nil"/>
            </w:tcBorders>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color w:val="000000"/>
                <w:lang w:eastAsia="fr-FR"/>
              </w:rPr>
            </w:pPr>
          </w:p>
        </w:tc>
        <w:tc>
          <w:tcPr>
            <w:tcW w:w="901" w:type="pct"/>
            <w:tcBorders>
              <w:top w:val="single" w:sz="4" w:space="0" w:color="auto"/>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2018</w:t>
            </w:r>
          </w:p>
        </w:tc>
        <w:tc>
          <w:tcPr>
            <w:tcW w:w="901" w:type="pct"/>
            <w:tcBorders>
              <w:top w:val="single" w:sz="4" w:space="0" w:color="auto"/>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2019</w:t>
            </w:r>
          </w:p>
        </w:tc>
        <w:tc>
          <w:tcPr>
            <w:tcW w:w="901" w:type="pct"/>
            <w:tcBorders>
              <w:top w:val="single" w:sz="4" w:space="0" w:color="auto"/>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2020</w:t>
            </w:r>
          </w:p>
        </w:tc>
        <w:tc>
          <w:tcPr>
            <w:tcW w:w="931" w:type="pct"/>
            <w:tcBorders>
              <w:top w:val="single" w:sz="4" w:space="0" w:color="auto"/>
              <w:bottom w:val="single" w:sz="4" w:space="0" w:color="auto"/>
            </w:tcBorders>
            <w:shd w:val="clear" w:color="auto" w:fill="A6A6A6" w:themeFill="background1" w:themeFillShade="A6"/>
            <w:noWrap/>
            <w:vAlign w:val="bottom"/>
            <w:hideMark/>
          </w:tcPr>
          <w:p w:rsidR="00317C03" w:rsidRPr="00317C03" w:rsidRDefault="00317C03" w:rsidP="00317C03">
            <w:pPr>
              <w:spacing w:after="0" w:line="240" w:lineRule="auto"/>
              <w:jc w:val="right"/>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2021</w:t>
            </w:r>
          </w:p>
        </w:tc>
      </w:tr>
      <w:tr w:rsidR="00317C03" w:rsidRPr="00317C03" w:rsidTr="00317C03">
        <w:trPr>
          <w:trHeight w:val="300"/>
        </w:trPr>
        <w:tc>
          <w:tcPr>
            <w:tcW w:w="1364" w:type="pct"/>
            <w:tcBorders>
              <w:top w:val="single" w:sz="4" w:space="0" w:color="auto"/>
              <w:bottom w:val="single" w:sz="4" w:space="0" w:color="auto"/>
            </w:tcBorders>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IPC KENITRA</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1,1</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0,5</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0,1</w:t>
            </w:r>
          </w:p>
        </w:tc>
        <w:tc>
          <w:tcPr>
            <w:tcW w:w="93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1,2</w:t>
            </w:r>
          </w:p>
        </w:tc>
      </w:tr>
      <w:tr w:rsidR="00317C03" w:rsidRPr="00317C03" w:rsidTr="00317C03">
        <w:trPr>
          <w:trHeight w:val="300"/>
        </w:trPr>
        <w:tc>
          <w:tcPr>
            <w:tcW w:w="1364"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rPr>
                <w:rFonts w:ascii="Times New Roman" w:eastAsia="Times New Roman" w:hAnsi="Times New Roman" w:cs="Times New Roman"/>
                <w:b/>
                <w:bCs/>
                <w:color w:val="000000"/>
                <w:lang w:eastAsia="fr-FR"/>
              </w:rPr>
            </w:pPr>
            <w:r w:rsidRPr="00317C03">
              <w:rPr>
                <w:rFonts w:ascii="Times New Roman" w:eastAsia="Times New Roman" w:hAnsi="Times New Roman" w:cs="Times New Roman"/>
                <w:b/>
                <w:bCs/>
                <w:color w:val="000000"/>
                <w:lang w:eastAsia="fr-FR"/>
              </w:rPr>
              <w:t>IPC NATIONAL</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1,6</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0,2</w:t>
            </w:r>
          </w:p>
        </w:tc>
        <w:tc>
          <w:tcPr>
            <w:tcW w:w="90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0,6</w:t>
            </w:r>
          </w:p>
        </w:tc>
        <w:tc>
          <w:tcPr>
            <w:tcW w:w="931" w:type="pct"/>
            <w:tcBorders>
              <w:top w:val="nil"/>
              <w:bottom w:val="single" w:sz="4" w:space="0" w:color="auto"/>
            </w:tcBorders>
            <w:shd w:val="clear" w:color="auto" w:fill="auto"/>
            <w:noWrap/>
            <w:vAlign w:val="bottom"/>
            <w:hideMark/>
          </w:tcPr>
          <w:p w:rsidR="00317C03" w:rsidRPr="00317C03" w:rsidRDefault="00317C03" w:rsidP="00317C03">
            <w:pPr>
              <w:spacing w:after="0" w:line="240" w:lineRule="auto"/>
              <w:jc w:val="right"/>
              <w:rPr>
                <w:rFonts w:ascii="Times New Roman" w:eastAsia="Times New Roman" w:hAnsi="Times New Roman" w:cs="Times New Roman"/>
                <w:color w:val="000000"/>
                <w:lang w:eastAsia="fr-FR"/>
              </w:rPr>
            </w:pPr>
            <w:r w:rsidRPr="00317C03">
              <w:rPr>
                <w:rFonts w:ascii="Times New Roman" w:eastAsia="Times New Roman" w:hAnsi="Times New Roman" w:cs="Times New Roman"/>
                <w:color w:val="000000"/>
                <w:lang w:eastAsia="fr-FR"/>
              </w:rPr>
              <w:t>1,4</w:t>
            </w:r>
          </w:p>
        </w:tc>
      </w:tr>
    </w:tbl>
    <w:p w:rsidR="00BB5DB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9E0ECF" w:rsidRPr="009E0ECF" w:rsidRDefault="009E0ECF" w:rsidP="00317C03">
      <w:pPr>
        <w:rPr>
          <w:rFonts w:ascii="Times New Roman" w:hAnsi="Times New Roman" w:cs="Times New Roman"/>
          <w:b/>
          <w:color w:val="4F81BD" w:themeColor="accent1"/>
        </w:rPr>
      </w:pPr>
      <w:r w:rsidRPr="009E0ECF">
        <w:rPr>
          <w:rFonts w:ascii="Times New Roman" w:hAnsi="Times New Roman" w:cs="Times New Roman"/>
          <w:b/>
          <w:color w:val="4F81BD" w:themeColor="accent1"/>
        </w:rPr>
        <w:t>Tableau A</w:t>
      </w:r>
      <w:r w:rsidR="00317C03">
        <w:rPr>
          <w:rFonts w:ascii="Times New Roman" w:hAnsi="Times New Roman" w:cs="Times New Roman"/>
          <w:b/>
          <w:color w:val="4F81BD" w:themeColor="accent1"/>
        </w:rPr>
        <w:t>10</w:t>
      </w:r>
      <w:r w:rsidRPr="009E0ECF">
        <w:rPr>
          <w:rFonts w:ascii="Times New Roman" w:hAnsi="Times New Roman" w:cs="Times New Roman"/>
          <w:b/>
          <w:color w:val="4F81BD" w:themeColor="accent1"/>
        </w:rPr>
        <w:t> : IPC général (base 100 : 2017) par mois et par ville, Année 202</w:t>
      </w:r>
      <w:r w:rsidR="00317C03">
        <w:rPr>
          <w:rFonts w:ascii="Times New Roman" w:hAnsi="Times New Roman" w:cs="Times New Roman"/>
          <w:b/>
          <w:color w:val="4F81BD" w:themeColor="accent1"/>
        </w:rPr>
        <w:t>1</w:t>
      </w: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1069"/>
        <w:gridCol w:w="614"/>
        <w:gridCol w:w="614"/>
        <w:gridCol w:w="573"/>
        <w:gridCol w:w="573"/>
        <w:gridCol w:w="573"/>
        <w:gridCol w:w="573"/>
        <w:gridCol w:w="573"/>
        <w:gridCol w:w="573"/>
        <w:gridCol w:w="790"/>
        <w:gridCol w:w="600"/>
        <w:gridCol w:w="752"/>
        <w:gridCol w:w="744"/>
        <w:gridCol w:w="733"/>
      </w:tblGrid>
      <w:tr w:rsidR="00714CEC" w:rsidRPr="00714CEC" w:rsidTr="00714CEC">
        <w:trPr>
          <w:trHeight w:val="315"/>
        </w:trPr>
        <w:tc>
          <w:tcPr>
            <w:tcW w:w="551" w:type="pct"/>
            <w:shd w:val="clear" w:color="000000" w:fill="C0C0C0"/>
            <w:noWrap/>
            <w:vAlign w:val="bottom"/>
            <w:hideMark/>
          </w:tcPr>
          <w:p w:rsidR="00714CEC" w:rsidRPr="00714CEC" w:rsidRDefault="00714CEC" w:rsidP="00714CEC">
            <w:pPr>
              <w:spacing w:after="0" w:line="240" w:lineRule="auto"/>
              <w:rPr>
                <w:rFonts w:asciiTheme="majorBidi" w:eastAsia="Times New Roman" w:hAnsiTheme="majorBidi" w:cstheme="majorBidi"/>
                <w:b/>
                <w:bCs/>
                <w:sz w:val="16"/>
                <w:szCs w:val="16"/>
                <w:lang w:eastAsia="fr-FR"/>
              </w:rPr>
            </w:pPr>
            <w:r w:rsidRPr="00714CEC">
              <w:rPr>
                <w:rFonts w:asciiTheme="majorBidi" w:eastAsia="Times New Roman" w:hAnsiTheme="majorBidi" w:cstheme="majorBidi"/>
                <w:b/>
                <w:bCs/>
                <w:sz w:val="16"/>
                <w:szCs w:val="16"/>
                <w:lang w:eastAsia="fr-FR"/>
              </w:rPr>
              <w:t>NOM VILLE</w:t>
            </w:r>
          </w:p>
        </w:tc>
        <w:tc>
          <w:tcPr>
            <w:tcW w:w="330"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J</w:t>
            </w:r>
            <w:r w:rsidRPr="00714CEC">
              <w:rPr>
                <w:rFonts w:asciiTheme="majorBidi" w:eastAsia="Times New Roman" w:hAnsiTheme="majorBidi" w:cstheme="majorBidi"/>
                <w:b/>
                <w:bCs/>
                <w:sz w:val="16"/>
                <w:szCs w:val="16"/>
                <w:lang w:eastAsia="fr-FR"/>
              </w:rPr>
              <w:t>anv</w:t>
            </w:r>
            <w:proofErr w:type="spellEnd"/>
          </w:p>
        </w:tc>
        <w:tc>
          <w:tcPr>
            <w:tcW w:w="330"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F</w:t>
            </w:r>
            <w:r w:rsidRPr="00714CEC">
              <w:rPr>
                <w:rFonts w:asciiTheme="majorBidi" w:eastAsia="Times New Roman" w:hAnsiTheme="majorBidi" w:cstheme="majorBidi"/>
                <w:b/>
                <w:bCs/>
                <w:sz w:val="16"/>
                <w:szCs w:val="16"/>
                <w:lang w:eastAsia="fr-FR"/>
              </w:rPr>
              <w:t>év</w:t>
            </w:r>
            <w:proofErr w:type="spellEnd"/>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M</w:t>
            </w:r>
            <w:r w:rsidRPr="00714CEC">
              <w:rPr>
                <w:rFonts w:asciiTheme="majorBidi" w:eastAsia="Times New Roman" w:hAnsiTheme="majorBidi" w:cstheme="majorBidi"/>
                <w:b/>
                <w:bCs/>
                <w:sz w:val="16"/>
                <w:szCs w:val="16"/>
                <w:lang w:eastAsia="fr-FR"/>
              </w:rPr>
              <w:t>ars</w:t>
            </w:r>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A</w:t>
            </w:r>
            <w:r w:rsidRPr="00714CEC">
              <w:rPr>
                <w:rFonts w:asciiTheme="majorBidi" w:eastAsia="Times New Roman" w:hAnsiTheme="majorBidi" w:cstheme="majorBidi"/>
                <w:b/>
                <w:bCs/>
                <w:sz w:val="16"/>
                <w:szCs w:val="16"/>
                <w:lang w:eastAsia="fr-FR"/>
              </w:rPr>
              <w:t>vr</w:t>
            </w:r>
            <w:proofErr w:type="spellEnd"/>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M</w:t>
            </w:r>
            <w:r w:rsidRPr="00714CEC">
              <w:rPr>
                <w:rFonts w:asciiTheme="majorBidi" w:eastAsia="Times New Roman" w:hAnsiTheme="majorBidi" w:cstheme="majorBidi"/>
                <w:b/>
                <w:bCs/>
                <w:sz w:val="16"/>
                <w:szCs w:val="16"/>
                <w:lang w:eastAsia="fr-FR"/>
              </w:rPr>
              <w:t>ai</w:t>
            </w:r>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J</w:t>
            </w:r>
            <w:r w:rsidRPr="00714CEC">
              <w:rPr>
                <w:rFonts w:asciiTheme="majorBidi" w:eastAsia="Times New Roman" w:hAnsiTheme="majorBidi" w:cstheme="majorBidi"/>
                <w:b/>
                <w:bCs/>
                <w:sz w:val="16"/>
                <w:szCs w:val="16"/>
                <w:lang w:eastAsia="fr-FR"/>
              </w:rPr>
              <w:t>uin</w:t>
            </w:r>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J</w:t>
            </w:r>
            <w:r w:rsidRPr="00714CEC">
              <w:rPr>
                <w:rFonts w:asciiTheme="majorBidi" w:eastAsia="Times New Roman" w:hAnsiTheme="majorBidi" w:cstheme="majorBidi"/>
                <w:b/>
                <w:bCs/>
                <w:sz w:val="16"/>
                <w:szCs w:val="16"/>
                <w:lang w:eastAsia="fr-FR"/>
              </w:rPr>
              <w:t>uil</w:t>
            </w:r>
            <w:proofErr w:type="spellEnd"/>
          </w:p>
        </w:tc>
        <w:tc>
          <w:tcPr>
            <w:tcW w:w="308"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A</w:t>
            </w:r>
            <w:r w:rsidRPr="00714CEC">
              <w:rPr>
                <w:rFonts w:asciiTheme="majorBidi" w:eastAsia="Times New Roman" w:hAnsiTheme="majorBidi" w:cstheme="majorBidi"/>
                <w:b/>
                <w:bCs/>
                <w:sz w:val="16"/>
                <w:szCs w:val="16"/>
                <w:lang w:eastAsia="fr-FR"/>
              </w:rPr>
              <w:t>oût</w:t>
            </w:r>
          </w:p>
        </w:tc>
        <w:tc>
          <w:tcPr>
            <w:tcW w:w="424"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S</w:t>
            </w:r>
            <w:r w:rsidRPr="00714CEC">
              <w:rPr>
                <w:rFonts w:asciiTheme="majorBidi" w:eastAsia="Times New Roman" w:hAnsiTheme="majorBidi" w:cstheme="majorBidi"/>
                <w:b/>
                <w:bCs/>
                <w:sz w:val="16"/>
                <w:szCs w:val="16"/>
                <w:lang w:eastAsia="fr-FR"/>
              </w:rPr>
              <w:t>ep</w:t>
            </w:r>
            <w:r>
              <w:rPr>
                <w:rFonts w:asciiTheme="majorBidi" w:eastAsia="Times New Roman" w:hAnsiTheme="majorBidi" w:cstheme="majorBidi"/>
                <w:b/>
                <w:bCs/>
                <w:sz w:val="16"/>
                <w:szCs w:val="16"/>
                <w:lang w:eastAsia="fr-FR"/>
              </w:rPr>
              <w:t>t</w:t>
            </w:r>
          </w:p>
        </w:tc>
        <w:tc>
          <w:tcPr>
            <w:tcW w:w="322"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O</w:t>
            </w:r>
            <w:r w:rsidRPr="00714CEC">
              <w:rPr>
                <w:rFonts w:asciiTheme="majorBidi" w:eastAsia="Times New Roman" w:hAnsiTheme="majorBidi" w:cstheme="majorBidi"/>
                <w:b/>
                <w:bCs/>
                <w:sz w:val="16"/>
                <w:szCs w:val="16"/>
                <w:lang w:eastAsia="fr-FR"/>
              </w:rPr>
              <w:t>ct</w:t>
            </w:r>
            <w:proofErr w:type="spellEnd"/>
          </w:p>
        </w:tc>
        <w:tc>
          <w:tcPr>
            <w:tcW w:w="403"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N</w:t>
            </w:r>
            <w:r w:rsidRPr="00714CEC">
              <w:rPr>
                <w:rFonts w:asciiTheme="majorBidi" w:eastAsia="Times New Roman" w:hAnsiTheme="majorBidi" w:cstheme="majorBidi"/>
                <w:b/>
                <w:bCs/>
                <w:sz w:val="16"/>
                <w:szCs w:val="16"/>
                <w:lang w:eastAsia="fr-FR"/>
              </w:rPr>
              <w:t>ov</w:t>
            </w:r>
            <w:proofErr w:type="spellEnd"/>
          </w:p>
        </w:tc>
        <w:tc>
          <w:tcPr>
            <w:tcW w:w="399"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proofErr w:type="spellStart"/>
            <w:r>
              <w:rPr>
                <w:rFonts w:asciiTheme="majorBidi" w:eastAsia="Times New Roman" w:hAnsiTheme="majorBidi" w:cstheme="majorBidi"/>
                <w:b/>
                <w:bCs/>
                <w:sz w:val="16"/>
                <w:szCs w:val="16"/>
                <w:lang w:eastAsia="fr-FR"/>
              </w:rPr>
              <w:t>D</w:t>
            </w:r>
            <w:r w:rsidRPr="00714CEC">
              <w:rPr>
                <w:rFonts w:asciiTheme="majorBidi" w:eastAsia="Times New Roman" w:hAnsiTheme="majorBidi" w:cstheme="majorBidi"/>
                <w:b/>
                <w:bCs/>
                <w:sz w:val="16"/>
                <w:szCs w:val="16"/>
                <w:lang w:eastAsia="fr-FR"/>
              </w:rPr>
              <w:t>éc</w:t>
            </w:r>
            <w:proofErr w:type="spellEnd"/>
          </w:p>
        </w:tc>
        <w:tc>
          <w:tcPr>
            <w:tcW w:w="396" w:type="pct"/>
            <w:shd w:val="clear" w:color="000000" w:fill="C0C0C0"/>
            <w:noWrap/>
            <w:vAlign w:val="bottom"/>
            <w:hideMark/>
          </w:tcPr>
          <w:p w:rsidR="00714CEC" w:rsidRPr="00714CEC" w:rsidRDefault="00714CEC" w:rsidP="00714CEC">
            <w:pPr>
              <w:spacing w:after="0" w:line="240" w:lineRule="auto"/>
              <w:jc w:val="center"/>
              <w:rPr>
                <w:rFonts w:asciiTheme="majorBidi" w:eastAsia="Times New Roman" w:hAnsiTheme="majorBidi" w:cstheme="majorBidi"/>
                <w:b/>
                <w:bCs/>
                <w:sz w:val="16"/>
                <w:szCs w:val="16"/>
                <w:lang w:eastAsia="fr-FR"/>
              </w:rPr>
            </w:pPr>
            <w:r w:rsidRPr="00714CEC">
              <w:rPr>
                <w:rFonts w:asciiTheme="majorBidi" w:eastAsia="Times New Roman" w:hAnsiTheme="majorBidi" w:cstheme="majorBidi"/>
                <w:b/>
                <w:bCs/>
                <w:sz w:val="16"/>
                <w:szCs w:val="16"/>
                <w:lang w:eastAsia="fr-FR"/>
              </w:rPr>
              <w:t>MOY</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Agadir</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102,6</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104,6</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104,9</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104,5</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104,6</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104,6</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103,8</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Casa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104,9</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105,9</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106,3</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106,2</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104,4</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Fès</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102,3</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103,3</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105,4</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105,5</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105,8</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104,0</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Kenitra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101,4</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102,1</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103,2</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104,6</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104,6</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102,9</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Marrakech</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104,3</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105,8</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105,9</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103,9</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Oujda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101,2</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102,5</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103,3</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102,8</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Rabat</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103,5</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103,8</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Tétouan</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101,9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102,9</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103,2</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103,1</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103,4</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102,5</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Meknès</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102,3</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104,5</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103,6</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Tanger</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101,9</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104,4</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104,7</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103,7</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Laayoune</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104,3</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105,0</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105,1</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104,7</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104,2</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Dakhla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103,9</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105,1</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105,5</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105,2</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104,0</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Guelmim</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104,3</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104,3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104,3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105,5</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106,6</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107,8</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107,9</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108,2</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105,9</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Settat</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103,1</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102,7</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105,1</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105,8</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103,5</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Safi</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105,0</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104,4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104,9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107,4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105,9</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105,7</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106,4</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108,5</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108,4</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109,6</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106,5</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Béni Mellal</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101,7</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102,5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104,1</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105,6</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107,2</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106,7</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106,8</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104,5</w:t>
            </w:r>
          </w:p>
        </w:tc>
      </w:tr>
      <w:tr w:rsidR="00714CEC" w:rsidRPr="00714CEC" w:rsidTr="00714CEC">
        <w:trPr>
          <w:trHeight w:val="315"/>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El Hoceima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101,3</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104,8</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105,1</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103,9</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104,9</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104,0</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104,2</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103,5</w:t>
            </w:r>
          </w:p>
        </w:tc>
      </w:tr>
      <w:tr w:rsidR="00714CEC" w:rsidRPr="00714CEC" w:rsidTr="00714CEC">
        <w:trPr>
          <w:trHeight w:val="300"/>
        </w:trPr>
        <w:tc>
          <w:tcPr>
            <w:tcW w:w="551" w:type="pct"/>
            <w:shd w:val="clear" w:color="auto" w:fill="auto"/>
            <w:noWrap/>
            <w:vAlign w:val="center"/>
            <w:hideMark/>
          </w:tcPr>
          <w:p w:rsidR="00714CEC" w:rsidRPr="00714CEC" w:rsidRDefault="00714CEC" w:rsidP="00714CEC">
            <w:pPr>
              <w:spacing w:after="0" w:line="240" w:lineRule="auto"/>
              <w:rPr>
                <w:rFonts w:asciiTheme="majorBidi" w:eastAsia="Times New Roman" w:hAnsiTheme="majorBidi" w:cstheme="majorBidi"/>
                <w:b/>
                <w:bCs/>
                <w:sz w:val="18"/>
                <w:szCs w:val="18"/>
                <w:lang w:eastAsia="fr-FR"/>
              </w:rPr>
            </w:pPr>
            <w:r w:rsidRPr="00714CEC">
              <w:rPr>
                <w:rFonts w:asciiTheme="majorBidi" w:eastAsia="Times New Roman" w:hAnsiTheme="majorBidi" w:cstheme="majorBidi"/>
                <w:b/>
                <w:bCs/>
                <w:sz w:val="18"/>
                <w:szCs w:val="18"/>
                <w:lang w:eastAsia="fr-FR"/>
              </w:rPr>
              <w:t>Errachidia</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101,1</w:t>
            </w:r>
          </w:p>
        </w:tc>
        <w:tc>
          <w:tcPr>
            <w:tcW w:w="330"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101,4</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sz w:val="18"/>
                <w:szCs w:val="18"/>
                <w:lang w:eastAsia="fr-FR"/>
              </w:rPr>
            </w:pPr>
            <w:r w:rsidRPr="00714CEC">
              <w:rPr>
                <w:rFonts w:asciiTheme="majorBidi" w:eastAsia="Times New Roman" w:hAnsiTheme="majorBidi" w:cstheme="majorBidi"/>
                <w:sz w:val="18"/>
                <w:szCs w:val="18"/>
                <w:lang w:eastAsia="fr-FR"/>
              </w:rPr>
              <w:t>101,6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102,7</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103,5</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102,3</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102,6</w:t>
            </w:r>
          </w:p>
        </w:tc>
        <w:tc>
          <w:tcPr>
            <w:tcW w:w="308"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103,2</w:t>
            </w:r>
          </w:p>
        </w:tc>
        <w:tc>
          <w:tcPr>
            <w:tcW w:w="424"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103,8</w:t>
            </w:r>
          </w:p>
        </w:tc>
        <w:tc>
          <w:tcPr>
            <w:tcW w:w="322"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104,4</w:t>
            </w:r>
          </w:p>
        </w:tc>
        <w:tc>
          <w:tcPr>
            <w:tcW w:w="403"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104,4</w:t>
            </w:r>
          </w:p>
        </w:tc>
        <w:tc>
          <w:tcPr>
            <w:tcW w:w="399"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color w:val="000000"/>
                <w:sz w:val="18"/>
                <w:szCs w:val="18"/>
                <w:lang w:eastAsia="fr-FR"/>
              </w:rPr>
            </w:pPr>
            <w:r w:rsidRPr="00714CEC">
              <w:rPr>
                <w:rFonts w:asciiTheme="majorBidi" w:eastAsia="Times New Roman" w:hAnsiTheme="majorBidi" w:cstheme="majorBidi"/>
                <w:color w:val="000000"/>
                <w:sz w:val="18"/>
                <w:szCs w:val="18"/>
                <w:lang w:eastAsia="fr-FR"/>
              </w:rPr>
              <w:t>104,5</w:t>
            </w:r>
          </w:p>
        </w:tc>
        <w:tc>
          <w:tcPr>
            <w:tcW w:w="396" w:type="pct"/>
            <w:shd w:val="clear" w:color="auto" w:fill="auto"/>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sz w:val="18"/>
                <w:szCs w:val="18"/>
                <w:lang w:eastAsia="fr-FR"/>
              </w:rPr>
            </w:pPr>
            <w:r w:rsidRPr="00714CEC">
              <w:rPr>
                <w:rFonts w:asciiTheme="majorBidi" w:eastAsia="Times New Roman" w:hAnsiTheme="majorBidi" w:cstheme="majorBidi"/>
                <w:b/>
                <w:bCs/>
                <w:color w:val="000000"/>
                <w:sz w:val="18"/>
                <w:szCs w:val="18"/>
                <w:lang w:eastAsia="fr-FR"/>
              </w:rPr>
              <w:t>103,0</w:t>
            </w:r>
          </w:p>
        </w:tc>
      </w:tr>
      <w:tr w:rsidR="00714CEC" w:rsidRPr="00714CEC" w:rsidTr="00714CEC">
        <w:trPr>
          <w:trHeight w:val="355"/>
        </w:trPr>
        <w:tc>
          <w:tcPr>
            <w:tcW w:w="551" w:type="pct"/>
            <w:shd w:val="clear" w:color="auto" w:fill="A6A6A6" w:themeFill="background1" w:themeFillShade="A6"/>
            <w:noWrap/>
            <w:vAlign w:val="center"/>
            <w:hideMark/>
          </w:tcPr>
          <w:p w:rsidR="00714CEC" w:rsidRPr="00714CEC" w:rsidRDefault="00714CEC" w:rsidP="00714CEC">
            <w:pPr>
              <w:spacing w:after="0" w:line="240" w:lineRule="auto"/>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Ensemble</w:t>
            </w:r>
          </w:p>
        </w:tc>
        <w:tc>
          <w:tcPr>
            <w:tcW w:w="330"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102,3</w:t>
            </w:r>
          </w:p>
        </w:tc>
        <w:tc>
          <w:tcPr>
            <w:tcW w:w="330"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102,4</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102,6</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103,8</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104,1</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103,4</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103,8</w:t>
            </w:r>
          </w:p>
        </w:tc>
        <w:tc>
          <w:tcPr>
            <w:tcW w:w="308"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103,8</w:t>
            </w:r>
          </w:p>
        </w:tc>
        <w:tc>
          <w:tcPr>
            <w:tcW w:w="424"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104,5</w:t>
            </w:r>
          </w:p>
        </w:tc>
        <w:tc>
          <w:tcPr>
            <w:tcW w:w="322"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105,2</w:t>
            </w:r>
          </w:p>
        </w:tc>
        <w:tc>
          <w:tcPr>
            <w:tcW w:w="403"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105,4</w:t>
            </w:r>
          </w:p>
        </w:tc>
        <w:tc>
          <w:tcPr>
            <w:tcW w:w="399"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105,5</w:t>
            </w:r>
          </w:p>
        </w:tc>
        <w:tc>
          <w:tcPr>
            <w:tcW w:w="396" w:type="pct"/>
            <w:shd w:val="clear" w:color="auto" w:fill="A6A6A6" w:themeFill="background1" w:themeFillShade="A6"/>
            <w:noWrap/>
            <w:vAlign w:val="center"/>
            <w:hideMark/>
          </w:tcPr>
          <w:p w:rsidR="00714CEC" w:rsidRPr="00714CEC" w:rsidRDefault="00714CEC" w:rsidP="00714CEC">
            <w:pPr>
              <w:spacing w:after="0" w:line="240" w:lineRule="auto"/>
              <w:jc w:val="right"/>
              <w:rPr>
                <w:rFonts w:asciiTheme="majorBidi" w:eastAsia="Times New Roman" w:hAnsiTheme="majorBidi" w:cstheme="majorBidi"/>
                <w:b/>
                <w:bCs/>
                <w:color w:val="000000" w:themeColor="text1"/>
                <w:sz w:val="18"/>
                <w:szCs w:val="18"/>
                <w:lang w:eastAsia="fr-FR"/>
              </w:rPr>
            </w:pPr>
            <w:r w:rsidRPr="00714CEC">
              <w:rPr>
                <w:rFonts w:asciiTheme="majorBidi" w:eastAsia="Times New Roman" w:hAnsiTheme="majorBidi" w:cstheme="majorBidi"/>
                <w:b/>
                <w:bCs/>
                <w:color w:val="000000" w:themeColor="text1"/>
                <w:sz w:val="18"/>
                <w:szCs w:val="18"/>
                <w:lang w:eastAsia="fr-FR"/>
              </w:rPr>
              <w:t>103,9</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CF570A" w:rsidRPr="00E678BE" w:rsidRDefault="00CF570A" w:rsidP="009E0ECF">
      <w:pPr>
        <w:rPr>
          <w:rFonts w:asciiTheme="majorBidi" w:hAnsiTheme="majorBidi" w:cstheme="majorBidi"/>
          <w:sz w:val="16"/>
          <w:szCs w:val="16"/>
        </w:rPr>
      </w:pPr>
    </w:p>
    <w:sectPr w:rsidR="00CF570A"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43" w:rsidRDefault="00422E43" w:rsidP="009E2412">
      <w:pPr>
        <w:spacing w:after="0" w:line="240" w:lineRule="auto"/>
      </w:pPr>
      <w:r>
        <w:separator/>
      </w:r>
    </w:p>
  </w:endnote>
  <w:endnote w:type="continuationSeparator" w:id="0">
    <w:p w:rsidR="00422E43" w:rsidRDefault="00422E43"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A60E53" w:rsidRDefault="00A60E53">
        <w:pPr>
          <w:pStyle w:val="Pieddepage"/>
          <w:jc w:val="center"/>
        </w:pPr>
        <w:fldSimple w:instr=" PAGE   \* MERGEFORMAT ">
          <w:r w:rsidR="00C71CB3">
            <w:rPr>
              <w:noProof/>
            </w:rPr>
            <w:t>6</w:t>
          </w:r>
        </w:fldSimple>
      </w:p>
    </w:sdtContent>
  </w:sdt>
  <w:p w:rsidR="00A60E53" w:rsidRDefault="00A60E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43" w:rsidRDefault="00422E43" w:rsidP="009E2412">
      <w:pPr>
        <w:spacing w:after="0" w:line="240" w:lineRule="auto"/>
      </w:pPr>
      <w:r>
        <w:separator/>
      </w:r>
    </w:p>
  </w:footnote>
  <w:footnote w:type="continuationSeparator" w:id="0">
    <w:p w:rsidR="00422E43" w:rsidRDefault="00422E43"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11E542F"/>
    <w:multiLevelType w:val="hybridMultilevel"/>
    <w:tmpl w:val="1318D8C0"/>
    <w:lvl w:ilvl="0" w:tplc="BB38DDA0">
      <w:start w:val="2"/>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FB4AAF"/>
    <w:multiLevelType w:val="hybridMultilevel"/>
    <w:tmpl w:val="6B0E5E24"/>
    <w:lvl w:ilvl="0" w:tplc="C25E191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1131157"/>
    <w:multiLevelType w:val="hybridMultilevel"/>
    <w:tmpl w:val="34E49004"/>
    <w:lvl w:ilvl="0" w:tplc="BB38DDA0">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4">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164B10"/>
    <w:multiLevelType w:val="hybridMultilevel"/>
    <w:tmpl w:val="D3B8C622"/>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744E60"/>
    <w:multiLevelType w:val="hybridMultilevel"/>
    <w:tmpl w:val="7B921A8E"/>
    <w:lvl w:ilvl="0" w:tplc="EC7C181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6"/>
  </w:num>
  <w:num w:numId="3">
    <w:abstractNumId w:val="10"/>
  </w:num>
  <w:num w:numId="4">
    <w:abstractNumId w:val="32"/>
  </w:num>
  <w:num w:numId="5">
    <w:abstractNumId w:val="45"/>
  </w:num>
  <w:num w:numId="6">
    <w:abstractNumId w:val="7"/>
  </w:num>
  <w:num w:numId="7">
    <w:abstractNumId w:val="0"/>
  </w:num>
  <w:num w:numId="8">
    <w:abstractNumId w:val="39"/>
  </w:num>
  <w:num w:numId="9">
    <w:abstractNumId w:val="26"/>
  </w:num>
  <w:num w:numId="10">
    <w:abstractNumId w:val="47"/>
  </w:num>
  <w:num w:numId="11">
    <w:abstractNumId w:val="5"/>
  </w:num>
  <w:num w:numId="12">
    <w:abstractNumId w:val="15"/>
  </w:num>
  <w:num w:numId="13">
    <w:abstractNumId w:val="20"/>
  </w:num>
  <w:num w:numId="14">
    <w:abstractNumId w:val="19"/>
  </w:num>
  <w:num w:numId="15">
    <w:abstractNumId w:val="43"/>
  </w:num>
  <w:num w:numId="16">
    <w:abstractNumId w:val="3"/>
  </w:num>
  <w:num w:numId="17">
    <w:abstractNumId w:val="4"/>
  </w:num>
  <w:num w:numId="18">
    <w:abstractNumId w:val="24"/>
  </w:num>
  <w:num w:numId="19">
    <w:abstractNumId w:val="28"/>
  </w:num>
  <w:num w:numId="20">
    <w:abstractNumId w:val="25"/>
  </w:num>
  <w:num w:numId="21">
    <w:abstractNumId w:val="12"/>
  </w:num>
  <w:num w:numId="22">
    <w:abstractNumId w:val="33"/>
  </w:num>
  <w:num w:numId="23">
    <w:abstractNumId w:val="44"/>
  </w:num>
  <w:num w:numId="24">
    <w:abstractNumId w:val="16"/>
  </w:num>
  <w:num w:numId="25">
    <w:abstractNumId w:val="14"/>
  </w:num>
  <w:num w:numId="26">
    <w:abstractNumId w:val="34"/>
  </w:num>
  <w:num w:numId="27">
    <w:abstractNumId w:val="42"/>
  </w:num>
  <w:num w:numId="28">
    <w:abstractNumId w:val="38"/>
  </w:num>
  <w:num w:numId="29">
    <w:abstractNumId w:val="2"/>
  </w:num>
  <w:num w:numId="30">
    <w:abstractNumId w:val="9"/>
  </w:num>
  <w:num w:numId="31">
    <w:abstractNumId w:val="21"/>
  </w:num>
  <w:num w:numId="32">
    <w:abstractNumId w:val="18"/>
  </w:num>
  <w:num w:numId="33">
    <w:abstractNumId w:val="11"/>
  </w:num>
  <w:num w:numId="34">
    <w:abstractNumId w:val="35"/>
  </w:num>
  <w:num w:numId="35">
    <w:abstractNumId w:val="41"/>
  </w:num>
  <w:num w:numId="36">
    <w:abstractNumId w:val="8"/>
  </w:num>
  <w:num w:numId="37">
    <w:abstractNumId w:val="40"/>
  </w:num>
  <w:num w:numId="38">
    <w:abstractNumId w:val="29"/>
  </w:num>
  <w:num w:numId="39">
    <w:abstractNumId w:val="1"/>
  </w:num>
  <w:num w:numId="40">
    <w:abstractNumId w:val="17"/>
  </w:num>
  <w:num w:numId="41">
    <w:abstractNumId w:val="30"/>
  </w:num>
  <w:num w:numId="42">
    <w:abstractNumId w:val="31"/>
  </w:num>
  <w:num w:numId="43">
    <w:abstractNumId w:val="23"/>
  </w:num>
  <w:num w:numId="44">
    <w:abstractNumId w:val="13"/>
  </w:num>
  <w:num w:numId="45">
    <w:abstractNumId w:val="37"/>
  </w:num>
  <w:num w:numId="46">
    <w:abstractNumId w:val="27"/>
  </w:num>
  <w:num w:numId="47">
    <w:abstractNumId w:val="22"/>
  </w:num>
  <w:num w:numId="48">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91842"/>
  </w:hdrShapeDefaults>
  <w:footnotePr>
    <w:footnote w:id="-1"/>
    <w:footnote w:id="0"/>
  </w:footnotePr>
  <w:endnotePr>
    <w:endnote w:id="-1"/>
    <w:endnote w:id="0"/>
  </w:endnotePr>
  <w:compat/>
  <w:rsids>
    <w:rsidRoot w:val="00A976B6"/>
    <w:rsid w:val="00000178"/>
    <w:rsid w:val="000002A6"/>
    <w:rsid w:val="00002361"/>
    <w:rsid w:val="00005159"/>
    <w:rsid w:val="00005466"/>
    <w:rsid w:val="00007386"/>
    <w:rsid w:val="000105FF"/>
    <w:rsid w:val="000145D6"/>
    <w:rsid w:val="00017FA6"/>
    <w:rsid w:val="0002091A"/>
    <w:rsid w:val="00022C68"/>
    <w:rsid w:val="000247A5"/>
    <w:rsid w:val="000310F5"/>
    <w:rsid w:val="00035FE6"/>
    <w:rsid w:val="000451C9"/>
    <w:rsid w:val="000459F7"/>
    <w:rsid w:val="00047157"/>
    <w:rsid w:val="00047638"/>
    <w:rsid w:val="0005094B"/>
    <w:rsid w:val="00051067"/>
    <w:rsid w:val="00051130"/>
    <w:rsid w:val="000536BF"/>
    <w:rsid w:val="00054868"/>
    <w:rsid w:val="00057E0F"/>
    <w:rsid w:val="00060240"/>
    <w:rsid w:val="00060A0A"/>
    <w:rsid w:val="00061A6A"/>
    <w:rsid w:val="00061A6B"/>
    <w:rsid w:val="00065EE7"/>
    <w:rsid w:val="000665DB"/>
    <w:rsid w:val="00066B5A"/>
    <w:rsid w:val="000673ED"/>
    <w:rsid w:val="0007624A"/>
    <w:rsid w:val="00083CBA"/>
    <w:rsid w:val="00084DCD"/>
    <w:rsid w:val="00086B20"/>
    <w:rsid w:val="000937FE"/>
    <w:rsid w:val="00094334"/>
    <w:rsid w:val="000977A7"/>
    <w:rsid w:val="000A1F70"/>
    <w:rsid w:val="000A4CFE"/>
    <w:rsid w:val="000A6B5F"/>
    <w:rsid w:val="000A76AE"/>
    <w:rsid w:val="000B2202"/>
    <w:rsid w:val="000C7807"/>
    <w:rsid w:val="000C7C67"/>
    <w:rsid w:val="000D056E"/>
    <w:rsid w:val="000E1F3F"/>
    <w:rsid w:val="000E1F79"/>
    <w:rsid w:val="000E36AD"/>
    <w:rsid w:val="000E3DA5"/>
    <w:rsid w:val="000F16C3"/>
    <w:rsid w:val="000F2E4F"/>
    <w:rsid w:val="000F66F0"/>
    <w:rsid w:val="001022E9"/>
    <w:rsid w:val="00103942"/>
    <w:rsid w:val="00105F6E"/>
    <w:rsid w:val="00111371"/>
    <w:rsid w:val="001133B9"/>
    <w:rsid w:val="00120BDC"/>
    <w:rsid w:val="00123405"/>
    <w:rsid w:val="00123A41"/>
    <w:rsid w:val="001241B7"/>
    <w:rsid w:val="001301A8"/>
    <w:rsid w:val="00132051"/>
    <w:rsid w:val="00132F7B"/>
    <w:rsid w:val="00133C02"/>
    <w:rsid w:val="00145925"/>
    <w:rsid w:val="00145995"/>
    <w:rsid w:val="0015021F"/>
    <w:rsid w:val="00152181"/>
    <w:rsid w:val="001531F8"/>
    <w:rsid w:val="00156489"/>
    <w:rsid w:val="00156FC8"/>
    <w:rsid w:val="00157295"/>
    <w:rsid w:val="00157959"/>
    <w:rsid w:val="00164C1F"/>
    <w:rsid w:val="00164EE6"/>
    <w:rsid w:val="00166FC7"/>
    <w:rsid w:val="00170E99"/>
    <w:rsid w:val="001763A7"/>
    <w:rsid w:val="00176713"/>
    <w:rsid w:val="0018105E"/>
    <w:rsid w:val="0018193B"/>
    <w:rsid w:val="00181E8D"/>
    <w:rsid w:val="001832D5"/>
    <w:rsid w:val="00183627"/>
    <w:rsid w:val="001848E9"/>
    <w:rsid w:val="00184920"/>
    <w:rsid w:val="0018502C"/>
    <w:rsid w:val="00187FB8"/>
    <w:rsid w:val="001959A7"/>
    <w:rsid w:val="00196B9E"/>
    <w:rsid w:val="001A0684"/>
    <w:rsid w:val="001A1C29"/>
    <w:rsid w:val="001A2CBC"/>
    <w:rsid w:val="001A6445"/>
    <w:rsid w:val="001A6800"/>
    <w:rsid w:val="001B06AF"/>
    <w:rsid w:val="001B51D3"/>
    <w:rsid w:val="001B6B38"/>
    <w:rsid w:val="001B70C7"/>
    <w:rsid w:val="001B7DCD"/>
    <w:rsid w:val="001D187B"/>
    <w:rsid w:val="001D5CD4"/>
    <w:rsid w:val="001D6339"/>
    <w:rsid w:val="001D68BF"/>
    <w:rsid w:val="001E3F22"/>
    <w:rsid w:val="001E5357"/>
    <w:rsid w:val="001E5503"/>
    <w:rsid w:val="001E7FDE"/>
    <w:rsid w:val="001F1549"/>
    <w:rsid w:val="001F2DA4"/>
    <w:rsid w:val="001F4C9E"/>
    <w:rsid w:val="001F4DDA"/>
    <w:rsid w:val="002007CB"/>
    <w:rsid w:val="00200E66"/>
    <w:rsid w:val="00210E4B"/>
    <w:rsid w:val="0021250C"/>
    <w:rsid w:val="0021273B"/>
    <w:rsid w:val="00220C72"/>
    <w:rsid w:val="002251E1"/>
    <w:rsid w:val="00230D28"/>
    <w:rsid w:val="0024792B"/>
    <w:rsid w:val="002517EE"/>
    <w:rsid w:val="002519A6"/>
    <w:rsid w:val="00252B2A"/>
    <w:rsid w:val="00253EF6"/>
    <w:rsid w:val="00255B85"/>
    <w:rsid w:val="002567F0"/>
    <w:rsid w:val="00257737"/>
    <w:rsid w:val="00266963"/>
    <w:rsid w:val="00270227"/>
    <w:rsid w:val="00273221"/>
    <w:rsid w:val="00275B2F"/>
    <w:rsid w:val="0028731E"/>
    <w:rsid w:val="002945E8"/>
    <w:rsid w:val="002B024D"/>
    <w:rsid w:val="002B0CD0"/>
    <w:rsid w:val="002B6F2A"/>
    <w:rsid w:val="002C00BB"/>
    <w:rsid w:val="002C0F59"/>
    <w:rsid w:val="002C1558"/>
    <w:rsid w:val="002C2ACF"/>
    <w:rsid w:val="002C3C7C"/>
    <w:rsid w:val="002C4C57"/>
    <w:rsid w:val="002D3D25"/>
    <w:rsid w:val="002D58AC"/>
    <w:rsid w:val="002E37CC"/>
    <w:rsid w:val="002E6062"/>
    <w:rsid w:val="002F1959"/>
    <w:rsid w:val="002F1A8B"/>
    <w:rsid w:val="002F61D4"/>
    <w:rsid w:val="00301364"/>
    <w:rsid w:val="00302B06"/>
    <w:rsid w:val="003042FE"/>
    <w:rsid w:val="00304496"/>
    <w:rsid w:val="00306250"/>
    <w:rsid w:val="003122FC"/>
    <w:rsid w:val="00313558"/>
    <w:rsid w:val="003146FA"/>
    <w:rsid w:val="0031503A"/>
    <w:rsid w:val="00315D32"/>
    <w:rsid w:val="00316A31"/>
    <w:rsid w:val="00317C03"/>
    <w:rsid w:val="00321E1F"/>
    <w:rsid w:val="003256C9"/>
    <w:rsid w:val="00331369"/>
    <w:rsid w:val="00331969"/>
    <w:rsid w:val="00333B2A"/>
    <w:rsid w:val="00334A33"/>
    <w:rsid w:val="00334B3A"/>
    <w:rsid w:val="00340701"/>
    <w:rsid w:val="0034283F"/>
    <w:rsid w:val="00342BBE"/>
    <w:rsid w:val="003456E8"/>
    <w:rsid w:val="00357FF8"/>
    <w:rsid w:val="00363237"/>
    <w:rsid w:val="00364F79"/>
    <w:rsid w:val="00365271"/>
    <w:rsid w:val="0036690E"/>
    <w:rsid w:val="003679AD"/>
    <w:rsid w:val="0037461F"/>
    <w:rsid w:val="00380377"/>
    <w:rsid w:val="003834F1"/>
    <w:rsid w:val="00383E31"/>
    <w:rsid w:val="00385AC3"/>
    <w:rsid w:val="0039136B"/>
    <w:rsid w:val="0039510C"/>
    <w:rsid w:val="003A0305"/>
    <w:rsid w:val="003A073F"/>
    <w:rsid w:val="003A1EC8"/>
    <w:rsid w:val="003A533C"/>
    <w:rsid w:val="003A5708"/>
    <w:rsid w:val="003A5AA4"/>
    <w:rsid w:val="003A778E"/>
    <w:rsid w:val="003B26D7"/>
    <w:rsid w:val="003B69EC"/>
    <w:rsid w:val="003C05C9"/>
    <w:rsid w:val="003C424B"/>
    <w:rsid w:val="003C5404"/>
    <w:rsid w:val="003C6FAB"/>
    <w:rsid w:val="003C7E79"/>
    <w:rsid w:val="003D21FB"/>
    <w:rsid w:val="003D61A2"/>
    <w:rsid w:val="003D66B4"/>
    <w:rsid w:val="003E24FF"/>
    <w:rsid w:val="003F2793"/>
    <w:rsid w:val="003F3EF2"/>
    <w:rsid w:val="003F5F7D"/>
    <w:rsid w:val="003F7D9C"/>
    <w:rsid w:val="0040187C"/>
    <w:rsid w:val="00401D11"/>
    <w:rsid w:val="00405E66"/>
    <w:rsid w:val="004107D0"/>
    <w:rsid w:val="004119FD"/>
    <w:rsid w:val="00412C5F"/>
    <w:rsid w:val="00412CB7"/>
    <w:rsid w:val="00414E1F"/>
    <w:rsid w:val="004201B8"/>
    <w:rsid w:val="0042286B"/>
    <w:rsid w:val="00422A54"/>
    <w:rsid w:val="00422E43"/>
    <w:rsid w:val="00425F0E"/>
    <w:rsid w:val="00426C43"/>
    <w:rsid w:val="004328F8"/>
    <w:rsid w:val="004349E2"/>
    <w:rsid w:val="00444BAD"/>
    <w:rsid w:val="00444E17"/>
    <w:rsid w:val="00450366"/>
    <w:rsid w:val="004507EB"/>
    <w:rsid w:val="004545AB"/>
    <w:rsid w:val="00455F18"/>
    <w:rsid w:val="00456B00"/>
    <w:rsid w:val="00462F63"/>
    <w:rsid w:val="00466917"/>
    <w:rsid w:val="00471C13"/>
    <w:rsid w:val="00473DF5"/>
    <w:rsid w:val="004747C1"/>
    <w:rsid w:val="004766B3"/>
    <w:rsid w:val="00477549"/>
    <w:rsid w:val="00477D9E"/>
    <w:rsid w:val="00480BB6"/>
    <w:rsid w:val="00483003"/>
    <w:rsid w:val="004841B9"/>
    <w:rsid w:val="00486BC8"/>
    <w:rsid w:val="00490BAB"/>
    <w:rsid w:val="00490E4F"/>
    <w:rsid w:val="004927E7"/>
    <w:rsid w:val="004A49D7"/>
    <w:rsid w:val="004A53FE"/>
    <w:rsid w:val="004A7CCA"/>
    <w:rsid w:val="004B1065"/>
    <w:rsid w:val="004B1AD1"/>
    <w:rsid w:val="004B2473"/>
    <w:rsid w:val="004B3646"/>
    <w:rsid w:val="004B71F7"/>
    <w:rsid w:val="004C6096"/>
    <w:rsid w:val="004D1B47"/>
    <w:rsid w:val="004D1E59"/>
    <w:rsid w:val="004D244E"/>
    <w:rsid w:val="004D31AF"/>
    <w:rsid w:val="004D55CD"/>
    <w:rsid w:val="004D65AF"/>
    <w:rsid w:val="004D7A6B"/>
    <w:rsid w:val="004D7C37"/>
    <w:rsid w:val="004E16BA"/>
    <w:rsid w:val="004E5AE2"/>
    <w:rsid w:val="004F2410"/>
    <w:rsid w:val="004F39E8"/>
    <w:rsid w:val="004F7C81"/>
    <w:rsid w:val="005068DC"/>
    <w:rsid w:val="00510322"/>
    <w:rsid w:val="00511678"/>
    <w:rsid w:val="005117CA"/>
    <w:rsid w:val="005131BA"/>
    <w:rsid w:val="0051438A"/>
    <w:rsid w:val="0051719B"/>
    <w:rsid w:val="005209B4"/>
    <w:rsid w:val="00522B41"/>
    <w:rsid w:val="00523CEA"/>
    <w:rsid w:val="005266EA"/>
    <w:rsid w:val="0052758D"/>
    <w:rsid w:val="00527B38"/>
    <w:rsid w:val="00530B4A"/>
    <w:rsid w:val="005317F6"/>
    <w:rsid w:val="005405A4"/>
    <w:rsid w:val="0054185E"/>
    <w:rsid w:val="00542398"/>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3A5"/>
    <w:rsid w:val="00586B08"/>
    <w:rsid w:val="00590216"/>
    <w:rsid w:val="00596625"/>
    <w:rsid w:val="005A2857"/>
    <w:rsid w:val="005A6C4D"/>
    <w:rsid w:val="005B044B"/>
    <w:rsid w:val="005B19E9"/>
    <w:rsid w:val="005B3229"/>
    <w:rsid w:val="005B3ABC"/>
    <w:rsid w:val="005B3CB9"/>
    <w:rsid w:val="005B507B"/>
    <w:rsid w:val="005B5C23"/>
    <w:rsid w:val="005B706D"/>
    <w:rsid w:val="005B73EA"/>
    <w:rsid w:val="005C2C54"/>
    <w:rsid w:val="005C33ED"/>
    <w:rsid w:val="005C67A0"/>
    <w:rsid w:val="005D2FD6"/>
    <w:rsid w:val="005D5073"/>
    <w:rsid w:val="005D5547"/>
    <w:rsid w:val="005E1D2E"/>
    <w:rsid w:val="005E2393"/>
    <w:rsid w:val="005E4720"/>
    <w:rsid w:val="005F24BA"/>
    <w:rsid w:val="005F4314"/>
    <w:rsid w:val="005F4D1E"/>
    <w:rsid w:val="005F6AF9"/>
    <w:rsid w:val="00601279"/>
    <w:rsid w:val="0060561D"/>
    <w:rsid w:val="00610776"/>
    <w:rsid w:val="00612B9A"/>
    <w:rsid w:val="00613CDE"/>
    <w:rsid w:val="0062383C"/>
    <w:rsid w:val="0062641C"/>
    <w:rsid w:val="00626DB8"/>
    <w:rsid w:val="00626E20"/>
    <w:rsid w:val="00627DAA"/>
    <w:rsid w:val="00631841"/>
    <w:rsid w:val="00634B09"/>
    <w:rsid w:val="00635FC5"/>
    <w:rsid w:val="00636D20"/>
    <w:rsid w:val="00641564"/>
    <w:rsid w:val="006536C2"/>
    <w:rsid w:val="006544F9"/>
    <w:rsid w:val="00654B5D"/>
    <w:rsid w:val="0065655F"/>
    <w:rsid w:val="00662B97"/>
    <w:rsid w:val="0066312D"/>
    <w:rsid w:val="00663FA2"/>
    <w:rsid w:val="0066598F"/>
    <w:rsid w:val="00667392"/>
    <w:rsid w:val="006749E7"/>
    <w:rsid w:val="00676D18"/>
    <w:rsid w:val="00681AB0"/>
    <w:rsid w:val="0068776B"/>
    <w:rsid w:val="00695CE7"/>
    <w:rsid w:val="00695E72"/>
    <w:rsid w:val="0069696C"/>
    <w:rsid w:val="00696F35"/>
    <w:rsid w:val="006A0596"/>
    <w:rsid w:val="006A180B"/>
    <w:rsid w:val="006A1838"/>
    <w:rsid w:val="006A3751"/>
    <w:rsid w:val="006A3E0C"/>
    <w:rsid w:val="006A40CB"/>
    <w:rsid w:val="006A6D2B"/>
    <w:rsid w:val="006A6E55"/>
    <w:rsid w:val="006B1064"/>
    <w:rsid w:val="006B2FBA"/>
    <w:rsid w:val="006B511C"/>
    <w:rsid w:val="006C0B65"/>
    <w:rsid w:val="006C41F1"/>
    <w:rsid w:val="006C5E58"/>
    <w:rsid w:val="006C68C8"/>
    <w:rsid w:val="006D408A"/>
    <w:rsid w:val="006D44FA"/>
    <w:rsid w:val="006D53FD"/>
    <w:rsid w:val="006E1AC8"/>
    <w:rsid w:val="006E2789"/>
    <w:rsid w:val="006E3866"/>
    <w:rsid w:val="006E71A6"/>
    <w:rsid w:val="006E78B7"/>
    <w:rsid w:val="006F17CD"/>
    <w:rsid w:val="006F1A2C"/>
    <w:rsid w:val="006F4290"/>
    <w:rsid w:val="006F61F8"/>
    <w:rsid w:val="00703C69"/>
    <w:rsid w:val="00704EDD"/>
    <w:rsid w:val="00707C35"/>
    <w:rsid w:val="0071069E"/>
    <w:rsid w:val="0071084A"/>
    <w:rsid w:val="00713A3A"/>
    <w:rsid w:val="00714CEC"/>
    <w:rsid w:val="007156BC"/>
    <w:rsid w:val="0072135F"/>
    <w:rsid w:val="007235ED"/>
    <w:rsid w:val="00723A2E"/>
    <w:rsid w:val="0072565D"/>
    <w:rsid w:val="00725E87"/>
    <w:rsid w:val="00727CBF"/>
    <w:rsid w:val="00730661"/>
    <w:rsid w:val="007310F4"/>
    <w:rsid w:val="00731117"/>
    <w:rsid w:val="0073372C"/>
    <w:rsid w:val="00744204"/>
    <w:rsid w:val="007448B5"/>
    <w:rsid w:val="00753183"/>
    <w:rsid w:val="00754997"/>
    <w:rsid w:val="00754C35"/>
    <w:rsid w:val="0075655F"/>
    <w:rsid w:val="00756AA5"/>
    <w:rsid w:val="007577EB"/>
    <w:rsid w:val="00761596"/>
    <w:rsid w:val="0076411A"/>
    <w:rsid w:val="0076498E"/>
    <w:rsid w:val="00764ECF"/>
    <w:rsid w:val="00767BA0"/>
    <w:rsid w:val="00770F15"/>
    <w:rsid w:val="007748EF"/>
    <w:rsid w:val="007762C4"/>
    <w:rsid w:val="00777338"/>
    <w:rsid w:val="00777D90"/>
    <w:rsid w:val="0078031A"/>
    <w:rsid w:val="00780A7D"/>
    <w:rsid w:val="00781029"/>
    <w:rsid w:val="007914BB"/>
    <w:rsid w:val="00792CEF"/>
    <w:rsid w:val="00793797"/>
    <w:rsid w:val="00794CED"/>
    <w:rsid w:val="00794E72"/>
    <w:rsid w:val="007B1645"/>
    <w:rsid w:val="007B181C"/>
    <w:rsid w:val="007B2C2A"/>
    <w:rsid w:val="007B49E0"/>
    <w:rsid w:val="007B4F5E"/>
    <w:rsid w:val="007B7828"/>
    <w:rsid w:val="007C0158"/>
    <w:rsid w:val="007C0BAE"/>
    <w:rsid w:val="007C2DE3"/>
    <w:rsid w:val="007C44A4"/>
    <w:rsid w:val="007C5E15"/>
    <w:rsid w:val="007D1684"/>
    <w:rsid w:val="007D21C9"/>
    <w:rsid w:val="007D43FD"/>
    <w:rsid w:val="007D4DCA"/>
    <w:rsid w:val="007D6D8B"/>
    <w:rsid w:val="007D720B"/>
    <w:rsid w:val="007E04CF"/>
    <w:rsid w:val="007E1D21"/>
    <w:rsid w:val="007E2973"/>
    <w:rsid w:val="007E29B6"/>
    <w:rsid w:val="007E3684"/>
    <w:rsid w:val="007E7EF9"/>
    <w:rsid w:val="007F01F3"/>
    <w:rsid w:val="007F58C6"/>
    <w:rsid w:val="007F6F6E"/>
    <w:rsid w:val="00800B7B"/>
    <w:rsid w:val="00801A7A"/>
    <w:rsid w:val="008109F5"/>
    <w:rsid w:val="00813316"/>
    <w:rsid w:val="0081657F"/>
    <w:rsid w:val="00816B0B"/>
    <w:rsid w:val="0082206A"/>
    <w:rsid w:val="00823463"/>
    <w:rsid w:val="00826056"/>
    <w:rsid w:val="00827EF6"/>
    <w:rsid w:val="00832702"/>
    <w:rsid w:val="0083379B"/>
    <w:rsid w:val="008445F3"/>
    <w:rsid w:val="00850485"/>
    <w:rsid w:val="00851A82"/>
    <w:rsid w:val="00853AE6"/>
    <w:rsid w:val="0085673B"/>
    <w:rsid w:val="008578CB"/>
    <w:rsid w:val="00861415"/>
    <w:rsid w:val="00861B6B"/>
    <w:rsid w:val="0086253C"/>
    <w:rsid w:val="00862AC8"/>
    <w:rsid w:val="00864523"/>
    <w:rsid w:val="00864A16"/>
    <w:rsid w:val="00866276"/>
    <w:rsid w:val="00867AE9"/>
    <w:rsid w:val="00875351"/>
    <w:rsid w:val="00875B17"/>
    <w:rsid w:val="0088341C"/>
    <w:rsid w:val="008862EF"/>
    <w:rsid w:val="0088739E"/>
    <w:rsid w:val="008A01ED"/>
    <w:rsid w:val="008A219D"/>
    <w:rsid w:val="008A51D4"/>
    <w:rsid w:val="008A5292"/>
    <w:rsid w:val="008A77DA"/>
    <w:rsid w:val="008B1B4C"/>
    <w:rsid w:val="008B52D0"/>
    <w:rsid w:val="008B74DA"/>
    <w:rsid w:val="008C40D1"/>
    <w:rsid w:val="008C4EB6"/>
    <w:rsid w:val="008C7719"/>
    <w:rsid w:val="008D1547"/>
    <w:rsid w:val="008D20A3"/>
    <w:rsid w:val="008D25B9"/>
    <w:rsid w:val="008D45BD"/>
    <w:rsid w:val="008E39B0"/>
    <w:rsid w:val="008E4BB9"/>
    <w:rsid w:val="008E7393"/>
    <w:rsid w:val="008F5D5B"/>
    <w:rsid w:val="00905A5F"/>
    <w:rsid w:val="00905A63"/>
    <w:rsid w:val="00905C64"/>
    <w:rsid w:val="0091059D"/>
    <w:rsid w:val="00916C5F"/>
    <w:rsid w:val="009231CD"/>
    <w:rsid w:val="00925A91"/>
    <w:rsid w:val="00925F8A"/>
    <w:rsid w:val="0093096C"/>
    <w:rsid w:val="0093306C"/>
    <w:rsid w:val="009354AD"/>
    <w:rsid w:val="00942C73"/>
    <w:rsid w:val="00951E73"/>
    <w:rsid w:val="0095221C"/>
    <w:rsid w:val="00957500"/>
    <w:rsid w:val="00961982"/>
    <w:rsid w:val="009620B3"/>
    <w:rsid w:val="0096274A"/>
    <w:rsid w:val="009629CD"/>
    <w:rsid w:val="00964184"/>
    <w:rsid w:val="0097310B"/>
    <w:rsid w:val="0097330D"/>
    <w:rsid w:val="00974B0E"/>
    <w:rsid w:val="009755AE"/>
    <w:rsid w:val="00981578"/>
    <w:rsid w:val="00985540"/>
    <w:rsid w:val="009860E6"/>
    <w:rsid w:val="009868EB"/>
    <w:rsid w:val="00992285"/>
    <w:rsid w:val="00993861"/>
    <w:rsid w:val="0099742C"/>
    <w:rsid w:val="009A2747"/>
    <w:rsid w:val="009A2F11"/>
    <w:rsid w:val="009A505A"/>
    <w:rsid w:val="009A54B6"/>
    <w:rsid w:val="009A58F8"/>
    <w:rsid w:val="009B04CF"/>
    <w:rsid w:val="009C0A81"/>
    <w:rsid w:val="009C15D0"/>
    <w:rsid w:val="009C25F6"/>
    <w:rsid w:val="009C2EF3"/>
    <w:rsid w:val="009C306E"/>
    <w:rsid w:val="009C5270"/>
    <w:rsid w:val="009C5A88"/>
    <w:rsid w:val="009D0EE4"/>
    <w:rsid w:val="009D1A48"/>
    <w:rsid w:val="009D2F34"/>
    <w:rsid w:val="009D3BBC"/>
    <w:rsid w:val="009D56C4"/>
    <w:rsid w:val="009D6838"/>
    <w:rsid w:val="009D68BD"/>
    <w:rsid w:val="009D68D5"/>
    <w:rsid w:val="009D7830"/>
    <w:rsid w:val="009E0ECF"/>
    <w:rsid w:val="009E2412"/>
    <w:rsid w:val="009E6687"/>
    <w:rsid w:val="009F04B8"/>
    <w:rsid w:val="009F0C5F"/>
    <w:rsid w:val="009F2287"/>
    <w:rsid w:val="009F33D5"/>
    <w:rsid w:val="009F6A38"/>
    <w:rsid w:val="009F7A57"/>
    <w:rsid w:val="00A03298"/>
    <w:rsid w:val="00A0555F"/>
    <w:rsid w:val="00A05B69"/>
    <w:rsid w:val="00A10391"/>
    <w:rsid w:val="00A12EEA"/>
    <w:rsid w:val="00A14C8D"/>
    <w:rsid w:val="00A15D45"/>
    <w:rsid w:val="00A230E8"/>
    <w:rsid w:val="00A24939"/>
    <w:rsid w:val="00A279D5"/>
    <w:rsid w:val="00A36821"/>
    <w:rsid w:val="00A37B89"/>
    <w:rsid w:val="00A37E89"/>
    <w:rsid w:val="00A41048"/>
    <w:rsid w:val="00A46239"/>
    <w:rsid w:val="00A47BF6"/>
    <w:rsid w:val="00A520A3"/>
    <w:rsid w:val="00A52866"/>
    <w:rsid w:val="00A5342F"/>
    <w:rsid w:val="00A56E40"/>
    <w:rsid w:val="00A574D2"/>
    <w:rsid w:val="00A60052"/>
    <w:rsid w:val="00A60CAF"/>
    <w:rsid w:val="00A60E53"/>
    <w:rsid w:val="00A62422"/>
    <w:rsid w:val="00A6546A"/>
    <w:rsid w:val="00A81AE7"/>
    <w:rsid w:val="00A85F3F"/>
    <w:rsid w:val="00A86F7B"/>
    <w:rsid w:val="00A905C6"/>
    <w:rsid w:val="00A90DFB"/>
    <w:rsid w:val="00A90EE0"/>
    <w:rsid w:val="00A92F9E"/>
    <w:rsid w:val="00A9472A"/>
    <w:rsid w:val="00A976B6"/>
    <w:rsid w:val="00A97818"/>
    <w:rsid w:val="00AA0990"/>
    <w:rsid w:val="00AA0DE5"/>
    <w:rsid w:val="00AA33EC"/>
    <w:rsid w:val="00AA440E"/>
    <w:rsid w:val="00AA55BA"/>
    <w:rsid w:val="00AA5A3D"/>
    <w:rsid w:val="00AA6558"/>
    <w:rsid w:val="00AA777D"/>
    <w:rsid w:val="00AB0027"/>
    <w:rsid w:val="00AB15E1"/>
    <w:rsid w:val="00AB1BE9"/>
    <w:rsid w:val="00AB23EE"/>
    <w:rsid w:val="00AB38D1"/>
    <w:rsid w:val="00AB553C"/>
    <w:rsid w:val="00AB5696"/>
    <w:rsid w:val="00AC0F53"/>
    <w:rsid w:val="00AC148C"/>
    <w:rsid w:val="00AD5CE8"/>
    <w:rsid w:val="00AD6362"/>
    <w:rsid w:val="00AE02FA"/>
    <w:rsid w:val="00AE10DA"/>
    <w:rsid w:val="00AE1AFA"/>
    <w:rsid w:val="00AE27AC"/>
    <w:rsid w:val="00AE30A8"/>
    <w:rsid w:val="00AE5389"/>
    <w:rsid w:val="00AF3072"/>
    <w:rsid w:val="00AF5C86"/>
    <w:rsid w:val="00AF6395"/>
    <w:rsid w:val="00AF6D2F"/>
    <w:rsid w:val="00AF739F"/>
    <w:rsid w:val="00B00A00"/>
    <w:rsid w:val="00B01C51"/>
    <w:rsid w:val="00B01FBA"/>
    <w:rsid w:val="00B035D3"/>
    <w:rsid w:val="00B03C01"/>
    <w:rsid w:val="00B03E8F"/>
    <w:rsid w:val="00B0574E"/>
    <w:rsid w:val="00B06F08"/>
    <w:rsid w:val="00B12328"/>
    <w:rsid w:val="00B12946"/>
    <w:rsid w:val="00B13B3F"/>
    <w:rsid w:val="00B20315"/>
    <w:rsid w:val="00B20F5C"/>
    <w:rsid w:val="00B21BDB"/>
    <w:rsid w:val="00B21D3B"/>
    <w:rsid w:val="00B30F0E"/>
    <w:rsid w:val="00B35401"/>
    <w:rsid w:val="00B35B37"/>
    <w:rsid w:val="00B400F3"/>
    <w:rsid w:val="00B40311"/>
    <w:rsid w:val="00B432FD"/>
    <w:rsid w:val="00B43C18"/>
    <w:rsid w:val="00B4635B"/>
    <w:rsid w:val="00B5106E"/>
    <w:rsid w:val="00B57256"/>
    <w:rsid w:val="00B610A1"/>
    <w:rsid w:val="00B6365A"/>
    <w:rsid w:val="00B63F14"/>
    <w:rsid w:val="00B714E3"/>
    <w:rsid w:val="00B71871"/>
    <w:rsid w:val="00B73CF7"/>
    <w:rsid w:val="00B75327"/>
    <w:rsid w:val="00B76CC0"/>
    <w:rsid w:val="00B77F31"/>
    <w:rsid w:val="00B83B60"/>
    <w:rsid w:val="00B84604"/>
    <w:rsid w:val="00B905D9"/>
    <w:rsid w:val="00B92318"/>
    <w:rsid w:val="00B9288C"/>
    <w:rsid w:val="00B933BF"/>
    <w:rsid w:val="00B9509A"/>
    <w:rsid w:val="00BA0527"/>
    <w:rsid w:val="00BA4A1B"/>
    <w:rsid w:val="00BA650D"/>
    <w:rsid w:val="00BA65B3"/>
    <w:rsid w:val="00BB3687"/>
    <w:rsid w:val="00BB4527"/>
    <w:rsid w:val="00BB5DB3"/>
    <w:rsid w:val="00BB71C1"/>
    <w:rsid w:val="00BC220A"/>
    <w:rsid w:val="00BC2DF5"/>
    <w:rsid w:val="00BC2F08"/>
    <w:rsid w:val="00BC3C48"/>
    <w:rsid w:val="00BC3E6C"/>
    <w:rsid w:val="00BC68FF"/>
    <w:rsid w:val="00BC7C44"/>
    <w:rsid w:val="00BD279E"/>
    <w:rsid w:val="00BD574E"/>
    <w:rsid w:val="00BD5911"/>
    <w:rsid w:val="00BD6612"/>
    <w:rsid w:val="00BD73FD"/>
    <w:rsid w:val="00BE2444"/>
    <w:rsid w:val="00BE4E39"/>
    <w:rsid w:val="00BE5B1B"/>
    <w:rsid w:val="00BF12CD"/>
    <w:rsid w:val="00BF1CF4"/>
    <w:rsid w:val="00BF3B56"/>
    <w:rsid w:val="00BF48B4"/>
    <w:rsid w:val="00BF5636"/>
    <w:rsid w:val="00BF575C"/>
    <w:rsid w:val="00C07512"/>
    <w:rsid w:val="00C173BC"/>
    <w:rsid w:val="00C21E98"/>
    <w:rsid w:val="00C23A8E"/>
    <w:rsid w:val="00C2411B"/>
    <w:rsid w:val="00C25EE4"/>
    <w:rsid w:val="00C2655B"/>
    <w:rsid w:val="00C275AB"/>
    <w:rsid w:val="00C27FD7"/>
    <w:rsid w:val="00C31139"/>
    <w:rsid w:val="00C32398"/>
    <w:rsid w:val="00C32B41"/>
    <w:rsid w:val="00C34D70"/>
    <w:rsid w:val="00C372E4"/>
    <w:rsid w:val="00C37B5D"/>
    <w:rsid w:val="00C4189C"/>
    <w:rsid w:val="00C4542D"/>
    <w:rsid w:val="00C4568C"/>
    <w:rsid w:val="00C51F59"/>
    <w:rsid w:val="00C52263"/>
    <w:rsid w:val="00C52886"/>
    <w:rsid w:val="00C71CB3"/>
    <w:rsid w:val="00C76BFB"/>
    <w:rsid w:val="00C815CD"/>
    <w:rsid w:val="00C81710"/>
    <w:rsid w:val="00C817AD"/>
    <w:rsid w:val="00C83E05"/>
    <w:rsid w:val="00C84305"/>
    <w:rsid w:val="00C84D24"/>
    <w:rsid w:val="00C9629F"/>
    <w:rsid w:val="00CA6B51"/>
    <w:rsid w:val="00CB275A"/>
    <w:rsid w:val="00CB3B7B"/>
    <w:rsid w:val="00CC4351"/>
    <w:rsid w:val="00CC4C41"/>
    <w:rsid w:val="00CC4EFD"/>
    <w:rsid w:val="00CC612C"/>
    <w:rsid w:val="00CD04F0"/>
    <w:rsid w:val="00CD488F"/>
    <w:rsid w:val="00CE1BC8"/>
    <w:rsid w:val="00CE240F"/>
    <w:rsid w:val="00CE722C"/>
    <w:rsid w:val="00CF0570"/>
    <w:rsid w:val="00CF0904"/>
    <w:rsid w:val="00CF3FEF"/>
    <w:rsid w:val="00CF570A"/>
    <w:rsid w:val="00CF75CB"/>
    <w:rsid w:val="00D02128"/>
    <w:rsid w:val="00D02F59"/>
    <w:rsid w:val="00D075F5"/>
    <w:rsid w:val="00D07B41"/>
    <w:rsid w:val="00D11775"/>
    <w:rsid w:val="00D14C3B"/>
    <w:rsid w:val="00D172E5"/>
    <w:rsid w:val="00D23B05"/>
    <w:rsid w:val="00D24CD7"/>
    <w:rsid w:val="00D31780"/>
    <w:rsid w:val="00D33759"/>
    <w:rsid w:val="00D34483"/>
    <w:rsid w:val="00D3631D"/>
    <w:rsid w:val="00D4044E"/>
    <w:rsid w:val="00D44CAB"/>
    <w:rsid w:val="00D478B4"/>
    <w:rsid w:val="00D5577B"/>
    <w:rsid w:val="00D55F5A"/>
    <w:rsid w:val="00D562EA"/>
    <w:rsid w:val="00D616C5"/>
    <w:rsid w:val="00D637B7"/>
    <w:rsid w:val="00D665A6"/>
    <w:rsid w:val="00D66C98"/>
    <w:rsid w:val="00D6737D"/>
    <w:rsid w:val="00D81889"/>
    <w:rsid w:val="00D81F10"/>
    <w:rsid w:val="00D84C7A"/>
    <w:rsid w:val="00D87627"/>
    <w:rsid w:val="00D91721"/>
    <w:rsid w:val="00D92095"/>
    <w:rsid w:val="00D9369D"/>
    <w:rsid w:val="00D95EBD"/>
    <w:rsid w:val="00D96790"/>
    <w:rsid w:val="00D97781"/>
    <w:rsid w:val="00D97AE9"/>
    <w:rsid w:val="00D97E85"/>
    <w:rsid w:val="00DA0416"/>
    <w:rsid w:val="00DA14BE"/>
    <w:rsid w:val="00DB5004"/>
    <w:rsid w:val="00DC32F0"/>
    <w:rsid w:val="00DC674B"/>
    <w:rsid w:val="00DD194C"/>
    <w:rsid w:val="00DD3665"/>
    <w:rsid w:val="00DD418E"/>
    <w:rsid w:val="00DD5D35"/>
    <w:rsid w:val="00DE0E05"/>
    <w:rsid w:val="00DE4E35"/>
    <w:rsid w:val="00DE657D"/>
    <w:rsid w:val="00DE78CE"/>
    <w:rsid w:val="00DF46E3"/>
    <w:rsid w:val="00DF65E2"/>
    <w:rsid w:val="00DF6E09"/>
    <w:rsid w:val="00E01D12"/>
    <w:rsid w:val="00E024E0"/>
    <w:rsid w:val="00E029F3"/>
    <w:rsid w:val="00E10768"/>
    <w:rsid w:val="00E1172F"/>
    <w:rsid w:val="00E159FD"/>
    <w:rsid w:val="00E15ABD"/>
    <w:rsid w:val="00E16A41"/>
    <w:rsid w:val="00E17784"/>
    <w:rsid w:val="00E2154A"/>
    <w:rsid w:val="00E22F4D"/>
    <w:rsid w:val="00E25D71"/>
    <w:rsid w:val="00E26CAA"/>
    <w:rsid w:val="00E30AD8"/>
    <w:rsid w:val="00E31691"/>
    <w:rsid w:val="00E32499"/>
    <w:rsid w:val="00E40488"/>
    <w:rsid w:val="00E4492A"/>
    <w:rsid w:val="00E44F68"/>
    <w:rsid w:val="00E527E3"/>
    <w:rsid w:val="00E550EA"/>
    <w:rsid w:val="00E55B51"/>
    <w:rsid w:val="00E66090"/>
    <w:rsid w:val="00E678BE"/>
    <w:rsid w:val="00E707A5"/>
    <w:rsid w:val="00E76069"/>
    <w:rsid w:val="00E8089E"/>
    <w:rsid w:val="00E81F27"/>
    <w:rsid w:val="00E82E8A"/>
    <w:rsid w:val="00E867C5"/>
    <w:rsid w:val="00E871A3"/>
    <w:rsid w:val="00E87DD0"/>
    <w:rsid w:val="00E91048"/>
    <w:rsid w:val="00E954D3"/>
    <w:rsid w:val="00E9562F"/>
    <w:rsid w:val="00E95877"/>
    <w:rsid w:val="00E975D0"/>
    <w:rsid w:val="00EA124A"/>
    <w:rsid w:val="00EA2340"/>
    <w:rsid w:val="00EA32BD"/>
    <w:rsid w:val="00EA3D8F"/>
    <w:rsid w:val="00EA56FD"/>
    <w:rsid w:val="00EA5C34"/>
    <w:rsid w:val="00EA702A"/>
    <w:rsid w:val="00EB06FB"/>
    <w:rsid w:val="00EB07BD"/>
    <w:rsid w:val="00EB34D5"/>
    <w:rsid w:val="00EB40CB"/>
    <w:rsid w:val="00EB48A0"/>
    <w:rsid w:val="00EB69BD"/>
    <w:rsid w:val="00EC15A6"/>
    <w:rsid w:val="00EC2BA6"/>
    <w:rsid w:val="00EC4C19"/>
    <w:rsid w:val="00EC5DAC"/>
    <w:rsid w:val="00ED3500"/>
    <w:rsid w:val="00ED3F2F"/>
    <w:rsid w:val="00ED779D"/>
    <w:rsid w:val="00EE3275"/>
    <w:rsid w:val="00EE632C"/>
    <w:rsid w:val="00EF1296"/>
    <w:rsid w:val="00EF315C"/>
    <w:rsid w:val="00F05705"/>
    <w:rsid w:val="00F079F4"/>
    <w:rsid w:val="00F14818"/>
    <w:rsid w:val="00F24C82"/>
    <w:rsid w:val="00F255F4"/>
    <w:rsid w:val="00F26E24"/>
    <w:rsid w:val="00F301B0"/>
    <w:rsid w:val="00F3295D"/>
    <w:rsid w:val="00F32B3F"/>
    <w:rsid w:val="00F40446"/>
    <w:rsid w:val="00F432AB"/>
    <w:rsid w:val="00F4339C"/>
    <w:rsid w:val="00F45140"/>
    <w:rsid w:val="00F467F1"/>
    <w:rsid w:val="00F468CD"/>
    <w:rsid w:val="00F46CAF"/>
    <w:rsid w:val="00F46FA6"/>
    <w:rsid w:val="00F47F9E"/>
    <w:rsid w:val="00F51D94"/>
    <w:rsid w:val="00F52154"/>
    <w:rsid w:val="00F52873"/>
    <w:rsid w:val="00F56AAF"/>
    <w:rsid w:val="00F67555"/>
    <w:rsid w:val="00F67B0C"/>
    <w:rsid w:val="00F67D9D"/>
    <w:rsid w:val="00F67E78"/>
    <w:rsid w:val="00F7045D"/>
    <w:rsid w:val="00F70A11"/>
    <w:rsid w:val="00F70C3D"/>
    <w:rsid w:val="00F71098"/>
    <w:rsid w:val="00F7495D"/>
    <w:rsid w:val="00F821A1"/>
    <w:rsid w:val="00F84A22"/>
    <w:rsid w:val="00F853F1"/>
    <w:rsid w:val="00F857C6"/>
    <w:rsid w:val="00F85862"/>
    <w:rsid w:val="00F91653"/>
    <w:rsid w:val="00F93525"/>
    <w:rsid w:val="00F93EA8"/>
    <w:rsid w:val="00F97AE7"/>
    <w:rsid w:val="00FA1553"/>
    <w:rsid w:val="00FA2772"/>
    <w:rsid w:val="00FA3A2C"/>
    <w:rsid w:val="00FA4900"/>
    <w:rsid w:val="00FA6CEF"/>
    <w:rsid w:val="00FB3E9B"/>
    <w:rsid w:val="00FB6DAC"/>
    <w:rsid w:val="00FC0AFA"/>
    <w:rsid w:val="00FC191A"/>
    <w:rsid w:val="00FC2599"/>
    <w:rsid w:val="00FC2FEF"/>
    <w:rsid w:val="00FC4512"/>
    <w:rsid w:val="00FC5811"/>
    <w:rsid w:val="00FD0F9A"/>
    <w:rsid w:val="00FD10A2"/>
    <w:rsid w:val="00FD512B"/>
    <w:rsid w:val="00FD620E"/>
    <w:rsid w:val="00FD6E70"/>
    <w:rsid w:val="00FE0D44"/>
    <w:rsid w:val="00FE1193"/>
    <w:rsid w:val="00FE291C"/>
    <w:rsid w:val="00FE3C0E"/>
    <w:rsid w:val="00FE6453"/>
    <w:rsid w:val="00FE6A9B"/>
    <w:rsid w:val="00FE6F0C"/>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94130930">
      <w:bodyDiv w:val="1"/>
      <w:marLeft w:val="0"/>
      <w:marRight w:val="0"/>
      <w:marTop w:val="0"/>
      <w:marBottom w:val="0"/>
      <w:divBdr>
        <w:top w:val="none" w:sz="0" w:space="0" w:color="auto"/>
        <w:left w:val="none" w:sz="0" w:space="0" w:color="auto"/>
        <w:bottom w:val="none" w:sz="0" w:space="0" w:color="auto"/>
        <w:right w:val="none" w:sz="0" w:space="0" w:color="auto"/>
      </w:divBdr>
    </w:div>
    <w:div w:id="103427057">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29708080">
      <w:bodyDiv w:val="1"/>
      <w:marLeft w:val="0"/>
      <w:marRight w:val="0"/>
      <w:marTop w:val="0"/>
      <w:marBottom w:val="0"/>
      <w:divBdr>
        <w:top w:val="none" w:sz="0" w:space="0" w:color="auto"/>
        <w:left w:val="none" w:sz="0" w:space="0" w:color="auto"/>
        <w:bottom w:val="none" w:sz="0" w:space="0" w:color="auto"/>
        <w:right w:val="none" w:sz="0" w:space="0" w:color="auto"/>
      </w:divBdr>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58930330">
      <w:bodyDiv w:val="1"/>
      <w:marLeft w:val="0"/>
      <w:marRight w:val="0"/>
      <w:marTop w:val="0"/>
      <w:marBottom w:val="0"/>
      <w:divBdr>
        <w:top w:val="none" w:sz="0" w:space="0" w:color="auto"/>
        <w:left w:val="none" w:sz="0" w:space="0" w:color="auto"/>
        <w:bottom w:val="none" w:sz="0" w:space="0" w:color="auto"/>
        <w:right w:val="none" w:sz="0" w:space="0" w:color="auto"/>
      </w:divBdr>
    </w:div>
    <w:div w:id="161357710">
      <w:bodyDiv w:val="1"/>
      <w:marLeft w:val="0"/>
      <w:marRight w:val="0"/>
      <w:marTop w:val="0"/>
      <w:marBottom w:val="0"/>
      <w:divBdr>
        <w:top w:val="none" w:sz="0" w:space="0" w:color="auto"/>
        <w:left w:val="none" w:sz="0" w:space="0" w:color="auto"/>
        <w:bottom w:val="none" w:sz="0" w:space="0" w:color="auto"/>
        <w:right w:val="none" w:sz="0" w:space="0" w:color="auto"/>
      </w:divBdr>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210500">
      <w:bodyDiv w:val="1"/>
      <w:marLeft w:val="0"/>
      <w:marRight w:val="0"/>
      <w:marTop w:val="0"/>
      <w:marBottom w:val="0"/>
      <w:divBdr>
        <w:top w:val="none" w:sz="0" w:space="0" w:color="auto"/>
        <w:left w:val="none" w:sz="0" w:space="0" w:color="auto"/>
        <w:bottom w:val="none" w:sz="0" w:space="0" w:color="auto"/>
        <w:right w:val="none" w:sz="0" w:space="0" w:color="auto"/>
      </w:divBdr>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6523754">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280426">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047827">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447549315">
      <w:bodyDiv w:val="1"/>
      <w:marLeft w:val="0"/>
      <w:marRight w:val="0"/>
      <w:marTop w:val="0"/>
      <w:marBottom w:val="0"/>
      <w:divBdr>
        <w:top w:val="none" w:sz="0" w:space="0" w:color="auto"/>
        <w:left w:val="none" w:sz="0" w:space="0" w:color="auto"/>
        <w:bottom w:val="none" w:sz="0" w:space="0" w:color="auto"/>
        <w:right w:val="none" w:sz="0" w:space="0" w:color="auto"/>
      </w:divBdr>
    </w:div>
    <w:div w:id="532617359">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3855411">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678119023">
      <w:bodyDiv w:val="1"/>
      <w:marLeft w:val="0"/>
      <w:marRight w:val="0"/>
      <w:marTop w:val="0"/>
      <w:marBottom w:val="0"/>
      <w:divBdr>
        <w:top w:val="none" w:sz="0" w:space="0" w:color="auto"/>
        <w:left w:val="none" w:sz="0" w:space="0" w:color="auto"/>
        <w:bottom w:val="none" w:sz="0" w:space="0" w:color="auto"/>
        <w:right w:val="none" w:sz="0" w:space="0" w:color="auto"/>
      </w:divBdr>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05713231">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197209">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80998008">
      <w:bodyDiv w:val="1"/>
      <w:marLeft w:val="0"/>
      <w:marRight w:val="0"/>
      <w:marTop w:val="0"/>
      <w:marBottom w:val="0"/>
      <w:divBdr>
        <w:top w:val="none" w:sz="0" w:space="0" w:color="auto"/>
        <w:left w:val="none" w:sz="0" w:space="0" w:color="auto"/>
        <w:bottom w:val="none" w:sz="0" w:space="0" w:color="auto"/>
        <w:right w:val="none" w:sz="0" w:space="0" w:color="auto"/>
      </w:divBdr>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03443252">
      <w:bodyDiv w:val="1"/>
      <w:marLeft w:val="0"/>
      <w:marRight w:val="0"/>
      <w:marTop w:val="0"/>
      <w:marBottom w:val="0"/>
      <w:divBdr>
        <w:top w:val="none" w:sz="0" w:space="0" w:color="auto"/>
        <w:left w:val="none" w:sz="0" w:space="0" w:color="auto"/>
        <w:bottom w:val="none" w:sz="0" w:space="0" w:color="auto"/>
        <w:right w:val="none" w:sz="0" w:space="0" w:color="auto"/>
      </w:divBdr>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940795940">
      <w:bodyDiv w:val="1"/>
      <w:marLeft w:val="0"/>
      <w:marRight w:val="0"/>
      <w:marTop w:val="0"/>
      <w:marBottom w:val="0"/>
      <w:divBdr>
        <w:top w:val="none" w:sz="0" w:space="0" w:color="auto"/>
        <w:left w:val="none" w:sz="0" w:space="0" w:color="auto"/>
        <w:bottom w:val="none" w:sz="0" w:space="0" w:color="auto"/>
        <w:right w:val="none" w:sz="0" w:space="0" w:color="auto"/>
      </w:divBdr>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85372306">
      <w:bodyDiv w:val="1"/>
      <w:marLeft w:val="0"/>
      <w:marRight w:val="0"/>
      <w:marTop w:val="0"/>
      <w:marBottom w:val="0"/>
      <w:divBdr>
        <w:top w:val="none" w:sz="0" w:space="0" w:color="auto"/>
        <w:left w:val="none" w:sz="0" w:space="0" w:color="auto"/>
        <w:bottom w:val="none" w:sz="0" w:space="0" w:color="auto"/>
        <w:right w:val="none" w:sz="0" w:space="0" w:color="auto"/>
      </w:divBdr>
    </w:div>
    <w:div w:id="1086338869">
      <w:bodyDiv w:val="1"/>
      <w:marLeft w:val="0"/>
      <w:marRight w:val="0"/>
      <w:marTop w:val="0"/>
      <w:marBottom w:val="0"/>
      <w:divBdr>
        <w:top w:val="none" w:sz="0" w:space="0" w:color="auto"/>
        <w:left w:val="none" w:sz="0" w:space="0" w:color="auto"/>
        <w:bottom w:val="none" w:sz="0" w:space="0" w:color="auto"/>
        <w:right w:val="none" w:sz="0" w:space="0" w:color="auto"/>
      </w:divBdr>
    </w:div>
    <w:div w:id="1087314320">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60192585">
      <w:bodyDiv w:val="1"/>
      <w:marLeft w:val="0"/>
      <w:marRight w:val="0"/>
      <w:marTop w:val="0"/>
      <w:marBottom w:val="0"/>
      <w:divBdr>
        <w:top w:val="none" w:sz="0" w:space="0" w:color="auto"/>
        <w:left w:val="none" w:sz="0" w:space="0" w:color="auto"/>
        <w:bottom w:val="none" w:sz="0" w:space="0" w:color="auto"/>
        <w:right w:val="none" w:sz="0" w:space="0" w:color="auto"/>
      </w:divBdr>
    </w:div>
    <w:div w:id="1178152656">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12322573">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35783610">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1993534">
      <w:bodyDiv w:val="1"/>
      <w:marLeft w:val="0"/>
      <w:marRight w:val="0"/>
      <w:marTop w:val="0"/>
      <w:marBottom w:val="0"/>
      <w:divBdr>
        <w:top w:val="none" w:sz="0" w:space="0" w:color="auto"/>
        <w:left w:val="none" w:sz="0" w:space="0" w:color="auto"/>
        <w:bottom w:val="none" w:sz="0" w:space="0" w:color="auto"/>
        <w:right w:val="none" w:sz="0" w:space="0" w:color="auto"/>
      </w:divBdr>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27792090">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7626835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25119080">
      <w:bodyDiv w:val="1"/>
      <w:marLeft w:val="0"/>
      <w:marRight w:val="0"/>
      <w:marTop w:val="0"/>
      <w:marBottom w:val="0"/>
      <w:divBdr>
        <w:top w:val="none" w:sz="0" w:space="0" w:color="auto"/>
        <w:left w:val="none" w:sz="0" w:space="0" w:color="auto"/>
        <w:bottom w:val="none" w:sz="0" w:space="0" w:color="auto"/>
        <w:right w:val="none" w:sz="0" w:space="0" w:color="auto"/>
      </w:divBdr>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4801076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0327702">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09019618">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KARIM\AMINA\IPC\RAPPORT%20ANNUEL\rapport%202021\Donn&#233;es%20ann&#233;e%202021.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KARIM\AMINA\IPC\RAPPORT%20ANNUEL\rapport%202021\Donn&#233;es%20ann&#233;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715332458443031E-2"/>
          <c:y val="6.4092247615389716E-2"/>
          <c:w val="0.93106846019247591"/>
          <c:h val="0.68997279303501791"/>
        </c:manualLayout>
      </c:layout>
      <c:barChart>
        <c:barDir val="col"/>
        <c:grouping val="clustered"/>
        <c:ser>
          <c:idx val="0"/>
          <c:order val="0"/>
          <c:tx>
            <c:v>2020</c:v>
          </c:tx>
          <c:spPr>
            <a:solidFill>
              <a:schemeClr val="tx2">
                <a:lumMod val="40000"/>
                <a:lumOff val="60000"/>
              </a:schemeClr>
            </a:solidFill>
          </c:spPr>
          <c:cat>
            <c:strRef>
              <c:f>'IPC par ville'!$A$25:$A$43</c:f>
              <c:strCache>
                <c:ptCount val="19"/>
                <c:pt idx="0">
                  <c:v>Tétouan</c:v>
                </c:pt>
                <c:pt idx="1">
                  <c:v>Oujda</c:v>
                </c:pt>
                <c:pt idx="2">
                  <c:v>Kenitra</c:v>
                </c:pt>
                <c:pt idx="3">
                  <c:v>Errachidia</c:v>
                </c:pt>
                <c:pt idx="4">
                  <c:v>Settat</c:v>
                </c:pt>
                <c:pt idx="5">
                  <c:v>El houceima</c:v>
                </c:pt>
                <c:pt idx="6">
                  <c:v>Meknes</c:v>
                </c:pt>
                <c:pt idx="7">
                  <c:v>Tanger</c:v>
                </c:pt>
                <c:pt idx="8">
                  <c:v>Agadir</c:v>
                </c:pt>
                <c:pt idx="9">
                  <c:v>Rabat</c:v>
                </c:pt>
                <c:pt idx="10">
                  <c:v>Marrakech</c:v>
                </c:pt>
                <c:pt idx="11">
                  <c:v>Ensemble</c:v>
                </c:pt>
                <c:pt idx="12">
                  <c:v>Fes</c:v>
                </c:pt>
                <c:pt idx="13">
                  <c:v>Dakhla</c:v>
                </c:pt>
                <c:pt idx="14">
                  <c:v>Laayoune</c:v>
                </c:pt>
                <c:pt idx="15">
                  <c:v>Casa</c:v>
                </c:pt>
                <c:pt idx="16">
                  <c:v>Beni mellal</c:v>
                </c:pt>
                <c:pt idx="17">
                  <c:v>Guelmim</c:v>
                </c:pt>
                <c:pt idx="18">
                  <c:v>Safi</c:v>
                </c:pt>
              </c:strCache>
            </c:strRef>
          </c:cat>
          <c:val>
            <c:numRef>
              <c:f>'IPC par ville'!$B$25:$B$43</c:f>
              <c:numCache>
                <c:formatCode>0.0</c:formatCode>
                <c:ptCount val="19"/>
                <c:pt idx="0">
                  <c:v>101.69999999999999</c:v>
                </c:pt>
                <c:pt idx="1">
                  <c:v>101.69999999999999</c:v>
                </c:pt>
                <c:pt idx="2">
                  <c:v>101.64166666666669</c:v>
                </c:pt>
                <c:pt idx="3">
                  <c:v>101.46666666666682</c:v>
                </c:pt>
                <c:pt idx="4">
                  <c:v>101.75833333333314</c:v>
                </c:pt>
                <c:pt idx="5">
                  <c:v>102.16666666666664</c:v>
                </c:pt>
                <c:pt idx="6">
                  <c:v>102.16666666666667</c:v>
                </c:pt>
                <c:pt idx="7">
                  <c:v>102.37499999999999</c:v>
                </c:pt>
                <c:pt idx="8">
                  <c:v>102.67499999999998</c:v>
                </c:pt>
                <c:pt idx="9">
                  <c:v>102.45</c:v>
                </c:pt>
                <c:pt idx="10">
                  <c:v>102.32499999999999</c:v>
                </c:pt>
                <c:pt idx="11">
                  <c:v>102.46666666666682</c:v>
                </c:pt>
                <c:pt idx="12">
                  <c:v>102.91666666666687</c:v>
                </c:pt>
                <c:pt idx="13">
                  <c:v>103.38333333333314</c:v>
                </c:pt>
                <c:pt idx="14">
                  <c:v>103.79166666666686</c:v>
                </c:pt>
                <c:pt idx="15">
                  <c:v>102.53333333333325</c:v>
                </c:pt>
                <c:pt idx="16">
                  <c:v>102.48333333333331</c:v>
                </c:pt>
                <c:pt idx="17">
                  <c:v>105.17499999999998</c:v>
                </c:pt>
                <c:pt idx="18">
                  <c:v>104.81666666666666</c:v>
                </c:pt>
              </c:numCache>
            </c:numRef>
          </c:val>
        </c:ser>
        <c:ser>
          <c:idx val="1"/>
          <c:order val="1"/>
          <c:tx>
            <c:v>2021</c:v>
          </c:tx>
          <c:spPr>
            <a:blipFill>
              <a:blip xmlns:r="http://schemas.openxmlformats.org/officeDocument/2006/relationships" r:embed="rId1"/>
              <a:tile tx="0" ty="0" sx="100000" sy="100000" flip="none" algn="tl"/>
            </a:blipFill>
          </c:spPr>
          <c:dPt>
            <c:idx val="2"/>
            <c:spPr>
              <a:solidFill>
                <a:schemeClr val="accent2"/>
              </a:solidFill>
            </c:spPr>
          </c:dPt>
          <c:dPt>
            <c:idx val="11"/>
            <c:spPr>
              <a:solidFill>
                <a:schemeClr val="accent2"/>
              </a:solidFill>
            </c:spPr>
          </c:dPt>
          <c:cat>
            <c:strRef>
              <c:f>'IPC par ville'!$A$25:$A$43</c:f>
              <c:strCache>
                <c:ptCount val="19"/>
                <c:pt idx="0">
                  <c:v>Tétouan</c:v>
                </c:pt>
                <c:pt idx="1">
                  <c:v>Oujda</c:v>
                </c:pt>
                <c:pt idx="2">
                  <c:v>Kenitra</c:v>
                </c:pt>
                <c:pt idx="3">
                  <c:v>Errachidia</c:v>
                </c:pt>
                <c:pt idx="4">
                  <c:v>Settat</c:v>
                </c:pt>
                <c:pt idx="5">
                  <c:v>El houceima</c:v>
                </c:pt>
                <c:pt idx="6">
                  <c:v>Meknes</c:v>
                </c:pt>
                <c:pt idx="7">
                  <c:v>Tanger</c:v>
                </c:pt>
                <c:pt idx="8">
                  <c:v>Agadir</c:v>
                </c:pt>
                <c:pt idx="9">
                  <c:v>Rabat</c:v>
                </c:pt>
                <c:pt idx="10">
                  <c:v>Marrakech</c:v>
                </c:pt>
                <c:pt idx="11">
                  <c:v>Ensemble</c:v>
                </c:pt>
                <c:pt idx="12">
                  <c:v>Fes</c:v>
                </c:pt>
                <c:pt idx="13">
                  <c:v>Dakhla</c:v>
                </c:pt>
                <c:pt idx="14">
                  <c:v>Laayoune</c:v>
                </c:pt>
                <c:pt idx="15">
                  <c:v>Casa</c:v>
                </c:pt>
                <c:pt idx="16">
                  <c:v>Beni mellal</c:v>
                </c:pt>
                <c:pt idx="17">
                  <c:v>Guelmim</c:v>
                </c:pt>
                <c:pt idx="18">
                  <c:v>Safi</c:v>
                </c:pt>
              </c:strCache>
            </c:strRef>
          </c:cat>
          <c:val>
            <c:numRef>
              <c:f>'IPC par ville'!$C$25:$C$43</c:f>
              <c:numCache>
                <c:formatCode>0.0</c:formatCode>
                <c:ptCount val="19"/>
                <c:pt idx="0">
                  <c:v>102.47500000000001</c:v>
                </c:pt>
                <c:pt idx="1">
                  <c:v>102.78333333333335</c:v>
                </c:pt>
                <c:pt idx="2">
                  <c:v>102.90833333333325</c:v>
                </c:pt>
                <c:pt idx="3">
                  <c:v>102.95833333333317</c:v>
                </c:pt>
                <c:pt idx="4">
                  <c:v>103.5</c:v>
                </c:pt>
                <c:pt idx="5">
                  <c:v>103.51666666666669</c:v>
                </c:pt>
                <c:pt idx="6">
                  <c:v>103.5583333333331</c:v>
                </c:pt>
                <c:pt idx="7">
                  <c:v>103.70833333333314</c:v>
                </c:pt>
                <c:pt idx="8">
                  <c:v>103.81666666666666</c:v>
                </c:pt>
                <c:pt idx="9">
                  <c:v>103.82499999999999</c:v>
                </c:pt>
                <c:pt idx="10">
                  <c:v>103.86666666666667</c:v>
                </c:pt>
                <c:pt idx="11">
                  <c:v>103.89999999999999</c:v>
                </c:pt>
                <c:pt idx="12">
                  <c:v>103.97499999999999</c:v>
                </c:pt>
                <c:pt idx="13">
                  <c:v>103.99166666666686</c:v>
                </c:pt>
                <c:pt idx="14">
                  <c:v>104.22500000000001</c:v>
                </c:pt>
                <c:pt idx="15">
                  <c:v>104.37499999999999</c:v>
                </c:pt>
                <c:pt idx="16">
                  <c:v>104.45</c:v>
                </c:pt>
                <c:pt idx="17">
                  <c:v>105.92500000000001</c:v>
                </c:pt>
                <c:pt idx="18">
                  <c:v>106.5</c:v>
                </c:pt>
              </c:numCache>
            </c:numRef>
          </c:val>
        </c:ser>
        <c:axId val="114867584"/>
        <c:axId val="117111424"/>
      </c:barChart>
      <c:catAx>
        <c:axId val="114867584"/>
        <c:scaling>
          <c:orientation val="minMax"/>
        </c:scaling>
        <c:axPos val="b"/>
        <c:numFmt formatCode="General" sourceLinked="1"/>
        <c:tickLblPos val="nextTo"/>
        <c:txPr>
          <a:bodyPr rot="-5400000" vert="horz"/>
          <a:lstStyle/>
          <a:p>
            <a:pPr>
              <a:defRPr b="1" i="0" u="none">
                <a:latin typeface="Times New Roman" pitchFamily="18" charset="0"/>
                <a:cs typeface="Times New Roman" pitchFamily="18" charset="0"/>
              </a:defRPr>
            </a:pPr>
            <a:endParaRPr lang="fr-FR"/>
          </a:p>
        </c:txPr>
        <c:crossAx val="117111424"/>
        <c:crosses val="autoZero"/>
        <c:auto val="1"/>
        <c:lblAlgn val="ctr"/>
        <c:lblOffset val="100"/>
      </c:catAx>
      <c:valAx>
        <c:axId val="117111424"/>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114867584"/>
        <c:crosses val="autoZero"/>
        <c:crossBetween val="between"/>
      </c:valAx>
    </c:plotArea>
    <c:legend>
      <c:legendPos val="r"/>
      <c:layout>
        <c:manualLayout>
          <c:xMode val="edge"/>
          <c:yMode val="edge"/>
          <c:x val="9.0006014873140833E-2"/>
          <c:y val="0.15160877369892797"/>
          <c:w val="9.5179133858267692E-2"/>
          <c:h val="0.14881211920581988"/>
        </c:manualLayout>
      </c:layout>
    </c:legend>
    <c:plotVisOnly val="1"/>
  </c:chart>
  <c:spPr>
    <a:solidFill>
      <a:schemeClr val="bg1">
        <a:lumMod val="85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view3D>
      <c:rAngAx val="1"/>
    </c:view3D>
    <c:plotArea>
      <c:layout>
        <c:manualLayout>
          <c:layoutTarget val="inner"/>
          <c:xMode val="edge"/>
          <c:yMode val="edge"/>
          <c:x val="6.6110034674984997E-2"/>
          <c:y val="0.17641160239585441"/>
          <c:w val="0.90363981989162345"/>
          <c:h val="0.62470253718285262"/>
        </c:manualLayout>
      </c:layout>
      <c:bar3DChart>
        <c:barDir val="col"/>
        <c:grouping val="clustered"/>
        <c:ser>
          <c:idx val="0"/>
          <c:order val="0"/>
          <c:tx>
            <c:strRef>
              <c:f>'IPC par ville'!$B$48</c:f>
              <c:strCache>
                <c:ptCount val="1"/>
                <c:pt idx="0">
                  <c:v>Variation (%)</c:v>
                </c:pt>
              </c:strCache>
            </c:strRef>
          </c:tx>
          <c:dPt>
            <c:idx val="7"/>
            <c:spPr>
              <a:solidFill>
                <a:srgbClr val="C00000"/>
              </a:solidFill>
              <a:ln>
                <a:solidFill>
                  <a:srgbClr val="002060"/>
                </a:solidFill>
              </a:ln>
            </c:spPr>
          </c:dPt>
          <c:dPt>
            <c:idx val="12"/>
            <c:spPr>
              <a:solidFill>
                <a:srgbClr val="C00000"/>
              </a:solidFill>
              <a:ln>
                <a:solidFill>
                  <a:schemeClr val="accent1"/>
                </a:solidFill>
              </a:ln>
            </c:spPr>
          </c:dPt>
          <c:cat>
            <c:strRef>
              <c:f>'IPC par ville'!$A$49:$A$67</c:f>
              <c:strCache>
                <c:ptCount val="19"/>
                <c:pt idx="0">
                  <c:v>Laayoune</c:v>
                </c:pt>
                <c:pt idx="1">
                  <c:v>Dakhla</c:v>
                </c:pt>
                <c:pt idx="2">
                  <c:v>Guelmim</c:v>
                </c:pt>
                <c:pt idx="3">
                  <c:v>Tétouan</c:v>
                </c:pt>
                <c:pt idx="4">
                  <c:v>Fes</c:v>
                </c:pt>
                <c:pt idx="5">
                  <c:v>Oujda</c:v>
                </c:pt>
                <c:pt idx="6">
                  <c:v>Agadir</c:v>
                </c:pt>
                <c:pt idx="7">
                  <c:v>Kenitra</c:v>
                </c:pt>
                <c:pt idx="8">
                  <c:v>Tanger</c:v>
                </c:pt>
                <c:pt idx="9">
                  <c:v>El houceima</c:v>
                </c:pt>
                <c:pt idx="10">
                  <c:v>Rabat</c:v>
                </c:pt>
                <c:pt idx="11">
                  <c:v>Meknes</c:v>
                </c:pt>
                <c:pt idx="12">
                  <c:v>Ensemble</c:v>
                </c:pt>
                <c:pt idx="13">
                  <c:v>Errachidia</c:v>
                </c:pt>
                <c:pt idx="14">
                  <c:v>Marrakech</c:v>
                </c:pt>
                <c:pt idx="15">
                  <c:v>Safi</c:v>
                </c:pt>
                <c:pt idx="16">
                  <c:v>Settat</c:v>
                </c:pt>
                <c:pt idx="17">
                  <c:v>Casa</c:v>
                </c:pt>
                <c:pt idx="18">
                  <c:v>Beni mellal</c:v>
                </c:pt>
              </c:strCache>
            </c:strRef>
          </c:cat>
          <c:val>
            <c:numRef>
              <c:f>'IPC par ville'!$B$49:$B$67</c:f>
              <c:numCache>
                <c:formatCode>0.0</c:formatCode>
                <c:ptCount val="19"/>
                <c:pt idx="0">
                  <c:v>0.41750301083902408</c:v>
                </c:pt>
                <c:pt idx="1">
                  <c:v>0.58842495566661357</c:v>
                </c:pt>
                <c:pt idx="2">
                  <c:v>0.71309721892084665</c:v>
                </c:pt>
                <c:pt idx="3">
                  <c:v>0.76204523107180244</c:v>
                </c:pt>
                <c:pt idx="4">
                  <c:v>1.0283400809716221</c:v>
                </c:pt>
                <c:pt idx="5">
                  <c:v>1.0652245165519736</c:v>
                </c:pt>
                <c:pt idx="6">
                  <c:v>1.1119227335443258</c:v>
                </c:pt>
                <c:pt idx="7">
                  <c:v>1.246208083955056</c:v>
                </c:pt>
                <c:pt idx="8">
                  <c:v>1.3024013024012979</c:v>
                </c:pt>
                <c:pt idx="9">
                  <c:v>1.3213703099510841</c:v>
                </c:pt>
                <c:pt idx="10">
                  <c:v>1.3421181063933805</c:v>
                </c:pt>
                <c:pt idx="11">
                  <c:v>1.3621533442088123</c:v>
                </c:pt>
                <c:pt idx="12">
                  <c:v>1.3988288874430468</c:v>
                </c:pt>
                <c:pt idx="13">
                  <c:v>1.4701051248357555</c:v>
                </c:pt>
                <c:pt idx="14">
                  <c:v>1.506637348318272</c:v>
                </c:pt>
                <c:pt idx="15">
                  <c:v>1.6059786929559547</c:v>
                </c:pt>
                <c:pt idx="16">
                  <c:v>1.7115715338629178</c:v>
                </c:pt>
                <c:pt idx="17">
                  <c:v>1.7961638491547625</c:v>
                </c:pt>
                <c:pt idx="18">
                  <c:v>1.919011221336808</c:v>
                </c:pt>
              </c:numCache>
            </c:numRef>
          </c:val>
        </c:ser>
        <c:shape val="cylinder"/>
        <c:axId val="128671104"/>
        <c:axId val="92058752"/>
        <c:axId val="0"/>
      </c:bar3DChart>
      <c:catAx>
        <c:axId val="128671104"/>
        <c:scaling>
          <c:orientation val="minMax"/>
        </c:scaling>
        <c:axPos val="b"/>
        <c:tickLblPos val="nextTo"/>
        <c:txPr>
          <a:bodyPr/>
          <a:lstStyle/>
          <a:p>
            <a:pPr>
              <a:defRPr sz="800">
                <a:latin typeface="Times New Roman" pitchFamily="18" charset="0"/>
                <a:cs typeface="Times New Roman" pitchFamily="18" charset="0"/>
              </a:defRPr>
            </a:pPr>
            <a:endParaRPr lang="fr-FR"/>
          </a:p>
        </c:txPr>
        <c:crossAx val="92058752"/>
        <c:crosses val="autoZero"/>
        <c:auto val="1"/>
        <c:lblAlgn val="ctr"/>
        <c:lblOffset val="100"/>
      </c:catAx>
      <c:valAx>
        <c:axId val="92058752"/>
        <c:scaling>
          <c:orientation val="minMax"/>
        </c:scaling>
        <c:axPos val="l"/>
        <c:majorGridlines/>
        <c:numFmt formatCode="0.0" sourceLinked="1"/>
        <c:tickLblPos val="nextTo"/>
        <c:crossAx val="12867110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00124671916021E-2"/>
          <c:y val="4.9277196514819203E-2"/>
          <c:w val="0.93165419947506567"/>
          <c:h val="0.83541077913205897"/>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101.4</c:v>
                </c:pt>
                <c:pt idx="1">
                  <c:v>101.3</c:v>
                </c:pt>
                <c:pt idx="2">
                  <c:v>101.8</c:v>
                </c:pt>
                <c:pt idx="3">
                  <c:v>102.8</c:v>
                </c:pt>
                <c:pt idx="4">
                  <c:v>103</c:v>
                </c:pt>
                <c:pt idx="5">
                  <c:v>102.5</c:v>
                </c:pt>
                <c:pt idx="6">
                  <c:v>102.8</c:v>
                </c:pt>
                <c:pt idx="7">
                  <c:v>102.1</c:v>
                </c:pt>
                <c:pt idx="8">
                  <c:v>103.2</c:v>
                </c:pt>
                <c:pt idx="9">
                  <c:v>104.8</c:v>
                </c:pt>
                <c:pt idx="10">
                  <c:v>104.6</c:v>
                </c:pt>
                <c:pt idx="11">
                  <c:v>104.6</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102.3</c:v>
                </c:pt>
                <c:pt idx="1">
                  <c:v>102.4</c:v>
                </c:pt>
                <c:pt idx="2">
                  <c:v>102.6</c:v>
                </c:pt>
                <c:pt idx="3">
                  <c:v>103.8</c:v>
                </c:pt>
                <c:pt idx="4">
                  <c:v>104.1</c:v>
                </c:pt>
                <c:pt idx="5">
                  <c:v>103.4</c:v>
                </c:pt>
                <c:pt idx="6">
                  <c:v>103.8</c:v>
                </c:pt>
                <c:pt idx="7">
                  <c:v>103.8</c:v>
                </c:pt>
                <c:pt idx="8">
                  <c:v>104.5</c:v>
                </c:pt>
                <c:pt idx="9">
                  <c:v>105.2</c:v>
                </c:pt>
                <c:pt idx="10">
                  <c:v>105.4</c:v>
                </c:pt>
                <c:pt idx="11">
                  <c:v>105.5</c:v>
                </c:pt>
              </c:numCache>
            </c:numRef>
          </c:val>
        </c:ser>
        <c:marker val="1"/>
        <c:axId val="93328128"/>
        <c:axId val="93329664"/>
      </c:lineChart>
      <c:catAx>
        <c:axId val="93328128"/>
        <c:scaling>
          <c:orientation val="minMax"/>
        </c:scaling>
        <c:axPos val="b"/>
        <c:tickLblPos val="nextTo"/>
        <c:txPr>
          <a:bodyPr/>
          <a:lstStyle/>
          <a:p>
            <a:pPr>
              <a:defRPr>
                <a:latin typeface="Times New Roman" pitchFamily="18" charset="0"/>
                <a:cs typeface="Times New Roman" pitchFamily="18" charset="0"/>
              </a:defRPr>
            </a:pPr>
            <a:endParaRPr lang="fr-FR"/>
          </a:p>
        </c:txPr>
        <c:crossAx val="93329664"/>
        <c:crosses val="autoZero"/>
        <c:auto val="1"/>
        <c:lblAlgn val="ctr"/>
        <c:lblOffset val="100"/>
      </c:catAx>
      <c:valAx>
        <c:axId val="93329664"/>
        <c:scaling>
          <c:orientation val="minMax"/>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93328128"/>
        <c:crosses val="autoZero"/>
        <c:crossBetween val="between"/>
        <c:majorUnit val="1"/>
      </c:valAx>
    </c:plotArea>
    <c:legend>
      <c:legendPos val="b"/>
      <c:layout>
        <c:manualLayout>
          <c:xMode val="edge"/>
          <c:yMode val="edge"/>
          <c:x val="0.82002071479723559"/>
          <c:y val="0.6429233332134886"/>
          <c:w val="0.14372664041994751"/>
          <c:h val="0.19890820939049592"/>
        </c:manualLayout>
      </c:layout>
      <c:txPr>
        <a:bodyPr/>
        <a:lstStyle/>
        <a:p>
          <a:pPr>
            <a:defRPr sz="700">
              <a:latin typeface="Times New Roman" pitchFamily="18" charset="0"/>
              <a:cs typeface="Times New Roman" pitchFamily="18" charset="0"/>
            </a:defRPr>
          </a:pPr>
          <a:endParaRPr lang="fr-FR"/>
        </a:p>
      </c:txPr>
    </c:legend>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6228173839147001E-2"/>
          <c:y val="4.4889804159095513E-2"/>
          <c:w val="0.94377182616086386"/>
          <c:h val="0.77638893599838565"/>
        </c:manualLayout>
      </c:layout>
      <c:lineChart>
        <c:grouping val="standard"/>
        <c:ser>
          <c:idx val="0"/>
          <c:order val="0"/>
          <c:tx>
            <c:strRef>
              <c:f>'IA+INA Kenitra'!$A$4</c:f>
              <c:strCache>
                <c:ptCount val="1"/>
                <c:pt idx="0">
                  <c:v>IPA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98.362499999999983</c:v>
                </c:pt>
                <c:pt idx="1">
                  <c:v>97.976500000000001</c:v>
                </c:pt>
                <c:pt idx="2">
                  <c:v>98.941500000000218</c:v>
                </c:pt>
                <c:pt idx="3">
                  <c:v>101.74000000000002</c:v>
                </c:pt>
                <c:pt idx="4">
                  <c:v>102.0295</c:v>
                </c:pt>
                <c:pt idx="5">
                  <c:v>100.77500000000001</c:v>
                </c:pt>
                <c:pt idx="6">
                  <c:v>101.06450000000002</c:v>
                </c:pt>
                <c:pt idx="7">
                  <c:v>99.037999999999997</c:v>
                </c:pt>
                <c:pt idx="8">
                  <c:v>101.74000000000002</c:v>
                </c:pt>
                <c:pt idx="9">
                  <c:v>103.76649999999999</c:v>
                </c:pt>
                <c:pt idx="10">
                  <c:v>102.99450000000019</c:v>
                </c:pt>
                <c:pt idx="11">
                  <c:v>102.898</c:v>
                </c:pt>
              </c:numCache>
            </c:numRef>
          </c:val>
        </c:ser>
        <c:ser>
          <c:idx val="1"/>
          <c:order val="1"/>
          <c:tx>
            <c:strRef>
              <c:f>'IA+INA Kenitra'!$A$5</c:f>
              <c:strCache>
                <c:ptCount val="1"/>
                <c:pt idx="0">
                  <c:v>IPNA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103.66021871075765</c:v>
                </c:pt>
                <c:pt idx="1">
                  <c:v>103.77303271940806</c:v>
                </c:pt>
                <c:pt idx="2">
                  <c:v>103.92702392911995</c:v>
                </c:pt>
                <c:pt idx="3">
                  <c:v>103.58875122087345</c:v>
                </c:pt>
                <c:pt idx="4">
                  <c:v>103.7221538300542</c:v>
                </c:pt>
                <c:pt idx="5">
                  <c:v>103.78358099623273</c:v>
                </c:pt>
                <c:pt idx="6">
                  <c:v>104.09139409794892</c:v>
                </c:pt>
                <c:pt idx="7">
                  <c:v>104.37844928142859</c:v>
                </c:pt>
                <c:pt idx="8">
                  <c:v>104.28639319101437</c:v>
                </c:pt>
                <c:pt idx="9">
                  <c:v>105.56903244035161</c:v>
                </c:pt>
                <c:pt idx="10">
                  <c:v>105.79466045765312</c:v>
                </c:pt>
                <c:pt idx="11">
                  <c:v>105.86646658294963</c:v>
                </c:pt>
              </c:numCache>
            </c:numRef>
          </c:val>
        </c:ser>
        <c:ser>
          <c:idx val="2"/>
          <c:order val="2"/>
          <c:tx>
            <c:strRef>
              <c:f>'IA+INA Kenitra'!$A$6</c:f>
              <c:strCache>
                <c:ptCount val="1"/>
                <c:pt idx="0">
                  <c:v>IG</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101.4</c:v>
                </c:pt>
                <c:pt idx="1">
                  <c:v>101.3</c:v>
                </c:pt>
                <c:pt idx="2">
                  <c:v>101.8</c:v>
                </c:pt>
                <c:pt idx="3">
                  <c:v>102.8</c:v>
                </c:pt>
                <c:pt idx="4">
                  <c:v>103</c:v>
                </c:pt>
                <c:pt idx="5">
                  <c:v>102.5</c:v>
                </c:pt>
                <c:pt idx="6">
                  <c:v>102.8</c:v>
                </c:pt>
                <c:pt idx="7">
                  <c:v>102.1</c:v>
                </c:pt>
                <c:pt idx="8">
                  <c:v>103.2</c:v>
                </c:pt>
                <c:pt idx="9">
                  <c:v>104.8</c:v>
                </c:pt>
                <c:pt idx="10">
                  <c:v>104.6</c:v>
                </c:pt>
                <c:pt idx="11">
                  <c:v>104.6</c:v>
                </c:pt>
              </c:numCache>
            </c:numRef>
          </c:val>
        </c:ser>
        <c:marker val="1"/>
        <c:axId val="93342720"/>
        <c:axId val="93344512"/>
      </c:lineChart>
      <c:catAx>
        <c:axId val="93342720"/>
        <c:scaling>
          <c:orientation val="minMax"/>
        </c:scaling>
        <c:axPos val="b"/>
        <c:tickLblPos val="nextTo"/>
        <c:crossAx val="93344512"/>
        <c:crosses val="autoZero"/>
        <c:auto val="1"/>
        <c:lblAlgn val="ctr"/>
        <c:lblOffset val="100"/>
      </c:catAx>
      <c:valAx>
        <c:axId val="93344512"/>
        <c:scaling>
          <c:orientation val="minMax"/>
          <c:max val="106"/>
          <c:min val="96"/>
        </c:scaling>
        <c:axPos val="l"/>
        <c:majorGridlines/>
        <c:numFmt formatCode="0" sourceLinked="0"/>
        <c:tickLblPos val="nextTo"/>
        <c:crossAx val="93342720"/>
        <c:crosses val="autoZero"/>
        <c:crossBetween val="between"/>
      </c:valAx>
    </c:plotArea>
    <c:legend>
      <c:legendPos val="b"/>
      <c:layout>
        <c:manualLayout>
          <c:xMode val="edge"/>
          <c:yMode val="edge"/>
          <c:x val="0.34874676261493831"/>
          <c:y val="0.90184718060684887"/>
          <c:w val="0.30217878751665928"/>
          <c:h val="5.5478910206647004E-2"/>
        </c:manualLayout>
      </c:layout>
      <c:txPr>
        <a:bodyPr/>
        <a:lstStyle/>
        <a:p>
          <a:pPr>
            <a:defRPr sz="800"/>
          </a:pPr>
          <a:endParaRPr lang="fr-FR"/>
        </a:p>
      </c:txPr>
    </c:legend>
    <c:plotVisOnly val="1"/>
  </c:chart>
  <c:spPr>
    <a:solidFill>
      <a:srgbClr val="1F497D">
        <a:lumMod val="20000"/>
        <a:lumOff val="80000"/>
        <a:alpha val="90000"/>
      </a:srgbClr>
    </a:solidFill>
    <a:ln>
      <a:solidFill>
        <a:srgbClr val="4F81BD"/>
      </a:solidFill>
    </a:ln>
  </c:spPr>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0712223883839375E-2"/>
          <c:y val="3.4189192845739645E-2"/>
          <c:w val="0.92830375302765467"/>
          <c:h val="0.89550450523581449"/>
        </c:manualLayout>
      </c:layout>
      <c:lineChart>
        <c:grouping val="standard"/>
        <c:ser>
          <c:idx val="0"/>
          <c:order val="0"/>
          <c:tx>
            <c:strRef>
              <c:f>'IPCK par année'!$A$88</c:f>
              <c:strCache>
                <c:ptCount val="1"/>
                <c:pt idx="0">
                  <c:v>2017</c:v>
                </c:pt>
              </c:strCache>
            </c:strRef>
          </c:tx>
          <c:cat>
            <c:strRef>
              <c:f>'IPCK par année'!$B$87:$M$87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année'!$B$88:$M$88</c:f>
              <c:numCache>
                <c:formatCode>0.0</c:formatCode>
                <c:ptCount val="12"/>
                <c:pt idx="0">
                  <c:v>99.9</c:v>
                </c:pt>
                <c:pt idx="1">
                  <c:v>99.7</c:v>
                </c:pt>
                <c:pt idx="2">
                  <c:v>99.7</c:v>
                </c:pt>
                <c:pt idx="3">
                  <c:v>99.3</c:v>
                </c:pt>
                <c:pt idx="4">
                  <c:v>99.3</c:v>
                </c:pt>
                <c:pt idx="5">
                  <c:v>100</c:v>
                </c:pt>
                <c:pt idx="6">
                  <c:v>99.1</c:v>
                </c:pt>
                <c:pt idx="7">
                  <c:v>99.5</c:v>
                </c:pt>
                <c:pt idx="8">
                  <c:v>100.9</c:v>
                </c:pt>
                <c:pt idx="9">
                  <c:v>100.5</c:v>
                </c:pt>
                <c:pt idx="10">
                  <c:v>100.9</c:v>
                </c:pt>
                <c:pt idx="11">
                  <c:v>101.1</c:v>
                </c:pt>
              </c:numCache>
            </c:numRef>
          </c:val>
        </c:ser>
        <c:ser>
          <c:idx val="10"/>
          <c:order val="1"/>
          <c:tx>
            <c:strRef>
              <c:f>'IPCK par année'!$A$89</c:f>
              <c:strCache>
                <c:ptCount val="1"/>
                <c:pt idx="0">
                  <c:v>2018</c:v>
                </c:pt>
              </c:strCache>
            </c:strRef>
          </c:tx>
          <c:cat>
            <c:strRef>
              <c:f>'IPCK par année'!$B$87:$M$87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année'!$B$89:$M$89</c:f>
              <c:numCache>
                <c:formatCode>0.0</c:formatCode>
                <c:ptCount val="12"/>
                <c:pt idx="0">
                  <c:v>100.9</c:v>
                </c:pt>
                <c:pt idx="1">
                  <c:v>100.8</c:v>
                </c:pt>
                <c:pt idx="2">
                  <c:v>101.3</c:v>
                </c:pt>
                <c:pt idx="3">
                  <c:v>101.4</c:v>
                </c:pt>
                <c:pt idx="4">
                  <c:v>101.5</c:v>
                </c:pt>
                <c:pt idx="5">
                  <c:v>102</c:v>
                </c:pt>
                <c:pt idx="6">
                  <c:v>100.2</c:v>
                </c:pt>
                <c:pt idx="7">
                  <c:v>100.4</c:v>
                </c:pt>
                <c:pt idx="8">
                  <c:v>101.4</c:v>
                </c:pt>
                <c:pt idx="9">
                  <c:v>101.1</c:v>
                </c:pt>
                <c:pt idx="10">
                  <c:v>101.2</c:v>
                </c:pt>
                <c:pt idx="11">
                  <c:v>101.1</c:v>
                </c:pt>
              </c:numCache>
            </c:numRef>
          </c:val>
        </c:ser>
        <c:ser>
          <c:idx val="11"/>
          <c:order val="2"/>
          <c:tx>
            <c:strRef>
              <c:f>'IPCK par année'!$A$90</c:f>
              <c:strCache>
                <c:ptCount val="1"/>
                <c:pt idx="0">
                  <c:v>2019</c:v>
                </c:pt>
              </c:strCache>
            </c:strRef>
          </c:tx>
          <c:cat>
            <c:strRef>
              <c:f>'IPCK par année'!$B$87:$M$87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année'!$B$90:$M$90</c:f>
              <c:numCache>
                <c:formatCode>0.0</c:formatCode>
                <c:ptCount val="12"/>
                <c:pt idx="0">
                  <c:v>100.7</c:v>
                </c:pt>
                <c:pt idx="1">
                  <c:v>100.8</c:v>
                </c:pt>
                <c:pt idx="2">
                  <c:v>101.2</c:v>
                </c:pt>
                <c:pt idx="3">
                  <c:v>101.4</c:v>
                </c:pt>
                <c:pt idx="4">
                  <c:v>102.7</c:v>
                </c:pt>
                <c:pt idx="5">
                  <c:v>102.6</c:v>
                </c:pt>
                <c:pt idx="6">
                  <c:v>101.3</c:v>
                </c:pt>
                <c:pt idx="7">
                  <c:v>101.9</c:v>
                </c:pt>
                <c:pt idx="8">
                  <c:v>101.5</c:v>
                </c:pt>
                <c:pt idx="9">
                  <c:v>101.3</c:v>
                </c:pt>
                <c:pt idx="10">
                  <c:v>101.7</c:v>
                </c:pt>
                <c:pt idx="11">
                  <c:v>101.7</c:v>
                </c:pt>
              </c:numCache>
            </c:numRef>
          </c:val>
        </c:ser>
        <c:ser>
          <c:idx val="12"/>
          <c:order val="3"/>
          <c:tx>
            <c:strRef>
              <c:f>'IPCK par année'!$A$91</c:f>
              <c:strCache>
                <c:ptCount val="1"/>
                <c:pt idx="0">
                  <c:v>2020</c:v>
                </c:pt>
              </c:strCache>
            </c:strRef>
          </c:tx>
          <c:cat>
            <c:strRef>
              <c:f>'IPCK par année'!$B$87:$M$87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année'!$B$91:$M$91</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ser>
          <c:idx val="1"/>
          <c:order val="4"/>
          <c:tx>
            <c:strRef>
              <c:f>'IPCK par année'!$A$92</c:f>
              <c:strCache>
                <c:ptCount val="1"/>
                <c:pt idx="0">
                  <c:v>2021</c:v>
                </c:pt>
              </c:strCache>
            </c:strRef>
          </c:tx>
          <c:cat>
            <c:strRef>
              <c:f>'IPCK par année'!$B$87:$M$87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année'!$B$92:$M$92</c:f>
              <c:numCache>
                <c:formatCode>0.0</c:formatCode>
                <c:ptCount val="12"/>
                <c:pt idx="0">
                  <c:v>101.4</c:v>
                </c:pt>
                <c:pt idx="1">
                  <c:v>101.3</c:v>
                </c:pt>
                <c:pt idx="2">
                  <c:v>101.8</c:v>
                </c:pt>
                <c:pt idx="3">
                  <c:v>102.8</c:v>
                </c:pt>
                <c:pt idx="4">
                  <c:v>103</c:v>
                </c:pt>
                <c:pt idx="5">
                  <c:v>102.5</c:v>
                </c:pt>
                <c:pt idx="6">
                  <c:v>102.8</c:v>
                </c:pt>
                <c:pt idx="7">
                  <c:v>102.1</c:v>
                </c:pt>
                <c:pt idx="8">
                  <c:v>103.2</c:v>
                </c:pt>
                <c:pt idx="9">
                  <c:v>104.8</c:v>
                </c:pt>
                <c:pt idx="10">
                  <c:v>104.6</c:v>
                </c:pt>
                <c:pt idx="11">
                  <c:v>104.6</c:v>
                </c:pt>
              </c:numCache>
            </c:numRef>
          </c:val>
        </c:ser>
        <c:marker val="1"/>
        <c:axId val="93363200"/>
        <c:axId val="93364992"/>
      </c:lineChart>
      <c:catAx>
        <c:axId val="93363200"/>
        <c:scaling>
          <c:orientation val="minMax"/>
        </c:scaling>
        <c:axPos val="b"/>
        <c:tickLblPos val="nextTo"/>
        <c:txPr>
          <a:bodyPr/>
          <a:lstStyle/>
          <a:p>
            <a:pPr>
              <a:defRPr>
                <a:latin typeface="Times New Roman" pitchFamily="18" charset="0"/>
                <a:cs typeface="Times New Roman" pitchFamily="18" charset="0"/>
              </a:defRPr>
            </a:pPr>
            <a:endParaRPr lang="fr-FR"/>
          </a:p>
        </c:txPr>
        <c:crossAx val="93364992"/>
        <c:crosses val="autoZero"/>
        <c:auto val="1"/>
        <c:lblAlgn val="ctr"/>
        <c:lblOffset val="100"/>
      </c:catAx>
      <c:valAx>
        <c:axId val="93364992"/>
        <c:scaling>
          <c:orientation val="minMax"/>
          <c:max val="104.8"/>
          <c:min val="98"/>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93363200"/>
        <c:crosses val="autoZero"/>
        <c:crossBetween val="between"/>
      </c:valAx>
    </c:plotArea>
    <c:legend>
      <c:legendPos val="r"/>
      <c:layout>
        <c:manualLayout>
          <c:xMode val="edge"/>
          <c:yMode val="edge"/>
          <c:x val="0.88364415862808376"/>
          <c:y val="0.62744135075899143"/>
          <c:w val="0.1077813504823153"/>
          <c:h val="0.3107029791379185"/>
        </c:manualLayout>
      </c:layout>
      <c:txPr>
        <a:bodyPr/>
        <a:lstStyle/>
        <a:p>
          <a:pPr>
            <a:defRPr sz="900"/>
          </a:pPr>
          <a:endParaRPr lang="fr-FR"/>
        </a:p>
      </c:txPr>
    </c:legend>
    <c:plotVisOnly val="1"/>
  </c:chart>
  <c:spPr>
    <a:solidFill>
      <a:schemeClr val="accent1">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9330547967219043E-2"/>
          <c:y val="1.9712232681317901E-2"/>
          <c:w val="0.93010231615784866"/>
          <c:h val="0.91486464176229709"/>
        </c:manualLayout>
      </c:layout>
      <c:lineChart>
        <c:grouping val="standard"/>
        <c:ser>
          <c:idx val="0"/>
          <c:order val="0"/>
          <c:tx>
            <c:strRef>
              <c:f>'EVOLUTION IPCK+IPCN'!$A$4</c:f>
              <c:strCache>
                <c:ptCount val="1"/>
                <c:pt idx="0">
                  <c:v>IPC KENITRA</c:v>
                </c:pt>
              </c:strCache>
            </c:strRef>
          </c:tx>
          <c:cat>
            <c:numRef>
              <c:f>'EVOLUTION IPCK+IPCN'!$B$3:$F$3</c:f>
              <c:numCache>
                <c:formatCode>General</c:formatCode>
                <c:ptCount val="5"/>
                <c:pt idx="0">
                  <c:v>2017</c:v>
                </c:pt>
                <c:pt idx="1">
                  <c:v>2018</c:v>
                </c:pt>
                <c:pt idx="2">
                  <c:v>2019</c:v>
                </c:pt>
                <c:pt idx="3">
                  <c:v>2020</c:v>
                </c:pt>
                <c:pt idx="4">
                  <c:v>2021</c:v>
                </c:pt>
              </c:numCache>
            </c:numRef>
          </c:cat>
          <c:val>
            <c:numRef>
              <c:f>'EVOLUTION IPCK+IPCN'!$B$4:$F$4</c:f>
              <c:numCache>
                <c:formatCode>0.0</c:formatCode>
                <c:ptCount val="5"/>
                <c:pt idx="0">
                  <c:v>99.991666666666859</c:v>
                </c:pt>
                <c:pt idx="1">
                  <c:v>101.10833333333306</c:v>
                </c:pt>
                <c:pt idx="2">
                  <c:v>101.56666666666666</c:v>
                </c:pt>
                <c:pt idx="3">
                  <c:v>101.64166666666669</c:v>
                </c:pt>
                <c:pt idx="4">
                  <c:v>102.90833333333325</c:v>
                </c:pt>
              </c:numCache>
            </c:numRef>
          </c:val>
        </c:ser>
        <c:ser>
          <c:idx val="1"/>
          <c:order val="1"/>
          <c:tx>
            <c:strRef>
              <c:f>'EVOLUTION IPCK+IPCN'!$A$5</c:f>
              <c:strCache>
                <c:ptCount val="1"/>
                <c:pt idx="0">
                  <c:v>IPC NATIONAL</c:v>
                </c:pt>
              </c:strCache>
            </c:strRef>
          </c:tx>
          <c:cat>
            <c:numRef>
              <c:f>'EVOLUTION IPCK+IPCN'!$B$3:$F$3</c:f>
              <c:numCache>
                <c:formatCode>General</c:formatCode>
                <c:ptCount val="5"/>
                <c:pt idx="0">
                  <c:v>2017</c:v>
                </c:pt>
                <c:pt idx="1">
                  <c:v>2018</c:v>
                </c:pt>
                <c:pt idx="2">
                  <c:v>2019</c:v>
                </c:pt>
                <c:pt idx="3">
                  <c:v>2020</c:v>
                </c:pt>
                <c:pt idx="4">
                  <c:v>2021</c:v>
                </c:pt>
              </c:numCache>
            </c:numRef>
          </c:cat>
          <c:val>
            <c:numRef>
              <c:f>'EVOLUTION IPCK+IPCN'!$B$5:$F$5</c:f>
              <c:numCache>
                <c:formatCode>0.0</c:formatCode>
                <c:ptCount val="5"/>
                <c:pt idx="0">
                  <c:v>99.983333333333249</c:v>
                </c:pt>
                <c:pt idx="1">
                  <c:v>101.58333333333317</c:v>
                </c:pt>
                <c:pt idx="2">
                  <c:v>101.83333333333317</c:v>
                </c:pt>
                <c:pt idx="3">
                  <c:v>102.46666666666682</c:v>
                </c:pt>
                <c:pt idx="4">
                  <c:v>103.89999999999999</c:v>
                </c:pt>
              </c:numCache>
            </c:numRef>
          </c:val>
        </c:ser>
        <c:marker val="1"/>
        <c:axId val="93393664"/>
        <c:axId val="93395200"/>
      </c:lineChart>
      <c:catAx>
        <c:axId val="9339366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93395200"/>
        <c:crosses val="autoZero"/>
        <c:auto val="1"/>
        <c:lblAlgn val="ctr"/>
        <c:lblOffset val="100"/>
      </c:catAx>
      <c:valAx>
        <c:axId val="93395200"/>
        <c:scaling>
          <c:orientation val="minMax"/>
          <c:max val="104"/>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93393664"/>
        <c:crosses val="autoZero"/>
        <c:crossBetween val="between"/>
        <c:majorUnit val="1"/>
        <c:minorUnit val="1"/>
      </c:valAx>
    </c:plotArea>
    <c:legend>
      <c:legendPos val="r"/>
      <c:layout>
        <c:manualLayout>
          <c:xMode val="edge"/>
          <c:yMode val="edge"/>
          <c:x val="0.71268996638578452"/>
          <c:y val="0.77064208705150694"/>
          <c:w val="0.22732572937917817"/>
          <c:h val="0.10959341445955711"/>
        </c:manualLayout>
      </c:layout>
      <c:txPr>
        <a:bodyPr/>
        <a:lstStyle/>
        <a:p>
          <a:pPr>
            <a:defRPr sz="800" b="1">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699682276557456E-2"/>
          <c:y val="2.7311621066821896E-2"/>
          <c:w val="0.90321259842519686"/>
          <c:h val="0.91408976990716351"/>
        </c:manualLayout>
      </c:layout>
      <c:lineChart>
        <c:grouping val="standard"/>
        <c:ser>
          <c:idx val="0"/>
          <c:order val="0"/>
          <c:tx>
            <c:strRef>
              <c:f>'EVOLUTION IPCK+IPCN'!$A$39</c:f>
              <c:strCache>
                <c:ptCount val="1"/>
                <c:pt idx="0">
                  <c:v>IAK</c:v>
                </c:pt>
              </c:strCache>
            </c:strRef>
          </c:tx>
          <c:cat>
            <c:numRef>
              <c:f>'EVOLUTION IPCK+IPCN'!$B$38:$F$38</c:f>
              <c:numCache>
                <c:formatCode>General</c:formatCode>
                <c:ptCount val="5"/>
                <c:pt idx="0">
                  <c:v>2017</c:v>
                </c:pt>
                <c:pt idx="1">
                  <c:v>2018</c:v>
                </c:pt>
                <c:pt idx="2">
                  <c:v>2019</c:v>
                </c:pt>
                <c:pt idx="3">
                  <c:v>2020</c:v>
                </c:pt>
                <c:pt idx="4">
                  <c:v>2021</c:v>
                </c:pt>
              </c:numCache>
            </c:numRef>
          </c:cat>
          <c:val>
            <c:numRef>
              <c:f>'EVOLUTION IPCK+IPCN'!$B$39:$F$39</c:f>
              <c:numCache>
                <c:formatCode>0.0</c:formatCode>
                <c:ptCount val="5"/>
                <c:pt idx="0">
                  <c:v>100</c:v>
                </c:pt>
                <c:pt idx="1">
                  <c:v>101.10637499999984</c:v>
                </c:pt>
                <c:pt idx="2">
                  <c:v>99.811916666666662</c:v>
                </c:pt>
                <c:pt idx="3">
                  <c:v>99.885666666666651</c:v>
                </c:pt>
                <c:pt idx="4">
                  <c:v>100.94387499999999</c:v>
                </c:pt>
              </c:numCache>
            </c:numRef>
          </c:val>
        </c:ser>
        <c:ser>
          <c:idx val="1"/>
          <c:order val="1"/>
          <c:tx>
            <c:strRef>
              <c:f>'EVOLUTION IPCK+IPCN'!$A$40</c:f>
              <c:strCache>
                <c:ptCount val="1"/>
                <c:pt idx="0">
                  <c:v>INAK</c:v>
                </c:pt>
              </c:strCache>
            </c:strRef>
          </c:tx>
          <c:cat>
            <c:numRef>
              <c:f>'EVOLUTION IPCK+IPCN'!$B$38:$F$38</c:f>
              <c:numCache>
                <c:formatCode>General</c:formatCode>
                <c:ptCount val="5"/>
                <c:pt idx="0">
                  <c:v>2017</c:v>
                </c:pt>
                <c:pt idx="1">
                  <c:v>2018</c:v>
                </c:pt>
                <c:pt idx="2">
                  <c:v>2019</c:v>
                </c:pt>
                <c:pt idx="3">
                  <c:v>2020</c:v>
                </c:pt>
                <c:pt idx="4">
                  <c:v>2021</c:v>
                </c:pt>
              </c:numCache>
            </c:numRef>
          </c:cat>
          <c:val>
            <c:numRef>
              <c:f>'EVOLUTION IPCK+IPCN'!$B$40:$F$40</c:f>
              <c:numCache>
                <c:formatCode>0.0</c:formatCode>
                <c:ptCount val="5"/>
                <c:pt idx="0">
                  <c:v>99.98546579228875</c:v>
                </c:pt>
                <c:pt idx="1">
                  <c:v>101.10979053881215</c:v>
                </c:pt>
                <c:pt idx="2">
                  <c:v>102.87238478442833</c:v>
                </c:pt>
                <c:pt idx="3">
                  <c:v>102.94831491558534</c:v>
                </c:pt>
                <c:pt idx="4">
                  <c:v>104.37009645481605</c:v>
                </c:pt>
              </c:numCache>
            </c:numRef>
          </c:val>
        </c:ser>
        <c:ser>
          <c:idx val="2"/>
          <c:order val="2"/>
          <c:tx>
            <c:strRef>
              <c:f>'EVOLUTION IPCK+IPCN'!$A$41</c:f>
              <c:strCache>
                <c:ptCount val="1"/>
                <c:pt idx="0">
                  <c:v>IGK</c:v>
                </c:pt>
              </c:strCache>
            </c:strRef>
          </c:tx>
          <c:cat>
            <c:numRef>
              <c:f>'EVOLUTION IPCK+IPCN'!$B$38:$F$38</c:f>
              <c:numCache>
                <c:formatCode>General</c:formatCode>
                <c:ptCount val="5"/>
                <c:pt idx="0">
                  <c:v>2017</c:v>
                </c:pt>
                <c:pt idx="1">
                  <c:v>2018</c:v>
                </c:pt>
                <c:pt idx="2">
                  <c:v>2019</c:v>
                </c:pt>
                <c:pt idx="3">
                  <c:v>2020</c:v>
                </c:pt>
                <c:pt idx="4">
                  <c:v>2021</c:v>
                </c:pt>
              </c:numCache>
            </c:numRef>
          </c:cat>
          <c:val>
            <c:numRef>
              <c:f>'EVOLUTION IPCK+IPCN'!$B$41:$F$41</c:f>
              <c:numCache>
                <c:formatCode>0.0</c:formatCode>
                <c:ptCount val="5"/>
                <c:pt idx="0">
                  <c:v>99.991666666666859</c:v>
                </c:pt>
                <c:pt idx="1">
                  <c:v>101.10833333333306</c:v>
                </c:pt>
                <c:pt idx="2">
                  <c:v>101.56666666666666</c:v>
                </c:pt>
                <c:pt idx="3">
                  <c:v>101.64166666666669</c:v>
                </c:pt>
                <c:pt idx="4">
                  <c:v>102.90833333333325</c:v>
                </c:pt>
              </c:numCache>
            </c:numRef>
          </c:val>
        </c:ser>
        <c:marker val="1"/>
        <c:axId val="93420544"/>
        <c:axId val="93491968"/>
      </c:lineChart>
      <c:catAx>
        <c:axId val="9342054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93491968"/>
        <c:crosses val="autoZero"/>
        <c:auto val="1"/>
        <c:lblAlgn val="ctr"/>
        <c:lblOffset val="100"/>
      </c:catAx>
      <c:valAx>
        <c:axId val="93491968"/>
        <c:scaling>
          <c:orientation val="minMax"/>
          <c:max val="104.4"/>
          <c:min val="99"/>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93420544"/>
        <c:crosses val="autoZero"/>
        <c:crossBetween val="between"/>
        <c:majorUnit val="1"/>
      </c:valAx>
    </c:plotArea>
    <c:legend>
      <c:legendPos val="r"/>
      <c:layout>
        <c:manualLayout>
          <c:xMode val="edge"/>
          <c:yMode val="edge"/>
          <c:x val="0.14065994382281174"/>
          <c:y val="0.2127846350287297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287551081431323E-2"/>
          <c:y val="2.1412410103849672E-2"/>
          <c:w val="0.92174464267916334"/>
          <c:h val="0.91826605884789958"/>
        </c:manualLayout>
      </c:layout>
      <c:lineChart>
        <c:grouping val="standard"/>
        <c:ser>
          <c:idx val="0"/>
          <c:order val="0"/>
          <c:tx>
            <c:strRef>
              <c:f>'EVOLUTION IPCK+IPCN'!$A$10</c:f>
              <c:strCache>
                <c:ptCount val="1"/>
                <c:pt idx="0">
                  <c:v>IPC KENITRA</c:v>
                </c:pt>
              </c:strCache>
            </c:strRef>
          </c:tx>
          <c:cat>
            <c:numRef>
              <c:f>'EVOLUTION IPCK+IPCN'!$B$9:$E$9</c:f>
              <c:numCache>
                <c:formatCode>General</c:formatCode>
                <c:ptCount val="4"/>
                <c:pt idx="0">
                  <c:v>2018</c:v>
                </c:pt>
                <c:pt idx="1">
                  <c:v>2019</c:v>
                </c:pt>
                <c:pt idx="2">
                  <c:v>2020</c:v>
                </c:pt>
                <c:pt idx="3">
                  <c:v>2021</c:v>
                </c:pt>
              </c:numCache>
            </c:numRef>
          </c:cat>
          <c:val>
            <c:numRef>
              <c:f>'EVOLUTION IPCK+IPCN'!$B$10:$E$10</c:f>
              <c:numCache>
                <c:formatCode>0.0</c:formatCode>
                <c:ptCount val="4"/>
                <c:pt idx="0">
                  <c:v>1.1167597299774921</c:v>
                </c:pt>
                <c:pt idx="1">
                  <c:v>0.45330915684496381</c:v>
                </c:pt>
                <c:pt idx="2">
                  <c:v>7.3843124384643424E-2</c:v>
                </c:pt>
                <c:pt idx="3">
                  <c:v>1.246208083955056</c:v>
                </c:pt>
              </c:numCache>
            </c:numRef>
          </c:val>
        </c:ser>
        <c:ser>
          <c:idx val="1"/>
          <c:order val="1"/>
          <c:tx>
            <c:strRef>
              <c:f>'EVOLUTION IPCK+IPCN'!$A$11</c:f>
              <c:strCache>
                <c:ptCount val="1"/>
                <c:pt idx="0">
                  <c:v>IPC NATIONAL</c:v>
                </c:pt>
              </c:strCache>
            </c:strRef>
          </c:tx>
          <c:cat>
            <c:numRef>
              <c:f>'EVOLUTION IPCK+IPCN'!$B$9:$E$9</c:f>
              <c:numCache>
                <c:formatCode>General</c:formatCode>
                <c:ptCount val="4"/>
                <c:pt idx="0">
                  <c:v>2018</c:v>
                </c:pt>
                <c:pt idx="1">
                  <c:v>2019</c:v>
                </c:pt>
                <c:pt idx="2">
                  <c:v>2020</c:v>
                </c:pt>
                <c:pt idx="3">
                  <c:v>2021</c:v>
                </c:pt>
              </c:numCache>
            </c:numRef>
          </c:cat>
          <c:val>
            <c:numRef>
              <c:f>'EVOLUTION IPCK+IPCN'!$B$11:$E$11</c:f>
              <c:numCache>
                <c:formatCode>0.0</c:formatCode>
                <c:ptCount val="4"/>
                <c:pt idx="0">
                  <c:v>1.600266711118514</c:v>
                </c:pt>
                <c:pt idx="1">
                  <c:v>0.24610336341263361</c:v>
                </c:pt>
                <c:pt idx="2">
                  <c:v>0.62193126022915435</c:v>
                </c:pt>
                <c:pt idx="3">
                  <c:v>1.3988288874430468</c:v>
                </c:pt>
              </c:numCache>
            </c:numRef>
          </c:val>
        </c:ser>
        <c:marker val="1"/>
        <c:axId val="93504256"/>
        <c:axId val="93505792"/>
      </c:lineChart>
      <c:catAx>
        <c:axId val="93504256"/>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93505792"/>
        <c:crosses val="autoZero"/>
        <c:auto val="1"/>
        <c:lblAlgn val="ctr"/>
        <c:lblOffset val="100"/>
      </c:catAx>
      <c:valAx>
        <c:axId val="93505792"/>
        <c:scaling>
          <c:orientation val="minMax"/>
        </c:scaling>
        <c:axPos val="l"/>
        <c:majorGridlines/>
        <c:numFmt formatCode="0.0" sourceLinked="1"/>
        <c:tickLblPos val="nextTo"/>
        <c:crossAx val="93504256"/>
        <c:crosses val="autoZero"/>
        <c:crossBetween val="between"/>
      </c:valAx>
    </c:plotArea>
    <c:legend>
      <c:legendPos val="r"/>
      <c:layout>
        <c:manualLayout>
          <c:xMode val="edge"/>
          <c:yMode val="edge"/>
          <c:x val="0.73031236918169795"/>
          <c:y val="0.77767573247452226"/>
          <c:w val="0.24690288713911049"/>
          <c:h val="0.10365796380715545"/>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1380214952421414E-2"/>
          <c:y val="2.6433469144390351E-2"/>
          <c:w val="0.96282962042422793"/>
          <c:h val="0.84846033370050378"/>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annuels'!$K$4:$K$51</c:f>
              <c:numCache>
                <c:formatCode>mmm\-yy</c:formatCode>
                <c:ptCount val="4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numCache>
            </c:numRef>
          </c:cat>
          <c:val>
            <c:numRef>
              <c:f>'glissements annuels'!$L$4:$L$51</c:f>
              <c:numCache>
                <c:formatCode>0.0</c:formatCode>
                <c:ptCount val="48"/>
                <c:pt idx="0">
                  <c:v>1.0010010010010011</c:v>
                </c:pt>
                <c:pt idx="1">
                  <c:v>1.1033099297893625</c:v>
                </c:pt>
                <c:pt idx="2">
                  <c:v>1.6048144433299838</c:v>
                </c:pt>
                <c:pt idx="3">
                  <c:v>2.1148036253776521</c:v>
                </c:pt>
                <c:pt idx="4">
                  <c:v>2.2155085599194391</c:v>
                </c:pt>
                <c:pt idx="5">
                  <c:v>2</c:v>
                </c:pt>
                <c:pt idx="6">
                  <c:v>1.1099899091826526</c:v>
                </c:pt>
                <c:pt idx="7">
                  <c:v>0.90452261306533233</c:v>
                </c:pt>
                <c:pt idx="8">
                  <c:v>0.49554013875123876</c:v>
                </c:pt>
                <c:pt idx="9">
                  <c:v>0.5970149253731285</c:v>
                </c:pt>
                <c:pt idx="10">
                  <c:v>0.29732408325074233</c:v>
                </c:pt>
                <c:pt idx="11">
                  <c:v>0</c:v>
                </c:pt>
                <c:pt idx="12">
                  <c:v>-0.19821605550049906</c:v>
                </c:pt>
                <c:pt idx="13">
                  <c:v>0</c:v>
                </c:pt>
                <c:pt idx="14">
                  <c:v>-9.8716683119441595E-2</c:v>
                </c:pt>
                <c:pt idx="15">
                  <c:v>0</c:v>
                </c:pt>
                <c:pt idx="16">
                  <c:v>1.182266009852222</c:v>
                </c:pt>
                <c:pt idx="17">
                  <c:v>0.5882352941176402</c:v>
                </c:pt>
                <c:pt idx="18">
                  <c:v>1.0978043912175566</c:v>
                </c:pt>
                <c:pt idx="19">
                  <c:v>1.4940239043824699</c:v>
                </c:pt>
                <c:pt idx="20">
                  <c:v>9.8619329388554805E-2</c:v>
                </c:pt>
                <c:pt idx="21">
                  <c:v>0.19782393669634321</c:v>
                </c:pt>
                <c:pt idx="22">
                  <c:v>0.49407114624505932</c:v>
                </c:pt>
                <c:pt idx="23">
                  <c:v>0.59347181008902961</c:v>
                </c:pt>
                <c:pt idx="24">
                  <c:v>0.89374379344587218</c:v>
                </c:pt>
                <c:pt idx="25">
                  <c:v>0.79365079365079239</c:v>
                </c:pt>
                <c:pt idx="26">
                  <c:v>0.5928853754940655</c:v>
                </c:pt>
                <c:pt idx="27">
                  <c:v>0.39447731755423326</c:v>
                </c:pt>
                <c:pt idx="28">
                  <c:v>-1.6553067185978598</c:v>
                </c:pt>
                <c:pt idx="29">
                  <c:v>-1.559454191033133</c:v>
                </c:pt>
                <c:pt idx="30">
                  <c:v>-0.59230009871667622</c:v>
                </c:pt>
                <c:pt idx="31">
                  <c:v>0.49067713444553479</c:v>
                </c:pt>
                <c:pt idx="32">
                  <c:v>1.7733990147783218</c:v>
                </c:pt>
                <c:pt idx="33">
                  <c:v>1.1846001974333691</c:v>
                </c:pt>
                <c:pt idx="34">
                  <c:v>-0.39331366764995834</c:v>
                </c:pt>
                <c:pt idx="35">
                  <c:v>-0.98328416912487659</c:v>
                </c:pt>
                <c:pt idx="36">
                  <c:v>-0.1968503937007762</c:v>
                </c:pt>
                <c:pt idx="37">
                  <c:v>-0.29527559055117825</c:v>
                </c:pt>
                <c:pt idx="38">
                  <c:v>0</c:v>
                </c:pt>
                <c:pt idx="39">
                  <c:v>0.98231827111984249</c:v>
                </c:pt>
                <c:pt idx="40">
                  <c:v>1.9801980198019826</c:v>
                </c:pt>
                <c:pt idx="41">
                  <c:v>1.4851485148514851</c:v>
                </c:pt>
                <c:pt idx="42">
                  <c:v>2.0854021847070427</c:v>
                </c:pt>
                <c:pt idx="43">
                  <c:v>-0.29296875000001132</c:v>
                </c:pt>
                <c:pt idx="44">
                  <c:v>-9.6805421103576608E-2</c:v>
                </c:pt>
                <c:pt idx="45">
                  <c:v>2.2439024390243874</c:v>
                </c:pt>
                <c:pt idx="46">
                  <c:v>3.2576505429417599</c:v>
                </c:pt>
                <c:pt idx="47">
                  <c:v>3.8728897715987967</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triangle"/>
            <c:size val="5"/>
          </c:marker>
          <c:cat>
            <c:numRef>
              <c:f>'glissements annuels'!$K$4:$K$51</c:f>
              <c:numCache>
                <c:formatCode>mmm\-yy</c:formatCode>
                <c:ptCount val="4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numCache>
            </c:numRef>
          </c:cat>
          <c:val>
            <c:numRef>
              <c:f>'glissements annuels'!$M$4:$M$51</c:f>
              <c:numCache>
                <c:formatCode>0.0</c:formatCode>
                <c:ptCount val="48"/>
                <c:pt idx="0">
                  <c:v>2.0120724346076369</c:v>
                </c:pt>
                <c:pt idx="1">
                  <c:v>1.4070351758794004</c:v>
                </c:pt>
                <c:pt idx="2">
                  <c:v>1.711983887210472</c:v>
                </c:pt>
                <c:pt idx="3">
                  <c:v>2.2155085599194391</c:v>
                </c:pt>
                <c:pt idx="4">
                  <c:v>2.4072216649949802</c:v>
                </c:pt>
                <c:pt idx="5">
                  <c:v>2.4000000000000057</c:v>
                </c:pt>
                <c:pt idx="6">
                  <c:v>1.9095477386934729</c:v>
                </c:pt>
                <c:pt idx="7">
                  <c:v>1.6032064128256598</c:v>
                </c:pt>
                <c:pt idx="8">
                  <c:v>1.1928429423459281</c:v>
                </c:pt>
                <c:pt idx="9">
                  <c:v>1.094527363184074</c:v>
                </c:pt>
                <c:pt idx="10">
                  <c:v>1.0891089108910841</c:v>
                </c:pt>
                <c:pt idx="11">
                  <c:v>0.19762845849802654</c:v>
                </c:pt>
                <c:pt idx="12">
                  <c:v>-0.49309664694280164</c:v>
                </c:pt>
                <c:pt idx="13">
                  <c:v>0</c:v>
                </c:pt>
                <c:pt idx="14">
                  <c:v>-9.9009900990093741E-2</c:v>
                </c:pt>
                <c:pt idx="15">
                  <c:v>0</c:v>
                </c:pt>
                <c:pt idx="16">
                  <c:v>0.29382957884428279</c:v>
                </c:pt>
                <c:pt idx="17">
                  <c:v>0.1953124999999889</c:v>
                </c:pt>
                <c:pt idx="18">
                  <c:v>0.29585798816567876</c:v>
                </c:pt>
                <c:pt idx="19">
                  <c:v>0.69033530571990842</c:v>
                </c:pt>
                <c:pt idx="20">
                  <c:v>9.823182711199295E-2</c:v>
                </c:pt>
                <c:pt idx="21">
                  <c:v>0.49212598425196935</c:v>
                </c:pt>
                <c:pt idx="22">
                  <c:v>0.39177277179236736</c:v>
                </c:pt>
                <c:pt idx="23">
                  <c:v>1.084812623274156</c:v>
                </c:pt>
                <c:pt idx="24">
                  <c:v>1.3875123885034599</c:v>
                </c:pt>
                <c:pt idx="25">
                  <c:v>1.1892963330029618</c:v>
                </c:pt>
                <c:pt idx="26">
                  <c:v>1.5857284440039578</c:v>
                </c:pt>
                <c:pt idx="27">
                  <c:v>0.88669950738916981</c:v>
                </c:pt>
                <c:pt idx="28">
                  <c:v>-0.19531250000000278</c:v>
                </c:pt>
                <c:pt idx="29">
                  <c:v>-0.68226120857698702</c:v>
                </c:pt>
                <c:pt idx="30">
                  <c:v>-9.8328416912496441E-2</c:v>
                </c:pt>
                <c:pt idx="31">
                  <c:v>0.88148873653281667</c:v>
                </c:pt>
                <c:pt idx="32">
                  <c:v>1.3738959764474892</c:v>
                </c:pt>
                <c:pt idx="33">
                  <c:v>1.2732615083251797</c:v>
                </c:pt>
                <c:pt idx="34">
                  <c:v>0.19512195121951442</c:v>
                </c:pt>
                <c:pt idx="35">
                  <c:v>-0.29268292682926672</c:v>
                </c:pt>
                <c:pt idx="36">
                  <c:v>0</c:v>
                </c:pt>
                <c:pt idx="37">
                  <c:v>0.29382957884428279</c:v>
                </c:pt>
                <c:pt idx="38">
                  <c:v>9.7560975609750564E-2</c:v>
                </c:pt>
                <c:pt idx="39">
                  <c:v>1.367187499999992</c:v>
                </c:pt>
                <c:pt idx="40">
                  <c:v>1.8590998043052753</c:v>
                </c:pt>
                <c:pt idx="41">
                  <c:v>1.4720314033366044</c:v>
                </c:pt>
                <c:pt idx="42">
                  <c:v>2.1653543307086638</c:v>
                </c:pt>
                <c:pt idx="43">
                  <c:v>0.77669902912621236</c:v>
                </c:pt>
                <c:pt idx="44">
                  <c:v>1.161665053242982</c:v>
                </c:pt>
                <c:pt idx="45">
                  <c:v>1.7408123791102501</c:v>
                </c:pt>
                <c:pt idx="46">
                  <c:v>2.6290165530671885</c:v>
                </c:pt>
                <c:pt idx="47">
                  <c:v>3.2289628180039163</c:v>
                </c:pt>
              </c:numCache>
            </c:numRef>
          </c:val>
          <c:smooth val="1"/>
        </c:ser>
        <c:marker val="1"/>
        <c:axId val="101838848"/>
        <c:axId val="101840384"/>
      </c:lineChart>
      <c:dateAx>
        <c:axId val="101838848"/>
        <c:scaling>
          <c:orientation val="minMax"/>
        </c:scaling>
        <c:axPos val="b"/>
        <c:numFmt formatCode="mmm\-yy" sourceLinked="1"/>
        <c:tickLblPos val="low"/>
        <c:txPr>
          <a:bodyPr/>
          <a:lstStyle/>
          <a:p>
            <a:pPr>
              <a:defRPr sz="900" b="0">
                <a:latin typeface="Times New Roman" pitchFamily="18" charset="0"/>
                <a:cs typeface="Times New Roman" pitchFamily="18" charset="0"/>
              </a:defRPr>
            </a:pPr>
            <a:endParaRPr lang="fr-FR"/>
          </a:p>
        </c:txPr>
        <c:crossAx val="101840384"/>
        <c:crosses val="autoZero"/>
        <c:auto val="1"/>
        <c:lblOffset val="100"/>
      </c:dateAx>
      <c:valAx>
        <c:axId val="101840384"/>
        <c:scaling>
          <c:orientation val="minMax"/>
          <c:max val="4"/>
          <c:min val="-2.5"/>
        </c:scaling>
        <c:axPos val="l"/>
        <c:majorGridlines/>
        <c:numFmt formatCode="0" sourceLinked="0"/>
        <c:tickLblPos val="nextTo"/>
        <c:txPr>
          <a:bodyPr/>
          <a:lstStyle/>
          <a:p>
            <a:pPr>
              <a:defRPr sz="800" b="1"/>
            </a:pPr>
            <a:endParaRPr lang="fr-FR"/>
          </a:p>
        </c:txPr>
        <c:crossAx val="101838848"/>
        <c:crosses val="autoZero"/>
        <c:crossBetween val="between"/>
      </c:valAx>
    </c:plotArea>
    <c:legend>
      <c:legendPos val="r"/>
      <c:layout>
        <c:manualLayout>
          <c:xMode val="edge"/>
          <c:yMode val="edge"/>
          <c:x val="0.79256542651532469"/>
          <c:y val="0.79119756216913562"/>
          <c:w val="0.11768979766210236"/>
          <c:h val="7.8339783798211812E-2"/>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rgbClr val="5E9EFF"/>
        </a:gs>
        <a:gs pos="39999">
          <a:srgbClr val="85C2FF"/>
        </a:gs>
        <a:gs pos="70000">
          <a:srgbClr val="C4D6EB"/>
        </a:gs>
        <a:gs pos="100000">
          <a:srgbClr val="FFEBFA"/>
        </a:gs>
      </a:gsLst>
      <a:lin ang="5400000" scaled="1"/>
      <a:tileRect/>
    </a:gra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DC0C9-0F81-4F49-B66F-0F420233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43</Pages>
  <Words>9233</Words>
  <Characters>50784</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Indice des Prix à la Consommation (Base100:2017)           ville de Kenitra</vt:lpstr>
    </vt:vector>
  </TitlesOfParts>
  <Company>Sweet</Company>
  <LinksUpToDate>false</LinksUpToDate>
  <CharactersWithSpaces>59898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(Base100:2017)           ville de Kenitra</dc:title>
  <dc:subject>Rapport annuel</dc:subject>
  <dc:creator>SWEET</dc:creator>
  <cp:lastModifiedBy>hp</cp:lastModifiedBy>
  <cp:revision>23</cp:revision>
  <cp:lastPrinted>2021-03-25T12:48:00Z</cp:lastPrinted>
  <dcterms:created xsi:type="dcterms:W3CDTF">2022-02-25T09:32:00Z</dcterms:created>
  <dcterms:modified xsi:type="dcterms:W3CDTF">2022-10-13T12:18:00Z</dcterms:modified>
</cp:coreProperties>
</file>